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CA733" w14:textId="77777777" w:rsidR="00764D6A" w:rsidRDefault="00F56B54" w:rsidP="00A415EC">
      <w:pPr>
        <w:pStyle w:val="Heading1"/>
      </w:pPr>
      <w:r>
        <w:t xml:space="preserve">Chemical </w:t>
      </w:r>
      <w:r w:rsidR="00827747">
        <w:t>c</w:t>
      </w:r>
      <w:r w:rsidR="00A415EC">
        <w:t xml:space="preserve">ontaminant </w:t>
      </w:r>
      <w:r w:rsidR="00827747">
        <w:t>r</w:t>
      </w:r>
      <w:r w:rsidR="00A415EC">
        <w:t xml:space="preserve">isks </w:t>
      </w:r>
      <w:r w:rsidR="00827747">
        <w:t>a</w:t>
      </w:r>
      <w:r w:rsidR="00A415EC">
        <w:t xml:space="preserve">ssociated with </w:t>
      </w:r>
      <w:r w:rsidR="00827747">
        <w:t>i</w:t>
      </w:r>
      <w:r w:rsidR="00A415EC">
        <w:t>n-</w:t>
      </w:r>
      <w:r w:rsidR="00827747">
        <w:t>w</w:t>
      </w:r>
      <w:r w:rsidR="00A415EC">
        <w:t xml:space="preserve">ater </w:t>
      </w:r>
      <w:r w:rsidR="00827747">
        <w:t>c</w:t>
      </w:r>
      <w:r w:rsidR="00A415EC">
        <w:t xml:space="preserve">leaning of </w:t>
      </w:r>
      <w:r w:rsidR="00827747">
        <w:t>v</w:t>
      </w:r>
      <w:r w:rsidR="00A415EC">
        <w:t>essel</w:t>
      </w:r>
      <w:r>
        <w:t>s</w:t>
      </w:r>
    </w:p>
    <w:p w14:paraId="2717015B" w14:textId="77777777" w:rsidR="00764D6A" w:rsidRDefault="00F56B54">
      <w:pPr>
        <w:pStyle w:val="Author"/>
        <w:rPr>
          <w:lang w:val="es-ES"/>
        </w:rPr>
      </w:pPr>
      <w:r>
        <w:rPr>
          <w:lang w:val="es-ES"/>
        </w:rPr>
        <w:t>John A Lewis</w:t>
      </w:r>
    </w:p>
    <w:p w14:paraId="389BD1E2" w14:textId="77777777" w:rsidR="00764D6A" w:rsidRDefault="00F56B54">
      <w:pPr>
        <w:pStyle w:val="AuthorOrganisationAffiliation"/>
        <w:tabs>
          <w:tab w:val="left" w:pos="7995"/>
        </w:tabs>
      </w:pPr>
      <w:r>
        <w:t>ES Link Services Pty Ltd, Castlemaine, Vic</w:t>
      </w:r>
    </w:p>
    <w:p w14:paraId="4CCF8C10" w14:textId="77777777" w:rsidR="00764D6A" w:rsidRDefault="00F56B54">
      <w:pPr>
        <w:pStyle w:val="Picture"/>
      </w:pPr>
      <w:r>
        <w:drawing>
          <wp:inline distT="0" distB="0" distL="0" distR="0" wp14:anchorId="0ED054AF" wp14:editId="694D6CA1">
            <wp:extent cx="5516245" cy="5516245"/>
            <wp:effectExtent l="0" t="0" r="8255" b="8255"/>
            <wp:docPr id="1" name="Picture 3" descr="This image is a spgere containing images that represent the work completed by the department. These images include a group of penguins, a family in a field of wheat,  an Aboriginal man holding a lizard and an image of the great barrier reef" title="Department of Agriculture, Water and Environment Biosphe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41576"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513D2E28" w14:textId="77777777" w:rsidR="00764D6A" w:rsidRDefault="00F56B54">
      <w:pPr>
        <w:pStyle w:val="Normalsmall"/>
      </w:pPr>
      <w:r>
        <w:br w:type="page"/>
      </w:r>
      <w:r>
        <w:lastRenderedPageBreak/>
        <w:t xml:space="preserve">© Commonwealth of Australia </w:t>
      </w:r>
      <w:r w:rsidR="00B97E61">
        <w:t>2020</w:t>
      </w:r>
    </w:p>
    <w:p w14:paraId="3320A766" w14:textId="77777777" w:rsidR="00764D6A" w:rsidRDefault="00F56B54">
      <w:pPr>
        <w:pStyle w:val="Normalsmall"/>
        <w:rPr>
          <w:rStyle w:val="Strong"/>
        </w:rPr>
      </w:pPr>
      <w:r>
        <w:rPr>
          <w:rStyle w:val="Strong"/>
        </w:rPr>
        <w:t>Ownership of intellectual property rights</w:t>
      </w:r>
    </w:p>
    <w:p w14:paraId="06C2B8FE" w14:textId="77777777" w:rsidR="00764D6A" w:rsidRDefault="00F56B54">
      <w:pPr>
        <w:pStyle w:val="Normalsmall"/>
      </w:pPr>
      <w:r>
        <w:t>Unless otherwise noted, copyright (and any other intellectual property rights) in this publication is owned by the Commonwealth of Australia (referred to as the Commonwealth).</w:t>
      </w:r>
    </w:p>
    <w:p w14:paraId="773F9FF1" w14:textId="77777777" w:rsidR="00764D6A" w:rsidRDefault="00F56B54">
      <w:pPr>
        <w:pStyle w:val="Normalsmall"/>
        <w:rPr>
          <w:rStyle w:val="Strong"/>
        </w:rPr>
      </w:pPr>
      <w:r>
        <w:rPr>
          <w:rStyle w:val="Strong"/>
        </w:rPr>
        <w:t>Creative Commons licence</w:t>
      </w:r>
    </w:p>
    <w:p w14:paraId="5EE7DF2E" w14:textId="77777777" w:rsidR="00764D6A" w:rsidRDefault="00F56B54">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0069C0A8" w14:textId="77777777" w:rsidR="00764D6A" w:rsidRDefault="00F56B54">
      <w:pPr>
        <w:pStyle w:val="Normalsmall"/>
      </w:pPr>
      <w:r>
        <w:t xml:space="preserve">Inquiries about the licence and any use of this document should be </w:t>
      </w:r>
      <w:r w:rsidRPr="005F1709">
        <w:t xml:space="preserve">emailed to </w:t>
      </w:r>
      <w:r w:rsidR="005F1709">
        <w:t>copyright@awe.gov.au</w:t>
      </w:r>
      <w:r w:rsidRPr="005F1709">
        <w:t>.</w:t>
      </w:r>
    </w:p>
    <w:p w14:paraId="74109172" w14:textId="77777777" w:rsidR="00764D6A" w:rsidRDefault="00F56B54">
      <w:pPr>
        <w:pStyle w:val="Normalsmall"/>
      </w:pPr>
      <w:r>
        <w:rPr>
          <w:noProof/>
          <w:lang w:eastAsia="en-AU"/>
        </w:rPr>
        <w:drawing>
          <wp:inline distT="0" distB="0" distL="0" distR="0" wp14:anchorId="5A4D3906" wp14:editId="5F918188">
            <wp:extent cx="724535" cy="255270"/>
            <wp:effectExtent l="0" t="0" r="0" b="0"/>
            <wp:docPr id="2"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0455"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AA8A6E5" w14:textId="77777777" w:rsidR="00764D6A" w:rsidRDefault="00F56B54">
      <w:pPr>
        <w:pStyle w:val="Normalsmall"/>
        <w:rPr>
          <w:rStyle w:val="Strong"/>
        </w:rPr>
      </w:pPr>
      <w:r>
        <w:rPr>
          <w:rStyle w:val="Strong"/>
        </w:rPr>
        <w:t>Cataloguing data</w:t>
      </w:r>
    </w:p>
    <w:p w14:paraId="73177761" w14:textId="77777777" w:rsidR="00764D6A" w:rsidRDefault="00F56B54">
      <w:pPr>
        <w:pStyle w:val="Normalsmall"/>
      </w:pPr>
      <w:r>
        <w:t xml:space="preserve">This publication (and any material sourced from it) should be attributed as: </w:t>
      </w:r>
      <w:r w:rsidR="00732BDA">
        <w:t xml:space="preserve">Lewis, JA 2020, </w:t>
      </w:r>
      <w:r w:rsidR="00732BDA">
        <w:rPr>
          <w:i/>
          <w:iCs/>
        </w:rPr>
        <w:t>C</w:t>
      </w:r>
      <w:r w:rsidR="00827747">
        <w:rPr>
          <w:i/>
          <w:iCs/>
        </w:rPr>
        <w:t>hemical c</w:t>
      </w:r>
      <w:r w:rsidR="00732BDA">
        <w:rPr>
          <w:i/>
          <w:iCs/>
        </w:rPr>
        <w:t>ontaminant risks associated with in-water cleaning of vessel</w:t>
      </w:r>
      <w:r w:rsidR="00827747">
        <w:rPr>
          <w:i/>
          <w:iCs/>
        </w:rPr>
        <w:t>s</w:t>
      </w:r>
      <w:r>
        <w:t xml:space="preserve">, </w:t>
      </w:r>
      <w:r w:rsidR="00B5740E">
        <w:t>Department of Agriculture, Water and the Environment</w:t>
      </w:r>
      <w:r>
        <w:t xml:space="preserve">, Canberra, </w:t>
      </w:r>
      <w:r w:rsidR="00ED697C">
        <w:t>September</w:t>
      </w:r>
      <w:r>
        <w:t>. CC BY 4.0.</w:t>
      </w:r>
    </w:p>
    <w:p w14:paraId="664BBC6C" w14:textId="77777777" w:rsidR="00764D6A" w:rsidRPr="001F288E" w:rsidRDefault="00F56B54">
      <w:pPr>
        <w:pStyle w:val="Normalsmall"/>
      </w:pPr>
      <w:r w:rsidRPr="001F288E">
        <w:t xml:space="preserve">ISBN </w:t>
      </w:r>
      <w:r w:rsidR="001F288E" w:rsidRPr="001F288E">
        <w:t>978-1-76003-321-7</w:t>
      </w:r>
    </w:p>
    <w:p w14:paraId="02886291" w14:textId="77777777" w:rsidR="00764D6A" w:rsidRDefault="00F56B54">
      <w:pPr>
        <w:pStyle w:val="Normalsmall"/>
      </w:pPr>
      <w:r>
        <w:t xml:space="preserve">This publication is </w:t>
      </w:r>
      <w:r w:rsidRPr="00A2409A">
        <w:t xml:space="preserve">available at </w:t>
      </w:r>
      <w:r w:rsidR="00A2409A" w:rsidRPr="00A2409A">
        <w:t>awe.gov.au/publications</w:t>
      </w:r>
      <w:r w:rsidRPr="00A2409A">
        <w:t>.</w:t>
      </w:r>
    </w:p>
    <w:p w14:paraId="4539F44C" w14:textId="77777777" w:rsidR="00764D6A" w:rsidRDefault="00F56B54">
      <w:pPr>
        <w:pStyle w:val="Normalsmall"/>
        <w:spacing w:after="0"/>
      </w:pPr>
      <w:r>
        <w:t xml:space="preserve">Department of Agriculture, </w:t>
      </w:r>
      <w:proofErr w:type="gramStart"/>
      <w:r>
        <w:t>Water</w:t>
      </w:r>
      <w:proofErr w:type="gramEnd"/>
      <w:r>
        <w:t xml:space="preserve"> and the Environment</w:t>
      </w:r>
    </w:p>
    <w:p w14:paraId="5B5DD41D" w14:textId="77777777" w:rsidR="00764D6A" w:rsidRDefault="00F56B54">
      <w:pPr>
        <w:pStyle w:val="Normalsmall"/>
        <w:spacing w:after="0"/>
      </w:pPr>
      <w:r>
        <w:t>GPO Box 858 Canberra ACT 2601</w:t>
      </w:r>
    </w:p>
    <w:p w14:paraId="399F3879" w14:textId="77777777" w:rsidR="00764D6A" w:rsidRDefault="00F56B54">
      <w:pPr>
        <w:pStyle w:val="Normalsmall"/>
        <w:spacing w:after="0"/>
      </w:pPr>
      <w:r>
        <w:t xml:space="preserve">Telephone </w:t>
      </w:r>
      <w:r w:rsidRPr="001F288E">
        <w:t>1800 900 090</w:t>
      </w:r>
    </w:p>
    <w:p w14:paraId="2C464EED" w14:textId="77777777" w:rsidR="00764D6A" w:rsidRDefault="00F56B54">
      <w:pPr>
        <w:pStyle w:val="Normalsmall"/>
      </w:pPr>
      <w:r>
        <w:t>W</w:t>
      </w:r>
      <w:r w:rsidRPr="00A2409A">
        <w:t xml:space="preserve">eb </w:t>
      </w:r>
      <w:r w:rsidR="00A2409A" w:rsidRPr="00A2409A">
        <w:t>awe.gov.au</w:t>
      </w:r>
    </w:p>
    <w:p w14:paraId="204EB331" w14:textId="77777777" w:rsidR="00764D6A" w:rsidRDefault="00F56B54">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3D1128" w14:textId="77777777" w:rsidR="00764D6A" w:rsidRPr="00A83BF5" w:rsidRDefault="00F56B54">
      <w:pPr>
        <w:pStyle w:val="Normalsmall"/>
        <w:rPr>
          <w:rStyle w:val="Strong"/>
        </w:rPr>
      </w:pPr>
      <w:r w:rsidRPr="00A83BF5">
        <w:rPr>
          <w:rStyle w:val="Strong"/>
        </w:rPr>
        <w:t>Acknowledgements</w:t>
      </w:r>
    </w:p>
    <w:p w14:paraId="6FC7E167" w14:textId="77777777" w:rsidR="00386D27" w:rsidRDefault="00F56B54" w:rsidP="00386D27">
      <w:pPr>
        <w:pStyle w:val="Normalsmall"/>
        <w:spacing w:after="0"/>
      </w:pPr>
      <w:r w:rsidRPr="00A83BF5">
        <w:t>The author thank</w:t>
      </w:r>
      <w:r w:rsidR="00732BDA" w:rsidRPr="00A83BF5">
        <w:t>s</w:t>
      </w:r>
      <w:r w:rsidRPr="00D1377D">
        <w:t xml:space="preserve"> </w:t>
      </w:r>
      <w:r>
        <w:t xml:space="preserve">Bianca Brooks, </w:t>
      </w:r>
      <w:r w:rsidRPr="00D1377D">
        <w:t xml:space="preserve">Timothy Carew, </w:t>
      </w:r>
      <w:r>
        <w:t>Peter Wilkinson and Sonia Gorgula</w:t>
      </w:r>
      <w:r w:rsidRPr="00D1377D">
        <w:t xml:space="preserve"> (Department of Agriculture, Water and the Environment) </w:t>
      </w:r>
      <w:r w:rsidR="00DD1A90">
        <w:t xml:space="preserve">Rupert Summerson (ABARES) </w:t>
      </w:r>
      <w:r w:rsidRPr="00D1377D">
        <w:t>and Eugene Georgiades (Biosecurity New Zealand, Ministry for Primary Industries) for their feedback and input in preparing this report.</w:t>
      </w:r>
    </w:p>
    <w:p w14:paraId="621F1D42" w14:textId="77777777" w:rsidR="00764D6A" w:rsidRDefault="00764D6A">
      <w:pPr>
        <w:pStyle w:val="Normalsmall"/>
      </w:pPr>
    </w:p>
    <w:p w14:paraId="5EB25C18" w14:textId="77777777" w:rsidR="00764D6A" w:rsidRDefault="00F56B54">
      <w:pPr>
        <w:pStyle w:val="Heading2"/>
        <w:numPr>
          <w:ilvl w:val="0"/>
          <w:numId w:val="0"/>
        </w:numPr>
        <w:ind w:left="709" w:hanging="709"/>
      </w:pPr>
      <w:bookmarkStart w:id="0" w:name="_Toc430782148"/>
      <w:bookmarkStart w:id="1" w:name="_Toc50117644"/>
      <w:r>
        <w:lastRenderedPageBreak/>
        <w:t>Foreword</w:t>
      </w:r>
      <w:bookmarkEnd w:id="0"/>
      <w:bookmarkEnd w:id="1"/>
    </w:p>
    <w:p w14:paraId="7B83ECDE" w14:textId="77777777" w:rsidR="004E67DD" w:rsidRDefault="00F56B54" w:rsidP="004E67DD">
      <w:r>
        <w:t xml:space="preserve">Biofouling is a major pathway for marine pest entry into Australia. The Australian Government committed to the management of biosecurity risks associated with biofouling through implementation of the </w:t>
      </w:r>
      <w:r w:rsidRPr="001F288E">
        <w:rPr>
          <w:rStyle w:val="Emphasis"/>
        </w:rPr>
        <w:t>Biosecurity Act 2015</w:t>
      </w:r>
      <w:r>
        <w:t xml:space="preserve"> (Biosecurity Act). The Department of Agriculture, Water and the Environment has statutory powers under the Biosecurity Act to respond when a vessel's biofouling presents an unacceptable biosecurity risk of introducing and spreading marine pests and associated diseases.</w:t>
      </w:r>
    </w:p>
    <w:p w14:paraId="0F22ECEC" w14:textId="77777777" w:rsidR="004E67DD" w:rsidRDefault="00F56B54" w:rsidP="004E67DD">
      <w:r>
        <w:t>To manage this risk, t</w:t>
      </w:r>
      <w:r w:rsidR="004C2287">
        <w:t xml:space="preserve">he department </w:t>
      </w:r>
      <w:r>
        <w:t>has</w:t>
      </w:r>
      <w:r w:rsidR="004C2287">
        <w:t xml:space="preserve"> proposed mandatory biofouling management requirements </w:t>
      </w:r>
      <w:r>
        <w:t xml:space="preserve">for vessels arriving in Australian </w:t>
      </w:r>
      <w:r w:rsidR="00F256BE">
        <w:t>T</w:t>
      </w:r>
      <w:r>
        <w:t>erritory.</w:t>
      </w:r>
      <w:r w:rsidR="004C2287">
        <w:t xml:space="preserve"> </w:t>
      </w:r>
      <w:r>
        <w:t>Under these requirements vessels would manage biofouling to a best-practice standard, effectively and efficiently reducing biofouling and the risk it poses to our environment and economy.</w:t>
      </w:r>
    </w:p>
    <w:p w14:paraId="49E7DF58" w14:textId="77777777" w:rsidR="004E67DD" w:rsidRDefault="00F56B54" w:rsidP="00732BDA">
      <w:r w:rsidRPr="004E67DD">
        <w:t xml:space="preserve">In-water cleaning involves removing the bioﬁlm and fouling from the hull of a ship using mechanical methods, such as brushes or water jets. This can either be done proactively, as part of a biofouling management plan, or reactively, to remove biofouling on vessels in which preventative management has been ineffective or inadequately maintained. </w:t>
      </w:r>
      <w:proofErr w:type="gramStart"/>
      <w:r w:rsidRPr="004E67DD">
        <w:t>A number of</w:t>
      </w:r>
      <w:proofErr w:type="gramEnd"/>
      <w:r w:rsidRPr="004E67DD">
        <w:t xml:space="preserve"> factors inﬂuence the </w:t>
      </w:r>
      <w:r w:rsidR="006804EF">
        <w:t xml:space="preserve">potential for environmental </w:t>
      </w:r>
      <w:r w:rsidR="007400B1">
        <w:t>harm</w:t>
      </w:r>
      <w:r w:rsidR="006804EF">
        <w:t xml:space="preserve"> </w:t>
      </w:r>
      <w:r w:rsidR="007400B1">
        <w:t xml:space="preserve">associated with contaminant release due to in-water cleaning. These </w:t>
      </w:r>
      <w:r w:rsidR="007400B1" w:rsidRPr="004E67DD">
        <w:t>includ</w:t>
      </w:r>
      <w:r w:rsidR="007400B1">
        <w:t>e</w:t>
      </w:r>
      <w:r w:rsidR="007400B1" w:rsidRPr="004E67DD">
        <w:t xml:space="preserve"> </w:t>
      </w:r>
      <w:r w:rsidRPr="004E67DD">
        <w:t xml:space="preserve">the type of paint, the </w:t>
      </w:r>
      <w:r w:rsidR="007400B1">
        <w:t>type and coverage</w:t>
      </w:r>
      <w:r w:rsidR="007400B1" w:rsidRPr="004E67DD">
        <w:t xml:space="preserve"> </w:t>
      </w:r>
      <w:r w:rsidRPr="004E67DD">
        <w:t>of fouling</w:t>
      </w:r>
      <w:r w:rsidR="007400B1">
        <w:t>,</w:t>
      </w:r>
      <w:r w:rsidRPr="004E67DD">
        <w:t xml:space="preserve"> the type of cleaning method used</w:t>
      </w:r>
      <w:r w:rsidR="007400B1">
        <w:t>, the physical parameters of the vessel location, and the frequency of cleaning within a location.</w:t>
      </w:r>
    </w:p>
    <w:p w14:paraId="5F7002FE" w14:textId="77777777" w:rsidR="00F23393" w:rsidRDefault="00F56B54" w:rsidP="00732BDA">
      <w:r>
        <w:t>The department is progressing new standards for in-water cleaning to mitigate the potential for environmental harm relating to biosecurity and contaminant risks in association with in-water cleaning of vessels’ biofouling. A standard will provide assurance to ports, vessel owners and other stakeholders that contaminant and biosecurity risks are effectively and appropriately managed. It will also provide clear performance targets for in-water cleaning technologies and support technological innovation for the development of more efficient in-water cleaning systems.</w:t>
      </w:r>
    </w:p>
    <w:p w14:paraId="672FA3D0" w14:textId="03BBFF8B" w:rsidR="00524E39" w:rsidRDefault="00F56B54" w:rsidP="00732BDA">
      <w:r>
        <w:t xml:space="preserve">This report compiles available information on the chemical contaminant risk posed by the grooming and in-water cleaning of </w:t>
      </w:r>
      <w:r w:rsidR="00386D27">
        <w:t xml:space="preserve">biofouling on </w:t>
      </w:r>
      <w:r>
        <w:t>vessels with biocidal antifoulant coat</w:t>
      </w:r>
      <w:r w:rsidR="004E67DD">
        <w:t>ing</w:t>
      </w:r>
      <w:r w:rsidR="007400B1">
        <w:t>s</w:t>
      </w:r>
      <w:r w:rsidR="004E67DD">
        <w:t xml:space="preserve"> </w:t>
      </w:r>
      <w:proofErr w:type="gramStart"/>
      <w:r w:rsidR="007400B1">
        <w:t>taking</w:t>
      </w:r>
      <w:r>
        <w:t xml:space="preserve"> </w:t>
      </w:r>
      <w:r w:rsidR="007400B1">
        <w:t>into account</w:t>
      </w:r>
      <w:proofErr w:type="gramEnd"/>
      <w:r w:rsidR="007400B1">
        <w:t xml:space="preserve"> a variety of factors that influence this risk</w:t>
      </w:r>
      <w:r w:rsidR="004E67DD">
        <w:t>.</w:t>
      </w:r>
    </w:p>
    <w:p w14:paraId="29AC3EBA" w14:textId="77777777" w:rsidR="00524E39" w:rsidRDefault="00F56B54" w:rsidP="00732BDA">
      <w:r>
        <w:t xml:space="preserve">This report </w:t>
      </w:r>
      <w:r w:rsidR="00386D27">
        <w:t xml:space="preserve">is part of </w:t>
      </w:r>
      <w:proofErr w:type="gramStart"/>
      <w:r w:rsidR="00386D27">
        <w:t>a number of</w:t>
      </w:r>
      <w:proofErr w:type="gramEnd"/>
      <w:r w:rsidR="00386D27">
        <w:t xml:space="preserve"> information inputs that </w:t>
      </w:r>
      <w:r>
        <w:t xml:space="preserve">will inform </w:t>
      </w:r>
      <w:r w:rsidR="00386D27">
        <w:t xml:space="preserve">the </w:t>
      </w:r>
      <w:r>
        <w:t xml:space="preserve">development of </w:t>
      </w:r>
      <w:r w:rsidR="00386D27">
        <w:t>new national standards for in-water cleaning in Australia.</w:t>
      </w:r>
    </w:p>
    <w:p w14:paraId="4FEF2914" w14:textId="77777777" w:rsidR="00524E39" w:rsidRDefault="00524E39" w:rsidP="00732BDA"/>
    <w:p w14:paraId="2507D75C" w14:textId="77777777" w:rsidR="00764D6A" w:rsidRDefault="00F56B54">
      <w:pPr>
        <w:spacing w:after="0"/>
      </w:pPr>
      <w:r>
        <w:t>Marine Biosecurity Unit</w:t>
      </w:r>
    </w:p>
    <w:p w14:paraId="38DD97E6" w14:textId="77777777" w:rsidR="00386D27" w:rsidRDefault="00F56B54">
      <w:pPr>
        <w:spacing w:after="0"/>
      </w:pPr>
      <w:r>
        <w:t>Animal Biosecurity Branch</w:t>
      </w:r>
    </w:p>
    <w:p w14:paraId="2819243A" w14:textId="77777777" w:rsidR="00764D6A" w:rsidRDefault="00F56B54">
      <w:pPr>
        <w:spacing w:after="0" w:line="240" w:lineRule="auto"/>
      </w:pPr>
      <w:r>
        <w:t xml:space="preserve">Department of Agriculture, </w:t>
      </w:r>
      <w:proofErr w:type="gramStart"/>
      <w:r>
        <w:t>Water</w:t>
      </w:r>
      <w:proofErr w:type="gramEnd"/>
      <w:r>
        <w:t xml:space="preserve"> and the Environment</w:t>
      </w:r>
    </w:p>
    <w:p w14:paraId="678F9E75" w14:textId="77777777" w:rsidR="00A83BF5" w:rsidRDefault="00F56B54">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BBEE319" w14:textId="77777777" w:rsidR="00827747" w:rsidRDefault="00F56B54">
          <w:pPr>
            <w:pStyle w:val="TOCHeading"/>
          </w:pPr>
          <w:r>
            <w:t>Contents</w:t>
          </w:r>
        </w:p>
        <w:p w14:paraId="351ADB79" w14:textId="0347AB79" w:rsidR="00A378C1" w:rsidRDefault="00F56B5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0117644" w:history="1">
            <w:r w:rsidRPr="00F23EC2">
              <w:rPr>
                <w:rStyle w:val="Hyperlink"/>
              </w:rPr>
              <w:t>Foreword</w:t>
            </w:r>
            <w:r>
              <w:rPr>
                <w:webHidden/>
              </w:rPr>
              <w:tab/>
            </w:r>
            <w:r>
              <w:rPr>
                <w:webHidden/>
              </w:rPr>
              <w:fldChar w:fldCharType="begin"/>
            </w:r>
            <w:r>
              <w:rPr>
                <w:webHidden/>
              </w:rPr>
              <w:instrText xml:space="preserve"> PAGEREF _Toc50117644 \h </w:instrText>
            </w:r>
            <w:r>
              <w:rPr>
                <w:webHidden/>
              </w:rPr>
            </w:r>
            <w:r>
              <w:rPr>
                <w:webHidden/>
              </w:rPr>
              <w:fldChar w:fldCharType="separate"/>
            </w:r>
            <w:r w:rsidR="001C040D">
              <w:rPr>
                <w:webHidden/>
              </w:rPr>
              <w:t>iii</w:t>
            </w:r>
            <w:r>
              <w:rPr>
                <w:webHidden/>
              </w:rPr>
              <w:fldChar w:fldCharType="end"/>
            </w:r>
          </w:hyperlink>
        </w:p>
        <w:p w14:paraId="62627CEF" w14:textId="26328C78" w:rsidR="00A378C1" w:rsidRDefault="0007161F">
          <w:pPr>
            <w:pStyle w:val="TOC1"/>
            <w:rPr>
              <w:rFonts w:asciiTheme="minorHAnsi" w:eastAsiaTheme="minorEastAsia" w:hAnsiTheme="minorHAnsi"/>
              <w:b w:val="0"/>
              <w:lang w:eastAsia="en-AU"/>
            </w:rPr>
          </w:pPr>
          <w:hyperlink w:anchor="_Toc50117645" w:history="1">
            <w:r w:rsidR="00F56B54" w:rsidRPr="00F23EC2">
              <w:rPr>
                <w:rStyle w:val="Hyperlink"/>
              </w:rPr>
              <w:t>Summary</w:t>
            </w:r>
            <w:r w:rsidR="00F56B54">
              <w:rPr>
                <w:webHidden/>
              </w:rPr>
              <w:tab/>
            </w:r>
            <w:r w:rsidR="00F56B54">
              <w:rPr>
                <w:webHidden/>
              </w:rPr>
              <w:fldChar w:fldCharType="begin"/>
            </w:r>
            <w:r w:rsidR="00F56B54">
              <w:rPr>
                <w:webHidden/>
              </w:rPr>
              <w:instrText xml:space="preserve"> PAGEREF _Toc50117645 \h </w:instrText>
            </w:r>
            <w:r w:rsidR="00F56B54">
              <w:rPr>
                <w:webHidden/>
              </w:rPr>
            </w:r>
            <w:r w:rsidR="00F56B54">
              <w:rPr>
                <w:webHidden/>
              </w:rPr>
              <w:fldChar w:fldCharType="separate"/>
            </w:r>
            <w:r w:rsidR="001C040D">
              <w:rPr>
                <w:webHidden/>
              </w:rPr>
              <w:t>vi</w:t>
            </w:r>
            <w:r w:rsidR="00F56B54">
              <w:rPr>
                <w:webHidden/>
              </w:rPr>
              <w:fldChar w:fldCharType="end"/>
            </w:r>
          </w:hyperlink>
        </w:p>
        <w:p w14:paraId="775FBDB4" w14:textId="46A27E8E" w:rsidR="00A378C1" w:rsidRDefault="0007161F">
          <w:pPr>
            <w:pStyle w:val="TOC1"/>
            <w:rPr>
              <w:rFonts w:asciiTheme="minorHAnsi" w:eastAsiaTheme="minorEastAsia" w:hAnsiTheme="minorHAnsi"/>
              <w:b w:val="0"/>
              <w:lang w:eastAsia="en-AU"/>
            </w:rPr>
          </w:pPr>
          <w:hyperlink w:anchor="_Toc50117646" w:history="1">
            <w:r w:rsidR="00F56B54" w:rsidRPr="00F23EC2">
              <w:rPr>
                <w:rStyle w:val="Hyperlink"/>
              </w:rPr>
              <w:t>Introduction</w:t>
            </w:r>
            <w:r w:rsidR="00F56B54">
              <w:rPr>
                <w:webHidden/>
              </w:rPr>
              <w:tab/>
            </w:r>
            <w:r w:rsidR="00F56B54">
              <w:rPr>
                <w:webHidden/>
              </w:rPr>
              <w:fldChar w:fldCharType="begin"/>
            </w:r>
            <w:r w:rsidR="00F56B54">
              <w:rPr>
                <w:webHidden/>
              </w:rPr>
              <w:instrText xml:space="preserve"> PAGEREF _Toc50117646 \h </w:instrText>
            </w:r>
            <w:r w:rsidR="00F56B54">
              <w:rPr>
                <w:webHidden/>
              </w:rPr>
            </w:r>
            <w:r w:rsidR="00F56B54">
              <w:rPr>
                <w:webHidden/>
              </w:rPr>
              <w:fldChar w:fldCharType="separate"/>
            </w:r>
            <w:r w:rsidR="001C040D">
              <w:rPr>
                <w:webHidden/>
              </w:rPr>
              <w:t>1</w:t>
            </w:r>
            <w:r w:rsidR="00F56B54">
              <w:rPr>
                <w:webHidden/>
              </w:rPr>
              <w:fldChar w:fldCharType="end"/>
            </w:r>
          </w:hyperlink>
        </w:p>
        <w:p w14:paraId="2EFD9D46" w14:textId="76BC09FD" w:rsidR="00A378C1" w:rsidRDefault="0007161F">
          <w:pPr>
            <w:pStyle w:val="TOC1"/>
            <w:rPr>
              <w:rFonts w:asciiTheme="minorHAnsi" w:eastAsiaTheme="minorEastAsia" w:hAnsiTheme="minorHAnsi"/>
              <w:b w:val="0"/>
              <w:lang w:eastAsia="en-AU"/>
            </w:rPr>
          </w:pPr>
          <w:hyperlink w:anchor="_Toc50117647" w:history="1">
            <w:r w:rsidR="00F56B54" w:rsidRPr="00F23EC2">
              <w:rPr>
                <w:rStyle w:val="Hyperlink"/>
              </w:rPr>
              <w:t>1</w:t>
            </w:r>
            <w:r w:rsidR="00F56B54">
              <w:rPr>
                <w:rFonts w:asciiTheme="minorHAnsi" w:eastAsiaTheme="minorEastAsia" w:hAnsiTheme="minorHAnsi"/>
                <w:b w:val="0"/>
                <w:lang w:eastAsia="en-AU"/>
              </w:rPr>
              <w:tab/>
            </w:r>
            <w:r w:rsidR="00F56B54" w:rsidRPr="00F23EC2">
              <w:rPr>
                <w:rStyle w:val="Hyperlink"/>
              </w:rPr>
              <w:t>Antifouling coatings</w:t>
            </w:r>
            <w:r w:rsidR="00F56B54">
              <w:rPr>
                <w:webHidden/>
              </w:rPr>
              <w:tab/>
            </w:r>
            <w:r w:rsidR="00F56B54">
              <w:rPr>
                <w:webHidden/>
              </w:rPr>
              <w:fldChar w:fldCharType="begin"/>
            </w:r>
            <w:r w:rsidR="00F56B54">
              <w:rPr>
                <w:webHidden/>
              </w:rPr>
              <w:instrText xml:space="preserve"> PAGEREF _Toc50117647 \h </w:instrText>
            </w:r>
            <w:r w:rsidR="00F56B54">
              <w:rPr>
                <w:webHidden/>
              </w:rPr>
            </w:r>
            <w:r w:rsidR="00F56B54">
              <w:rPr>
                <w:webHidden/>
              </w:rPr>
              <w:fldChar w:fldCharType="separate"/>
            </w:r>
            <w:r w:rsidR="001C040D">
              <w:rPr>
                <w:webHidden/>
              </w:rPr>
              <w:t>2</w:t>
            </w:r>
            <w:r w:rsidR="00F56B54">
              <w:rPr>
                <w:webHidden/>
              </w:rPr>
              <w:fldChar w:fldCharType="end"/>
            </w:r>
          </w:hyperlink>
        </w:p>
        <w:p w14:paraId="52875C12" w14:textId="4F3AF5C8" w:rsidR="00A378C1" w:rsidRDefault="0007161F">
          <w:pPr>
            <w:pStyle w:val="TOC2"/>
            <w:tabs>
              <w:tab w:val="left" w:pos="1100"/>
            </w:tabs>
            <w:rPr>
              <w:rFonts w:asciiTheme="minorHAnsi" w:eastAsiaTheme="minorEastAsia" w:hAnsiTheme="minorHAnsi"/>
              <w:lang w:eastAsia="en-AU"/>
            </w:rPr>
          </w:pPr>
          <w:hyperlink w:anchor="_Toc50117648" w:history="1">
            <w:r w:rsidR="00F56B54" w:rsidRPr="00F23EC2">
              <w:rPr>
                <w:rStyle w:val="Hyperlink"/>
              </w:rPr>
              <w:t>1.1</w:t>
            </w:r>
            <w:r w:rsidR="00F56B54">
              <w:rPr>
                <w:rFonts w:asciiTheme="minorHAnsi" w:eastAsiaTheme="minorEastAsia" w:hAnsiTheme="minorHAnsi"/>
                <w:lang w:eastAsia="en-AU"/>
              </w:rPr>
              <w:tab/>
            </w:r>
            <w:r w:rsidR="00F56B54" w:rsidRPr="00F23EC2">
              <w:rPr>
                <w:rStyle w:val="Hyperlink"/>
              </w:rPr>
              <w:t>Biocidal coatings</w:t>
            </w:r>
            <w:r w:rsidR="00F56B54">
              <w:rPr>
                <w:webHidden/>
              </w:rPr>
              <w:tab/>
            </w:r>
            <w:r w:rsidR="00F56B54">
              <w:rPr>
                <w:webHidden/>
              </w:rPr>
              <w:fldChar w:fldCharType="begin"/>
            </w:r>
            <w:r w:rsidR="00F56B54">
              <w:rPr>
                <w:webHidden/>
              </w:rPr>
              <w:instrText xml:space="preserve"> PAGEREF _Toc50117648 \h </w:instrText>
            </w:r>
            <w:r w:rsidR="00F56B54">
              <w:rPr>
                <w:webHidden/>
              </w:rPr>
            </w:r>
            <w:r w:rsidR="00F56B54">
              <w:rPr>
                <w:webHidden/>
              </w:rPr>
              <w:fldChar w:fldCharType="separate"/>
            </w:r>
            <w:r w:rsidR="001C040D">
              <w:rPr>
                <w:webHidden/>
              </w:rPr>
              <w:t>2</w:t>
            </w:r>
            <w:r w:rsidR="00F56B54">
              <w:rPr>
                <w:webHidden/>
              </w:rPr>
              <w:fldChar w:fldCharType="end"/>
            </w:r>
          </w:hyperlink>
        </w:p>
        <w:p w14:paraId="2DE40FFB" w14:textId="5BAC64D1" w:rsidR="00A378C1" w:rsidRDefault="0007161F">
          <w:pPr>
            <w:pStyle w:val="TOC2"/>
            <w:tabs>
              <w:tab w:val="left" w:pos="1100"/>
            </w:tabs>
            <w:rPr>
              <w:rFonts w:asciiTheme="minorHAnsi" w:eastAsiaTheme="minorEastAsia" w:hAnsiTheme="minorHAnsi"/>
              <w:lang w:eastAsia="en-AU"/>
            </w:rPr>
          </w:pPr>
          <w:hyperlink w:anchor="_Toc50117649" w:history="1">
            <w:r w:rsidR="00F56B54" w:rsidRPr="00F23EC2">
              <w:rPr>
                <w:rStyle w:val="Hyperlink"/>
              </w:rPr>
              <w:t>1.2</w:t>
            </w:r>
            <w:r w:rsidR="00F56B54">
              <w:rPr>
                <w:rFonts w:asciiTheme="minorHAnsi" w:eastAsiaTheme="minorEastAsia" w:hAnsiTheme="minorHAnsi"/>
                <w:lang w:eastAsia="en-AU"/>
              </w:rPr>
              <w:tab/>
            </w:r>
            <w:r w:rsidR="00F56B54" w:rsidRPr="00F23EC2">
              <w:rPr>
                <w:rStyle w:val="Hyperlink"/>
              </w:rPr>
              <w:t>Biocide-free coatings</w:t>
            </w:r>
            <w:r w:rsidR="00F56B54">
              <w:rPr>
                <w:webHidden/>
              </w:rPr>
              <w:tab/>
            </w:r>
            <w:r w:rsidR="00F56B54">
              <w:rPr>
                <w:webHidden/>
              </w:rPr>
              <w:fldChar w:fldCharType="begin"/>
            </w:r>
            <w:r w:rsidR="00F56B54">
              <w:rPr>
                <w:webHidden/>
              </w:rPr>
              <w:instrText xml:space="preserve"> PAGEREF _Toc50117649 \h </w:instrText>
            </w:r>
            <w:r w:rsidR="00F56B54">
              <w:rPr>
                <w:webHidden/>
              </w:rPr>
            </w:r>
            <w:r w:rsidR="00F56B54">
              <w:rPr>
                <w:webHidden/>
              </w:rPr>
              <w:fldChar w:fldCharType="separate"/>
            </w:r>
            <w:r w:rsidR="001C040D">
              <w:rPr>
                <w:webHidden/>
              </w:rPr>
              <w:t>4</w:t>
            </w:r>
            <w:r w:rsidR="00F56B54">
              <w:rPr>
                <w:webHidden/>
              </w:rPr>
              <w:fldChar w:fldCharType="end"/>
            </w:r>
          </w:hyperlink>
        </w:p>
        <w:p w14:paraId="2145EA2D" w14:textId="669ADECB" w:rsidR="00A378C1" w:rsidRDefault="0007161F">
          <w:pPr>
            <w:pStyle w:val="TOC2"/>
            <w:tabs>
              <w:tab w:val="left" w:pos="1100"/>
            </w:tabs>
            <w:rPr>
              <w:rFonts w:asciiTheme="minorHAnsi" w:eastAsiaTheme="minorEastAsia" w:hAnsiTheme="minorHAnsi"/>
              <w:lang w:eastAsia="en-AU"/>
            </w:rPr>
          </w:pPr>
          <w:hyperlink w:anchor="_Toc50117650" w:history="1">
            <w:r w:rsidR="00F56B54" w:rsidRPr="00F23EC2">
              <w:rPr>
                <w:rStyle w:val="Hyperlink"/>
              </w:rPr>
              <w:t>1.3</w:t>
            </w:r>
            <w:r w:rsidR="00F56B54">
              <w:rPr>
                <w:rFonts w:asciiTheme="minorHAnsi" w:eastAsiaTheme="minorEastAsia" w:hAnsiTheme="minorHAnsi"/>
                <w:lang w:eastAsia="en-AU"/>
              </w:rPr>
              <w:tab/>
            </w:r>
            <w:r w:rsidR="00F56B54" w:rsidRPr="00F23EC2">
              <w:rPr>
                <w:rStyle w:val="Hyperlink"/>
              </w:rPr>
              <w:t>Antifouling coating system efficacy</w:t>
            </w:r>
            <w:r w:rsidR="00F56B54">
              <w:rPr>
                <w:webHidden/>
              </w:rPr>
              <w:tab/>
            </w:r>
            <w:r w:rsidR="00F56B54">
              <w:rPr>
                <w:webHidden/>
              </w:rPr>
              <w:fldChar w:fldCharType="begin"/>
            </w:r>
            <w:r w:rsidR="00F56B54">
              <w:rPr>
                <w:webHidden/>
              </w:rPr>
              <w:instrText xml:space="preserve"> PAGEREF _Toc50117650 \h </w:instrText>
            </w:r>
            <w:r w:rsidR="00F56B54">
              <w:rPr>
                <w:webHidden/>
              </w:rPr>
            </w:r>
            <w:r w:rsidR="00F56B54">
              <w:rPr>
                <w:webHidden/>
              </w:rPr>
              <w:fldChar w:fldCharType="separate"/>
            </w:r>
            <w:r w:rsidR="001C040D">
              <w:rPr>
                <w:webHidden/>
              </w:rPr>
              <w:t>4</w:t>
            </w:r>
            <w:r w:rsidR="00F56B54">
              <w:rPr>
                <w:webHidden/>
              </w:rPr>
              <w:fldChar w:fldCharType="end"/>
            </w:r>
          </w:hyperlink>
        </w:p>
        <w:p w14:paraId="12357999" w14:textId="705ACB59" w:rsidR="00A378C1" w:rsidRDefault="0007161F">
          <w:pPr>
            <w:pStyle w:val="TOC2"/>
            <w:tabs>
              <w:tab w:val="left" w:pos="1100"/>
            </w:tabs>
            <w:rPr>
              <w:rFonts w:asciiTheme="minorHAnsi" w:eastAsiaTheme="minorEastAsia" w:hAnsiTheme="minorHAnsi"/>
              <w:lang w:eastAsia="en-AU"/>
            </w:rPr>
          </w:pPr>
          <w:hyperlink w:anchor="_Toc50117651" w:history="1">
            <w:r w:rsidR="00F56B54" w:rsidRPr="00F23EC2">
              <w:rPr>
                <w:rStyle w:val="Hyperlink"/>
              </w:rPr>
              <w:t>1.4</w:t>
            </w:r>
            <w:r w:rsidR="00F56B54">
              <w:rPr>
                <w:rFonts w:asciiTheme="minorHAnsi" w:eastAsiaTheme="minorEastAsia" w:hAnsiTheme="minorHAnsi"/>
                <w:lang w:eastAsia="en-AU"/>
              </w:rPr>
              <w:tab/>
            </w:r>
            <w:r w:rsidR="00F56B54" w:rsidRPr="00F23EC2">
              <w:rPr>
                <w:rStyle w:val="Hyperlink"/>
              </w:rPr>
              <w:t>Antifouling biocides</w:t>
            </w:r>
            <w:r w:rsidR="00F56B54">
              <w:rPr>
                <w:webHidden/>
              </w:rPr>
              <w:tab/>
            </w:r>
            <w:r w:rsidR="00F56B54">
              <w:rPr>
                <w:webHidden/>
              </w:rPr>
              <w:fldChar w:fldCharType="begin"/>
            </w:r>
            <w:r w:rsidR="00F56B54">
              <w:rPr>
                <w:webHidden/>
              </w:rPr>
              <w:instrText xml:space="preserve"> PAGEREF _Toc50117651 \h </w:instrText>
            </w:r>
            <w:r w:rsidR="00F56B54">
              <w:rPr>
                <w:webHidden/>
              </w:rPr>
            </w:r>
            <w:r w:rsidR="00F56B54">
              <w:rPr>
                <w:webHidden/>
              </w:rPr>
              <w:fldChar w:fldCharType="separate"/>
            </w:r>
            <w:r w:rsidR="001C040D">
              <w:rPr>
                <w:webHidden/>
              </w:rPr>
              <w:t>5</w:t>
            </w:r>
            <w:r w:rsidR="00F56B54">
              <w:rPr>
                <w:webHidden/>
              </w:rPr>
              <w:fldChar w:fldCharType="end"/>
            </w:r>
          </w:hyperlink>
        </w:p>
        <w:p w14:paraId="28868D5E" w14:textId="0E1B177D" w:rsidR="00A378C1" w:rsidRDefault="0007161F">
          <w:pPr>
            <w:pStyle w:val="TOC2"/>
            <w:tabs>
              <w:tab w:val="left" w:pos="1100"/>
            </w:tabs>
            <w:rPr>
              <w:rFonts w:asciiTheme="minorHAnsi" w:eastAsiaTheme="minorEastAsia" w:hAnsiTheme="minorHAnsi"/>
              <w:lang w:eastAsia="en-AU"/>
            </w:rPr>
          </w:pPr>
          <w:hyperlink w:anchor="_Toc50117652" w:history="1">
            <w:r w:rsidR="00F56B54" w:rsidRPr="00F23EC2">
              <w:rPr>
                <w:rStyle w:val="Hyperlink"/>
              </w:rPr>
              <w:t>1.5</w:t>
            </w:r>
            <w:r w:rsidR="00F56B54">
              <w:rPr>
                <w:rFonts w:asciiTheme="minorHAnsi" w:eastAsiaTheme="minorEastAsia" w:hAnsiTheme="minorHAnsi"/>
                <w:lang w:eastAsia="en-AU"/>
              </w:rPr>
              <w:tab/>
            </w:r>
            <w:r w:rsidR="00F56B54" w:rsidRPr="00F23EC2">
              <w:rPr>
                <w:rStyle w:val="Hyperlink"/>
              </w:rPr>
              <w:t>Non-active coating constituents</w:t>
            </w:r>
            <w:r w:rsidR="00F56B54">
              <w:rPr>
                <w:webHidden/>
              </w:rPr>
              <w:tab/>
            </w:r>
            <w:r w:rsidR="00F56B54">
              <w:rPr>
                <w:webHidden/>
              </w:rPr>
              <w:fldChar w:fldCharType="begin"/>
            </w:r>
            <w:r w:rsidR="00F56B54">
              <w:rPr>
                <w:webHidden/>
              </w:rPr>
              <w:instrText xml:space="preserve"> PAGEREF _Toc50117652 \h </w:instrText>
            </w:r>
            <w:r w:rsidR="00F56B54">
              <w:rPr>
                <w:webHidden/>
              </w:rPr>
            </w:r>
            <w:r w:rsidR="00F56B54">
              <w:rPr>
                <w:webHidden/>
              </w:rPr>
              <w:fldChar w:fldCharType="separate"/>
            </w:r>
            <w:r w:rsidR="001C040D">
              <w:rPr>
                <w:webHidden/>
              </w:rPr>
              <w:t>11</w:t>
            </w:r>
            <w:r w:rsidR="00F56B54">
              <w:rPr>
                <w:webHidden/>
              </w:rPr>
              <w:fldChar w:fldCharType="end"/>
            </w:r>
          </w:hyperlink>
        </w:p>
        <w:p w14:paraId="4CEA1E1F" w14:textId="5D83EBBF" w:rsidR="00A378C1" w:rsidRDefault="0007161F">
          <w:pPr>
            <w:pStyle w:val="TOC2"/>
            <w:tabs>
              <w:tab w:val="left" w:pos="1100"/>
            </w:tabs>
            <w:rPr>
              <w:rFonts w:asciiTheme="minorHAnsi" w:eastAsiaTheme="minorEastAsia" w:hAnsiTheme="minorHAnsi"/>
              <w:lang w:eastAsia="en-AU"/>
            </w:rPr>
          </w:pPr>
          <w:hyperlink w:anchor="_Toc50117653" w:history="1">
            <w:r w:rsidR="00F56B54" w:rsidRPr="00F23EC2">
              <w:rPr>
                <w:rStyle w:val="Hyperlink"/>
              </w:rPr>
              <w:t>1.6</w:t>
            </w:r>
            <w:r w:rsidR="00F56B54">
              <w:rPr>
                <w:rFonts w:asciiTheme="minorHAnsi" w:eastAsiaTheme="minorEastAsia" w:hAnsiTheme="minorHAnsi"/>
                <w:lang w:eastAsia="en-AU"/>
              </w:rPr>
              <w:tab/>
            </w:r>
            <w:r w:rsidR="00F56B54" w:rsidRPr="00F23EC2">
              <w:rPr>
                <w:rStyle w:val="Hyperlink"/>
              </w:rPr>
              <w:t>Uncoated metallic surfaces</w:t>
            </w:r>
            <w:r w:rsidR="00F56B54">
              <w:rPr>
                <w:webHidden/>
              </w:rPr>
              <w:tab/>
            </w:r>
            <w:r w:rsidR="00F56B54">
              <w:rPr>
                <w:webHidden/>
              </w:rPr>
              <w:fldChar w:fldCharType="begin"/>
            </w:r>
            <w:r w:rsidR="00F56B54">
              <w:rPr>
                <w:webHidden/>
              </w:rPr>
              <w:instrText xml:space="preserve"> PAGEREF _Toc50117653 \h </w:instrText>
            </w:r>
            <w:r w:rsidR="00F56B54">
              <w:rPr>
                <w:webHidden/>
              </w:rPr>
            </w:r>
            <w:r w:rsidR="00F56B54">
              <w:rPr>
                <w:webHidden/>
              </w:rPr>
              <w:fldChar w:fldCharType="separate"/>
            </w:r>
            <w:r w:rsidR="001C040D">
              <w:rPr>
                <w:webHidden/>
              </w:rPr>
              <w:t>12</w:t>
            </w:r>
            <w:r w:rsidR="00F56B54">
              <w:rPr>
                <w:webHidden/>
              </w:rPr>
              <w:fldChar w:fldCharType="end"/>
            </w:r>
          </w:hyperlink>
        </w:p>
        <w:p w14:paraId="4C927655" w14:textId="485CCD2A" w:rsidR="00A378C1" w:rsidRDefault="0007161F">
          <w:pPr>
            <w:pStyle w:val="TOC2"/>
            <w:tabs>
              <w:tab w:val="left" w:pos="1100"/>
            </w:tabs>
            <w:rPr>
              <w:rFonts w:asciiTheme="minorHAnsi" w:eastAsiaTheme="minorEastAsia" w:hAnsiTheme="minorHAnsi"/>
              <w:lang w:eastAsia="en-AU"/>
            </w:rPr>
          </w:pPr>
          <w:hyperlink w:anchor="_Toc50117654" w:history="1">
            <w:r w:rsidR="00F56B54" w:rsidRPr="00F23EC2">
              <w:rPr>
                <w:rStyle w:val="Hyperlink"/>
              </w:rPr>
              <w:t>1.7</w:t>
            </w:r>
            <w:r w:rsidR="00F56B54">
              <w:rPr>
                <w:rFonts w:asciiTheme="minorHAnsi" w:eastAsiaTheme="minorEastAsia" w:hAnsiTheme="minorHAnsi"/>
                <w:lang w:eastAsia="en-AU"/>
              </w:rPr>
              <w:tab/>
            </w:r>
            <w:r w:rsidR="00F56B54" w:rsidRPr="00F23EC2">
              <w:rPr>
                <w:rStyle w:val="Hyperlink"/>
              </w:rPr>
              <w:t>IWC Recommendations</w:t>
            </w:r>
            <w:r w:rsidR="00F56B54">
              <w:rPr>
                <w:webHidden/>
              </w:rPr>
              <w:tab/>
            </w:r>
            <w:r w:rsidR="00F56B54">
              <w:rPr>
                <w:webHidden/>
              </w:rPr>
              <w:fldChar w:fldCharType="begin"/>
            </w:r>
            <w:r w:rsidR="00F56B54">
              <w:rPr>
                <w:webHidden/>
              </w:rPr>
              <w:instrText xml:space="preserve"> PAGEREF _Toc50117654 \h </w:instrText>
            </w:r>
            <w:r w:rsidR="00F56B54">
              <w:rPr>
                <w:webHidden/>
              </w:rPr>
            </w:r>
            <w:r w:rsidR="00F56B54">
              <w:rPr>
                <w:webHidden/>
              </w:rPr>
              <w:fldChar w:fldCharType="separate"/>
            </w:r>
            <w:r w:rsidR="001C040D">
              <w:rPr>
                <w:webHidden/>
              </w:rPr>
              <w:t>12</w:t>
            </w:r>
            <w:r w:rsidR="00F56B54">
              <w:rPr>
                <w:webHidden/>
              </w:rPr>
              <w:fldChar w:fldCharType="end"/>
            </w:r>
          </w:hyperlink>
        </w:p>
        <w:p w14:paraId="29D28A60" w14:textId="0E0CAA07" w:rsidR="00A378C1" w:rsidRDefault="0007161F">
          <w:pPr>
            <w:pStyle w:val="TOC1"/>
            <w:rPr>
              <w:rFonts w:asciiTheme="minorHAnsi" w:eastAsiaTheme="minorEastAsia" w:hAnsiTheme="minorHAnsi"/>
              <w:b w:val="0"/>
              <w:lang w:eastAsia="en-AU"/>
            </w:rPr>
          </w:pPr>
          <w:hyperlink w:anchor="_Toc50117655" w:history="1">
            <w:r w:rsidR="00F56B54" w:rsidRPr="00F23EC2">
              <w:rPr>
                <w:rStyle w:val="Hyperlink"/>
              </w:rPr>
              <w:t>2</w:t>
            </w:r>
            <w:r w:rsidR="00F56B54">
              <w:rPr>
                <w:rFonts w:asciiTheme="minorHAnsi" w:eastAsiaTheme="minorEastAsia" w:hAnsiTheme="minorHAnsi"/>
                <w:b w:val="0"/>
                <w:lang w:eastAsia="en-AU"/>
              </w:rPr>
              <w:tab/>
            </w:r>
            <w:r w:rsidR="00F56B54" w:rsidRPr="00F23EC2">
              <w:rPr>
                <w:rStyle w:val="Hyperlink"/>
              </w:rPr>
              <w:t>Contaminant sources</w:t>
            </w:r>
            <w:r w:rsidR="00F56B54">
              <w:rPr>
                <w:webHidden/>
              </w:rPr>
              <w:tab/>
            </w:r>
            <w:r w:rsidR="00F56B54">
              <w:rPr>
                <w:webHidden/>
              </w:rPr>
              <w:fldChar w:fldCharType="begin"/>
            </w:r>
            <w:r w:rsidR="00F56B54">
              <w:rPr>
                <w:webHidden/>
              </w:rPr>
              <w:instrText xml:space="preserve"> PAGEREF _Toc50117655 \h </w:instrText>
            </w:r>
            <w:r w:rsidR="00F56B54">
              <w:rPr>
                <w:webHidden/>
              </w:rPr>
            </w:r>
            <w:r w:rsidR="00F56B54">
              <w:rPr>
                <w:webHidden/>
              </w:rPr>
              <w:fldChar w:fldCharType="separate"/>
            </w:r>
            <w:r w:rsidR="001C040D">
              <w:rPr>
                <w:webHidden/>
              </w:rPr>
              <w:t>13</w:t>
            </w:r>
            <w:r w:rsidR="00F56B54">
              <w:rPr>
                <w:webHidden/>
              </w:rPr>
              <w:fldChar w:fldCharType="end"/>
            </w:r>
          </w:hyperlink>
        </w:p>
        <w:p w14:paraId="0D134325" w14:textId="30F72BE1" w:rsidR="00A378C1" w:rsidRDefault="0007161F">
          <w:pPr>
            <w:pStyle w:val="TOC2"/>
            <w:tabs>
              <w:tab w:val="left" w:pos="1100"/>
            </w:tabs>
            <w:rPr>
              <w:rFonts w:asciiTheme="minorHAnsi" w:eastAsiaTheme="minorEastAsia" w:hAnsiTheme="minorHAnsi"/>
              <w:lang w:eastAsia="en-AU"/>
            </w:rPr>
          </w:pPr>
          <w:hyperlink w:anchor="_Toc50117656" w:history="1">
            <w:r w:rsidR="00F56B54" w:rsidRPr="00F23EC2">
              <w:rPr>
                <w:rStyle w:val="Hyperlink"/>
              </w:rPr>
              <w:t>2.1</w:t>
            </w:r>
            <w:r w:rsidR="00F56B54">
              <w:rPr>
                <w:rFonts w:asciiTheme="minorHAnsi" w:eastAsiaTheme="minorEastAsia" w:hAnsiTheme="minorHAnsi"/>
                <w:lang w:eastAsia="en-AU"/>
              </w:rPr>
              <w:tab/>
            </w:r>
            <w:r w:rsidR="00F56B54" w:rsidRPr="00F23EC2">
              <w:rPr>
                <w:rStyle w:val="Hyperlink"/>
              </w:rPr>
              <w:t>Coatings</w:t>
            </w:r>
            <w:r w:rsidR="00F56B54">
              <w:rPr>
                <w:webHidden/>
              </w:rPr>
              <w:tab/>
            </w:r>
            <w:r w:rsidR="00F56B54">
              <w:rPr>
                <w:webHidden/>
              </w:rPr>
              <w:fldChar w:fldCharType="begin"/>
            </w:r>
            <w:r w:rsidR="00F56B54">
              <w:rPr>
                <w:webHidden/>
              </w:rPr>
              <w:instrText xml:space="preserve"> PAGEREF _Toc50117656 \h </w:instrText>
            </w:r>
            <w:r w:rsidR="00F56B54">
              <w:rPr>
                <w:webHidden/>
              </w:rPr>
            </w:r>
            <w:r w:rsidR="00F56B54">
              <w:rPr>
                <w:webHidden/>
              </w:rPr>
              <w:fldChar w:fldCharType="separate"/>
            </w:r>
            <w:r w:rsidR="001C040D">
              <w:rPr>
                <w:webHidden/>
              </w:rPr>
              <w:t>13</w:t>
            </w:r>
            <w:r w:rsidR="00F56B54">
              <w:rPr>
                <w:webHidden/>
              </w:rPr>
              <w:fldChar w:fldCharType="end"/>
            </w:r>
          </w:hyperlink>
        </w:p>
        <w:p w14:paraId="370393BF" w14:textId="626CBD16" w:rsidR="00A378C1" w:rsidRDefault="0007161F">
          <w:pPr>
            <w:pStyle w:val="TOC2"/>
            <w:tabs>
              <w:tab w:val="left" w:pos="1100"/>
            </w:tabs>
            <w:rPr>
              <w:rFonts w:asciiTheme="minorHAnsi" w:eastAsiaTheme="minorEastAsia" w:hAnsiTheme="minorHAnsi"/>
              <w:lang w:eastAsia="en-AU"/>
            </w:rPr>
          </w:pPr>
          <w:hyperlink w:anchor="_Toc50117657" w:history="1">
            <w:r w:rsidR="00F56B54" w:rsidRPr="00F23EC2">
              <w:rPr>
                <w:rStyle w:val="Hyperlink"/>
              </w:rPr>
              <w:t>2.2</w:t>
            </w:r>
            <w:r w:rsidR="00F56B54">
              <w:rPr>
                <w:rFonts w:asciiTheme="minorHAnsi" w:eastAsiaTheme="minorEastAsia" w:hAnsiTheme="minorHAnsi"/>
                <w:lang w:eastAsia="en-AU"/>
              </w:rPr>
              <w:tab/>
            </w:r>
            <w:r w:rsidR="00F56B54" w:rsidRPr="00F23EC2">
              <w:rPr>
                <w:rStyle w:val="Hyperlink"/>
              </w:rPr>
              <w:t>Unpainted metals</w:t>
            </w:r>
            <w:r w:rsidR="00F56B54">
              <w:rPr>
                <w:webHidden/>
              </w:rPr>
              <w:tab/>
            </w:r>
            <w:r w:rsidR="00F56B54">
              <w:rPr>
                <w:webHidden/>
              </w:rPr>
              <w:fldChar w:fldCharType="begin"/>
            </w:r>
            <w:r w:rsidR="00F56B54">
              <w:rPr>
                <w:webHidden/>
              </w:rPr>
              <w:instrText xml:space="preserve"> PAGEREF _Toc50117657 \h </w:instrText>
            </w:r>
            <w:r w:rsidR="00F56B54">
              <w:rPr>
                <w:webHidden/>
              </w:rPr>
            </w:r>
            <w:r w:rsidR="00F56B54">
              <w:rPr>
                <w:webHidden/>
              </w:rPr>
              <w:fldChar w:fldCharType="separate"/>
            </w:r>
            <w:r w:rsidR="001C040D">
              <w:rPr>
                <w:webHidden/>
              </w:rPr>
              <w:t>15</w:t>
            </w:r>
            <w:r w:rsidR="00F56B54">
              <w:rPr>
                <w:webHidden/>
              </w:rPr>
              <w:fldChar w:fldCharType="end"/>
            </w:r>
          </w:hyperlink>
        </w:p>
        <w:p w14:paraId="1F47CDCC" w14:textId="6CAA36E9" w:rsidR="00A378C1" w:rsidRDefault="0007161F">
          <w:pPr>
            <w:pStyle w:val="TOC1"/>
            <w:rPr>
              <w:rFonts w:asciiTheme="minorHAnsi" w:eastAsiaTheme="minorEastAsia" w:hAnsiTheme="minorHAnsi"/>
              <w:b w:val="0"/>
              <w:lang w:eastAsia="en-AU"/>
            </w:rPr>
          </w:pPr>
          <w:hyperlink w:anchor="_Toc50117658" w:history="1">
            <w:r w:rsidR="00F56B54" w:rsidRPr="00F23EC2">
              <w:rPr>
                <w:rStyle w:val="Hyperlink"/>
              </w:rPr>
              <w:t>3</w:t>
            </w:r>
            <w:r w:rsidR="00F56B54">
              <w:rPr>
                <w:rFonts w:asciiTheme="minorHAnsi" w:eastAsiaTheme="minorEastAsia" w:hAnsiTheme="minorHAnsi"/>
                <w:b w:val="0"/>
                <w:lang w:eastAsia="en-AU"/>
              </w:rPr>
              <w:tab/>
            </w:r>
            <w:r w:rsidR="00F56B54" w:rsidRPr="00F23EC2">
              <w:rPr>
                <w:rStyle w:val="Hyperlink"/>
              </w:rPr>
              <w:t>Source contamination</w:t>
            </w:r>
            <w:r w:rsidR="00F56B54">
              <w:rPr>
                <w:webHidden/>
              </w:rPr>
              <w:tab/>
            </w:r>
            <w:r w:rsidR="00F56B54">
              <w:rPr>
                <w:webHidden/>
              </w:rPr>
              <w:fldChar w:fldCharType="begin"/>
            </w:r>
            <w:r w:rsidR="00F56B54">
              <w:rPr>
                <w:webHidden/>
              </w:rPr>
              <w:instrText xml:space="preserve"> PAGEREF _Toc50117658 \h </w:instrText>
            </w:r>
            <w:r w:rsidR="00F56B54">
              <w:rPr>
                <w:webHidden/>
              </w:rPr>
            </w:r>
            <w:r w:rsidR="00F56B54">
              <w:rPr>
                <w:webHidden/>
              </w:rPr>
              <w:fldChar w:fldCharType="separate"/>
            </w:r>
            <w:r w:rsidR="001C040D">
              <w:rPr>
                <w:webHidden/>
              </w:rPr>
              <w:t>16</w:t>
            </w:r>
            <w:r w:rsidR="00F56B54">
              <w:rPr>
                <w:webHidden/>
              </w:rPr>
              <w:fldChar w:fldCharType="end"/>
            </w:r>
          </w:hyperlink>
        </w:p>
        <w:p w14:paraId="20AEC28F" w14:textId="5E0A6796" w:rsidR="00A378C1" w:rsidRDefault="0007161F" w:rsidP="001F288E">
          <w:pPr>
            <w:pStyle w:val="TOC2"/>
            <w:tabs>
              <w:tab w:val="left" w:pos="1100"/>
            </w:tabs>
            <w:rPr>
              <w:rFonts w:asciiTheme="minorHAnsi" w:eastAsiaTheme="minorEastAsia" w:hAnsiTheme="minorHAnsi"/>
              <w:lang w:eastAsia="en-AU"/>
            </w:rPr>
          </w:pPr>
          <w:hyperlink w:anchor="_Toc50117659" w:history="1">
            <w:r w:rsidR="00F56B54" w:rsidRPr="00F23EC2">
              <w:rPr>
                <w:rStyle w:val="Hyperlink"/>
                <w:lang w:eastAsia="ja-JP"/>
              </w:rPr>
              <w:t>3.1</w:t>
            </w:r>
            <w:r w:rsidR="00F56B54">
              <w:rPr>
                <w:rFonts w:asciiTheme="minorHAnsi" w:eastAsiaTheme="minorEastAsia" w:hAnsiTheme="minorHAnsi"/>
                <w:lang w:eastAsia="en-AU"/>
              </w:rPr>
              <w:tab/>
            </w:r>
            <w:r w:rsidR="00F56B54" w:rsidRPr="00F23EC2">
              <w:rPr>
                <w:rStyle w:val="Hyperlink"/>
                <w:lang w:eastAsia="ja-JP"/>
              </w:rPr>
              <w:t>Biofilms</w:t>
            </w:r>
            <w:r w:rsidR="00F56B54">
              <w:rPr>
                <w:webHidden/>
              </w:rPr>
              <w:tab/>
            </w:r>
            <w:r w:rsidR="00F56B54">
              <w:rPr>
                <w:webHidden/>
              </w:rPr>
              <w:fldChar w:fldCharType="begin"/>
            </w:r>
            <w:r w:rsidR="00F56B54">
              <w:rPr>
                <w:webHidden/>
              </w:rPr>
              <w:instrText xml:space="preserve"> PAGEREF _Toc50117659 \h </w:instrText>
            </w:r>
            <w:r w:rsidR="00F56B54">
              <w:rPr>
                <w:webHidden/>
              </w:rPr>
            </w:r>
            <w:r w:rsidR="00F56B54">
              <w:rPr>
                <w:webHidden/>
              </w:rPr>
              <w:fldChar w:fldCharType="separate"/>
            </w:r>
            <w:r w:rsidR="001C040D">
              <w:rPr>
                <w:webHidden/>
              </w:rPr>
              <w:t>16</w:t>
            </w:r>
            <w:r w:rsidR="00F56B54">
              <w:rPr>
                <w:webHidden/>
              </w:rPr>
              <w:fldChar w:fldCharType="end"/>
            </w:r>
          </w:hyperlink>
          <w:hyperlink w:anchor="_Toc50117660" w:history="1"/>
        </w:p>
        <w:p w14:paraId="6B6AAB4F" w14:textId="122716DB" w:rsidR="00A378C1" w:rsidRDefault="0007161F">
          <w:pPr>
            <w:pStyle w:val="TOC2"/>
            <w:rPr>
              <w:rFonts w:asciiTheme="minorHAnsi" w:eastAsiaTheme="minorEastAsia" w:hAnsiTheme="minorHAnsi"/>
              <w:lang w:eastAsia="en-AU"/>
            </w:rPr>
          </w:pPr>
          <w:hyperlink w:anchor="_Toc50117661" w:history="1">
            <w:r w:rsidR="00F56B54" w:rsidRPr="00F23EC2">
              <w:rPr>
                <w:rStyle w:val="Hyperlink"/>
              </w:rPr>
              <w:t>3.2</w:t>
            </w:r>
            <w:r w:rsidR="00F56B54" w:rsidRPr="00A378C1">
              <w:t xml:space="preserve"> </w:t>
            </w:r>
            <w:r w:rsidR="00F56B54">
              <w:t xml:space="preserve">       </w:t>
            </w:r>
            <w:r w:rsidR="00F56B54" w:rsidRPr="00A378C1">
              <w:rPr>
                <w:rStyle w:val="Hyperlink"/>
              </w:rPr>
              <w:t>Primary and secondary fouling</w:t>
            </w:r>
            <w:r w:rsidR="00F56B54">
              <w:rPr>
                <w:webHidden/>
              </w:rPr>
              <w:tab/>
            </w:r>
            <w:r w:rsidR="00F56B54">
              <w:rPr>
                <w:webHidden/>
              </w:rPr>
              <w:fldChar w:fldCharType="begin"/>
            </w:r>
            <w:r w:rsidR="00F56B54">
              <w:rPr>
                <w:webHidden/>
              </w:rPr>
              <w:instrText xml:space="preserve"> PAGEREF _Toc50117661 \h </w:instrText>
            </w:r>
            <w:r w:rsidR="00F56B54">
              <w:rPr>
                <w:webHidden/>
              </w:rPr>
            </w:r>
            <w:r w:rsidR="00F56B54">
              <w:rPr>
                <w:webHidden/>
              </w:rPr>
              <w:fldChar w:fldCharType="separate"/>
            </w:r>
            <w:r w:rsidR="001C040D">
              <w:rPr>
                <w:webHidden/>
              </w:rPr>
              <w:t>16</w:t>
            </w:r>
            <w:r w:rsidR="00F56B54">
              <w:rPr>
                <w:webHidden/>
              </w:rPr>
              <w:fldChar w:fldCharType="end"/>
            </w:r>
          </w:hyperlink>
        </w:p>
        <w:p w14:paraId="763ADAD9" w14:textId="448587F2" w:rsidR="00A378C1" w:rsidRDefault="0007161F">
          <w:pPr>
            <w:pStyle w:val="TOC2"/>
            <w:tabs>
              <w:tab w:val="left" w:pos="1100"/>
            </w:tabs>
            <w:rPr>
              <w:rFonts w:asciiTheme="minorHAnsi" w:eastAsiaTheme="minorEastAsia" w:hAnsiTheme="minorHAnsi"/>
              <w:lang w:eastAsia="en-AU"/>
            </w:rPr>
          </w:pPr>
          <w:hyperlink w:anchor="_Toc50117662" w:history="1">
            <w:r w:rsidR="00F56B54" w:rsidRPr="00F23EC2">
              <w:rPr>
                <w:rStyle w:val="Hyperlink"/>
                <w:lang w:eastAsia="ja-JP"/>
              </w:rPr>
              <w:t>3.3</w:t>
            </w:r>
            <w:r w:rsidR="00F56B54">
              <w:rPr>
                <w:rFonts w:asciiTheme="minorHAnsi" w:eastAsiaTheme="minorEastAsia" w:hAnsiTheme="minorHAnsi"/>
                <w:lang w:eastAsia="en-AU"/>
              </w:rPr>
              <w:tab/>
            </w:r>
            <w:r w:rsidR="00F56B54" w:rsidRPr="00F23EC2">
              <w:rPr>
                <w:rStyle w:val="Hyperlink"/>
                <w:lang w:eastAsia="ja-JP"/>
              </w:rPr>
              <w:t>Leached layer</w:t>
            </w:r>
            <w:r w:rsidR="00F56B54">
              <w:rPr>
                <w:webHidden/>
              </w:rPr>
              <w:tab/>
            </w:r>
            <w:r w:rsidR="00F56B54">
              <w:rPr>
                <w:webHidden/>
              </w:rPr>
              <w:fldChar w:fldCharType="begin"/>
            </w:r>
            <w:r w:rsidR="00F56B54">
              <w:rPr>
                <w:webHidden/>
              </w:rPr>
              <w:instrText xml:space="preserve"> PAGEREF _Toc50117662 \h </w:instrText>
            </w:r>
            <w:r w:rsidR="00F56B54">
              <w:rPr>
                <w:webHidden/>
              </w:rPr>
            </w:r>
            <w:r w:rsidR="00F56B54">
              <w:rPr>
                <w:webHidden/>
              </w:rPr>
              <w:fldChar w:fldCharType="separate"/>
            </w:r>
            <w:r w:rsidR="001C040D">
              <w:rPr>
                <w:webHidden/>
              </w:rPr>
              <w:t>17</w:t>
            </w:r>
            <w:r w:rsidR="00F56B54">
              <w:rPr>
                <w:webHidden/>
              </w:rPr>
              <w:fldChar w:fldCharType="end"/>
            </w:r>
          </w:hyperlink>
        </w:p>
        <w:p w14:paraId="4AEABF6D" w14:textId="6318D6FF" w:rsidR="00A378C1" w:rsidRDefault="0007161F">
          <w:pPr>
            <w:pStyle w:val="TOC2"/>
            <w:tabs>
              <w:tab w:val="left" w:pos="1100"/>
            </w:tabs>
            <w:rPr>
              <w:rFonts w:asciiTheme="minorHAnsi" w:eastAsiaTheme="minorEastAsia" w:hAnsiTheme="minorHAnsi"/>
              <w:lang w:eastAsia="en-AU"/>
            </w:rPr>
          </w:pPr>
          <w:hyperlink w:anchor="_Toc50117663" w:history="1">
            <w:r w:rsidR="00F56B54" w:rsidRPr="00F23EC2">
              <w:rPr>
                <w:rStyle w:val="Hyperlink"/>
              </w:rPr>
              <w:t>3.4</w:t>
            </w:r>
            <w:r w:rsidR="00F56B54">
              <w:rPr>
                <w:rFonts w:asciiTheme="minorHAnsi" w:eastAsiaTheme="minorEastAsia" w:hAnsiTheme="minorHAnsi"/>
                <w:lang w:eastAsia="en-AU"/>
              </w:rPr>
              <w:tab/>
            </w:r>
            <w:r w:rsidR="00F56B54" w:rsidRPr="00F23EC2">
              <w:rPr>
                <w:rStyle w:val="Hyperlink"/>
              </w:rPr>
              <w:t>Sound paint</w:t>
            </w:r>
            <w:r w:rsidR="00F56B54">
              <w:rPr>
                <w:webHidden/>
              </w:rPr>
              <w:tab/>
            </w:r>
            <w:r w:rsidR="00F56B54">
              <w:rPr>
                <w:webHidden/>
              </w:rPr>
              <w:fldChar w:fldCharType="begin"/>
            </w:r>
            <w:r w:rsidR="00F56B54">
              <w:rPr>
                <w:webHidden/>
              </w:rPr>
              <w:instrText xml:space="preserve"> PAGEREF _Toc50117663 \h </w:instrText>
            </w:r>
            <w:r w:rsidR="00F56B54">
              <w:rPr>
                <w:webHidden/>
              </w:rPr>
            </w:r>
            <w:r w:rsidR="00F56B54">
              <w:rPr>
                <w:webHidden/>
              </w:rPr>
              <w:fldChar w:fldCharType="separate"/>
            </w:r>
            <w:r w:rsidR="001C040D">
              <w:rPr>
                <w:webHidden/>
              </w:rPr>
              <w:t>17</w:t>
            </w:r>
            <w:r w:rsidR="00F56B54">
              <w:rPr>
                <w:webHidden/>
              </w:rPr>
              <w:fldChar w:fldCharType="end"/>
            </w:r>
          </w:hyperlink>
        </w:p>
        <w:p w14:paraId="2ABE9789" w14:textId="5F61B1CD" w:rsidR="00A378C1" w:rsidRDefault="0007161F">
          <w:pPr>
            <w:pStyle w:val="TOC2"/>
            <w:tabs>
              <w:tab w:val="left" w:pos="1100"/>
            </w:tabs>
            <w:rPr>
              <w:rFonts w:asciiTheme="minorHAnsi" w:eastAsiaTheme="minorEastAsia" w:hAnsiTheme="minorHAnsi"/>
              <w:lang w:eastAsia="en-AU"/>
            </w:rPr>
          </w:pPr>
          <w:hyperlink w:anchor="_Toc50117664" w:history="1">
            <w:r w:rsidR="00F56B54" w:rsidRPr="00F23EC2">
              <w:rPr>
                <w:rStyle w:val="Hyperlink"/>
              </w:rPr>
              <w:t>3.5</w:t>
            </w:r>
            <w:r w:rsidR="00F56B54">
              <w:rPr>
                <w:rFonts w:asciiTheme="minorHAnsi" w:eastAsiaTheme="minorEastAsia" w:hAnsiTheme="minorHAnsi"/>
                <w:lang w:eastAsia="en-AU"/>
              </w:rPr>
              <w:tab/>
            </w:r>
            <w:r w:rsidR="00F56B54" w:rsidRPr="00F23EC2">
              <w:rPr>
                <w:rStyle w:val="Hyperlink"/>
              </w:rPr>
              <w:t>Paint flakes</w:t>
            </w:r>
            <w:r w:rsidR="00F56B54">
              <w:rPr>
                <w:webHidden/>
              </w:rPr>
              <w:tab/>
            </w:r>
            <w:r w:rsidR="00F56B54">
              <w:rPr>
                <w:webHidden/>
              </w:rPr>
              <w:fldChar w:fldCharType="begin"/>
            </w:r>
            <w:r w:rsidR="00F56B54">
              <w:rPr>
                <w:webHidden/>
              </w:rPr>
              <w:instrText xml:space="preserve"> PAGEREF _Toc50117664 \h </w:instrText>
            </w:r>
            <w:r w:rsidR="00F56B54">
              <w:rPr>
                <w:webHidden/>
              </w:rPr>
            </w:r>
            <w:r w:rsidR="00F56B54">
              <w:rPr>
                <w:webHidden/>
              </w:rPr>
              <w:fldChar w:fldCharType="separate"/>
            </w:r>
            <w:r w:rsidR="001C040D">
              <w:rPr>
                <w:webHidden/>
              </w:rPr>
              <w:t>17</w:t>
            </w:r>
            <w:r w:rsidR="00F56B54">
              <w:rPr>
                <w:webHidden/>
              </w:rPr>
              <w:fldChar w:fldCharType="end"/>
            </w:r>
          </w:hyperlink>
        </w:p>
        <w:p w14:paraId="6CC81B90" w14:textId="06CE3126" w:rsidR="00A378C1" w:rsidRDefault="0007161F">
          <w:pPr>
            <w:pStyle w:val="TOC2"/>
            <w:tabs>
              <w:tab w:val="left" w:pos="1100"/>
            </w:tabs>
            <w:rPr>
              <w:rFonts w:asciiTheme="minorHAnsi" w:eastAsiaTheme="minorEastAsia" w:hAnsiTheme="minorHAnsi"/>
              <w:lang w:eastAsia="en-AU"/>
            </w:rPr>
          </w:pPr>
          <w:hyperlink w:anchor="_Toc50117665" w:history="1">
            <w:r w:rsidR="00F56B54" w:rsidRPr="00F23EC2">
              <w:rPr>
                <w:rStyle w:val="Hyperlink"/>
              </w:rPr>
              <w:t>3.6</w:t>
            </w:r>
            <w:r w:rsidR="00F56B54">
              <w:rPr>
                <w:rFonts w:asciiTheme="minorHAnsi" w:eastAsiaTheme="minorEastAsia" w:hAnsiTheme="minorHAnsi"/>
                <w:lang w:eastAsia="en-AU"/>
              </w:rPr>
              <w:tab/>
            </w:r>
            <w:r w:rsidR="00F56B54" w:rsidRPr="00F23EC2">
              <w:rPr>
                <w:rStyle w:val="Hyperlink"/>
              </w:rPr>
              <w:t>IWC Recommendations</w:t>
            </w:r>
            <w:r w:rsidR="00F56B54">
              <w:rPr>
                <w:webHidden/>
              </w:rPr>
              <w:tab/>
            </w:r>
            <w:r w:rsidR="00F56B54">
              <w:rPr>
                <w:webHidden/>
              </w:rPr>
              <w:fldChar w:fldCharType="begin"/>
            </w:r>
            <w:r w:rsidR="00F56B54">
              <w:rPr>
                <w:webHidden/>
              </w:rPr>
              <w:instrText xml:space="preserve"> PAGEREF _Toc50117665 \h </w:instrText>
            </w:r>
            <w:r w:rsidR="00F56B54">
              <w:rPr>
                <w:webHidden/>
              </w:rPr>
            </w:r>
            <w:r w:rsidR="00F56B54">
              <w:rPr>
                <w:webHidden/>
              </w:rPr>
              <w:fldChar w:fldCharType="separate"/>
            </w:r>
            <w:r w:rsidR="001C040D">
              <w:rPr>
                <w:webHidden/>
              </w:rPr>
              <w:t>18</w:t>
            </w:r>
            <w:r w:rsidR="00F56B54">
              <w:rPr>
                <w:webHidden/>
              </w:rPr>
              <w:fldChar w:fldCharType="end"/>
            </w:r>
          </w:hyperlink>
        </w:p>
        <w:p w14:paraId="53D65760" w14:textId="4C5D0B42" w:rsidR="00A378C1" w:rsidRDefault="0007161F">
          <w:pPr>
            <w:pStyle w:val="TOC1"/>
            <w:rPr>
              <w:rFonts w:asciiTheme="minorHAnsi" w:eastAsiaTheme="minorEastAsia" w:hAnsiTheme="minorHAnsi"/>
              <w:b w:val="0"/>
              <w:lang w:eastAsia="en-AU"/>
            </w:rPr>
          </w:pPr>
          <w:hyperlink w:anchor="_Toc50117666" w:history="1">
            <w:r w:rsidR="00F56B54" w:rsidRPr="00F23EC2">
              <w:rPr>
                <w:rStyle w:val="Hyperlink"/>
              </w:rPr>
              <w:t>4</w:t>
            </w:r>
            <w:r w:rsidR="00F56B54">
              <w:rPr>
                <w:rFonts w:asciiTheme="minorHAnsi" w:eastAsiaTheme="minorEastAsia" w:hAnsiTheme="minorHAnsi"/>
                <w:b w:val="0"/>
                <w:lang w:eastAsia="en-AU"/>
              </w:rPr>
              <w:tab/>
            </w:r>
            <w:r w:rsidR="00F56B54" w:rsidRPr="00F23EC2">
              <w:rPr>
                <w:rStyle w:val="Hyperlink"/>
              </w:rPr>
              <w:t>Cleaning scenarios</w:t>
            </w:r>
            <w:r w:rsidR="00F56B54">
              <w:rPr>
                <w:webHidden/>
              </w:rPr>
              <w:tab/>
            </w:r>
            <w:r w:rsidR="00F56B54">
              <w:rPr>
                <w:webHidden/>
              </w:rPr>
              <w:fldChar w:fldCharType="begin"/>
            </w:r>
            <w:r w:rsidR="00F56B54">
              <w:rPr>
                <w:webHidden/>
              </w:rPr>
              <w:instrText xml:space="preserve"> PAGEREF _Toc50117666 \h </w:instrText>
            </w:r>
            <w:r w:rsidR="00F56B54">
              <w:rPr>
                <w:webHidden/>
              </w:rPr>
            </w:r>
            <w:r w:rsidR="00F56B54">
              <w:rPr>
                <w:webHidden/>
              </w:rPr>
              <w:fldChar w:fldCharType="separate"/>
            </w:r>
            <w:r w:rsidR="001C040D">
              <w:rPr>
                <w:webHidden/>
              </w:rPr>
              <w:t>20</w:t>
            </w:r>
            <w:r w:rsidR="00F56B54">
              <w:rPr>
                <w:webHidden/>
              </w:rPr>
              <w:fldChar w:fldCharType="end"/>
            </w:r>
          </w:hyperlink>
        </w:p>
        <w:p w14:paraId="60E2E5A6" w14:textId="30894E7E" w:rsidR="00A378C1" w:rsidRDefault="0007161F">
          <w:pPr>
            <w:pStyle w:val="TOC2"/>
            <w:tabs>
              <w:tab w:val="left" w:pos="1100"/>
            </w:tabs>
            <w:rPr>
              <w:rFonts w:asciiTheme="minorHAnsi" w:eastAsiaTheme="minorEastAsia" w:hAnsiTheme="minorHAnsi"/>
              <w:lang w:eastAsia="en-AU"/>
            </w:rPr>
          </w:pPr>
          <w:hyperlink w:anchor="_Toc50117667" w:history="1">
            <w:r w:rsidR="00F56B54" w:rsidRPr="00F23EC2">
              <w:rPr>
                <w:rStyle w:val="Hyperlink"/>
                <w:lang w:eastAsia="ja-JP"/>
              </w:rPr>
              <w:t>4.1</w:t>
            </w:r>
            <w:r w:rsidR="00F56B54">
              <w:rPr>
                <w:rFonts w:asciiTheme="minorHAnsi" w:eastAsiaTheme="minorEastAsia" w:hAnsiTheme="minorHAnsi"/>
                <w:lang w:eastAsia="en-AU"/>
              </w:rPr>
              <w:tab/>
            </w:r>
            <w:r w:rsidR="00F56B54" w:rsidRPr="00F23EC2">
              <w:rPr>
                <w:rStyle w:val="Hyperlink"/>
                <w:lang w:eastAsia="ja-JP"/>
              </w:rPr>
              <w:t>Grooming &amp; cleaning</w:t>
            </w:r>
            <w:r w:rsidR="00F56B54">
              <w:rPr>
                <w:webHidden/>
              </w:rPr>
              <w:tab/>
            </w:r>
            <w:r w:rsidR="00F56B54">
              <w:rPr>
                <w:webHidden/>
              </w:rPr>
              <w:fldChar w:fldCharType="begin"/>
            </w:r>
            <w:r w:rsidR="00F56B54">
              <w:rPr>
                <w:webHidden/>
              </w:rPr>
              <w:instrText xml:space="preserve"> PAGEREF _Toc50117667 \h </w:instrText>
            </w:r>
            <w:r w:rsidR="00F56B54">
              <w:rPr>
                <w:webHidden/>
              </w:rPr>
            </w:r>
            <w:r w:rsidR="00F56B54">
              <w:rPr>
                <w:webHidden/>
              </w:rPr>
              <w:fldChar w:fldCharType="separate"/>
            </w:r>
            <w:r w:rsidR="001C040D">
              <w:rPr>
                <w:webHidden/>
              </w:rPr>
              <w:t>20</w:t>
            </w:r>
            <w:r w:rsidR="00F56B54">
              <w:rPr>
                <w:webHidden/>
              </w:rPr>
              <w:fldChar w:fldCharType="end"/>
            </w:r>
          </w:hyperlink>
        </w:p>
        <w:p w14:paraId="7B910118" w14:textId="54E06797" w:rsidR="00A378C1" w:rsidRDefault="0007161F">
          <w:pPr>
            <w:pStyle w:val="TOC2"/>
            <w:tabs>
              <w:tab w:val="left" w:pos="1100"/>
            </w:tabs>
            <w:rPr>
              <w:rFonts w:asciiTheme="minorHAnsi" w:eastAsiaTheme="minorEastAsia" w:hAnsiTheme="minorHAnsi"/>
              <w:lang w:eastAsia="en-AU"/>
            </w:rPr>
          </w:pPr>
          <w:hyperlink w:anchor="_Toc50117668" w:history="1">
            <w:r w:rsidR="00F56B54" w:rsidRPr="00F23EC2">
              <w:rPr>
                <w:rStyle w:val="Hyperlink"/>
                <w:lang w:eastAsia="ja-JP"/>
              </w:rPr>
              <w:t>4.2</w:t>
            </w:r>
            <w:r w:rsidR="00F56B54">
              <w:rPr>
                <w:rFonts w:asciiTheme="minorHAnsi" w:eastAsiaTheme="minorEastAsia" w:hAnsiTheme="minorHAnsi"/>
                <w:lang w:eastAsia="en-AU"/>
              </w:rPr>
              <w:tab/>
            </w:r>
            <w:r w:rsidR="00F56B54" w:rsidRPr="00F23EC2">
              <w:rPr>
                <w:rStyle w:val="Hyperlink"/>
                <w:lang w:eastAsia="ja-JP"/>
              </w:rPr>
              <w:t>Cleaning contaminant levels</w:t>
            </w:r>
            <w:r w:rsidR="00F56B54">
              <w:rPr>
                <w:webHidden/>
              </w:rPr>
              <w:tab/>
            </w:r>
            <w:r w:rsidR="00F56B54">
              <w:rPr>
                <w:webHidden/>
              </w:rPr>
              <w:fldChar w:fldCharType="begin"/>
            </w:r>
            <w:r w:rsidR="00F56B54">
              <w:rPr>
                <w:webHidden/>
              </w:rPr>
              <w:instrText xml:space="preserve"> PAGEREF _Toc50117668 \h </w:instrText>
            </w:r>
            <w:r w:rsidR="00F56B54">
              <w:rPr>
                <w:webHidden/>
              </w:rPr>
            </w:r>
            <w:r w:rsidR="00F56B54">
              <w:rPr>
                <w:webHidden/>
              </w:rPr>
              <w:fldChar w:fldCharType="separate"/>
            </w:r>
            <w:r w:rsidR="001C040D">
              <w:rPr>
                <w:webHidden/>
              </w:rPr>
              <w:t>23</w:t>
            </w:r>
            <w:r w:rsidR="00F56B54">
              <w:rPr>
                <w:webHidden/>
              </w:rPr>
              <w:fldChar w:fldCharType="end"/>
            </w:r>
          </w:hyperlink>
        </w:p>
        <w:p w14:paraId="04E3F63A" w14:textId="6526268A" w:rsidR="00A378C1" w:rsidRDefault="0007161F">
          <w:pPr>
            <w:pStyle w:val="TOC2"/>
            <w:tabs>
              <w:tab w:val="left" w:pos="1100"/>
            </w:tabs>
            <w:rPr>
              <w:rFonts w:asciiTheme="minorHAnsi" w:eastAsiaTheme="minorEastAsia" w:hAnsiTheme="minorHAnsi"/>
              <w:lang w:eastAsia="en-AU"/>
            </w:rPr>
          </w:pPr>
          <w:hyperlink w:anchor="_Toc50117669" w:history="1">
            <w:r w:rsidR="00F56B54" w:rsidRPr="00F23EC2">
              <w:rPr>
                <w:rStyle w:val="Hyperlink"/>
              </w:rPr>
              <w:t>4.3</w:t>
            </w:r>
            <w:r w:rsidR="00F56B54">
              <w:rPr>
                <w:rFonts w:asciiTheme="minorHAnsi" w:eastAsiaTheme="minorEastAsia" w:hAnsiTheme="minorHAnsi"/>
                <w:lang w:eastAsia="en-AU"/>
              </w:rPr>
              <w:tab/>
            </w:r>
            <w:r w:rsidR="00F56B54" w:rsidRPr="00F23EC2">
              <w:rPr>
                <w:rStyle w:val="Hyperlink"/>
              </w:rPr>
              <w:t>I</w:t>
            </w:r>
            <w:r w:rsidR="001967C4">
              <w:rPr>
                <w:rStyle w:val="Hyperlink"/>
              </w:rPr>
              <w:t>n-water Cleaning</w:t>
            </w:r>
            <w:r w:rsidR="00F56B54" w:rsidRPr="00F23EC2">
              <w:rPr>
                <w:rStyle w:val="Hyperlink"/>
              </w:rPr>
              <w:t xml:space="preserve"> Recommendations</w:t>
            </w:r>
            <w:r w:rsidR="00F56B54">
              <w:rPr>
                <w:webHidden/>
              </w:rPr>
              <w:tab/>
            </w:r>
            <w:r w:rsidR="00F56B54">
              <w:rPr>
                <w:webHidden/>
              </w:rPr>
              <w:fldChar w:fldCharType="begin"/>
            </w:r>
            <w:r w:rsidR="00F56B54">
              <w:rPr>
                <w:webHidden/>
              </w:rPr>
              <w:instrText xml:space="preserve"> PAGEREF _Toc50117669 \h </w:instrText>
            </w:r>
            <w:r w:rsidR="00F56B54">
              <w:rPr>
                <w:webHidden/>
              </w:rPr>
            </w:r>
            <w:r w:rsidR="00F56B54">
              <w:rPr>
                <w:webHidden/>
              </w:rPr>
              <w:fldChar w:fldCharType="separate"/>
            </w:r>
            <w:r w:rsidR="001C040D">
              <w:rPr>
                <w:webHidden/>
              </w:rPr>
              <w:t>24</w:t>
            </w:r>
            <w:r w:rsidR="00F56B54">
              <w:rPr>
                <w:webHidden/>
              </w:rPr>
              <w:fldChar w:fldCharType="end"/>
            </w:r>
          </w:hyperlink>
        </w:p>
        <w:p w14:paraId="3869AFF7" w14:textId="635A15DD" w:rsidR="00A378C1" w:rsidRDefault="0007161F">
          <w:pPr>
            <w:pStyle w:val="TOC1"/>
            <w:rPr>
              <w:rFonts w:asciiTheme="minorHAnsi" w:eastAsiaTheme="minorEastAsia" w:hAnsiTheme="minorHAnsi"/>
              <w:b w:val="0"/>
              <w:lang w:eastAsia="en-AU"/>
            </w:rPr>
          </w:pPr>
          <w:hyperlink w:anchor="_Toc50117670" w:history="1">
            <w:r w:rsidR="00F56B54" w:rsidRPr="00F23EC2">
              <w:rPr>
                <w:rStyle w:val="Hyperlink"/>
              </w:rPr>
              <w:t>5</w:t>
            </w:r>
            <w:r w:rsidR="00F56B54">
              <w:rPr>
                <w:rFonts w:asciiTheme="minorHAnsi" w:eastAsiaTheme="minorEastAsia" w:hAnsiTheme="minorHAnsi"/>
                <w:b w:val="0"/>
                <w:lang w:eastAsia="en-AU"/>
              </w:rPr>
              <w:tab/>
            </w:r>
            <w:r w:rsidR="00F56B54" w:rsidRPr="00F23EC2">
              <w:rPr>
                <w:rStyle w:val="Hyperlink"/>
              </w:rPr>
              <w:t>Cleaning &amp; capture requirements</w:t>
            </w:r>
            <w:r w:rsidR="00F56B54">
              <w:rPr>
                <w:webHidden/>
              </w:rPr>
              <w:tab/>
            </w:r>
            <w:r w:rsidR="00F56B54">
              <w:rPr>
                <w:webHidden/>
              </w:rPr>
              <w:fldChar w:fldCharType="begin"/>
            </w:r>
            <w:r w:rsidR="00F56B54">
              <w:rPr>
                <w:webHidden/>
              </w:rPr>
              <w:instrText xml:space="preserve"> PAGEREF _Toc50117670 \h </w:instrText>
            </w:r>
            <w:r w:rsidR="00F56B54">
              <w:rPr>
                <w:webHidden/>
              </w:rPr>
            </w:r>
            <w:r w:rsidR="00F56B54">
              <w:rPr>
                <w:webHidden/>
              </w:rPr>
              <w:fldChar w:fldCharType="separate"/>
            </w:r>
            <w:r w:rsidR="001C040D">
              <w:rPr>
                <w:webHidden/>
              </w:rPr>
              <w:t>26</w:t>
            </w:r>
            <w:r w:rsidR="00F56B54">
              <w:rPr>
                <w:webHidden/>
              </w:rPr>
              <w:fldChar w:fldCharType="end"/>
            </w:r>
          </w:hyperlink>
        </w:p>
        <w:p w14:paraId="4990669B" w14:textId="7E0F186E" w:rsidR="00A378C1" w:rsidRDefault="0007161F">
          <w:pPr>
            <w:pStyle w:val="TOC2"/>
            <w:tabs>
              <w:tab w:val="left" w:pos="1100"/>
            </w:tabs>
            <w:rPr>
              <w:rFonts w:asciiTheme="minorHAnsi" w:eastAsiaTheme="minorEastAsia" w:hAnsiTheme="minorHAnsi"/>
              <w:lang w:eastAsia="en-AU"/>
            </w:rPr>
          </w:pPr>
          <w:hyperlink w:anchor="_Toc50117671" w:history="1">
            <w:r w:rsidR="00F56B54" w:rsidRPr="00F23EC2">
              <w:rPr>
                <w:rStyle w:val="Hyperlink"/>
                <w:lang w:eastAsia="ja-JP"/>
              </w:rPr>
              <w:t>5.1</w:t>
            </w:r>
            <w:r w:rsidR="00F56B54">
              <w:rPr>
                <w:rFonts w:asciiTheme="minorHAnsi" w:eastAsiaTheme="minorEastAsia" w:hAnsiTheme="minorHAnsi"/>
                <w:lang w:eastAsia="en-AU"/>
              </w:rPr>
              <w:tab/>
            </w:r>
            <w:r w:rsidR="00F56B54" w:rsidRPr="00F23EC2">
              <w:rPr>
                <w:rStyle w:val="Hyperlink"/>
                <w:lang w:eastAsia="ja-JP"/>
              </w:rPr>
              <w:t>Effluent standards</w:t>
            </w:r>
            <w:r w:rsidR="00F56B54">
              <w:rPr>
                <w:webHidden/>
              </w:rPr>
              <w:tab/>
            </w:r>
            <w:r w:rsidR="00F56B54">
              <w:rPr>
                <w:webHidden/>
              </w:rPr>
              <w:fldChar w:fldCharType="begin"/>
            </w:r>
            <w:r w:rsidR="00F56B54">
              <w:rPr>
                <w:webHidden/>
              </w:rPr>
              <w:instrText xml:space="preserve"> PAGEREF _Toc50117671 \h </w:instrText>
            </w:r>
            <w:r w:rsidR="00F56B54">
              <w:rPr>
                <w:webHidden/>
              </w:rPr>
            </w:r>
            <w:r w:rsidR="00F56B54">
              <w:rPr>
                <w:webHidden/>
              </w:rPr>
              <w:fldChar w:fldCharType="separate"/>
            </w:r>
            <w:r w:rsidR="001C040D">
              <w:rPr>
                <w:webHidden/>
              </w:rPr>
              <w:t>26</w:t>
            </w:r>
            <w:r w:rsidR="00F56B54">
              <w:rPr>
                <w:webHidden/>
              </w:rPr>
              <w:fldChar w:fldCharType="end"/>
            </w:r>
          </w:hyperlink>
        </w:p>
        <w:p w14:paraId="43BD13E9" w14:textId="58E8E1DA" w:rsidR="00A378C1" w:rsidRDefault="0007161F">
          <w:pPr>
            <w:pStyle w:val="TOC2"/>
            <w:tabs>
              <w:tab w:val="left" w:pos="1100"/>
            </w:tabs>
            <w:rPr>
              <w:rFonts w:asciiTheme="minorHAnsi" w:eastAsiaTheme="minorEastAsia" w:hAnsiTheme="minorHAnsi"/>
              <w:lang w:eastAsia="en-AU"/>
            </w:rPr>
          </w:pPr>
          <w:hyperlink w:anchor="_Toc50117672" w:history="1">
            <w:r w:rsidR="00F56B54" w:rsidRPr="00F23EC2">
              <w:rPr>
                <w:rStyle w:val="Hyperlink"/>
                <w:lang w:eastAsia="ja-JP"/>
              </w:rPr>
              <w:t>5.2</w:t>
            </w:r>
            <w:r w:rsidR="00F56B54">
              <w:rPr>
                <w:rFonts w:asciiTheme="minorHAnsi" w:eastAsiaTheme="minorEastAsia" w:hAnsiTheme="minorHAnsi"/>
                <w:lang w:eastAsia="en-AU"/>
              </w:rPr>
              <w:tab/>
            </w:r>
            <w:r w:rsidR="00F56B54" w:rsidRPr="00F23EC2">
              <w:rPr>
                <w:rStyle w:val="Hyperlink"/>
                <w:lang w:eastAsia="ja-JP"/>
              </w:rPr>
              <w:t>Passive leaching</w:t>
            </w:r>
            <w:r w:rsidR="00F56B54">
              <w:rPr>
                <w:webHidden/>
              </w:rPr>
              <w:tab/>
            </w:r>
            <w:r w:rsidR="00F56B54">
              <w:rPr>
                <w:webHidden/>
              </w:rPr>
              <w:fldChar w:fldCharType="begin"/>
            </w:r>
            <w:r w:rsidR="00F56B54">
              <w:rPr>
                <w:webHidden/>
              </w:rPr>
              <w:instrText xml:space="preserve"> PAGEREF _Toc50117672 \h </w:instrText>
            </w:r>
            <w:r w:rsidR="00F56B54">
              <w:rPr>
                <w:webHidden/>
              </w:rPr>
            </w:r>
            <w:r w:rsidR="00F56B54">
              <w:rPr>
                <w:webHidden/>
              </w:rPr>
              <w:fldChar w:fldCharType="separate"/>
            </w:r>
            <w:r w:rsidR="001C040D">
              <w:rPr>
                <w:webHidden/>
              </w:rPr>
              <w:t>26</w:t>
            </w:r>
            <w:r w:rsidR="00F56B54">
              <w:rPr>
                <w:webHidden/>
              </w:rPr>
              <w:fldChar w:fldCharType="end"/>
            </w:r>
          </w:hyperlink>
        </w:p>
        <w:p w14:paraId="47B1B60C" w14:textId="5AE8E6CF" w:rsidR="00A378C1" w:rsidRDefault="0007161F">
          <w:pPr>
            <w:pStyle w:val="TOC2"/>
            <w:tabs>
              <w:tab w:val="left" w:pos="1100"/>
            </w:tabs>
            <w:rPr>
              <w:rFonts w:asciiTheme="minorHAnsi" w:eastAsiaTheme="minorEastAsia" w:hAnsiTheme="minorHAnsi"/>
              <w:lang w:eastAsia="en-AU"/>
            </w:rPr>
          </w:pPr>
          <w:hyperlink w:anchor="_Toc50117674" w:history="1">
            <w:r w:rsidR="00F56B54" w:rsidRPr="00F23EC2">
              <w:rPr>
                <w:rStyle w:val="Hyperlink"/>
                <w:lang w:eastAsia="ja-JP"/>
              </w:rPr>
              <w:t>5.3</w:t>
            </w:r>
            <w:r w:rsidR="00F56B54">
              <w:rPr>
                <w:rFonts w:asciiTheme="minorHAnsi" w:eastAsiaTheme="minorEastAsia" w:hAnsiTheme="minorHAnsi"/>
                <w:lang w:eastAsia="en-AU"/>
              </w:rPr>
              <w:tab/>
            </w:r>
            <w:r w:rsidR="00F56B54" w:rsidRPr="00F23EC2">
              <w:rPr>
                <w:rStyle w:val="Hyperlink"/>
                <w:lang w:eastAsia="ja-JP"/>
              </w:rPr>
              <w:t>Discharge modelling</w:t>
            </w:r>
            <w:r w:rsidR="00F56B54">
              <w:rPr>
                <w:webHidden/>
              </w:rPr>
              <w:tab/>
            </w:r>
            <w:r w:rsidR="00F56B54">
              <w:rPr>
                <w:webHidden/>
              </w:rPr>
              <w:fldChar w:fldCharType="begin"/>
            </w:r>
            <w:r w:rsidR="00F56B54">
              <w:rPr>
                <w:webHidden/>
              </w:rPr>
              <w:instrText xml:space="preserve"> PAGEREF _Toc50117674 \h </w:instrText>
            </w:r>
            <w:r w:rsidR="00F56B54">
              <w:rPr>
                <w:webHidden/>
              </w:rPr>
            </w:r>
            <w:r w:rsidR="00F56B54">
              <w:rPr>
                <w:webHidden/>
              </w:rPr>
              <w:fldChar w:fldCharType="separate"/>
            </w:r>
            <w:r w:rsidR="001C040D">
              <w:rPr>
                <w:webHidden/>
              </w:rPr>
              <w:t>28</w:t>
            </w:r>
            <w:r w:rsidR="00F56B54">
              <w:rPr>
                <w:webHidden/>
              </w:rPr>
              <w:fldChar w:fldCharType="end"/>
            </w:r>
          </w:hyperlink>
        </w:p>
        <w:p w14:paraId="07A1D37D" w14:textId="69896CE4" w:rsidR="00A378C1" w:rsidRDefault="0007161F">
          <w:pPr>
            <w:pStyle w:val="TOC2"/>
            <w:tabs>
              <w:tab w:val="left" w:pos="1100"/>
            </w:tabs>
            <w:rPr>
              <w:rFonts w:asciiTheme="minorHAnsi" w:eastAsiaTheme="minorEastAsia" w:hAnsiTheme="minorHAnsi"/>
              <w:lang w:eastAsia="en-AU"/>
            </w:rPr>
          </w:pPr>
          <w:hyperlink w:anchor="_Toc50117675" w:history="1">
            <w:r w:rsidR="00F56B54" w:rsidRPr="00F23EC2">
              <w:rPr>
                <w:rStyle w:val="Hyperlink"/>
              </w:rPr>
              <w:t>5.4</w:t>
            </w:r>
            <w:r w:rsidR="00F56B54">
              <w:rPr>
                <w:rFonts w:asciiTheme="minorHAnsi" w:eastAsiaTheme="minorEastAsia" w:hAnsiTheme="minorHAnsi"/>
                <w:lang w:eastAsia="en-AU"/>
              </w:rPr>
              <w:tab/>
            </w:r>
            <w:r w:rsidR="00F56B54" w:rsidRPr="00F23EC2">
              <w:rPr>
                <w:rStyle w:val="Hyperlink"/>
              </w:rPr>
              <w:t>Contaminant release from in-water cleaning</w:t>
            </w:r>
            <w:r w:rsidR="00F56B54">
              <w:rPr>
                <w:webHidden/>
              </w:rPr>
              <w:tab/>
            </w:r>
            <w:r w:rsidR="00F56B54">
              <w:rPr>
                <w:webHidden/>
              </w:rPr>
              <w:fldChar w:fldCharType="begin"/>
            </w:r>
            <w:r w:rsidR="00F56B54">
              <w:rPr>
                <w:webHidden/>
              </w:rPr>
              <w:instrText xml:space="preserve"> PAGEREF _Toc50117675 \h </w:instrText>
            </w:r>
            <w:r w:rsidR="00F56B54">
              <w:rPr>
                <w:webHidden/>
              </w:rPr>
            </w:r>
            <w:r w:rsidR="00F56B54">
              <w:rPr>
                <w:webHidden/>
              </w:rPr>
              <w:fldChar w:fldCharType="separate"/>
            </w:r>
            <w:r w:rsidR="001C040D">
              <w:rPr>
                <w:webHidden/>
              </w:rPr>
              <w:t>29</w:t>
            </w:r>
            <w:r w:rsidR="00F56B54">
              <w:rPr>
                <w:webHidden/>
              </w:rPr>
              <w:fldChar w:fldCharType="end"/>
            </w:r>
          </w:hyperlink>
        </w:p>
        <w:p w14:paraId="663B0FD1" w14:textId="5C3DE8BD" w:rsidR="00A378C1" w:rsidRDefault="0007161F">
          <w:pPr>
            <w:pStyle w:val="TOC1"/>
            <w:rPr>
              <w:rFonts w:asciiTheme="minorHAnsi" w:eastAsiaTheme="minorEastAsia" w:hAnsiTheme="minorHAnsi"/>
              <w:b w:val="0"/>
              <w:lang w:eastAsia="en-AU"/>
            </w:rPr>
          </w:pPr>
          <w:hyperlink w:anchor="_Toc50117676" w:history="1">
            <w:r w:rsidR="00F56B54" w:rsidRPr="00F23EC2">
              <w:rPr>
                <w:rStyle w:val="Hyperlink"/>
              </w:rPr>
              <w:t>6</w:t>
            </w:r>
            <w:r w:rsidR="00F56B54">
              <w:rPr>
                <w:rFonts w:asciiTheme="minorHAnsi" w:eastAsiaTheme="minorEastAsia" w:hAnsiTheme="minorHAnsi"/>
                <w:b w:val="0"/>
                <w:lang w:eastAsia="en-AU"/>
              </w:rPr>
              <w:tab/>
            </w:r>
            <w:r w:rsidR="00F56B54" w:rsidRPr="00F23EC2">
              <w:rPr>
                <w:rStyle w:val="Hyperlink"/>
              </w:rPr>
              <w:t>Coating suitability &amp; acceptability for in-water cleaning</w:t>
            </w:r>
            <w:r w:rsidR="00F56B54">
              <w:rPr>
                <w:webHidden/>
              </w:rPr>
              <w:tab/>
            </w:r>
            <w:r w:rsidR="00F56B54">
              <w:rPr>
                <w:webHidden/>
              </w:rPr>
              <w:fldChar w:fldCharType="begin"/>
            </w:r>
            <w:r w:rsidR="00F56B54">
              <w:rPr>
                <w:webHidden/>
              </w:rPr>
              <w:instrText xml:space="preserve"> PAGEREF _Toc50117676 \h </w:instrText>
            </w:r>
            <w:r w:rsidR="00F56B54">
              <w:rPr>
                <w:webHidden/>
              </w:rPr>
            </w:r>
            <w:r w:rsidR="00F56B54">
              <w:rPr>
                <w:webHidden/>
              </w:rPr>
              <w:fldChar w:fldCharType="separate"/>
            </w:r>
            <w:r w:rsidR="001C040D">
              <w:rPr>
                <w:webHidden/>
              </w:rPr>
              <w:t>33</w:t>
            </w:r>
            <w:r w:rsidR="00F56B54">
              <w:rPr>
                <w:webHidden/>
              </w:rPr>
              <w:fldChar w:fldCharType="end"/>
            </w:r>
          </w:hyperlink>
        </w:p>
        <w:p w14:paraId="02DAA19E" w14:textId="51320522" w:rsidR="00A378C1" w:rsidRDefault="0007161F">
          <w:pPr>
            <w:pStyle w:val="TOC2"/>
            <w:tabs>
              <w:tab w:val="left" w:pos="1100"/>
            </w:tabs>
            <w:rPr>
              <w:rFonts w:asciiTheme="minorHAnsi" w:eastAsiaTheme="minorEastAsia" w:hAnsiTheme="minorHAnsi"/>
              <w:lang w:eastAsia="en-AU"/>
            </w:rPr>
          </w:pPr>
          <w:hyperlink w:anchor="_Toc50117677" w:history="1">
            <w:r w:rsidR="00F56B54" w:rsidRPr="00F23EC2">
              <w:rPr>
                <w:rStyle w:val="Hyperlink"/>
                <w:lang w:eastAsia="ja-JP"/>
              </w:rPr>
              <w:t>6.1</w:t>
            </w:r>
            <w:r w:rsidR="00F56B54">
              <w:rPr>
                <w:rFonts w:asciiTheme="minorHAnsi" w:eastAsiaTheme="minorEastAsia" w:hAnsiTheme="minorHAnsi"/>
                <w:lang w:eastAsia="en-AU"/>
              </w:rPr>
              <w:tab/>
            </w:r>
            <w:r w:rsidR="00F56B54" w:rsidRPr="00F23EC2">
              <w:rPr>
                <w:rStyle w:val="Hyperlink"/>
                <w:lang w:eastAsia="ja-JP"/>
              </w:rPr>
              <w:t>Coating</w:t>
            </w:r>
            <w:r w:rsidR="00F56B54">
              <w:rPr>
                <w:webHidden/>
              </w:rPr>
              <w:tab/>
            </w:r>
            <w:r w:rsidR="00F56B54">
              <w:rPr>
                <w:webHidden/>
              </w:rPr>
              <w:fldChar w:fldCharType="begin"/>
            </w:r>
            <w:r w:rsidR="00F56B54">
              <w:rPr>
                <w:webHidden/>
              </w:rPr>
              <w:instrText xml:space="preserve"> PAGEREF _Toc50117677 \h </w:instrText>
            </w:r>
            <w:r w:rsidR="00F56B54">
              <w:rPr>
                <w:webHidden/>
              </w:rPr>
            </w:r>
            <w:r w:rsidR="00F56B54">
              <w:rPr>
                <w:webHidden/>
              </w:rPr>
              <w:fldChar w:fldCharType="separate"/>
            </w:r>
            <w:r w:rsidR="001C040D">
              <w:rPr>
                <w:webHidden/>
              </w:rPr>
              <w:t>33</w:t>
            </w:r>
            <w:r w:rsidR="00F56B54">
              <w:rPr>
                <w:webHidden/>
              </w:rPr>
              <w:fldChar w:fldCharType="end"/>
            </w:r>
          </w:hyperlink>
        </w:p>
        <w:p w14:paraId="1876D1F7" w14:textId="04ACB2C5" w:rsidR="00A378C1" w:rsidRDefault="0007161F">
          <w:pPr>
            <w:pStyle w:val="TOC2"/>
            <w:tabs>
              <w:tab w:val="left" w:pos="1100"/>
            </w:tabs>
            <w:rPr>
              <w:rFonts w:asciiTheme="minorHAnsi" w:eastAsiaTheme="minorEastAsia" w:hAnsiTheme="minorHAnsi"/>
              <w:lang w:eastAsia="en-AU"/>
            </w:rPr>
          </w:pPr>
          <w:hyperlink w:anchor="_Toc50117678" w:history="1">
            <w:r w:rsidR="00F56B54" w:rsidRPr="00F23EC2">
              <w:rPr>
                <w:rStyle w:val="Hyperlink"/>
                <w:lang w:eastAsia="ja-JP"/>
              </w:rPr>
              <w:t>6.2</w:t>
            </w:r>
            <w:r w:rsidR="00F56B54">
              <w:rPr>
                <w:rFonts w:asciiTheme="minorHAnsi" w:eastAsiaTheme="minorEastAsia" w:hAnsiTheme="minorHAnsi"/>
                <w:lang w:eastAsia="en-AU"/>
              </w:rPr>
              <w:tab/>
            </w:r>
            <w:r w:rsidR="00F56B54" w:rsidRPr="00F23EC2">
              <w:rPr>
                <w:rStyle w:val="Hyperlink"/>
                <w:lang w:eastAsia="ja-JP"/>
              </w:rPr>
              <w:t>Biofouling</w:t>
            </w:r>
            <w:r w:rsidR="00F56B54">
              <w:rPr>
                <w:webHidden/>
              </w:rPr>
              <w:tab/>
            </w:r>
            <w:r w:rsidR="00F56B54">
              <w:rPr>
                <w:webHidden/>
              </w:rPr>
              <w:fldChar w:fldCharType="begin"/>
            </w:r>
            <w:r w:rsidR="00F56B54">
              <w:rPr>
                <w:webHidden/>
              </w:rPr>
              <w:instrText xml:space="preserve"> PAGEREF _Toc50117678 \h </w:instrText>
            </w:r>
            <w:r w:rsidR="00F56B54">
              <w:rPr>
                <w:webHidden/>
              </w:rPr>
            </w:r>
            <w:r w:rsidR="00F56B54">
              <w:rPr>
                <w:webHidden/>
              </w:rPr>
              <w:fldChar w:fldCharType="separate"/>
            </w:r>
            <w:r w:rsidR="001C040D">
              <w:rPr>
                <w:webHidden/>
              </w:rPr>
              <w:t>35</w:t>
            </w:r>
            <w:r w:rsidR="00F56B54">
              <w:rPr>
                <w:webHidden/>
              </w:rPr>
              <w:fldChar w:fldCharType="end"/>
            </w:r>
          </w:hyperlink>
        </w:p>
        <w:p w14:paraId="2161A09D" w14:textId="3492890D" w:rsidR="00A378C1" w:rsidRDefault="0007161F">
          <w:pPr>
            <w:pStyle w:val="TOC1"/>
            <w:rPr>
              <w:rFonts w:asciiTheme="minorHAnsi" w:eastAsiaTheme="minorEastAsia" w:hAnsiTheme="minorHAnsi"/>
              <w:b w:val="0"/>
              <w:lang w:eastAsia="en-AU"/>
            </w:rPr>
          </w:pPr>
          <w:hyperlink w:anchor="_Toc50117679" w:history="1">
            <w:r w:rsidR="00F56B54" w:rsidRPr="00F23EC2">
              <w:rPr>
                <w:rStyle w:val="Hyperlink"/>
              </w:rPr>
              <w:t>7</w:t>
            </w:r>
            <w:r w:rsidR="00F56B54">
              <w:rPr>
                <w:rFonts w:asciiTheme="minorHAnsi" w:eastAsiaTheme="minorEastAsia" w:hAnsiTheme="minorHAnsi"/>
                <w:b w:val="0"/>
                <w:lang w:eastAsia="en-AU"/>
              </w:rPr>
              <w:tab/>
            </w:r>
            <w:r w:rsidR="00F56B54" w:rsidRPr="00F23EC2">
              <w:rPr>
                <w:rStyle w:val="Hyperlink"/>
              </w:rPr>
              <w:t xml:space="preserve">Recommendations on </w:t>
            </w:r>
            <w:r w:rsidR="001967C4">
              <w:rPr>
                <w:rStyle w:val="Hyperlink"/>
              </w:rPr>
              <w:t>in-water cleaning</w:t>
            </w:r>
            <w:r w:rsidR="00F56B54" w:rsidRPr="00F23EC2">
              <w:rPr>
                <w:rStyle w:val="Hyperlink"/>
              </w:rPr>
              <w:t xml:space="preserve"> with respect to contamination</w:t>
            </w:r>
            <w:r w:rsidR="00F56B54">
              <w:rPr>
                <w:webHidden/>
              </w:rPr>
              <w:tab/>
            </w:r>
            <w:r w:rsidR="00F56B54">
              <w:rPr>
                <w:webHidden/>
              </w:rPr>
              <w:fldChar w:fldCharType="begin"/>
            </w:r>
            <w:r w:rsidR="00F56B54">
              <w:rPr>
                <w:webHidden/>
              </w:rPr>
              <w:instrText xml:space="preserve"> PAGEREF _Toc50117679 \h </w:instrText>
            </w:r>
            <w:r w:rsidR="00F56B54">
              <w:rPr>
                <w:webHidden/>
              </w:rPr>
            </w:r>
            <w:r w:rsidR="00F56B54">
              <w:rPr>
                <w:webHidden/>
              </w:rPr>
              <w:fldChar w:fldCharType="separate"/>
            </w:r>
            <w:r w:rsidR="001C040D">
              <w:rPr>
                <w:webHidden/>
              </w:rPr>
              <w:t>38</w:t>
            </w:r>
            <w:r w:rsidR="00F56B54">
              <w:rPr>
                <w:webHidden/>
              </w:rPr>
              <w:fldChar w:fldCharType="end"/>
            </w:r>
          </w:hyperlink>
        </w:p>
        <w:p w14:paraId="395B7423" w14:textId="4E731931" w:rsidR="00A378C1" w:rsidRDefault="0007161F">
          <w:pPr>
            <w:pStyle w:val="TOC2"/>
            <w:tabs>
              <w:tab w:val="left" w:pos="1100"/>
            </w:tabs>
            <w:rPr>
              <w:rFonts w:asciiTheme="minorHAnsi" w:eastAsiaTheme="minorEastAsia" w:hAnsiTheme="minorHAnsi"/>
              <w:lang w:eastAsia="en-AU"/>
            </w:rPr>
          </w:pPr>
          <w:hyperlink w:anchor="_Toc50117680" w:history="1">
            <w:r w:rsidR="00F56B54" w:rsidRPr="00F23EC2">
              <w:rPr>
                <w:rStyle w:val="Hyperlink"/>
              </w:rPr>
              <w:t>7.1</w:t>
            </w:r>
            <w:r w:rsidR="00F56B54">
              <w:rPr>
                <w:rFonts w:asciiTheme="minorHAnsi" w:eastAsiaTheme="minorEastAsia" w:hAnsiTheme="minorHAnsi"/>
                <w:lang w:eastAsia="en-AU"/>
              </w:rPr>
              <w:tab/>
            </w:r>
            <w:r w:rsidR="00F56B54" w:rsidRPr="00F23EC2">
              <w:rPr>
                <w:rStyle w:val="Hyperlink"/>
              </w:rPr>
              <w:t>What to clean</w:t>
            </w:r>
            <w:r w:rsidR="00F56B54">
              <w:rPr>
                <w:webHidden/>
              </w:rPr>
              <w:tab/>
            </w:r>
            <w:r w:rsidR="00F56B54">
              <w:rPr>
                <w:webHidden/>
              </w:rPr>
              <w:fldChar w:fldCharType="begin"/>
            </w:r>
            <w:r w:rsidR="00F56B54">
              <w:rPr>
                <w:webHidden/>
              </w:rPr>
              <w:instrText xml:space="preserve"> PAGEREF _Toc50117680 \h </w:instrText>
            </w:r>
            <w:r w:rsidR="00F56B54">
              <w:rPr>
                <w:webHidden/>
              </w:rPr>
            </w:r>
            <w:r w:rsidR="00F56B54">
              <w:rPr>
                <w:webHidden/>
              </w:rPr>
              <w:fldChar w:fldCharType="separate"/>
            </w:r>
            <w:r w:rsidR="001C040D">
              <w:rPr>
                <w:webHidden/>
              </w:rPr>
              <w:t>38</w:t>
            </w:r>
            <w:r w:rsidR="00F56B54">
              <w:rPr>
                <w:webHidden/>
              </w:rPr>
              <w:fldChar w:fldCharType="end"/>
            </w:r>
          </w:hyperlink>
        </w:p>
        <w:p w14:paraId="04833909" w14:textId="2A6F496C" w:rsidR="00A378C1" w:rsidRDefault="0007161F">
          <w:pPr>
            <w:pStyle w:val="TOC2"/>
            <w:tabs>
              <w:tab w:val="left" w:pos="1100"/>
            </w:tabs>
            <w:rPr>
              <w:rFonts w:asciiTheme="minorHAnsi" w:eastAsiaTheme="minorEastAsia" w:hAnsiTheme="minorHAnsi"/>
              <w:lang w:eastAsia="en-AU"/>
            </w:rPr>
          </w:pPr>
          <w:hyperlink w:anchor="_Toc50117681" w:history="1">
            <w:r w:rsidR="00F56B54" w:rsidRPr="00F23EC2">
              <w:rPr>
                <w:rStyle w:val="Hyperlink"/>
              </w:rPr>
              <w:t>7.2</w:t>
            </w:r>
            <w:r w:rsidR="00F56B54">
              <w:rPr>
                <w:rFonts w:asciiTheme="minorHAnsi" w:eastAsiaTheme="minorEastAsia" w:hAnsiTheme="minorHAnsi"/>
                <w:lang w:eastAsia="en-AU"/>
              </w:rPr>
              <w:tab/>
            </w:r>
            <w:r w:rsidR="00F56B54" w:rsidRPr="00F23EC2">
              <w:rPr>
                <w:rStyle w:val="Hyperlink"/>
              </w:rPr>
              <w:t>When to clean</w:t>
            </w:r>
            <w:r w:rsidR="00F56B54">
              <w:rPr>
                <w:webHidden/>
              </w:rPr>
              <w:tab/>
            </w:r>
            <w:r w:rsidR="00F56B54">
              <w:rPr>
                <w:webHidden/>
              </w:rPr>
              <w:fldChar w:fldCharType="begin"/>
            </w:r>
            <w:r w:rsidR="00F56B54">
              <w:rPr>
                <w:webHidden/>
              </w:rPr>
              <w:instrText xml:space="preserve"> PAGEREF _Toc50117681 \h </w:instrText>
            </w:r>
            <w:r w:rsidR="00F56B54">
              <w:rPr>
                <w:webHidden/>
              </w:rPr>
            </w:r>
            <w:r w:rsidR="00F56B54">
              <w:rPr>
                <w:webHidden/>
              </w:rPr>
              <w:fldChar w:fldCharType="separate"/>
            </w:r>
            <w:r w:rsidR="001C040D">
              <w:rPr>
                <w:webHidden/>
              </w:rPr>
              <w:t>38</w:t>
            </w:r>
            <w:r w:rsidR="00F56B54">
              <w:rPr>
                <w:webHidden/>
              </w:rPr>
              <w:fldChar w:fldCharType="end"/>
            </w:r>
          </w:hyperlink>
        </w:p>
        <w:p w14:paraId="392FCB56" w14:textId="34348C37" w:rsidR="00A378C1" w:rsidRDefault="0007161F">
          <w:pPr>
            <w:pStyle w:val="TOC2"/>
            <w:tabs>
              <w:tab w:val="left" w:pos="1100"/>
            </w:tabs>
            <w:rPr>
              <w:rFonts w:asciiTheme="minorHAnsi" w:eastAsiaTheme="minorEastAsia" w:hAnsiTheme="minorHAnsi"/>
              <w:lang w:eastAsia="en-AU"/>
            </w:rPr>
          </w:pPr>
          <w:hyperlink w:anchor="_Toc50117682" w:history="1">
            <w:r w:rsidR="00F56B54" w:rsidRPr="00F23EC2">
              <w:rPr>
                <w:rStyle w:val="Hyperlink"/>
              </w:rPr>
              <w:t>7.3</w:t>
            </w:r>
            <w:r w:rsidR="00F56B54">
              <w:rPr>
                <w:rFonts w:asciiTheme="minorHAnsi" w:eastAsiaTheme="minorEastAsia" w:hAnsiTheme="minorHAnsi"/>
                <w:lang w:eastAsia="en-AU"/>
              </w:rPr>
              <w:tab/>
            </w:r>
            <w:r w:rsidR="00F56B54" w:rsidRPr="00F23EC2">
              <w:rPr>
                <w:rStyle w:val="Hyperlink"/>
              </w:rPr>
              <w:t>When not to clean</w:t>
            </w:r>
            <w:r w:rsidR="00F56B54">
              <w:rPr>
                <w:webHidden/>
              </w:rPr>
              <w:tab/>
            </w:r>
            <w:r w:rsidR="00F56B54">
              <w:rPr>
                <w:webHidden/>
              </w:rPr>
              <w:fldChar w:fldCharType="begin"/>
            </w:r>
            <w:r w:rsidR="00F56B54">
              <w:rPr>
                <w:webHidden/>
              </w:rPr>
              <w:instrText xml:space="preserve"> PAGEREF _Toc50117682 \h </w:instrText>
            </w:r>
            <w:r w:rsidR="00F56B54">
              <w:rPr>
                <w:webHidden/>
              </w:rPr>
            </w:r>
            <w:r w:rsidR="00F56B54">
              <w:rPr>
                <w:webHidden/>
              </w:rPr>
              <w:fldChar w:fldCharType="separate"/>
            </w:r>
            <w:r w:rsidR="001C040D">
              <w:rPr>
                <w:webHidden/>
              </w:rPr>
              <w:t>38</w:t>
            </w:r>
            <w:r w:rsidR="00F56B54">
              <w:rPr>
                <w:webHidden/>
              </w:rPr>
              <w:fldChar w:fldCharType="end"/>
            </w:r>
          </w:hyperlink>
        </w:p>
        <w:p w14:paraId="79987D80" w14:textId="4DE3A7B9" w:rsidR="00A378C1" w:rsidRDefault="0007161F">
          <w:pPr>
            <w:pStyle w:val="TOC2"/>
            <w:tabs>
              <w:tab w:val="left" w:pos="1100"/>
            </w:tabs>
            <w:rPr>
              <w:rFonts w:asciiTheme="minorHAnsi" w:eastAsiaTheme="minorEastAsia" w:hAnsiTheme="minorHAnsi"/>
              <w:lang w:eastAsia="en-AU"/>
            </w:rPr>
          </w:pPr>
          <w:hyperlink w:anchor="_Toc50117683" w:history="1">
            <w:r w:rsidR="00F56B54" w:rsidRPr="00F23EC2">
              <w:rPr>
                <w:rStyle w:val="Hyperlink"/>
              </w:rPr>
              <w:t>7.4</w:t>
            </w:r>
            <w:r w:rsidR="00F56B54">
              <w:rPr>
                <w:rFonts w:asciiTheme="minorHAnsi" w:eastAsiaTheme="minorEastAsia" w:hAnsiTheme="minorHAnsi"/>
                <w:lang w:eastAsia="en-AU"/>
              </w:rPr>
              <w:tab/>
            </w:r>
            <w:r w:rsidR="00F56B54" w:rsidRPr="00F23EC2">
              <w:rPr>
                <w:rStyle w:val="Hyperlink"/>
              </w:rPr>
              <w:t>How to prepare for IWC</w:t>
            </w:r>
            <w:r w:rsidR="00F56B54">
              <w:rPr>
                <w:webHidden/>
              </w:rPr>
              <w:tab/>
            </w:r>
            <w:r w:rsidR="00F56B54">
              <w:rPr>
                <w:webHidden/>
              </w:rPr>
              <w:fldChar w:fldCharType="begin"/>
            </w:r>
            <w:r w:rsidR="00F56B54">
              <w:rPr>
                <w:webHidden/>
              </w:rPr>
              <w:instrText xml:space="preserve"> PAGEREF _Toc50117683 \h </w:instrText>
            </w:r>
            <w:r w:rsidR="00F56B54">
              <w:rPr>
                <w:webHidden/>
              </w:rPr>
            </w:r>
            <w:r w:rsidR="00F56B54">
              <w:rPr>
                <w:webHidden/>
              </w:rPr>
              <w:fldChar w:fldCharType="separate"/>
            </w:r>
            <w:r w:rsidR="001C040D">
              <w:rPr>
                <w:webHidden/>
              </w:rPr>
              <w:t>39</w:t>
            </w:r>
            <w:r w:rsidR="00F56B54">
              <w:rPr>
                <w:webHidden/>
              </w:rPr>
              <w:fldChar w:fldCharType="end"/>
            </w:r>
          </w:hyperlink>
        </w:p>
        <w:p w14:paraId="6A13A0D7" w14:textId="510BEB04" w:rsidR="00A378C1" w:rsidRDefault="0007161F">
          <w:pPr>
            <w:pStyle w:val="TOC2"/>
            <w:tabs>
              <w:tab w:val="left" w:pos="1100"/>
            </w:tabs>
            <w:rPr>
              <w:rFonts w:asciiTheme="minorHAnsi" w:eastAsiaTheme="minorEastAsia" w:hAnsiTheme="minorHAnsi"/>
              <w:lang w:eastAsia="en-AU"/>
            </w:rPr>
          </w:pPr>
          <w:hyperlink w:anchor="_Toc50117684" w:history="1">
            <w:r w:rsidR="00F56B54" w:rsidRPr="00F23EC2">
              <w:rPr>
                <w:rStyle w:val="Hyperlink"/>
              </w:rPr>
              <w:t>7.5</w:t>
            </w:r>
            <w:r w:rsidR="00F56B54">
              <w:rPr>
                <w:rFonts w:asciiTheme="minorHAnsi" w:eastAsiaTheme="minorEastAsia" w:hAnsiTheme="minorHAnsi"/>
                <w:lang w:eastAsia="en-AU"/>
              </w:rPr>
              <w:tab/>
            </w:r>
            <w:r w:rsidR="00F56B54" w:rsidRPr="00F23EC2">
              <w:rPr>
                <w:rStyle w:val="Hyperlink"/>
              </w:rPr>
              <w:t>Risk assessment of the IWC</w:t>
            </w:r>
            <w:r w:rsidR="00F56B54">
              <w:rPr>
                <w:webHidden/>
              </w:rPr>
              <w:tab/>
            </w:r>
            <w:r w:rsidR="00F56B54">
              <w:rPr>
                <w:webHidden/>
              </w:rPr>
              <w:fldChar w:fldCharType="begin"/>
            </w:r>
            <w:r w:rsidR="00F56B54">
              <w:rPr>
                <w:webHidden/>
              </w:rPr>
              <w:instrText xml:space="preserve"> PAGEREF _Toc50117684 \h </w:instrText>
            </w:r>
            <w:r w:rsidR="00F56B54">
              <w:rPr>
                <w:webHidden/>
              </w:rPr>
            </w:r>
            <w:r w:rsidR="00F56B54">
              <w:rPr>
                <w:webHidden/>
              </w:rPr>
              <w:fldChar w:fldCharType="separate"/>
            </w:r>
            <w:r w:rsidR="001C040D">
              <w:rPr>
                <w:webHidden/>
              </w:rPr>
              <w:t>39</w:t>
            </w:r>
            <w:r w:rsidR="00F56B54">
              <w:rPr>
                <w:webHidden/>
              </w:rPr>
              <w:fldChar w:fldCharType="end"/>
            </w:r>
          </w:hyperlink>
        </w:p>
        <w:p w14:paraId="0E0E565D" w14:textId="30B0E6E3" w:rsidR="00A378C1" w:rsidRDefault="0007161F">
          <w:pPr>
            <w:pStyle w:val="TOC2"/>
            <w:tabs>
              <w:tab w:val="left" w:pos="1100"/>
            </w:tabs>
            <w:rPr>
              <w:rFonts w:asciiTheme="minorHAnsi" w:eastAsiaTheme="minorEastAsia" w:hAnsiTheme="minorHAnsi"/>
              <w:lang w:eastAsia="en-AU"/>
            </w:rPr>
          </w:pPr>
          <w:hyperlink w:anchor="_Toc50117685" w:history="1">
            <w:r w:rsidR="00F56B54" w:rsidRPr="00F23EC2">
              <w:rPr>
                <w:rStyle w:val="Hyperlink"/>
              </w:rPr>
              <w:t>7.6</w:t>
            </w:r>
            <w:r w:rsidR="00F56B54">
              <w:rPr>
                <w:rFonts w:asciiTheme="minorHAnsi" w:eastAsiaTheme="minorEastAsia" w:hAnsiTheme="minorHAnsi"/>
                <w:lang w:eastAsia="en-AU"/>
              </w:rPr>
              <w:tab/>
            </w:r>
            <w:r w:rsidR="00F56B54" w:rsidRPr="00F23EC2">
              <w:rPr>
                <w:rStyle w:val="Hyperlink"/>
              </w:rPr>
              <w:t>How to clean</w:t>
            </w:r>
            <w:r w:rsidR="00F56B54">
              <w:rPr>
                <w:webHidden/>
              </w:rPr>
              <w:tab/>
            </w:r>
            <w:r w:rsidR="00F56B54">
              <w:rPr>
                <w:webHidden/>
              </w:rPr>
              <w:fldChar w:fldCharType="begin"/>
            </w:r>
            <w:r w:rsidR="00F56B54">
              <w:rPr>
                <w:webHidden/>
              </w:rPr>
              <w:instrText xml:space="preserve"> PAGEREF _Toc50117685 \h </w:instrText>
            </w:r>
            <w:r w:rsidR="00F56B54">
              <w:rPr>
                <w:webHidden/>
              </w:rPr>
            </w:r>
            <w:r w:rsidR="00F56B54">
              <w:rPr>
                <w:webHidden/>
              </w:rPr>
              <w:fldChar w:fldCharType="separate"/>
            </w:r>
            <w:r w:rsidR="001C040D">
              <w:rPr>
                <w:webHidden/>
              </w:rPr>
              <w:t>40</w:t>
            </w:r>
            <w:r w:rsidR="00F56B54">
              <w:rPr>
                <w:webHidden/>
              </w:rPr>
              <w:fldChar w:fldCharType="end"/>
            </w:r>
          </w:hyperlink>
        </w:p>
        <w:p w14:paraId="5713E3BC" w14:textId="5C6A192A" w:rsidR="00A378C1" w:rsidRDefault="0007161F">
          <w:pPr>
            <w:pStyle w:val="TOC2"/>
            <w:tabs>
              <w:tab w:val="left" w:pos="1100"/>
            </w:tabs>
            <w:rPr>
              <w:rFonts w:asciiTheme="minorHAnsi" w:eastAsiaTheme="minorEastAsia" w:hAnsiTheme="minorHAnsi"/>
              <w:lang w:eastAsia="en-AU"/>
            </w:rPr>
          </w:pPr>
          <w:hyperlink w:anchor="_Toc50117686" w:history="1">
            <w:r w:rsidR="00F56B54" w:rsidRPr="00F23EC2">
              <w:rPr>
                <w:rStyle w:val="Hyperlink"/>
              </w:rPr>
              <w:t>7.7</w:t>
            </w:r>
            <w:r w:rsidR="00F56B54">
              <w:rPr>
                <w:rFonts w:asciiTheme="minorHAnsi" w:eastAsiaTheme="minorEastAsia" w:hAnsiTheme="minorHAnsi"/>
                <w:lang w:eastAsia="en-AU"/>
              </w:rPr>
              <w:tab/>
            </w:r>
            <w:r w:rsidR="00F56B54" w:rsidRPr="00F23EC2">
              <w:rPr>
                <w:rStyle w:val="Hyperlink"/>
              </w:rPr>
              <w:t>When to contain the waste</w:t>
            </w:r>
            <w:r w:rsidR="00F56B54">
              <w:rPr>
                <w:webHidden/>
              </w:rPr>
              <w:tab/>
            </w:r>
            <w:r w:rsidR="00F56B54">
              <w:rPr>
                <w:webHidden/>
              </w:rPr>
              <w:fldChar w:fldCharType="begin"/>
            </w:r>
            <w:r w:rsidR="00F56B54">
              <w:rPr>
                <w:webHidden/>
              </w:rPr>
              <w:instrText xml:space="preserve"> PAGEREF _Toc50117686 \h </w:instrText>
            </w:r>
            <w:r w:rsidR="00F56B54">
              <w:rPr>
                <w:webHidden/>
              </w:rPr>
            </w:r>
            <w:r w:rsidR="00F56B54">
              <w:rPr>
                <w:webHidden/>
              </w:rPr>
              <w:fldChar w:fldCharType="separate"/>
            </w:r>
            <w:r w:rsidR="001C040D">
              <w:rPr>
                <w:webHidden/>
              </w:rPr>
              <w:t>40</w:t>
            </w:r>
            <w:r w:rsidR="00F56B54">
              <w:rPr>
                <w:webHidden/>
              </w:rPr>
              <w:fldChar w:fldCharType="end"/>
            </w:r>
          </w:hyperlink>
        </w:p>
        <w:p w14:paraId="311474BF" w14:textId="566A7E8B" w:rsidR="00A378C1" w:rsidRDefault="0007161F">
          <w:pPr>
            <w:pStyle w:val="TOC2"/>
            <w:tabs>
              <w:tab w:val="left" w:pos="1100"/>
            </w:tabs>
            <w:rPr>
              <w:rFonts w:asciiTheme="minorHAnsi" w:eastAsiaTheme="minorEastAsia" w:hAnsiTheme="minorHAnsi"/>
              <w:lang w:eastAsia="en-AU"/>
            </w:rPr>
          </w:pPr>
          <w:hyperlink w:anchor="_Toc50117687" w:history="1">
            <w:r w:rsidR="00F56B54" w:rsidRPr="00F23EC2">
              <w:rPr>
                <w:rStyle w:val="Hyperlink"/>
              </w:rPr>
              <w:t>7.8</w:t>
            </w:r>
            <w:r w:rsidR="00F56B54">
              <w:rPr>
                <w:rFonts w:asciiTheme="minorHAnsi" w:eastAsiaTheme="minorEastAsia" w:hAnsiTheme="minorHAnsi"/>
                <w:lang w:eastAsia="en-AU"/>
              </w:rPr>
              <w:tab/>
            </w:r>
            <w:r w:rsidR="00F56B54" w:rsidRPr="00F23EC2">
              <w:rPr>
                <w:rStyle w:val="Hyperlink"/>
              </w:rPr>
              <w:t>When to treat the waste</w:t>
            </w:r>
            <w:r w:rsidR="00F56B54">
              <w:rPr>
                <w:webHidden/>
              </w:rPr>
              <w:tab/>
            </w:r>
            <w:r w:rsidR="00F56B54">
              <w:rPr>
                <w:webHidden/>
              </w:rPr>
              <w:fldChar w:fldCharType="begin"/>
            </w:r>
            <w:r w:rsidR="00F56B54">
              <w:rPr>
                <w:webHidden/>
              </w:rPr>
              <w:instrText xml:space="preserve"> PAGEREF _Toc50117687 \h </w:instrText>
            </w:r>
            <w:r w:rsidR="00F56B54">
              <w:rPr>
                <w:webHidden/>
              </w:rPr>
            </w:r>
            <w:r w:rsidR="00F56B54">
              <w:rPr>
                <w:webHidden/>
              </w:rPr>
              <w:fldChar w:fldCharType="separate"/>
            </w:r>
            <w:r w:rsidR="001C040D">
              <w:rPr>
                <w:webHidden/>
              </w:rPr>
              <w:t>41</w:t>
            </w:r>
            <w:r w:rsidR="00F56B54">
              <w:rPr>
                <w:webHidden/>
              </w:rPr>
              <w:fldChar w:fldCharType="end"/>
            </w:r>
          </w:hyperlink>
        </w:p>
        <w:p w14:paraId="78CF87DE" w14:textId="704E5E9A" w:rsidR="00A378C1" w:rsidRDefault="0007161F">
          <w:pPr>
            <w:pStyle w:val="TOC2"/>
            <w:tabs>
              <w:tab w:val="left" w:pos="1100"/>
            </w:tabs>
            <w:rPr>
              <w:rFonts w:asciiTheme="minorHAnsi" w:eastAsiaTheme="minorEastAsia" w:hAnsiTheme="minorHAnsi"/>
              <w:lang w:eastAsia="en-AU"/>
            </w:rPr>
          </w:pPr>
          <w:hyperlink w:anchor="_Toc50117688" w:history="1">
            <w:r w:rsidR="00F56B54" w:rsidRPr="00F23EC2">
              <w:rPr>
                <w:rStyle w:val="Hyperlink"/>
              </w:rPr>
              <w:t>7.9</w:t>
            </w:r>
            <w:r w:rsidR="00F56B54">
              <w:rPr>
                <w:rFonts w:asciiTheme="minorHAnsi" w:eastAsiaTheme="minorEastAsia" w:hAnsiTheme="minorHAnsi"/>
                <w:lang w:eastAsia="en-AU"/>
              </w:rPr>
              <w:tab/>
            </w:r>
            <w:r w:rsidR="00F56B54" w:rsidRPr="00F23EC2">
              <w:rPr>
                <w:rStyle w:val="Hyperlink"/>
              </w:rPr>
              <w:t>In summary</w:t>
            </w:r>
            <w:r w:rsidR="00F56B54">
              <w:rPr>
                <w:webHidden/>
              </w:rPr>
              <w:tab/>
            </w:r>
            <w:r w:rsidR="00F56B54">
              <w:rPr>
                <w:webHidden/>
              </w:rPr>
              <w:fldChar w:fldCharType="begin"/>
            </w:r>
            <w:r w:rsidR="00F56B54">
              <w:rPr>
                <w:webHidden/>
              </w:rPr>
              <w:instrText xml:space="preserve"> PAGEREF _Toc50117688 \h </w:instrText>
            </w:r>
            <w:r w:rsidR="00F56B54">
              <w:rPr>
                <w:webHidden/>
              </w:rPr>
            </w:r>
            <w:r w:rsidR="00F56B54">
              <w:rPr>
                <w:webHidden/>
              </w:rPr>
              <w:fldChar w:fldCharType="separate"/>
            </w:r>
            <w:r w:rsidR="001C040D">
              <w:rPr>
                <w:webHidden/>
              </w:rPr>
              <w:t>41</w:t>
            </w:r>
            <w:r w:rsidR="00F56B54">
              <w:rPr>
                <w:webHidden/>
              </w:rPr>
              <w:fldChar w:fldCharType="end"/>
            </w:r>
          </w:hyperlink>
        </w:p>
        <w:p w14:paraId="4C9C5099" w14:textId="7B6FE86E" w:rsidR="00A378C1" w:rsidRDefault="0007161F">
          <w:pPr>
            <w:pStyle w:val="TOC1"/>
            <w:rPr>
              <w:rFonts w:asciiTheme="minorHAnsi" w:eastAsiaTheme="minorEastAsia" w:hAnsiTheme="minorHAnsi"/>
              <w:b w:val="0"/>
              <w:lang w:eastAsia="en-AU"/>
            </w:rPr>
          </w:pPr>
          <w:hyperlink w:anchor="_Toc50117689" w:history="1">
            <w:r w:rsidR="00F56B54" w:rsidRPr="00F23EC2">
              <w:rPr>
                <w:rStyle w:val="Hyperlink"/>
              </w:rPr>
              <w:t>Appendix A: A</w:t>
            </w:r>
            <w:r w:rsidR="001967C4">
              <w:rPr>
                <w:rStyle w:val="Hyperlink"/>
              </w:rPr>
              <w:t>ustralian Pesticides and Veterinary Medicines Authority</w:t>
            </w:r>
            <w:r w:rsidR="00F56B54" w:rsidRPr="00F23EC2">
              <w:rPr>
                <w:rStyle w:val="Hyperlink"/>
              </w:rPr>
              <w:t xml:space="preserve"> approved antifouling products</w:t>
            </w:r>
            <w:r w:rsidR="00F56B54">
              <w:rPr>
                <w:webHidden/>
              </w:rPr>
              <w:tab/>
            </w:r>
            <w:r w:rsidR="00F56B54">
              <w:rPr>
                <w:webHidden/>
              </w:rPr>
              <w:fldChar w:fldCharType="begin"/>
            </w:r>
            <w:r w:rsidR="00F56B54">
              <w:rPr>
                <w:webHidden/>
              </w:rPr>
              <w:instrText xml:space="preserve"> PAGEREF _Toc50117689 \h </w:instrText>
            </w:r>
            <w:r w:rsidR="00F56B54">
              <w:rPr>
                <w:webHidden/>
              </w:rPr>
            </w:r>
            <w:r w:rsidR="00F56B54">
              <w:rPr>
                <w:webHidden/>
              </w:rPr>
              <w:fldChar w:fldCharType="separate"/>
            </w:r>
            <w:r w:rsidR="001C040D">
              <w:rPr>
                <w:webHidden/>
              </w:rPr>
              <w:t>44</w:t>
            </w:r>
            <w:r w:rsidR="00F56B54">
              <w:rPr>
                <w:webHidden/>
              </w:rPr>
              <w:fldChar w:fldCharType="end"/>
            </w:r>
          </w:hyperlink>
        </w:p>
        <w:p w14:paraId="23CCEEA7" w14:textId="757EBAA0" w:rsidR="00A378C1" w:rsidRDefault="0007161F">
          <w:pPr>
            <w:pStyle w:val="TOC1"/>
            <w:rPr>
              <w:rFonts w:asciiTheme="minorHAnsi" w:eastAsiaTheme="minorEastAsia" w:hAnsiTheme="minorHAnsi"/>
              <w:b w:val="0"/>
              <w:lang w:eastAsia="en-AU"/>
            </w:rPr>
          </w:pPr>
          <w:hyperlink w:anchor="_Toc50117690" w:history="1">
            <w:r w:rsidR="00F56B54" w:rsidRPr="00F23EC2">
              <w:rPr>
                <w:rStyle w:val="Hyperlink"/>
              </w:rPr>
              <w:t>Appendix B: Risk assessment of chemical discharge from in-water cleaning</w:t>
            </w:r>
            <w:r w:rsidR="00F56B54">
              <w:rPr>
                <w:webHidden/>
              </w:rPr>
              <w:tab/>
            </w:r>
            <w:r w:rsidR="00F56B54">
              <w:rPr>
                <w:webHidden/>
              </w:rPr>
              <w:fldChar w:fldCharType="begin"/>
            </w:r>
            <w:r w:rsidR="00F56B54">
              <w:rPr>
                <w:webHidden/>
              </w:rPr>
              <w:instrText xml:space="preserve"> PAGEREF _Toc50117690 \h </w:instrText>
            </w:r>
            <w:r w:rsidR="00F56B54">
              <w:rPr>
                <w:webHidden/>
              </w:rPr>
            </w:r>
            <w:r w:rsidR="00F56B54">
              <w:rPr>
                <w:webHidden/>
              </w:rPr>
              <w:fldChar w:fldCharType="separate"/>
            </w:r>
            <w:r w:rsidR="001C040D">
              <w:rPr>
                <w:webHidden/>
              </w:rPr>
              <w:t>48</w:t>
            </w:r>
            <w:r w:rsidR="00F56B54">
              <w:rPr>
                <w:webHidden/>
              </w:rPr>
              <w:fldChar w:fldCharType="end"/>
            </w:r>
          </w:hyperlink>
        </w:p>
        <w:p w14:paraId="07EC33D2" w14:textId="0AB8615E" w:rsidR="00A378C1" w:rsidRDefault="0007161F">
          <w:pPr>
            <w:pStyle w:val="TOC1"/>
            <w:rPr>
              <w:rFonts w:asciiTheme="minorHAnsi" w:eastAsiaTheme="minorEastAsia" w:hAnsiTheme="minorHAnsi"/>
              <w:b w:val="0"/>
              <w:lang w:eastAsia="en-AU"/>
            </w:rPr>
          </w:pPr>
          <w:hyperlink w:anchor="_Toc50117691" w:history="1">
            <w:r w:rsidR="00F56B54" w:rsidRPr="00F23EC2">
              <w:rPr>
                <w:rStyle w:val="Hyperlink"/>
              </w:rPr>
              <w:t>Glossary</w:t>
            </w:r>
            <w:r w:rsidR="00F56B54">
              <w:rPr>
                <w:webHidden/>
              </w:rPr>
              <w:tab/>
            </w:r>
            <w:r w:rsidR="00F56B54">
              <w:rPr>
                <w:webHidden/>
              </w:rPr>
              <w:fldChar w:fldCharType="begin"/>
            </w:r>
            <w:r w:rsidR="00F56B54">
              <w:rPr>
                <w:webHidden/>
              </w:rPr>
              <w:instrText xml:space="preserve"> PAGEREF _Toc50117691 \h </w:instrText>
            </w:r>
            <w:r w:rsidR="00F56B54">
              <w:rPr>
                <w:webHidden/>
              </w:rPr>
            </w:r>
            <w:r w:rsidR="00F56B54">
              <w:rPr>
                <w:webHidden/>
              </w:rPr>
              <w:fldChar w:fldCharType="separate"/>
            </w:r>
            <w:r w:rsidR="001C040D">
              <w:rPr>
                <w:webHidden/>
              </w:rPr>
              <w:t>56</w:t>
            </w:r>
            <w:r w:rsidR="00F56B54">
              <w:rPr>
                <w:webHidden/>
              </w:rPr>
              <w:fldChar w:fldCharType="end"/>
            </w:r>
          </w:hyperlink>
        </w:p>
        <w:p w14:paraId="0B8CA6C8" w14:textId="5667A1AF" w:rsidR="00A378C1" w:rsidRDefault="0007161F">
          <w:pPr>
            <w:pStyle w:val="TOC1"/>
            <w:rPr>
              <w:rFonts w:asciiTheme="minorHAnsi" w:eastAsiaTheme="minorEastAsia" w:hAnsiTheme="minorHAnsi"/>
              <w:b w:val="0"/>
              <w:lang w:eastAsia="en-AU"/>
            </w:rPr>
          </w:pPr>
          <w:hyperlink w:anchor="_Toc50117692" w:history="1">
            <w:r w:rsidR="00F56B54" w:rsidRPr="00F23EC2">
              <w:rPr>
                <w:rStyle w:val="Hyperlink"/>
              </w:rPr>
              <w:t>References</w:t>
            </w:r>
            <w:r w:rsidR="00F56B54">
              <w:rPr>
                <w:webHidden/>
              </w:rPr>
              <w:tab/>
            </w:r>
            <w:r w:rsidR="00F56B54">
              <w:rPr>
                <w:webHidden/>
              </w:rPr>
              <w:fldChar w:fldCharType="begin"/>
            </w:r>
            <w:r w:rsidR="00F56B54">
              <w:rPr>
                <w:webHidden/>
              </w:rPr>
              <w:instrText xml:space="preserve"> PAGEREF _Toc50117692 \h </w:instrText>
            </w:r>
            <w:r w:rsidR="00F56B54">
              <w:rPr>
                <w:webHidden/>
              </w:rPr>
            </w:r>
            <w:r w:rsidR="00F56B54">
              <w:rPr>
                <w:webHidden/>
              </w:rPr>
              <w:fldChar w:fldCharType="separate"/>
            </w:r>
            <w:r w:rsidR="001C040D">
              <w:rPr>
                <w:webHidden/>
              </w:rPr>
              <w:t>57</w:t>
            </w:r>
            <w:r w:rsidR="00F56B54">
              <w:rPr>
                <w:webHidden/>
              </w:rPr>
              <w:fldChar w:fldCharType="end"/>
            </w:r>
          </w:hyperlink>
        </w:p>
        <w:p w14:paraId="2DE6EF92" w14:textId="77777777" w:rsidR="00764D6A" w:rsidRPr="00A25141" w:rsidRDefault="00F56B54" w:rsidP="00A25141">
          <w:pPr>
            <w:rPr>
              <w:rStyle w:val="Strong"/>
              <w:b w:val="0"/>
              <w:bCs w:val="0"/>
            </w:rPr>
          </w:pPr>
          <w:r>
            <w:rPr>
              <w:b/>
              <w:noProof/>
            </w:rPr>
            <w:fldChar w:fldCharType="end"/>
          </w:r>
        </w:p>
      </w:sdtContent>
    </w:sdt>
    <w:p w14:paraId="0F816E43" w14:textId="77777777" w:rsidR="00DB2DD5" w:rsidRDefault="00F56B54" w:rsidP="00DB2DD5">
      <w:pPr>
        <w:pStyle w:val="TOCHeading2"/>
        <w:rPr>
          <w:rStyle w:val="Strong"/>
        </w:rPr>
      </w:pPr>
      <w:r>
        <w:rPr>
          <w:rStyle w:val="Strong"/>
        </w:rPr>
        <w:t>Tables</w:t>
      </w:r>
    </w:p>
    <w:p w14:paraId="736FB8FC" w14:textId="4A1CD7F3" w:rsidR="00827747" w:rsidRDefault="00F56B54">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49868681" w:history="1">
        <w:r w:rsidRPr="00914E0A">
          <w:rPr>
            <w:rStyle w:val="Hyperlink"/>
            <w:noProof/>
          </w:rPr>
          <w:t>Table 1 RAC and PNEC for antifouling biocides</w:t>
        </w:r>
        <w:r>
          <w:rPr>
            <w:noProof/>
            <w:webHidden/>
          </w:rPr>
          <w:tab/>
        </w:r>
        <w:r>
          <w:rPr>
            <w:noProof/>
            <w:webHidden/>
          </w:rPr>
          <w:fldChar w:fldCharType="begin"/>
        </w:r>
        <w:r>
          <w:rPr>
            <w:noProof/>
            <w:webHidden/>
          </w:rPr>
          <w:instrText xml:space="preserve"> PAGEREF _Toc49868681 \h </w:instrText>
        </w:r>
        <w:r>
          <w:rPr>
            <w:noProof/>
            <w:webHidden/>
          </w:rPr>
        </w:r>
        <w:r>
          <w:rPr>
            <w:noProof/>
            <w:webHidden/>
          </w:rPr>
          <w:fldChar w:fldCharType="separate"/>
        </w:r>
        <w:r w:rsidR="001C040D">
          <w:rPr>
            <w:noProof/>
            <w:webHidden/>
          </w:rPr>
          <w:t>28</w:t>
        </w:r>
        <w:r>
          <w:rPr>
            <w:noProof/>
            <w:webHidden/>
          </w:rPr>
          <w:fldChar w:fldCharType="end"/>
        </w:r>
      </w:hyperlink>
    </w:p>
    <w:p w14:paraId="201881AD" w14:textId="327CDBE8" w:rsidR="00827747" w:rsidRDefault="0007161F">
      <w:pPr>
        <w:pStyle w:val="TableofFigures"/>
        <w:tabs>
          <w:tab w:val="right" w:leader="dot" w:pos="9060"/>
        </w:tabs>
        <w:rPr>
          <w:rFonts w:asciiTheme="minorHAnsi" w:eastAsiaTheme="minorEastAsia" w:hAnsiTheme="minorHAnsi"/>
          <w:noProof/>
          <w:lang w:eastAsia="en-AU"/>
        </w:rPr>
      </w:pPr>
      <w:hyperlink w:anchor="_Toc49868682" w:history="1">
        <w:r w:rsidR="00F56B54" w:rsidRPr="00914E0A">
          <w:rPr>
            <w:rStyle w:val="Hyperlink"/>
            <w:noProof/>
          </w:rPr>
          <w:t>Table 2 Copper content of different surfaces removed during in-water cleaning</w:t>
        </w:r>
        <w:r w:rsidR="00F56B54">
          <w:rPr>
            <w:noProof/>
            <w:webHidden/>
          </w:rPr>
          <w:tab/>
        </w:r>
        <w:r w:rsidR="00F56B54">
          <w:rPr>
            <w:noProof/>
            <w:webHidden/>
          </w:rPr>
          <w:fldChar w:fldCharType="begin"/>
        </w:r>
        <w:r w:rsidR="00F56B54">
          <w:rPr>
            <w:noProof/>
            <w:webHidden/>
          </w:rPr>
          <w:instrText xml:space="preserve"> PAGEREF _Toc49868682 \h </w:instrText>
        </w:r>
        <w:r w:rsidR="00F56B54">
          <w:rPr>
            <w:noProof/>
            <w:webHidden/>
          </w:rPr>
        </w:r>
        <w:r w:rsidR="00F56B54">
          <w:rPr>
            <w:noProof/>
            <w:webHidden/>
          </w:rPr>
          <w:fldChar w:fldCharType="separate"/>
        </w:r>
        <w:r w:rsidR="001C040D">
          <w:rPr>
            <w:noProof/>
            <w:webHidden/>
          </w:rPr>
          <w:t>29</w:t>
        </w:r>
        <w:r w:rsidR="00F56B54">
          <w:rPr>
            <w:noProof/>
            <w:webHidden/>
          </w:rPr>
          <w:fldChar w:fldCharType="end"/>
        </w:r>
      </w:hyperlink>
    </w:p>
    <w:p w14:paraId="67339380" w14:textId="3FAEDC4B" w:rsidR="00827747" w:rsidRDefault="0007161F">
      <w:pPr>
        <w:pStyle w:val="TableofFigures"/>
        <w:tabs>
          <w:tab w:val="right" w:leader="dot" w:pos="9060"/>
        </w:tabs>
        <w:rPr>
          <w:rFonts w:asciiTheme="minorHAnsi" w:eastAsiaTheme="minorEastAsia" w:hAnsiTheme="minorHAnsi"/>
          <w:noProof/>
          <w:lang w:eastAsia="en-AU"/>
        </w:rPr>
      </w:pPr>
      <w:hyperlink w:anchor="_Toc49868683" w:history="1">
        <w:r w:rsidR="00F56B54" w:rsidRPr="00914E0A">
          <w:rPr>
            <w:rStyle w:val="Hyperlink"/>
            <w:noProof/>
          </w:rPr>
          <w:t>Table 3 Layer thickness and removal depth during in-water cleaning</w:t>
        </w:r>
        <w:r w:rsidR="00F56B54">
          <w:rPr>
            <w:noProof/>
            <w:webHidden/>
          </w:rPr>
          <w:tab/>
        </w:r>
        <w:r w:rsidR="00F56B54">
          <w:rPr>
            <w:noProof/>
            <w:webHidden/>
          </w:rPr>
          <w:fldChar w:fldCharType="begin"/>
        </w:r>
        <w:r w:rsidR="00F56B54">
          <w:rPr>
            <w:noProof/>
            <w:webHidden/>
          </w:rPr>
          <w:instrText xml:space="preserve"> PAGEREF _Toc49868683 \h </w:instrText>
        </w:r>
        <w:r w:rsidR="00F56B54">
          <w:rPr>
            <w:noProof/>
            <w:webHidden/>
          </w:rPr>
        </w:r>
        <w:r w:rsidR="00F56B54">
          <w:rPr>
            <w:noProof/>
            <w:webHidden/>
          </w:rPr>
          <w:fldChar w:fldCharType="separate"/>
        </w:r>
        <w:r w:rsidR="001C040D">
          <w:rPr>
            <w:noProof/>
            <w:webHidden/>
          </w:rPr>
          <w:t>29</w:t>
        </w:r>
        <w:r w:rsidR="00F56B54">
          <w:rPr>
            <w:noProof/>
            <w:webHidden/>
          </w:rPr>
          <w:fldChar w:fldCharType="end"/>
        </w:r>
      </w:hyperlink>
    </w:p>
    <w:p w14:paraId="40AE848B" w14:textId="41FFBF87" w:rsidR="00827747" w:rsidRDefault="0007161F">
      <w:pPr>
        <w:pStyle w:val="TableofFigures"/>
        <w:tabs>
          <w:tab w:val="right" w:leader="dot" w:pos="9060"/>
        </w:tabs>
        <w:rPr>
          <w:rFonts w:asciiTheme="minorHAnsi" w:eastAsiaTheme="minorEastAsia" w:hAnsiTheme="minorHAnsi"/>
          <w:noProof/>
          <w:lang w:eastAsia="en-AU"/>
        </w:rPr>
      </w:pPr>
      <w:hyperlink w:anchor="_Toc49868684" w:history="1">
        <w:r w:rsidR="00F56B54" w:rsidRPr="00914E0A">
          <w:rPr>
            <w:rStyle w:val="Hyperlink"/>
            <w:noProof/>
          </w:rPr>
          <w:t>Table 4 Copper release rates for recreational and commercial vessels</w:t>
        </w:r>
        <w:r w:rsidR="00F56B54">
          <w:rPr>
            <w:noProof/>
            <w:webHidden/>
          </w:rPr>
          <w:tab/>
        </w:r>
        <w:r w:rsidR="00F56B54">
          <w:rPr>
            <w:noProof/>
            <w:webHidden/>
          </w:rPr>
          <w:fldChar w:fldCharType="begin"/>
        </w:r>
        <w:r w:rsidR="00F56B54">
          <w:rPr>
            <w:noProof/>
            <w:webHidden/>
          </w:rPr>
          <w:instrText xml:space="preserve"> PAGEREF _Toc49868684 \h </w:instrText>
        </w:r>
        <w:r w:rsidR="00F56B54">
          <w:rPr>
            <w:noProof/>
            <w:webHidden/>
          </w:rPr>
        </w:r>
        <w:r w:rsidR="00F56B54">
          <w:rPr>
            <w:noProof/>
            <w:webHidden/>
          </w:rPr>
          <w:fldChar w:fldCharType="separate"/>
        </w:r>
        <w:r w:rsidR="001C040D">
          <w:rPr>
            <w:noProof/>
            <w:webHidden/>
          </w:rPr>
          <w:t>30</w:t>
        </w:r>
        <w:r w:rsidR="00F56B54">
          <w:rPr>
            <w:noProof/>
            <w:webHidden/>
          </w:rPr>
          <w:fldChar w:fldCharType="end"/>
        </w:r>
      </w:hyperlink>
    </w:p>
    <w:p w14:paraId="021FA9AF" w14:textId="020C2A00" w:rsidR="00827747" w:rsidRDefault="0007161F">
      <w:pPr>
        <w:pStyle w:val="TableofFigures"/>
        <w:tabs>
          <w:tab w:val="right" w:leader="dot" w:pos="9060"/>
        </w:tabs>
        <w:rPr>
          <w:rFonts w:asciiTheme="minorHAnsi" w:eastAsiaTheme="minorEastAsia" w:hAnsiTheme="minorHAnsi"/>
          <w:noProof/>
          <w:lang w:eastAsia="en-AU"/>
        </w:rPr>
      </w:pPr>
      <w:hyperlink w:anchor="_Toc49868685" w:history="1">
        <w:r w:rsidR="00F56B54" w:rsidRPr="00914E0A">
          <w:rPr>
            <w:rStyle w:val="Hyperlink"/>
            <w:noProof/>
          </w:rPr>
          <w:t xml:space="preserve">Table 5 </w:t>
        </w:r>
        <w:r w:rsidR="00F56B54" w:rsidRPr="00914E0A">
          <w:rPr>
            <w:rStyle w:val="Hyperlink"/>
            <w:noProof/>
            <w:lang w:eastAsia="ja-JP"/>
          </w:rPr>
          <w:t>Level of Fouling (LOF)</w:t>
        </w:r>
        <w:r w:rsidR="00F56B54">
          <w:rPr>
            <w:noProof/>
            <w:webHidden/>
          </w:rPr>
          <w:tab/>
        </w:r>
        <w:r w:rsidR="00F56B54">
          <w:rPr>
            <w:noProof/>
            <w:webHidden/>
          </w:rPr>
          <w:fldChar w:fldCharType="begin"/>
        </w:r>
        <w:r w:rsidR="00F56B54">
          <w:rPr>
            <w:noProof/>
            <w:webHidden/>
          </w:rPr>
          <w:instrText xml:space="preserve"> PAGEREF _Toc49868685 \h </w:instrText>
        </w:r>
        <w:r w:rsidR="00F56B54">
          <w:rPr>
            <w:noProof/>
            <w:webHidden/>
          </w:rPr>
        </w:r>
        <w:r w:rsidR="00F56B54">
          <w:rPr>
            <w:noProof/>
            <w:webHidden/>
          </w:rPr>
          <w:fldChar w:fldCharType="separate"/>
        </w:r>
        <w:r w:rsidR="001C040D">
          <w:rPr>
            <w:noProof/>
            <w:webHidden/>
          </w:rPr>
          <w:t>36</w:t>
        </w:r>
        <w:r w:rsidR="00F56B54">
          <w:rPr>
            <w:noProof/>
            <w:webHidden/>
          </w:rPr>
          <w:fldChar w:fldCharType="end"/>
        </w:r>
      </w:hyperlink>
    </w:p>
    <w:p w14:paraId="13BD423E" w14:textId="3FD7043C" w:rsidR="00827747" w:rsidRDefault="0007161F">
      <w:pPr>
        <w:pStyle w:val="TableofFigures"/>
        <w:tabs>
          <w:tab w:val="right" w:leader="dot" w:pos="9060"/>
        </w:tabs>
        <w:rPr>
          <w:rFonts w:asciiTheme="minorHAnsi" w:eastAsiaTheme="minorEastAsia" w:hAnsiTheme="minorHAnsi"/>
          <w:noProof/>
          <w:lang w:eastAsia="en-AU"/>
        </w:rPr>
      </w:pPr>
      <w:hyperlink w:anchor="_Toc49868686" w:history="1">
        <w:r w:rsidR="00F56B54" w:rsidRPr="00914E0A">
          <w:rPr>
            <w:rStyle w:val="Hyperlink"/>
            <w:noProof/>
          </w:rPr>
          <w:t>Table 6 Fouling Ratings Scale</w:t>
        </w:r>
        <w:r w:rsidR="00F56B54">
          <w:rPr>
            <w:noProof/>
            <w:webHidden/>
          </w:rPr>
          <w:tab/>
        </w:r>
        <w:r w:rsidR="00F56B54">
          <w:rPr>
            <w:noProof/>
            <w:webHidden/>
          </w:rPr>
          <w:fldChar w:fldCharType="begin"/>
        </w:r>
        <w:r w:rsidR="00F56B54">
          <w:rPr>
            <w:noProof/>
            <w:webHidden/>
          </w:rPr>
          <w:instrText xml:space="preserve"> PAGEREF _Toc49868686 \h </w:instrText>
        </w:r>
        <w:r w:rsidR="00F56B54">
          <w:rPr>
            <w:noProof/>
            <w:webHidden/>
          </w:rPr>
        </w:r>
        <w:r w:rsidR="00F56B54">
          <w:rPr>
            <w:noProof/>
            <w:webHidden/>
          </w:rPr>
          <w:fldChar w:fldCharType="separate"/>
        </w:r>
        <w:r w:rsidR="001C040D">
          <w:rPr>
            <w:noProof/>
            <w:webHidden/>
          </w:rPr>
          <w:t>36</w:t>
        </w:r>
        <w:r w:rsidR="00F56B54">
          <w:rPr>
            <w:noProof/>
            <w:webHidden/>
          </w:rPr>
          <w:fldChar w:fldCharType="end"/>
        </w:r>
      </w:hyperlink>
    </w:p>
    <w:p w14:paraId="5EA309AF" w14:textId="07EFF2F8" w:rsidR="00DB2DD5" w:rsidRPr="009B605F" w:rsidRDefault="00F56B54">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hyperlink w:anchor="_Toc36214030" w:history="1">
        <w:r w:rsidRPr="00BD5E8E">
          <w:rPr>
            <w:rStyle w:val="Hyperlink"/>
            <w:noProof/>
          </w:rPr>
          <w:t>Table A1 APVMA Approved Antifouling Products, 2020-03</w:t>
        </w:r>
        <w:r>
          <w:rPr>
            <w:noProof/>
            <w:webHidden/>
          </w:rPr>
          <w:tab/>
        </w:r>
        <w:r>
          <w:rPr>
            <w:noProof/>
            <w:webHidden/>
          </w:rPr>
          <w:fldChar w:fldCharType="begin"/>
        </w:r>
        <w:r>
          <w:rPr>
            <w:noProof/>
            <w:webHidden/>
          </w:rPr>
          <w:instrText xml:space="preserve"> PAGEREF _Toc36214030 \h </w:instrText>
        </w:r>
        <w:r>
          <w:rPr>
            <w:noProof/>
            <w:webHidden/>
          </w:rPr>
        </w:r>
        <w:r>
          <w:rPr>
            <w:noProof/>
            <w:webHidden/>
          </w:rPr>
          <w:fldChar w:fldCharType="separate"/>
        </w:r>
        <w:r w:rsidR="001C040D">
          <w:rPr>
            <w:noProof/>
            <w:webHidden/>
          </w:rPr>
          <w:t>44</w:t>
        </w:r>
        <w:r>
          <w:rPr>
            <w:noProof/>
            <w:webHidden/>
          </w:rPr>
          <w:fldChar w:fldCharType="end"/>
        </w:r>
      </w:hyperlink>
    </w:p>
    <w:p w14:paraId="2FB76228" w14:textId="77777777" w:rsidR="00764D6A" w:rsidRDefault="00F56B54" w:rsidP="001F288E">
      <w:pPr>
        <w:pStyle w:val="TableofFigures"/>
        <w:tabs>
          <w:tab w:val="right" w:leader="dot" w:pos="9060"/>
        </w:tabs>
      </w:pPr>
      <w:r>
        <w:fldChar w:fldCharType="end"/>
      </w:r>
    </w:p>
    <w:p w14:paraId="293D5B5E" w14:textId="77777777" w:rsidR="00764D6A" w:rsidRDefault="00F56B54">
      <w:pPr>
        <w:pStyle w:val="Heading2"/>
        <w:numPr>
          <w:ilvl w:val="0"/>
          <w:numId w:val="0"/>
        </w:numPr>
        <w:ind w:left="709" w:hanging="709"/>
      </w:pPr>
      <w:bookmarkStart w:id="2" w:name="_Toc430782149"/>
      <w:bookmarkStart w:id="3" w:name="_Toc50117645"/>
      <w:r>
        <w:lastRenderedPageBreak/>
        <w:t>Summary</w:t>
      </w:r>
      <w:bookmarkEnd w:id="2"/>
      <w:bookmarkEnd w:id="3"/>
    </w:p>
    <w:p w14:paraId="31E6FFE3" w14:textId="77777777" w:rsidR="006D5C2E" w:rsidRDefault="00F56B54" w:rsidP="006D5C2E">
      <w:bookmarkStart w:id="4" w:name="_Toc430782150"/>
      <w:r>
        <w:t xml:space="preserve">The Department of Agriculture, Water and the Environment is developing </w:t>
      </w:r>
      <w:r w:rsidR="00974818">
        <w:t>new</w:t>
      </w:r>
      <w:r>
        <w:t xml:space="preserve"> national standard</w:t>
      </w:r>
      <w:r w:rsidR="00974818">
        <w:t>s</w:t>
      </w:r>
      <w:r>
        <w:t xml:space="preserve"> for in-water cleaning </w:t>
      </w:r>
      <w:r w:rsidR="00AA32FC">
        <w:t xml:space="preserve">(IWC) </w:t>
      </w:r>
      <w:r>
        <w:t xml:space="preserve">of biofouling in the Australian Territorial Sea. This was a direct recommendation of a 2018 review of the uptake and effectiveness of the </w:t>
      </w:r>
      <w:r w:rsidR="00E9720A">
        <w:t xml:space="preserve">2015 </w:t>
      </w:r>
      <w:r>
        <w:t>Australian and New Zealand Anti-Fouling and In-Water Cleaning Guidelines (the Guidelines) that was undertaken by the Marine Pest Sectoral Committee.</w:t>
      </w:r>
    </w:p>
    <w:p w14:paraId="05F38009" w14:textId="77777777" w:rsidR="006D5C2E" w:rsidRDefault="00F56B54" w:rsidP="006D5C2E">
      <w:r>
        <w:t xml:space="preserve">While the Guidelines provide a framework for decision-makers to assess the potential for in-water cleaning activities to cause harm through the release of antifouling biocides and non-indigenous marine species; the uptake of the Guidelines in Australia </w:t>
      </w:r>
      <w:r w:rsidR="001048F2">
        <w:t>has been</w:t>
      </w:r>
      <w:r>
        <w:t xml:space="preserve"> low. In part, this is a result of an unclear approval process for developers and users of IWC technologies, which has </w:t>
      </w:r>
      <w:r w:rsidR="00854CFB">
        <w:t>highlighted the need to clarify</w:t>
      </w:r>
      <w:r>
        <w:t xml:space="preserve"> decision-making processes</w:t>
      </w:r>
      <w:r w:rsidR="00854CFB">
        <w:t>, roles</w:t>
      </w:r>
      <w:r w:rsidR="00AA32FC">
        <w:t>,</w:t>
      </w:r>
      <w:r>
        <w:t xml:space="preserve"> and legislati</w:t>
      </w:r>
      <w:r w:rsidR="00854CFB">
        <w:t>ve frameworks</w:t>
      </w:r>
      <w:r>
        <w:t xml:space="preserve">. With an increase in IWC requests and increase in regulation of risk associated with biofouling in </w:t>
      </w:r>
      <w:r w:rsidR="00854CFB">
        <w:t xml:space="preserve">the Australasian </w:t>
      </w:r>
      <w:r>
        <w:t>region, it is timely to develop a new standard for IWC that can facilitate environmentally re</w:t>
      </w:r>
      <w:r w:rsidR="00827747">
        <w:t>sponsible cleaning activities.</w:t>
      </w:r>
    </w:p>
    <w:p w14:paraId="69838134" w14:textId="77777777" w:rsidR="006D5C2E" w:rsidRDefault="00F56B54" w:rsidP="006D5C2E">
      <w:r>
        <w:t xml:space="preserve">This report assesses </w:t>
      </w:r>
      <w:r w:rsidR="005862E6">
        <w:t xml:space="preserve">the current </w:t>
      </w:r>
      <w:r w:rsidR="009D1AFD">
        <w:t xml:space="preserve">knowledge on </w:t>
      </w:r>
      <w:r>
        <w:t>t</w:t>
      </w:r>
      <w:r w:rsidRPr="00275464">
        <w:t xml:space="preserve">he potential for </w:t>
      </w:r>
      <w:r w:rsidR="00386546">
        <w:t xml:space="preserve">risks associated with the </w:t>
      </w:r>
      <w:r w:rsidR="002622C9">
        <w:t xml:space="preserve">chemical </w:t>
      </w:r>
      <w:r w:rsidRPr="00275464">
        <w:t>contamina</w:t>
      </w:r>
      <w:r>
        <w:t>tion</w:t>
      </w:r>
      <w:r w:rsidR="002622C9">
        <w:t xml:space="preserve"> of the environme</w:t>
      </w:r>
      <w:r w:rsidR="00003060">
        <w:t>nt</w:t>
      </w:r>
      <w:r>
        <w:t xml:space="preserve"> from IWC </w:t>
      </w:r>
      <w:r w:rsidR="00AA32FC">
        <w:t xml:space="preserve">of vessels </w:t>
      </w:r>
      <w:r>
        <w:t>and</w:t>
      </w:r>
      <w:r w:rsidR="00AA32FC">
        <w:t>,</w:t>
      </w:r>
      <w:r>
        <w:t xml:space="preserve"> </w:t>
      </w:r>
      <w:r w:rsidR="00AA32FC">
        <w:t xml:space="preserve">where necessary, </w:t>
      </w:r>
      <w:r>
        <w:t>provides recommendations on contamination mitigation and/or treatment measures.</w:t>
      </w:r>
      <w:r w:rsidR="001048F2">
        <w:t xml:space="preserve"> Biosecurity risks associated with in-water cleaning are not within the scope of this report, however</w:t>
      </w:r>
      <w:r w:rsidR="00FC6845">
        <w:t>,</w:t>
      </w:r>
      <w:r w:rsidR="001048F2">
        <w:t xml:space="preserve"> are being addressed in two separate parallel studies. One study assessed the minimum viable propagule sizes of macrofouling </w:t>
      </w:r>
      <w:r w:rsidR="00386546">
        <w:t xml:space="preserve">organisms </w:t>
      </w:r>
      <w:r w:rsidR="001048F2">
        <w:t>that could be released during IWC and another modelled IWC cleaning scenarios in three different Australian port environments.</w:t>
      </w:r>
    </w:p>
    <w:p w14:paraId="7500A0F9" w14:textId="77777777" w:rsidR="00C43DEC" w:rsidRPr="000047CC" w:rsidRDefault="00F56B54" w:rsidP="006D5C2E">
      <w:pPr>
        <w:rPr>
          <w:rFonts w:asciiTheme="majorHAnsi" w:hAnsiTheme="majorHAnsi"/>
        </w:rPr>
      </w:pPr>
      <w:r>
        <w:t>T</w:t>
      </w:r>
      <w:r w:rsidR="006D5C2E">
        <w:t xml:space="preserve">he primary method to </w:t>
      </w:r>
      <w:r w:rsidR="006D5C2E" w:rsidRPr="000047CC">
        <w:rPr>
          <w:rFonts w:asciiTheme="majorHAnsi" w:hAnsiTheme="majorHAnsi"/>
        </w:rPr>
        <w:t xml:space="preserve">limit the growth of marine organisms on vessel hulls is the application of coatings that prevent or deter </w:t>
      </w:r>
      <w:r w:rsidRPr="000047CC">
        <w:rPr>
          <w:rFonts w:asciiTheme="majorHAnsi" w:hAnsiTheme="majorHAnsi"/>
        </w:rPr>
        <w:t xml:space="preserve">the </w:t>
      </w:r>
      <w:r w:rsidR="006D5C2E" w:rsidRPr="000047CC">
        <w:rPr>
          <w:rFonts w:asciiTheme="majorHAnsi" w:hAnsiTheme="majorHAnsi"/>
        </w:rPr>
        <w:t xml:space="preserve">settlement, attachment and/or maturation </w:t>
      </w:r>
      <w:r w:rsidRPr="000047CC">
        <w:rPr>
          <w:rFonts w:asciiTheme="majorHAnsi" w:hAnsiTheme="majorHAnsi"/>
        </w:rPr>
        <w:t xml:space="preserve">of organisms on </w:t>
      </w:r>
      <w:r w:rsidR="006D5C2E" w:rsidRPr="000047CC">
        <w:rPr>
          <w:rFonts w:asciiTheme="majorHAnsi" w:hAnsiTheme="majorHAnsi"/>
        </w:rPr>
        <w:t xml:space="preserve">immersed surfaces. This is </w:t>
      </w:r>
      <w:r w:rsidR="00D21B08">
        <w:rPr>
          <w:rFonts w:asciiTheme="majorHAnsi" w:hAnsiTheme="majorHAnsi"/>
        </w:rPr>
        <w:t xml:space="preserve">typically </w:t>
      </w:r>
      <w:r>
        <w:rPr>
          <w:rFonts w:asciiTheme="majorHAnsi" w:hAnsiTheme="majorHAnsi"/>
        </w:rPr>
        <w:t>achieve</w:t>
      </w:r>
      <w:r w:rsidR="002622C9">
        <w:rPr>
          <w:rFonts w:asciiTheme="majorHAnsi" w:hAnsiTheme="majorHAnsi"/>
        </w:rPr>
        <w:t>d</w:t>
      </w:r>
      <w:r>
        <w:rPr>
          <w:rFonts w:asciiTheme="majorHAnsi" w:hAnsiTheme="majorHAnsi"/>
        </w:rPr>
        <w:t xml:space="preserve"> </w:t>
      </w:r>
      <w:r w:rsidR="00FB172B">
        <w:rPr>
          <w:rFonts w:asciiTheme="majorHAnsi" w:hAnsiTheme="majorHAnsi"/>
        </w:rPr>
        <w:t>by</w:t>
      </w:r>
      <w:r w:rsidRPr="000047CC">
        <w:rPr>
          <w:rFonts w:asciiTheme="majorHAnsi" w:hAnsiTheme="majorHAnsi"/>
        </w:rPr>
        <w:t xml:space="preserve"> one of two mechanisms</w:t>
      </w:r>
      <w:r>
        <w:rPr>
          <w:rFonts w:asciiTheme="majorHAnsi" w:hAnsiTheme="majorHAnsi"/>
        </w:rPr>
        <w:t>:</w:t>
      </w:r>
    </w:p>
    <w:p w14:paraId="342C5EAD" w14:textId="77777777" w:rsidR="00C43DEC" w:rsidRPr="00862962" w:rsidRDefault="00F56B54" w:rsidP="00862962">
      <w:pPr>
        <w:pStyle w:val="ListBullet"/>
        <w:rPr>
          <w:rFonts w:asciiTheme="majorHAnsi" w:hAnsiTheme="majorHAnsi"/>
        </w:rPr>
      </w:pPr>
      <w:r w:rsidRPr="00862962">
        <w:rPr>
          <w:rFonts w:asciiTheme="majorHAnsi" w:hAnsiTheme="majorHAnsi"/>
        </w:rPr>
        <w:t xml:space="preserve">“antifouling” biocides </w:t>
      </w:r>
      <w:r w:rsidR="00FB172B" w:rsidRPr="00862962">
        <w:rPr>
          <w:rFonts w:asciiTheme="majorHAnsi" w:hAnsiTheme="majorHAnsi"/>
        </w:rPr>
        <w:t xml:space="preserve">contained within the coating </w:t>
      </w:r>
      <w:r w:rsidRPr="00862962">
        <w:rPr>
          <w:rFonts w:asciiTheme="majorHAnsi" w:hAnsiTheme="majorHAnsi"/>
        </w:rPr>
        <w:t>that are released at or through the coating surface (biocidal coatings)</w:t>
      </w:r>
    </w:p>
    <w:p w14:paraId="2538F42E" w14:textId="77777777" w:rsidR="00C43DEC" w:rsidRPr="00862962" w:rsidRDefault="00F56B54" w:rsidP="00862962">
      <w:pPr>
        <w:pStyle w:val="ListBullet"/>
        <w:rPr>
          <w:rFonts w:asciiTheme="majorHAnsi" w:hAnsiTheme="majorHAnsi"/>
        </w:rPr>
      </w:pPr>
      <w:r w:rsidRPr="00862962">
        <w:rPr>
          <w:rFonts w:asciiTheme="majorHAnsi" w:hAnsiTheme="majorHAnsi"/>
        </w:rPr>
        <w:t xml:space="preserve">coating </w:t>
      </w:r>
      <w:r w:rsidR="006D5C2E" w:rsidRPr="00862962">
        <w:rPr>
          <w:rFonts w:asciiTheme="majorHAnsi" w:hAnsiTheme="majorHAnsi"/>
        </w:rPr>
        <w:t>surface properties that deter settlement</w:t>
      </w:r>
      <w:r w:rsidR="00FC6845" w:rsidRPr="00862962">
        <w:rPr>
          <w:rFonts w:asciiTheme="majorHAnsi" w:hAnsiTheme="majorHAnsi"/>
        </w:rPr>
        <w:t xml:space="preserve"> </w:t>
      </w:r>
      <w:r w:rsidR="006D5C2E" w:rsidRPr="00862962">
        <w:rPr>
          <w:rFonts w:asciiTheme="majorHAnsi" w:hAnsiTheme="majorHAnsi"/>
        </w:rPr>
        <w:t>or facilitate the dislodgement of attached org</w:t>
      </w:r>
      <w:r w:rsidR="009B605F">
        <w:rPr>
          <w:rFonts w:asciiTheme="majorHAnsi" w:hAnsiTheme="majorHAnsi"/>
        </w:rPr>
        <w:t>anisms (biocide-free coatings).</w:t>
      </w:r>
    </w:p>
    <w:p w14:paraId="14FC60AE" w14:textId="77777777" w:rsidR="006D5C2E" w:rsidRDefault="00F56B54" w:rsidP="006D5C2E">
      <w:pPr>
        <w:rPr>
          <w:rFonts w:asciiTheme="majorHAnsi" w:hAnsiTheme="majorHAnsi"/>
        </w:rPr>
      </w:pPr>
      <w:r w:rsidRPr="000047CC">
        <w:rPr>
          <w:rFonts w:asciiTheme="majorHAnsi" w:hAnsiTheme="majorHAnsi"/>
        </w:rPr>
        <w:t>An effective biocidal coating functions by the continual release</w:t>
      </w:r>
      <w:r>
        <w:t xml:space="preserve"> of biocide at the coating surface at a rate sufficient to prevent the attachment of biofouling species. These coatings, which are mostly applied as paints, </w:t>
      </w:r>
      <w:r w:rsidRPr="008E227E">
        <w:rPr>
          <w:rFonts w:asciiTheme="majorHAnsi" w:hAnsiTheme="majorHAnsi"/>
        </w:rPr>
        <w:t xml:space="preserve">release </w:t>
      </w:r>
      <w:r w:rsidR="00FB172B">
        <w:rPr>
          <w:rFonts w:asciiTheme="majorHAnsi" w:hAnsiTheme="majorHAnsi"/>
        </w:rPr>
        <w:t xml:space="preserve">the </w:t>
      </w:r>
      <w:r w:rsidRPr="008E227E">
        <w:rPr>
          <w:rFonts w:asciiTheme="majorHAnsi" w:hAnsiTheme="majorHAnsi"/>
        </w:rPr>
        <w:t>biocide</w:t>
      </w:r>
      <w:r w:rsidR="00FB172B">
        <w:rPr>
          <w:rFonts w:asciiTheme="majorHAnsi" w:hAnsiTheme="majorHAnsi"/>
        </w:rPr>
        <w:t xml:space="preserve">, or biocides, </w:t>
      </w:r>
      <w:r w:rsidRPr="008E227E">
        <w:rPr>
          <w:rFonts w:asciiTheme="majorHAnsi" w:hAnsiTheme="majorHAnsi"/>
        </w:rPr>
        <w:t>into the seawater</w:t>
      </w:r>
      <w:r w:rsidR="00FB172B">
        <w:rPr>
          <w:rFonts w:asciiTheme="majorHAnsi" w:hAnsiTheme="majorHAnsi"/>
        </w:rPr>
        <w:t xml:space="preserve"> by one of several chemical mechanisms</w:t>
      </w:r>
      <w:r w:rsidR="00F408DA">
        <w:rPr>
          <w:rFonts w:asciiTheme="majorHAnsi" w:hAnsiTheme="majorHAnsi"/>
        </w:rPr>
        <w:t xml:space="preserve"> that enable biocide dissolution at the coating surface</w:t>
      </w:r>
      <w:r w:rsidR="00485F95">
        <w:rPr>
          <w:rFonts w:asciiTheme="majorHAnsi" w:hAnsiTheme="majorHAnsi"/>
        </w:rPr>
        <w:t>.</w:t>
      </w:r>
    </w:p>
    <w:p w14:paraId="3115B021" w14:textId="77777777" w:rsidR="00485F95" w:rsidRDefault="00F56B54" w:rsidP="006D5C2E">
      <w:r>
        <w:t xml:space="preserve">Very few biocides have the characteristics needed for use as </w:t>
      </w:r>
      <w:r w:rsidR="00C43DEC">
        <w:t xml:space="preserve">an </w:t>
      </w:r>
      <w:r>
        <w:t>effective antifoulant</w:t>
      </w:r>
      <w:r w:rsidR="005862E6">
        <w:t xml:space="preserve"> while being environmentally benign</w:t>
      </w:r>
      <w:r>
        <w:t>.</w:t>
      </w:r>
      <w:r w:rsidRPr="00485F95">
        <w:t xml:space="preserve"> </w:t>
      </w:r>
      <w:r>
        <w:t>In Australia antifouling biocides and products need approval from the A</w:t>
      </w:r>
      <w:r w:rsidR="00854CFB">
        <w:t xml:space="preserve">ustralian </w:t>
      </w:r>
      <w:r>
        <w:t>P</w:t>
      </w:r>
      <w:r w:rsidR="00854CFB">
        <w:t xml:space="preserve">esticides and </w:t>
      </w:r>
      <w:r>
        <w:t>V</w:t>
      </w:r>
      <w:r w:rsidR="00854CFB">
        <w:t xml:space="preserve">eterinary </w:t>
      </w:r>
      <w:r>
        <w:t>M</w:t>
      </w:r>
      <w:r w:rsidR="00854CFB">
        <w:t xml:space="preserve">edicines </w:t>
      </w:r>
      <w:r>
        <w:t>A</w:t>
      </w:r>
      <w:r w:rsidR="00854CFB">
        <w:t>uthority (APVMA)</w:t>
      </w:r>
      <w:r>
        <w:t xml:space="preserve"> for import, manufacture, sale and use, </w:t>
      </w:r>
      <w:r w:rsidR="007A6CAD">
        <w:t xml:space="preserve">and </w:t>
      </w:r>
      <w:r>
        <w:t>there are only eight biocides used in the 5</w:t>
      </w:r>
      <w:r w:rsidR="00BA266D">
        <w:t>2</w:t>
      </w:r>
      <w:r>
        <w:t xml:space="preserve"> currently approved products. Copper, in the form of cuprous oxide or cuprous thiocyanate, is the primary biocide used in</w:t>
      </w:r>
      <w:r w:rsidR="00314360">
        <w:t xml:space="preserve"> </w:t>
      </w:r>
      <w:r w:rsidR="007A6CAD">
        <w:t>a</w:t>
      </w:r>
      <w:r w:rsidR="00314360">
        <w:t>ntifoul</w:t>
      </w:r>
      <w:r w:rsidR="00F408DA">
        <w:t>ing</w:t>
      </w:r>
      <w:r w:rsidR="00314360">
        <w:t xml:space="preserve"> </w:t>
      </w:r>
      <w:r w:rsidR="007A6CAD">
        <w:t>c</w:t>
      </w:r>
      <w:r w:rsidR="00314360">
        <w:t>oatings (</w:t>
      </w:r>
      <w:r>
        <w:t>AFCs</w:t>
      </w:r>
      <w:r w:rsidR="00314360">
        <w:t>)</w:t>
      </w:r>
      <w:r>
        <w:t>, as it has been for more than a century, and is present in 5</w:t>
      </w:r>
      <w:r w:rsidR="00BA266D">
        <w:t>0</w:t>
      </w:r>
      <w:r>
        <w:t xml:space="preserve"> of the AFCs approved by the APVMA. Approval of some other biocides has not been </w:t>
      </w:r>
      <w:r w:rsidR="00BA266D">
        <w:t>granted or</w:t>
      </w:r>
      <w:r w:rsidR="00DD1A90">
        <w:t xml:space="preserve"> has been</w:t>
      </w:r>
      <w:r>
        <w:t xml:space="preserve"> revoked by the APVMA.</w:t>
      </w:r>
      <w:r w:rsidR="00EE2651">
        <w:t xml:space="preserve"> Many more </w:t>
      </w:r>
      <w:r w:rsidR="007A6CAD">
        <w:t>AFCs</w:t>
      </w:r>
      <w:r w:rsidR="00EE2651">
        <w:t xml:space="preserve"> are available for application to vessels overseas </w:t>
      </w:r>
      <w:r w:rsidR="00EE2651">
        <w:lastRenderedPageBreak/>
        <w:t>and, with the exception of coatings prohibited under the I</w:t>
      </w:r>
      <w:r w:rsidR="000E5656">
        <w:t xml:space="preserve">nternational </w:t>
      </w:r>
      <w:r w:rsidR="00EE2651">
        <w:t>M</w:t>
      </w:r>
      <w:r w:rsidR="000E5656">
        <w:t xml:space="preserve">aritime </w:t>
      </w:r>
      <w:r w:rsidR="00EE2651">
        <w:t>O</w:t>
      </w:r>
      <w:r w:rsidR="000E5656">
        <w:t>rganization’s</w:t>
      </w:r>
      <w:r w:rsidR="00EE2651">
        <w:t xml:space="preserve"> </w:t>
      </w:r>
      <w:r w:rsidR="000E5656">
        <w:t xml:space="preserve">International Convention on the Control of Harmful Anti-fouling on Ships (IMO </w:t>
      </w:r>
      <w:r w:rsidR="00EE2651">
        <w:t>AFS Convention</w:t>
      </w:r>
      <w:r w:rsidR="000E5656">
        <w:t>)</w:t>
      </w:r>
      <w:r w:rsidR="00EE2651">
        <w:t xml:space="preserve">, there are no restrictions on these vessels entering Australian waters. </w:t>
      </w:r>
      <w:r w:rsidR="00EE5361">
        <w:t>Antifoul</w:t>
      </w:r>
      <w:r w:rsidR="00F408DA">
        <w:t>ing</w:t>
      </w:r>
      <w:r w:rsidR="00EE5361">
        <w:t xml:space="preserve"> </w:t>
      </w:r>
      <w:r w:rsidR="00EE2651">
        <w:t>coatings</w:t>
      </w:r>
      <w:r w:rsidR="00EE5361">
        <w:t xml:space="preserve"> o</w:t>
      </w:r>
      <w:r w:rsidR="00F408DA">
        <w:t>n</w:t>
      </w:r>
      <w:r w:rsidR="00EE5361">
        <w:t xml:space="preserve"> international vessels</w:t>
      </w:r>
      <w:r w:rsidR="00EE2651">
        <w:t xml:space="preserve"> may </w:t>
      </w:r>
      <w:r w:rsidR="00EE5361">
        <w:t xml:space="preserve">include </w:t>
      </w:r>
      <w:r w:rsidR="00EE2651">
        <w:t xml:space="preserve">older biocides that are no longer approved by the APVMA, new biocides that are yet to be submitted to the APVMA for approval or, commonly, </w:t>
      </w:r>
      <w:r w:rsidR="00E31C13">
        <w:t xml:space="preserve">biocides </w:t>
      </w:r>
      <w:r w:rsidR="00EE5361">
        <w:t xml:space="preserve">which have been approved by </w:t>
      </w:r>
      <w:r w:rsidR="00E31C13">
        <w:t>APVMA</w:t>
      </w:r>
      <w:r w:rsidR="00EE5361">
        <w:t>, but where</w:t>
      </w:r>
      <w:r w:rsidR="00E31C13">
        <w:t xml:space="preserve"> approval of the </w:t>
      </w:r>
      <w:r w:rsidR="005862E6">
        <w:t xml:space="preserve">formulated </w:t>
      </w:r>
      <w:r w:rsidR="00E31C13">
        <w:t xml:space="preserve">product has not been sought because approval costs cannot be justified </w:t>
      </w:r>
      <w:r w:rsidR="00EE5361">
        <w:t>due to the</w:t>
      </w:r>
      <w:r w:rsidR="00E31C13">
        <w:t xml:space="preserve"> small market and lack of facilities for painting of large ships in Australia.</w:t>
      </w:r>
    </w:p>
    <w:p w14:paraId="2812AF51" w14:textId="77777777" w:rsidR="00827747" w:rsidRDefault="00F56B54" w:rsidP="005A0666">
      <w:r>
        <w:t xml:space="preserve">The process of biofouling development starts with the adsorption of a film of organic and inorganic matter from the seawater, followed by microbial colonisation of this film by bacteria, </w:t>
      </w:r>
      <w:proofErr w:type="gramStart"/>
      <w:r>
        <w:t>microalgae</w:t>
      </w:r>
      <w:proofErr w:type="gramEnd"/>
      <w:r>
        <w:t xml:space="preserve"> and protozoans. This occurs on all surfaces, whether non-biocidal or biocidal. On biocidal coatings, bacteria and microalgae often exude polysaccharides or other substance</w:t>
      </w:r>
      <w:r w:rsidR="007A6CAD">
        <w:t>s</w:t>
      </w:r>
      <w:r>
        <w:t xml:space="preserve"> (slime) that ameliorate the toxicity of the biocide to the microbes. On non-biocidal surfaces, several days to weeks after first immersion, multicellular organisms will settle, </w:t>
      </w:r>
      <w:proofErr w:type="gramStart"/>
      <w:r>
        <w:t>attach</w:t>
      </w:r>
      <w:proofErr w:type="gramEnd"/>
      <w:r>
        <w:t xml:space="preserve"> and grow. An effective antifouling coating will </w:t>
      </w:r>
      <w:r w:rsidR="00C61E5A">
        <w:t xml:space="preserve">maintain </w:t>
      </w:r>
      <w:r>
        <w:t>the biofouling development at the biofilm stage until the biocide release rate drops below that necessary to prevent macrofouling attachment.</w:t>
      </w:r>
    </w:p>
    <w:p w14:paraId="6FDC7B48" w14:textId="77777777" w:rsidR="00827747" w:rsidRDefault="00F56B54" w:rsidP="005A0666">
      <w:r>
        <w:t xml:space="preserve">On biocide-free coatings or surfaces, macrofouling development is largely unconstrained but, for fouling release coatings, the strength of adhesion is </w:t>
      </w:r>
      <w:r w:rsidR="00FC6845">
        <w:t>reduced,</w:t>
      </w:r>
      <w:r>
        <w:t xml:space="preserve"> and organisms can be dislodged by turbulent water movement across the surface, or light mechanical force.</w:t>
      </w:r>
    </w:p>
    <w:p w14:paraId="78727695" w14:textId="77777777" w:rsidR="00F408DA" w:rsidRDefault="00F56B54" w:rsidP="005A0666">
      <w:r>
        <w:t>Once a biocidal surface is immersed, biocide release will commence through the process of hydrolysis</w:t>
      </w:r>
      <w:r w:rsidR="008C3E17">
        <w:t>,</w:t>
      </w:r>
      <w:r>
        <w:t xml:space="preserve"> hydration</w:t>
      </w:r>
      <w:r w:rsidR="008C3E17">
        <w:t xml:space="preserve"> and/or dissolution</w:t>
      </w:r>
      <w:r>
        <w:t xml:space="preserve"> at the coating surface. This changes the surface composition of the coating and three </w:t>
      </w:r>
      <w:r w:rsidR="00EE5361">
        <w:t xml:space="preserve">different </w:t>
      </w:r>
      <w:r>
        <w:t xml:space="preserve">layers develop: the </w:t>
      </w:r>
      <w:r w:rsidR="00595AA9">
        <w:t xml:space="preserve">innermost </w:t>
      </w:r>
      <w:r>
        <w:t>sound</w:t>
      </w:r>
      <w:r w:rsidR="00595AA9">
        <w:t xml:space="preserve"> layer </w:t>
      </w:r>
      <w:r w:rsidR="00C669A0">
        <w:t>of unreacted</w:t>
      </w:r>
      <w:r>
        <w:t xml:space="preserve"> paint, the leached layer</w:t>
      </w:r>
      <w:r w:rsidR="00516BFE">
        <w:t xml:space="preserve"> from which biocide has dissolved but the skeletal paint matrix remains</w:t>
      </w:r>
      <w:r>
        <w:t>, and the surface biofilm</w:t>
      </w:r>
      <w:r w:rsidR="00516BFE">
        <w:t xml:space="preserve"> of microbes and their extracellular exudates</w:t>
      </w:r>
      <w:r>
        <w:t>.</w:t>
      </w:r>
    </w:p>
    <w:p w14:paraId="5A3C3507" w14:textId="77777777" w:rsidR="00134075" w:rsidRDefault="00F56B54" w:rsidP="005A0666">
      <w:r>
        <w:t>Three types of IWC can be defined: hull grooming, proactive cleaning, and reactive cleaning.</w:t>
      </w:r>
    </w:p>
    <w:p w14:paraId="52CB33F8" w14:textId="77777777" w:rsidR="00516BFE" w:rsidRDefault="00F56B54" w:rsidP="005A0666">
      <w:r>
        <w:t>Hull grooming is</w:t>
      </w:r>
      <w:r w:rsidR="008C3E17">
        <w:t xml:space="preserve"> </w:t>
      </w:r>
      <w:r>
        <w:t xml:space="preserve">regular cleaning to remove the biofilm, surface deposits, and friable surface </w:t>
      </w:r>
      <w:r w:rsidR="00134075">
        <w:t xml:space="preserve">from hull surfaces </w:t>
      </w:r>
      <w:r w:rsidR="008C3E17">
        <w:t xml:space="preserve">to </w:t>
      </w:r>
      <w:r w:rsidR="00C55011">
        <w:t xml:space="preserve">reduce </w:t>
      </w:r>
      <w:r w:rsidR="008C3E17">
        <w:t>surface microroughness and viscous drag</w:t>
      </w:r>
      <w:r w:rsidR="000E3062">
        <w:t>.</w:t>
      </w:r>
      <w:r w:rsidR="008C3E17">
        <w:t xml:space="preserve"> </w:t>
      </w:r>
      <w:r w:rsidR="00C55011">
        <w:t xml:space="preserve">The benefit of hull grooming is </w:t>
      </w:r>
      <w:r w:rsidR="00C55011">
        <w:rPr>
          <w:lang w:eastAsia="ja-JP"/>
        </w:rPr>
        <w:t xml:space="preserve">improvement in ship performance and efficiency which reduces environmental impact by reducing drag, fuel consumption, greenhouse gas emissions and costs. </w:t>
      </w:r>
      <w:r w:rsidR="00B90423">
        <w:rPr>
          <w:lang w:eastAsia="ja-JP"/>
        </w:rPr>
        <w:t>Grooming can also</w:t>
      </w:r>
      <w:r w:rsidR="00C55011">
        <w:rPr>
          <w:lang w:eastAsia="ja-JP"/>
        </w:rPr>
        <w:t xml:space="preserve"> eliminate the need for high intensity hull cleaning methods</w:t>
      </w:r>
      <w:r w:rsidR="00C55011" w:rsidRPr="00C55011">
        <w:rPr>
          <w:lang w:eastAsia="ja-JP"/>
        </w:rPr>
        <w:t xml:space="preserve"> </w:t>
      </w:r>
      <w:r w:rsidR="00C55011">
        <w:rPr>
          <w:lang w:eastAsia="ja-JP"/>
        </w:rPr>
        <w:t xml:space="preserve">and increase coating longevity. </w:t>
      </w:r>
      <w:r w:rsidR="008C3E17">
        <w:t>Hull grooming is generally restricted to the planar surfaces of the hull that are prone to hydrodynamic drag.</w:t>
      </w:r>
      <w:r w:rsidR="00012BF9">
        <w:t xml:space="preserve"> Propeller polishing can be considered </w:t>
      </w:r>
      <w:proofErr w:type="gramStart"/>
      <w:r w:rsidR="00012BF9">
        <w:t>similar to</w:t>
      </w:r>
      <w:proofErr w:type="gramEnd"/>
      <w:r w:rsidR="00012BF9">
        <w:t xml:space="preserve"> hull grooming, as it is undertaken to restore the propulsion efficiency of propellers.</w:t>
      </w:r>
    </w:p>
    <w:p w14:paraId="5895968C" w14:textId="77777777" w:rsidR="008C3E17" w:rsidRDefault="00F56B54" w:rsidP="005A0666">
      <w:r>
        <w:t xml:space="preserve">Proactive IWC is the removal of early stages of biofouling to prevent the growth and maturation of </w:t>
      </w:r>
      <w:r w:rsidR="00012BF9">
        <w:t xml:space="preserve">macrofouling </w:t>
      </w:r>
      <w:r>
        <w:t>organisms</w:t>
      </w:r>
      <w:r w:rsidR="00117A17">
        <w:t xml:space="preserve"> </w:t>
      </w:r>
      <w:r w:rsidR="00012BF9">
        <w:t xml:space="preserve">on both hull surfaces and on and within hull niches, </w:t>
      </w:r>
      <w:r w:rsidR="00117A17">
        <w:t>which</w:t>
      </w:r>
      <w:r w:rsidR="00012BF9">
        <w:t>, if established, can significantly impact on vessel efficiency and facilitate marine species translocation. Reactive IWC is the removal of established macrofouling to restore hull efficiency or remove growth consider</w:t>
      </w:r>
      <w:r w:rsidR="00827747">
        <w:t>ed to pose a biosecurity risk.</w:t>
      </w:r>
    </w:p>
    <w:p w14:paraId="7DBD5072" w14:textId="77777777" w:rsidR="00827747" w:rsidRDefault="00F56B54" w:rsidP="005A0666">
      <w:r>
        <w:t>Hull grooming and p</w:t>
      </w:r>
      <w:r w:rsidR="005A0666" w:rsidRPr="005A0666">
        <w:t xml:space="preserve">roactive </w:t>
      </w:r>
      <w:r>
        <w:t xml:space="preserve">IWC are similar in removing </w:t>
      </w:r>
      <w:r w:rsidR="005A0666" w:rsidRPr="005A0666">
        <w:t>the surface biofilm</w:t>
      </w:r>
      <w:r>
        <w:t xml:space="preserve"> and</w:t>
      </w:r>
      <w:r w:rsidR="00134075">
        <w:t>, if present, the early, microscopic stages of newly settled macrofouling</w:t>
      </w:r>
      <w:r w:rsidR="005A0666" w:rsidRPr="005A0666">
        <w:t xml:space="preserve">, and some or </w:t>
      </w:r>
      <w:proofErr w:type="gramStart"/>
      <w:r w:rsidR="005A0666" w:rsidRPr="005A0666">
        <w:t>all of</w:t>
      </w:r>
      <w:proofErr w:type="gramEnd"/>
      <w:r w:rsidR="005A0666" w:rsidRPr="005A0666">
        <w:t xml:space="preserve"> the leached layer.</w:t>
      </w:r>
      <w:r w:rsidR="005A0666">
        <w:t xml:space="preserve"> </w:t>
      </w:r>
      <w:r w:rsidR="005A0666" w:rsidRPr="005A0666">
        <w:t xml:space="preserve">Reactive </w:t>
      </w:r>
      <w:r w:rsidR="00134075">
        <w:t xml:space="preserve">IWC removes </w:t>
      </w:r>
      <w:r w:rsidR="005A0666" w:rsidRPr="005A0666">
        <w:t xml:space="preserve">hard </w:t>
      </w:r>
      <w:r w:rsidR="00134075">
        <w:t>and soft macro</w:t>
      </w:r>
      <w:r w:rsidR="005A0666" w:rsidRPr="005A0666">
        <w:t>fouling</w:t>
      </w:r>
      <w:r w:rsidR="00134075">
        <w:t xml:space="preserve">, together with underlying and </w:t>
      </w:r>
      <w:r w:rsidR="00FC6845">
        <w:t xml:space="preserve">spatially </w:t>
      </w:r>
      <w:r w:rsidR="00134075">
        <w:t xml:space="preserve">interspersed </w:t>
      </w:r>
      <w:r w:rsidR="005A0666" w:rsidRPr="005A0666">
        <w:t xml:space="preserve">biofilm, </w:t>
      </w:r>
      <w:r w:rsidR="00134075">
        <w:t xml:space="preserve">and friable </w:t>
      </w:r>
      <w:r w:rsidR="005A0666" w:rsidRPr="005A0666">
        <w:t>leached layer</w:t>
      </w:r>
      <w:r w:rsidR="00134075">
        <w:t xml:space="preserve">. If aggressive cleaning methods are used for </w:t>
      </w:r>
      <w:r w:rsidR="00134075">
        <w:lastRenderedPageBreak/>
        <w:t xml:space="preserve">proactive or reactive IWC, the </w:t>
      </w:r>
      <w:r w:rsidR="00C55011">
        <w:t xml:space="preserve">outer </w:t>
      </w:r>
      <w:r w:rsidR="00134075">
        <w:t xml:space="preserve">surface of </w:t>
      </w:r>
      <w:r w:rsidR="005A0666" w:rsidRPr="005A0666">
        <w:t>sound paint</w:t>
      </w:r>
      <w:r w:rsidR="00134075">
        <w:t xml:space="preserve"> underlying the leached layer may be removed</w:t>
      </w:r>
      <w:r w:rsidR="005A0666" w:rsidRPr="005A0666">
        <w:t>.</w:t>
      </w:r>
      <w:r w:rsidR="005A0666">
        <w:t xml:space="preserve"> </w:t>
      </w:r>
      <w:r w:rsidR="00775887">
        <w:t xml:space="preserve">Paint flakes may </w:t>
      </w:r>
      <w:r w:rsidR="00134075">
        <w:t xml:space="preserve">also </w:t>
      </w:r>
      <w:r w:rsidR="00775887">
        <w:t xml:space="preserve">be removed </w:t>
      </w:r>
      <w:r w:rsidR="00854CFB">
        <w:t xml:space="preserve">during IWC </w:t>
      </w:r>
      <w:r w:rsidR="00775887">
        <w:t>if the paint system is damaged or defective. Biocide concentrations are higher in sound paint and paint flakes than in the leached layer and/or biofilm.</w:t>
      </w:r>
    </w:p>
    <w:p w14:paraId="62C43294" w14:textId="77777777" w:rsidR="00CC2426" w:rsidRPr="00862962" w:rsidRDefault="00F56B54" w:rsidP="00CC2426">
      <w:pPr>
        <w:rPr>
          <w:rFonts w:asciiTheme="majorHAnsi" w:hAnsiTheme="majorHAnsi"/>
        </w:rPr>
      </w:pPr>
      <w:r>
        <w:rPr>
          <w:lang w:eastAsia="ja-JP"/>
        </w:rPr>
        <w:t xml:space="preserve">The Guidelines </w:t>
      </w:r>
      <w:r>
        <w:t>recommend that, f</w:t>
      </w:r>
      <w:r w:rsidRPr="007F5E08">
        <w:t xml:space="preserve">or contaminant discharges, the “contaminant discharges must meet any local standards or requirements”. </w:t>
      </w:r>
      <w:bookmarkStart w:id="5" w:name="_Hlk51314797"/>
      <w:r>
        <w:t xml:space="preserve">However, </w:t>
      </w:r>
      <w:r w:rsidRPr="007F5E08">
        <w:t xml:space="preserve">Australian Government, State or </w:t>
      </w:r>
      <w:r>
        <w:t xml:space="preserve">Agency </w:t>
      </w:r>
      <w:r w:rsidRPr="007F5E08">
        <w:t>regulatory standards</w:t>
      </w:r>
      <w:r>
        <w:rPr>
          <w:lang w:eastAsia="ja-JP"/>
        </w:rPr>
        <w:t xml:space="preserve"> t</w:t>
      </w:r>
      <w:r w:rsidR="00455199">
        <w:rPr>
          <w:lang w:eastAsia="ja-JP"/>
        </w:rPr>
        <w:t xml:space="preserve">hat are </w:t>
      </w:r>
      <w:r w:rsidR="008051E9">
        <w:rPr>
          <w:lang w:eastAsia="ja-JP"/>
        </w:rPr>
        <w:t xml:space="preserve">directly </w:t>
      </w:r>
      <w:r w:rsidR="00455199">
        <w:rPr>
          <w:lang w:eastAsia="ja-JP"/>
        </w:rPr>
        <w:t xml:space="preserve">relevant to discharges </w:t>
      </w:r>
      <w:r>
        <w:rPr>
          <w:lang w:eastAsia="ja-JP"/>
        </w:rPr>
        <w:t>from IWC systems</w:t>
      </w:r>
      <w:r w:rsidR="008051E9">
        <w:rPr>
          <w:lang w:eastAsia="ja-JP"/>
        </w:rPr>
        <w:t xml:space="preserve"> are not identified</w:t>
      </w:r>
      <w:bookmarkEnd w:id="5"/>
      <w:r>
        <w:rPr>
          <w:lang w:eastAsia="ja-JP"/>
        </w:rPr>
        <w:t xml:space="preserve">. </w:t>
      </w:r>
      <w:r w:rsidR="004F4203">
        <w:t xml:space="preserve">Satisfying authorities that contaminant discharges from IWC are acceptable has therefore proven </w:t>
      </w:r>
      <w:r w:rsidR="00827747">
        <w:t xml:space="preserve">difficult. </w:t>
      </w:r>
      <w:r w:rsidR="004F4203">
        <w:t>MAMPEC (Marine Antifouling Model to Predict Environmental Concentrations) is an integrated hydrodynamic and chemical fate model, developed to predict environmental concentrations for the exposure assessment of antifouling substances</w:t>
      </w:r>
      <w:r w:rsidR="004F4203">
        <w:rPr>
          <w:lang w:eastAsia="ja-JP"/>
        </w:rPr>
        <w:t xml:space="preserve">. </w:t>
      </w:r>
      <w:r w:rsidR="004F4203">
        <w:t xml:space="preserve">The model has been validated for </w:t>
      </w:r>
      <w:proofErr w:type="gramStart"/>
      <w:r w:rsidR="004F4203">
        <w:t>a number of</w:t>
      </w:r>
      <w:proofErr w:type="gramEnd"/>
      <w:r w:rsidR="004F4203">
        <w:t xml:space="preserve"> compounds and has been recognised by regulatory authorities in the</w:t>
      </w:r>
      <w:r w:rsidR="00261C6C">
        <w:t xml:space="preserve"> </w:t>
      </w:r>
      <w:r w:rsidR="00C55011">
        <w:t>EU</w:t>
      </w:r>
      <w:r w:rsidR="004F4203">
        <w:t>, other OECD countries, the</w:t>
      </w:r>
      <w:r w:rsidR="004F4203" w:rsidRPr="00EA3B3E">
        <w:t xml:space="preserve"> </w:t>
      </w:r>
      <w:r w:rsidR="004F4203">
        <w:t xml:space="preserve">USA, Japan, New Zealand and Australia. MAMPEC-BW was developed for the IMO to enable exposure assessment of chemicals </w:t>
      </w:r>
      <w:r w:rsidR="00854CFB">
        <w:t xml:space="preserve">used </w:t>
      </w:r>
      <w:r w:rsidR="004F4203">
        <w:t>in ballast water</w:t>
      </w:r>
      <w:r w:rsidR="00854CFB">
        <w:t xml:space="preserve"> management systems</w:t>
      </w:r>
      <w:r w:rsidR="004F4203">
        <w:t xml:space="preserve">. </w:t>
      </w:r>
      <w:r w:rsidR="00261C6C">
        <w:t>Limited testing of t</w:t>
      </w:r>
      <w:r w:rsidR="004F4203">
        <w:t>he utility of MAMPEC-BW for assessing contamination from IWC treatment systems has been</w:t>
      </w:r>
      <w:r w:rsidR="00261C6C">
        <w:t xml:space="preserve"> undertaken and it is suggested </w:t>
      </w:r>
      <w:r w:rsidR="00C55011">
        <w:t>as a suitable</w:t>
      </w:r>
      <w:r w:rsidR="00261C6C">
        <w:t xml:space="preserve"> approach to model environmental risks associated with IWC</w:t>
      </w:r>
      <w:r w:rsidR="004F4203">
        <w:t>. The model calculates the predicted environmental concentration (P</w:t>
      </w:r>
      <w:r w:rsidR="00455199">
        <w:t xml:space="preserve">EC) of biocides, which </w:t>
      </w:r>
      <w:r w:rsidR="00455199" w:rsidRPr="00862962">
        <w:rPr>
          <w:rFonts w:asciiTheme="majorHAnsi" w:hAnsiTheme="majorHAnsi"/>
        </w:rPr>
        <w:t xml:space="preserve">can then </w:t>
      </w:r>
      <w:r w:rsidR="004F4203" w:rsidRPr="00862962">
        <w:rPr>
          <w:rFonts w:asciiTheme="majorHAnsi" w:hAnsiTheme="majorHAnsi"/>
        </w:rPr>
        <w:t xml:space="preserve">be compared to </w:t>
      </w:r>
      <w:r w:rsidR="00847AC7" w:rsidRPr="00862962">
        <w:rPr>
          <w:rFonts w:asciiTheme="majorHAnsi" w:hAnsiTheme="majorHAnsi"/>
        </w:rPr>
        <w:t>environmental protection standards.</w:t>
      </w:r>
    </w:p>
    <w:p w14:paraId="1BD539B3" w14:textId="77777777" w:rsidR="00827747" w:rsidRDefault="00F56B54" w:rsidP="00CC2426">
      <w:pPr>
        <w:rPr>
          <w:rFonts w:asciiTheme="majorHAnsi" w:hAnsiTheme="majorHAnsi"/>
        </w:rPr>
      </w:pPr>
      <w:r w:rsidRPr="00862962">
        <w:rPr>
          <w:rFonts w:asciiTheme="majorHAnsi" w:hAnsiTheme="majorHAnsi"/>
        </w:rPr>
        <w:t xml:space="preserve">IWC </w:t>
      </w:r>
      <w:r w:rsidR="0042062A">
        <w:rPr>
          <w:rFonts w:asciiTheme="majorHAnsi" w:hAnsiTheme="majorHAnsi"/>
        </w:rPr>
        <w:t>may occur</w:t>
      </w:r>
    </w:p>
    <w:p w14:paraId="5E134B03" w14:textId="77777777" w:rsidR="00C55011" w:rsidRPr="00862962" w:rsidRDefault="00F56B54" w:rsidP="00862962">
      <w:pPr>
        <w:pStyle w:val="ListBullet"/>
      </w:pPr>
      <w:r w:rsidRPr="00862962">
        <w:t>with</w:t>
      </w:r>
      <w:r w:rsidR="005634BF" w:rsidRPr="00862962">
        <w:t>out</w:t>
      </w:r>
      <w:r w:rsidRPr="00862962">
        <w:t xml:space="preserve"> capture or containment of removed biological and chemical waste</w:t>
      </w:r>
    </w:p>
    <w:p w14:paraId="25319AC4" w14:textId="77777777" w:rsidR="00827747" w:rsidRDefault="00F56B54" w:rsidP="00862962">
      <w:pPr>
        <w:pStyle w:val="ListBullet"/>
      </w:pPr>
      <w:r w:rsidRPr="00862962">
        <w:t xml:space="preserve">with capture, </w:t>
      </w:r>
      <w:proofErr w:type="gramStart"/>
      <w:r w:rsidRPr="00862962">
        <w:t>containment</w:t>
      </w:r>
      <w:proofErr w:type="gramEnd"/>
      <w:r w:rsidRPr="00862962">
        <w:t xml:space="preserve"> and mesh filtration of the waste stream</w:t>
      </w:r>
    </w:p>
    <w:p w14:paraId="7B0B2186" w14:textId="77777777" w:rsidR="00827747" w:rsidRDefault="00F56B54" w:rsidP="00862962">
      <w:pPr>
        <w:pStyle w:val="ListBullet"/>
        <w:rPr>
          <w:rFonts w:asciiTheme="majorHAnsi" w:hAnsiTheme="majorHAnsi"/>
        </w:rPr>
      </w:pPr>
      <w:r w:rsidRPr="00862962">
        <w:rPr>
          <w:rFonts w:asciiTheme="majorHAnsi" w:hAnsiTheme="majorHAnsi"/>
        </w:rPr>
        <w:t>with capture, containment, mesh filtration and treatment of the waste stream.</w:t>
      </w:r>
    </w:p>
    <w:p w14:paraId="75120717" w14:textId="77777777" w:rsidR="00827747" w:rsidRDefault="00F56B54" w:rsidP="00C55011">
      <w:r>
        <w:rPr>
          <w:rFonts w:asciiTheme="majorHAnsi" w:hAnsiTheme="majorHAnsi"/>
        </w:rPr>
        <w:t>To contain potential risk associated with</w:t>
      </w:r>
      <w:r w:rsidRPr="00862962">
        <w:rPr>
          <w:rFonts w:asciiTheme="majorHAnsi" w:hAnsiTheme="majorHAnsi"/>
        </w:rPr>
        <w:t xml:space="preserve"> </w:t>
      </w:r>
      <w:r w:rsidR="00847AC7" w:rsidRPr="00862962">
        <w:rPr>
          <w:rFonts w:asciiTheme="majorHAnsi" w:hAnsiTheme="majorHAnsi"/>
        </w:rPr>
        <w:t xml:space="preserve">chemical contaminants, capture, </w:t>
      </w:r>
      <w:proofErr w:type="gramStart"/>
      <w:r w:rsidR="00847AC7" w:rsidRPr="00862962">
        <w:rPr>
          <w:rFonts w:asciiTheme="majorHAnsi" w:hAnsiTheme="majorHAnsi"/>
        </w:rPr>
        <w:t>containment</w:t>
      </w:r>
      <w:proofErr w:type="gramEnd"/>
      <w:r w:rsidR="00847AC7" w:rsidRPr="00862962">
        <w:rPr>
          <w:rFonts w:asciiTheme="majorHAnsi" w:hAnsiTheme="majorHAnsi"/>
        </w:rPr>
        <w:t xml:space="preserve"> and mesh filtration would remove paint flakes and biocide conta</w:t>
      </w:r>
      <w:r w:rsidR="00847AC7">
        <w:t xml:space="preserve">mination associated with the biological waste, but not dissolved or particle-associated chemical contaminants. Adding treatment of the filtrate, by cartridge filtration after mesh filtration, has been demonstrated to significantly reduce the </w:t>
      </w:r>
      <w:r>
        <w:t xml:space="preserve">dissolved (and overall) </w:t>
      </w:r>
      <w:r w:rsidR="00847AC7">
        <w:t>copper concentration in the waste stream</w:t>
      </w:r>
      <w:r w:rsidR="00D53430">
        <w:t>.</w:t>
      </w:r>
    </w:p>
    <w:p w14:paraId="4FA6EF78" w14:textId="77777777" w:rsidR="00847AC7" w:rsidRDefault="00F56B54" w:rsidP="00CC2426">
      <w:r>
        <w:t xml:space="preserve">To ensure </w:t>
      </w:r>
      <w:r w:rsidR="00D53430">
        <w:t xml:space="preserve">in-water </w:t>
      </w:r>
      <w:r w:rsidR="00757069">
        <w:t>grooming and cleaning</w:t>
      </w:r>
      <w:r>
        <w:t xml:space="preserve"> does not </w:t>
      </w:r>
      <w:r w:rsidR="009C0B38">
        <w:t>result in</w:t>
      </w:r>
      <w:r>
        <w:t xml:space="preserve"> </w:t>
      </w:r>
      <w:r w:rsidR="00757069">
        <w:t xml:space="preserve">potentially harmful </w:t>
      </w:r>
      <w:r>
        <w:t xml:space="preserve">chemical </w:t>
      </w:r>
      <w:r w:rsidR="00757069">
        <w:t>concentrations in</w:t>
      </w:r>
      <w:r>
        <w:t xml:space="preserve"> local waters</w:t>
      </w:r>
      <w:r w:rsidR="00725669">
        <w:t xml:space="preserve">, </w:t>
      </w:r>
      <w:r>
        <w:t>IWC should:</w:t>
      </w:r>
    </w:p>
    <w:p w14:paraId="523DC102" w14:textId="77777777" w:rsidR="001E1EFC" w:rsidRDefault="00F56B54" w:rsidP="00862962">
      <w:pPr>
        <w:pStyle w:val="ListBullet"/>
      </w:pPr>
      <w:r>
        <w:t xml:space="preserve">be restricted to areas where growth </w:t>
      </w:r>
      <w:r w:rsidR="00426BB6">
        <w:t xml:space="preserve">on wetted surfaces </w:t>
      </w:r>
      <w:r>
        <w:t xml:space="preserve">is </w:t>
      </w:r>
      <w:r w:rsidR="00757069">
        <w:t xml:space="preserve">considered </w:t>
      </w:r>
      <w:r>
        <w:t>unacceptable</w:t>
      </w:r>
      <w:r w:rsidR="00757069">
        <w:t xml:space="preserve"> to vessel operators or </w:t>
      </w:r>
      <w:r w:rsidR="00227458">
        <w:t>for biosecurity compliance</w:t>
      </w:r>
      <w:r>
        <w:t>, and the least aggressive and most appropriate methods used to achieve the required result.</w:t>
      </w:r>
      <w:r w:rsidR="00827747">
        <w:t xml:space="preserve"> </w:t>
      </w:r>
      <w:r>
        <w:t xml:space="preserve">The cleaning method should be chosen to ensure the coating is not damaged. A combination of methods </w:t>
      </w:r>
      <w:r w:rsidR="00426BB6">
        <w:t xml:space="preserve">is </w:t>
      </w:r>
      <w:r>
        <w:t>likely to be required for the outcome of a ‘clean hull’</w:t>
      </w:r>
    </w:p>
    <w:p w14:paraId="26225194" w14:textId="77777777" w:rsidR="001E1EFC" w:rsidRDefault="00F56B54" w:rsidP="00862962">
      <w:pPr>
        <w:pStyle w:val="ListBullet"/>
      </w:pPr>
      <w:r>
        <w:t>capture and contain paint waste if the coating system is defective and paint flakes are likely to be removed during cleaning</w:t>
      </w:r>
    </w:p>
    <w:p w14:paraId="0DA06B2B" w14:textId="77777777" w:rsidR="00426BB6" w:rsidRPr="0000315B" w:rsidRDefault="00F56B54" w:rsidP="00862962">
      <w:pPr>
        <w:pStyle w:val="ListBullet"/>
      </w:pPr>
      <w:r>
        <w:t>be monitored to ensure the cleaning method is not damaging the coating system</w:t>
      </w:r>
    </w:p>
    <w:p w14:paraId="5E3C0046" w14:textId="77777777" w:rsidR="00426BB6" w:rsidRDefault="00F56B54" w:rsidP="00862962">
      <w:pPr>
        <w:pStyle w:val="ListBullet"/>
      </w:pPr>
      <w:r>
        <w:t xml:space="preserve">if the IWC is to be conducted in a semi-enclosed, inshore environment and/or in close proximity to sensitive areas/threatened species per </w:t>
      </w:r>
      <w:r w:rsidR="00CD6BBB">
        <w:t xml:space="preserve">the </w:t>
      </w:r>
      <w:r w:rsidR="007C0FAB" w:rsidRPr="007C0FAB">
        <w:t xml:space="preserve">Environment Protection and Biodiversity Conservation Act 1999 </w:t>
      </w:r>
      <w:r w:rsidR="007C0FAB">
        <w:t>(</w:t>
      </w:r>
      <w:r>
        <w:t>EPBC Act</w:t>
      </w:r>
      <w:r w:rsidR="007C0FAB">
        <w:t>)</w:t>
      </w:r>
      <w:r>
        <w:t xml:space="preserve"> and all, or sections of the hull plate on the </w:t>
      </w:r>
      <w:r>
        <w:lastRenderedPageBreak/>
        <w:t>vertical sides and/or flat bottom are to be groomed or cleaned, be subject to pre-emptive risk assessment to determine</w:t>
      </w:r>
    </w:p>
    <w:p w14:paraId="3EE36B5A" w14:textId="77777777" w:rsidR="00426BB6" w:rsidRDefault="00F56B54" w:rsidP="00862962">
      <w:pPr>
        <w:pStyle w:val="ListBullet2"/>
      </w:pPr>
      <w:r>
        <w:t>firstly, acceptability of hull grooming without waste capture and treatment for vessels up to a specified size in specified locations</w:t>
      </w:r>
    </w:p>
    <w:p w14:paraId="359A2114" w14:textId="77777777" w:rsidR="00426BB6" w:rsidRDefault="00F56B54" w:rsidP="00862962">
      <w:pPr>
        <w:pStyle w:val="ListBullet2"/>
      </w:pPr>
      <w:r>
        <w:t xml:space="preserve">secondly, acceptability of capture, </w:t>
      </w:r>
      <w:proofErr w:type="gramStart"/>
      <w:r>
        <w:t>containment</w:t>
      </w:r>
      <w:proofErr w:type="gramEnd"/>
      <w:r>
        <w:t xml:space="preserve"> and treatment systems to ensure the low risk of discharges from IWC or hull grooming not acceptable under the previous point</w:t>
      </w:r>
      <w:r w:rsidR="00C12544">
        <w:t>.</w:t>
      </w:r>
    </w:p>
    <w:p w14:paraId="74F3DDBF" w14:textId="77777777" w:rsidR="00847AC7" w:rsidRDefault="00F56B54" w:rsidP="00847AC7">
      <w:r>
        <w:t xml:space="preserve">IWC should </w:t>
      </w:r>
      <w:r w:rsidRPr="001967C4">
        <w:rPr>
          <w:u w:val="single"/>
        </w:rPr>
        <w:t>not</w:t>
      </w:r>
      <w:r>
        <w:t>:</w:t>
      </w:r>
    </w:p>
    <w:p w14:paraId="4A8ECE4A" w14:textId="77777777" w:rsidR="00847AC7" w:rsidRDefault="00F56B54" w:rsidP="00862962">
      <w:pPr>
        <w:pStyle w:val="ListBullet"/>
      </w:pPr>
      <w:r>
        <w:t>damage the coating</w:t>
      </w:r>
    </w:p>
    <w:p w14:paraId="638CC7EB" w14:textId="77777777" w:rsidR="00A179D7" w:rsidRDefault="00F56B54" w:rsidP="00862962">
      <w:pPr>
        <w:pStyle w:val="ListBullet"/>
      </w:pPr>
      <w:r>
        <w:t>cut deeply in to sound paint below the leached layer</w:t>
      </w:r>
    </w:p>
    <w:p w14:paraId="2ADE76D0" w14:textId="77777777" w:rsidR="00A179D7" w:rsidRDefault="00F56B54" w:rsidP="00862962">
      <w:pPr>
        <w:pStyle w:val="ListBullet"/>
      </w:pPr>
      <w:r>
        <w:t>be performed in shallow, semi-enclosed water bodies without an acceptable risk assessment</w:t>
      </w:r>
    </w:p>
    <w:p w14:paraId="3380C761" w14:textId="77777777" w:rsidR="00A179D7" w:rsidRDefault="00F56B54" w:rsidP="00862962">
      <w:pPr>
        <w:pStyle w:val="ListBullet"/>
      </w:pPr>
      <w:r>
        <w:t>be permitted if the vessel does not have a valid International Anti-Fouling System Certificate or Declaration on Anti-Fouling System that lists biocides present in the coating</w:t>
      </w:r>
    </w:p>
    <w:p w14:paraId="6E6DA875" w14:textId="77777777" w:rsidR="00847AC7" w:rsidRDefault="00F56B54" w:rsidP="00862962">
      <w:pPr>
        <w:pStyle w:val="ListBullet"/>
      </w:pPr>
      <w:r>
        <w:t xml:space="preserve">be permitted if the AFC contains diuron, cybutryne, </w:t>
      </w:r>
      <w:r w:rsidR="00C669A0">
        <w:t>ziram, chlorothalonil</w:t>
      </w:r>
      <w:r w:rsidR="003863C9">
        <w:t>, or other biocides restricted o</w:t>
      </w:r>
      <w:r w:rsidR="009B605F">
        <w:t>r banned elsewhere in the world</w:t>
      </w:r>
    </w:p>
    <w:p w14:paraId="7FE470A2" w14:textId="77777777" w:rsidR="00A179D7" w:rsidRDefault="00F56B54" w:rsidP="00862962">
      <w:pPr>
        <w:pStyle w:val="ListBullet"/>
      </w:pPr>
      <w:r>
        <w:t xml:space="preserve">be permitted if the specified service-life for the antifouling systems applied at the last dry-docking has been </w:t>
      </w:r>
      <w:r w:rsidR="00C669A0">
        <w:t>exceeded</w:t>
      </w:r>
    </w:p>
    <w:p w14:paraId="79C1F8D9" w14:textId="77777777" w:rsidR="00847AC7" w:rsidRDefault="00F56B54" w:rsidP="00862962">
      <w:pPr>
        <w:pStyle w:val="ListBullet"/>
      </w:pPr>
      <w:r>
        <w:t xml:space="preserve">be permitted </w:t>
      </w:r>
      <w:r w:rsidR="003863C9">
        <w:t xml:space="preserve">if the end of the service life and scheduled dry-docking is within </w:t>
      </w:r>
      <w:r w:rsidR="00E36C34">
        <w:t xml:space="preserve">3 months for hull grooming and proactive cleaning or </w:t>
      </w:r>
      <w:r w:rsidR="003863C9">
        <w:t>6 months</w:t>
      </w:r>
      <w:r w:rsidR="00E36C34">
        <w:t xml:space="preserve"> for reactive cleaning</w:t>
      </w:r>
    </w:p>
    <w:p w14:paraId="2174A2BB" w14:textId="77777777" w:rsidR="00847AC7" w:rsidRDefault="00F56B54" w:rsidP="00862962">
      <w:pPr>
        <w:pStyle w:val="ListBullet"/>
      </w:pPr>
      <w:r>
        <w:t>be undertaken if there is extensive significant coating system breakdown with flaking or lifting of the paint. The vessel should, instead, be dry-docked for coating system</w:t>
      </w:r>
      <w:r w:rsidR="009B605F">
        <w:t xml:space="preserve"> repair, </w:t>
      </w:r>
      <w:proofErr w:type="gramStart"/>
      <w:r w:rsidR="009B605F">
        <w:t>renewal</w:t>
      </w:r>
      <w:proofErr w:type="gramEnd"/>
      <w:r w:rsidR="009B605F">
        <w:t xml:space="preserve"> or replacement</w:t>
      </w:r>
    </w:p>
    <w:p w14:paraId="1293AA31" w14:textId="77777777" w:rsidR="00847AC7" w:rsidRDefault="00F56B54" w:rsidP="00862962">
      <w:pPr>
        <w:pStyle w:val="ListBullet"/>
      </w:pPr>
      <w:r>
        <w:t>be undertaken without capture</w:t>
      </w:r>
      <w:r w:rsidR="00C12544">
        <w:t xml:space="preserve"> and, for biocid</w:t>
      </w:r>
      <w:r w:rsidR="00494FB9">
        <w:t>al coatings, treatment</w:t>
      </w:r>
      <w:r>
        <w:t xml:space="preserve"> if there </w:t>
      </w:r>
      <w:r w:rsidR="00A61877">
        <w:t xml:space="preserve">are </w:t>
      </w:r>
      <w:r>
        <w:t>areas of significant breakdown and cleaning is required for emergency reasons</w:t>
      </w:r>
      <w:r w:rsidR="00475307">
        <w:t xml:space="preserve"> such as marine pest emergencies</w:t>
      </w:r>
      <w:r w:rsidR="009B605F">
        <w:t>.</w:t>
      </w:r>
    </w:p>
    <w:p w14:paraId="45F4CD80" w14:textId="77777777" w:rsidR="00AA441A" w:rsidRDefault="00F56B54" w:rsidP="00AA441A">
      <w:r>
        <w:t xml:space="preserve">To refine and improve outcomes of the above recommendations on risk assessment, additional data of benefit </w:t>
      </w:r>
      <w:r w:rsidR="00494FB9">
        <w:t>could include</w:t>
      </w:r>
      <w:r w:rsidR="00F256BE">
        <w:t>:</w:t>
      </w:r>
    </w:p>
    <w:p w14:paraId="5B7C8E13" w14:textId="77777777" w:rsidR="00AA441A" w:rsidRDefault="00F56B54" w:rsidP="00862962">
      <w:pPr>
        <w:pStyle w:val="ListBullet"/>
      </w:pPr>
      <w:r>
        <w:t xml:space="preserve">if not already available, </w:t>
      </w:r>
      <w:proofErr w:type="gramStart"/>
      <w:r>
        <w:t>physical</w:t>
      </w:r>
      <w:proofErr w:type="gramEnd"/>
      <w:r>
        <w:t xml:space="preserve"> and hydrological parameters for harbours and other water bodies where IWC could be undertaken to define those locations in MAMPEC modelling</w:t>
      </w:r>
    </w:p>
    <w:p w14:paraId="5463624A" w14:textId="77777777" w:rsidR="00AA441A" w:rsidRDefault="00F56B54" w:rsidP="00862962">
      <w:pPr>
        <w:pStyle w:val="ListBullet"/>
      </w:pPr>
      <w:r>
        <w:t xml:space="preserve">additional measurements of the biocide content of the leached layer and </w:t>
      </w:r>
      <w:r w:rsidR="00F256BE">
        <w:t xml:space="preserve">surface </w:t>
      </w:r>
      <w:r>
        <w:t>biofilm</w:t>
      </w:r>
      <w:r w:rsidR="00F256BE">
        <w:t>s</w:t>
      </w:r>
      <w:r>
        <w:t>, including different AFC</w:t>
      </w:r>
      <w:r w:rsidR="00F256BE">
        <w:t xml:space="preserve"> type</w:t>
      </w:r>
      <w:r>
        <w:t>s and ages</w:t>
      </w:r>
      <w:r w:rsidR="000637B2">
        <w:t>.</w:t>
      </w:r>
    </w:p>
    <w:p w14:paraId="03BEA699" w14:textId="77777777" w:rsidR="00AA441A" w:rsidRDefault="00AA441A" w:rsidP="00862962">
      <w:pPr>
        <w:pStyle w:val="ListBullet"/>
        <w:sectPr w:rsidR="00AA441A" w:rsidSect="009B605F">
          <w:headerReference w:type="default" r:id="rId13"/>
          <w:footerReference w:type="default" r:id="rId14"/>
          <w:headerReference w:type="first" r:id="rId15"/>
          <w:pgSz w:w="11906" w:h="16838"/>
          <w:pgMar w:top="1418" w:right="1418" w:bottom="1418" w:left="1418" w:header="567" w:footer="283" w:gutter="0"/>
          <w:pgNumType w:fmt="lowerRoman" w:start="1"/>
          <w:cols w:space="708"/>
          <w:titlePg/>
          <w:docGrid w:linePitch="360"/>
        </w:sectPr>
      </w:pPr>
    </w:p>
    <w:p w14:paraId="4409FCC5" w14:textId="77777777" w:rsidR="00764D6A" w:rsidRDefault="00F56B54">
      <w:pPr>
        <w:pStyle w:val="Heading2"/>
        <w:numPr>
          <w:ilvl w:val="0"/>
          <w:numId w:val="0"/>
        </w:numPr>
        <w:ind w:left="720" w:hanging="720"/>
      </w:pPr>
      <w:bookmarkStart w:id="6" w:name="_Toc50117646"/>
      <w:r>
        <w:lastRenderedPageBreak/>
        <w:t>Introduction</w:t>
      </w:r>
      <w:bookmarkEnd w:id="4"/>
      <w:bookmarkEnd w:id="6"/>
    </w:p>
    <w:p w14:paraId="4E32EC74" w14:textId="77777777" w:rsidR="001C52D7" w:rsidRDefault="00F56B54" w:rsidP="00620BBF">
      <w:r>
        <w:t>T</w:t>
      </w:r>
      <w:r w:rsidR="00CF20FB" w:rsidRPr="00CF20FB">
        <w:t>he accumulation of organisms on the wetted su</w:t>
      </w:r>
      <w:r w:rsidR="00C20BA7">
        <w:t>rfaces of vessels</w:t>
      </w:r>
      <w:r>
        <w:t xml:space="preserve">, commonly known as biofouling, is a major issue for </w:t>
      </w:r>
      <w:r w:rsidR="00CF20FB" w:rsidRPr="00CF20FB">
        <w:t>shipping</w:t>
      </w:r>
      <w:r>
        <w:t xml:space="preserve"> worldwide, causing </w:t>
      </w:r>
      <w:r w:rsidR="00CF20FB" w:rsidRPr="00CF20FB">
        <w:t xml:space="preserve">reductions in vessel </w:t>
      </w:r>
      <w:r>
        <w:t>performance and fuel efficiency</w:t>
      </w:r>
      <w:r w:rsidR="0046522A">
        <w:t>,</w:t>
      </w:r>
      <w:r w:rsidR="00CF20FB" w:rsidRPr="00CF20FB">
        <w:t xml:space="preserve"> and increas</w:t>
      </w:r>
      <w:r>
        <w:t>ing vessel</w:t>
      </w:r>
      <w:r w:rsidR="00CF20FB" w:rsidRPr="00CF20FB">
        <w:t xml:space="preserve"> emissions. Vessel biofouling is also a </w:t>
      </w:r>
      <w:r w:rsidR="00C456C5">
        <w:t>vector</w:t>
      </w:r>
      <w:r w:rsidR="00CF20FB" w:rsidRPr="00CF20FB">
        <w:t xml:space="preserve"> for the </w:t>
      </w:r>
      <w:r w:rsidR="00C456C5">
        <w:t>translocation and establishment</w:t>
      </w:r>
      <w:r w:rsidR="00CF20FB" w:rsidRPr="00CF20FB">
        <w:t xml:space="preserve"> of marine </w:t>
      </w:r>
      <w:r>
        <w:t>pests, which can have serious impacts on marine environments and industries</w:t>
      </w:r>
      <w:r w:rsidR="009B605F">
        <w:t>.</w:t>
      </w:r>
    </w:p>
    <w:p w14:paraId="12A604A5" w14:textId="77777777" w:rsidR="006D715B" w:rsidRDefault="00F56B54" w:rsidP="00620BBF">
      <w:r w:rsidRPr="001C52D7">
        <w:t>In-water cleaning</w:t>
      </w:r>
      <w:r>
        <w:t xml:space="preserve"> can increase vessel efficiency and manage biosecurity risks by</w:t>
      </w:r>
      <w:r w:rsidRPr="001C52D7">
        <w:t xml:space="preserve"> removing the bioﬁlm and fouling from the hull of a ship using mechanical methods, such as brushes or water jets. This can either be done proactively, as part of a biofouling management plan, or reactively, to remove biofouling on vessels in which preventative management has been ineffective or inadequately maintained. </w:t>
      </w:r>
      <w:r>
        <w:t xml:space="preserve">Whilst in water cleaning or treatment is an important tool for managing biofouling it also presents </w:t>
      </w:r>
      <w:proofErr w:type="gramStart"/>
      <w:r>
        <w:t>a number of</w:t>
      </w:r>
      <w:proofErr w:type="gramEnd"/>
      <w:r w:rsidRPr="006D715B">
        <w:t xml:space="preserve"> biosecurity and water quality risks</w:t>
      </w:r>
      <w:r w:rsidR="008A4ED9">
        <w:t xml:space="preserve"> which need to be managed to ensure that cleaning is not deleterious to the environment</w:t>
      </w:r>
      <w:r w:rsidRPr="006D715B">
        <w:t>.</w:t>
      </w:r>
    </w:p>
    <w:p w14:paraId="060CF401" w14:textId="77777777" w:rsidR="00620BBF" w:rsidRDefault="00F56B54" w:rsidP="00620BBF">
      <w:r>
        <w:t xml:space="preserve">The Department of Agriculture, </w:t>
      </w:r>
      <w:proofErr w:type="gramStart"/>
      <w:r>
        <w:t>Water</w:t>
      </w:r>
      <w:proofErr w:type="gramEnd"/>
      <w:r>
        <w:t xml:space="preserve"> and the Environment </w:t>
      </w:r>
      <w:bookmarkStart w:id="7" w:name="_Toc430782151"/>
      <w:r w:rsidR="00997752">
        <w:t xml:space="preserve">(department) </w:t>
      </w:r>
      <w:r>
        <w:t>is developing national standard</w:t>
      </w:r>
      <w:r w:rsidR="00347318">
        <w:t>s</w:t>
      </w:r>
      <w:r>
        <w:t xml:space="preserve"> for in-water cleaning </w:t>
      </w:r>
      <w:r w:rsidR="00F256BE">
        <w:t xml:space="preserve">(IWC) </w:t>
      </w:r>
      <w:r>
        <w:t>of biofouling in the Australian Territorial Sea</w:t>
      </w:r>
      <w:r w:rsidR="00C20BA7">
        <w:t xml:space="preserve"> to manage the biosecurity and contaminant risks posed by </w:t>
      </w:r>
      <w:r w:rsidR="006D715B">
        <w:t>IWC</w:t>
      </w:r>
      <w:r>
        <w:t>. This was a direct recommendation of a 2018 review of the uptake and effectiveness of the Australian and New Zealand Anti-Fouling and In-Water Cleaning Guidelines (the Guidelines) that was undertaken by the Marine Pest Sectoral Committee.</w:t>
      </w:r>
    </w:p>
    <w:p w14:paraId="39F97779" w14:textId="77777777" w:rsidR="00CE4E47" w:rsidRDefault="00F56B54" w:rsidP="00620BBF">
      <w:r>
        <w:t xml:space="preserve">Development of a national IWC Standard will provide vessel owners and operators and in-water cleaning companies with a tool to manage the </w:t>
      </w:r>
      <w:r w:rsidR="00C456C5">
        <w:t>environmental risks</w:t>
      </w:r>
      <w:r>
        <w:t xml:space="preserve"> posed by vessel biofouling and</w:t>
      </w:r>
      <w:r w:rsidR="00C456C5">
        <w:t xml:space="preserve"> by</w:t>
      </w:r>
      <w:r>
        <w:t xml:space="preserve"> in-water cleaning operations within </w:t>
      </w:r>
      <w:r w:rsidR="00C456C5">
        <w:t>the Australian Territorial Sea</w:t>
      </w:r>
      <w:r w:rsidR="000308F2">
        <w:t>, particularly in light of proposed mandatory Australian Biofouling Management Regulations</w:t>
      </w:r>
      <w:r w:rsidR="00C456C5">
        <w:t xml:space="preserve">. </w:t>
      </w:r>
      <w:r w:rsidR="00CF20FB" w:rsidRPr="00CF20FB">
        <w:t>The standard would outline the requirements for undertaking in-water cleaning and the standards for discharge and capture of biological matter. Chemical release from IWC will be required to meet the legislative requirements of the local region where the cleaning is to occur.</w:t>
      </w:r>
    </w:p>
    <w:p w14:paraId="32691DC5" w14:textId="77777777" w:rsidR="00620BBF" w:rsidRDefault="00F56B54" w:rsidP="00620BBF">
      <w:r w:rsidRPr="00E26122">
        <w:t xml:space="preserve">The </w:t>
      </w:r>
      <w:r w:rsidR="00997752">
        <w:t>d</w:t>
      </w:r>
      <w:r w:rsidR="00B2304E">
        <w:t xml:space="preserve">epartment </w:t>
      </w:r>
      <w:r w:rsidR="00347318">
        <w:t>is gathering</w:t>
      </w:r>
      <w:r>
        <w:t xml:space="preserve"> scientific, </w:t>
      </w:r>
      <w:proofErr w:type="gramStart"/>
      <w:r>
        <w:t>technical</w:t>
      </w:r>
      <w:proofErr w:type="gramEnd"/>
      <w:r>
        <w:t xml:space="preserve"> and applied expertise to fill knowledge gaps surrounding risks associated with in-water cleaning of biofouling. This information will contribute to the development of the evidence base that supports the development of a </w:t>
      </w:r>
      <w:r w:rsidR="00347318">
        <w:t xml:space="preserve">new </w:t>
      </w:r>
      <w:r w:rsidR="00E074E3" w:rsidRPr="00E074E3">
        <w:t xml:space="preserve">national standards for in-water cleaning (IWC) </w:t>
      </w:r>
      <w:r w:rsidR="002A277F">
        <w:t>and support decision-making in relation to the treatment of effluent from IWC</w:t>
      </w:r>
      <w:r w:rsidR="009B605F">
        <w:t>.</w:t>
      </w:r>
    </w:p>
    <w:p w14:paraId="05A7ECFB" w14:textId="77777777" w:rsidR="00C76458" w:rsidRDefault="00F56B54" w:rsidP="00C76458">
      <w:pPr>
        <w:rPr>
          <w:rFonts w:asciiTheme="majorHAnsi" w:hAnsiTheme="majorHAnsi"/>
        </w:rPr>
      </w:pPr>
      <w:r>
        <w:t xml:space="preserve">This report addresses </w:t>
      </w:r>
      <w:r w:rsidR="00347318">
        <w:t>t</w:t>
      </w:r>
      <w:r w:rsidRPr="00275464">
        <w:t xml:space="preserve">he potential for contaminant risks to be present in association with in-water cleaning of vessels and </w:t>
      </w:r>
      <w:r w:rsidR="00890B97">
        <w:t xml:space="preserve">where necessary, </w:t>
      </w:r>
      <w:r w:rsidRPr="00275464">
        <w:t xml:space="preserve">recommended </w:t>
      </w:r>
      <w:r w:rsidR="00890B97">
        <w:t>management</w:t>
      </w:r>
      <w:r w:rsidR="00890B97" w:rsidRPr="00275464">
        <w:t xml:space="preserve"> </w:t>
      </w:r>
      <w:r w:rsidRPr="00275464">
        <w:t>measures</w:t>
      </w:r>
      <w:r w:rsidR="00622AA0">
        <w:t>.</w:t>
      </w:r>
      <w:r w:rsidR="002A277F">
        <w:t xml:space="preserve"> </w:t>
      </w:r>
      <w:r w:rsidRPr="005D04C2">
        <w:rPr>
          <w:rFonts w:asciiTheme="majorHAnsi" w:hAnsiTheme="majorHAnsi"/>
        </w:rPr>
        <w:t>The</w:t>
      </w:r>
      <w:r w:rsidR="002A277F" w:rsidRPr="005D04C2">
        <w:rPr>
          <w:rFonts w:asciiTheme="majorHAnsi" w:hAnsiTheme="majorHAnsi"/>
        </w:rPr>
        <w:t xml:space="preserve"> report </w:t>
      </w:r>
      <w:r w:rsidR="002A277F">
        <w:rPr>
          <w:rFonts w:asciiTheme="majorHAnsi" w:hAnsiTheme="majorHAnsi"/>
        </w:rPr>
        <w:t xml:space="preserve">also </w:t>
      </w:r>
      <w:r w:rsidR="002A277F" w:rsidRPr="005D04C2">
        <w:rPr>
          <w:rFonts w:asciiTheme="majorHAnsi" w:hAnsiTheme="majorHAnsi"/>
        </w:rPr>
        <w:t>discusses the</w:t>
      </w:r>
      <w:r w:rsidRPr="005D04C2">
        <w:rPr>
          <w:rFonts w:asciiTheme="majorHAnsi" w:hAnsiTheme="majorHAnsi"/>
        </w:rPr>
        <w:t xml:space="preserve"> appropriateness of different methods of </w:t>
      </w:r>
      <w:r w:rsidR="00890B97" w:rsidRPr="005D04C2">
        <w:rPr>
          <w:rFonts w:asciiTheme="majorHAnsi" w:hAnsiTheme="majorHAnsi"/>
        </w:rPr>
        <w:t>IWC</w:t>
      </w:r>
      <w:r w:rsidRPr="005D04C2">
        <w:rPr>
          <w:rFonts w:asciiTheme="majorHAnsi" w:hAnsiTheme="majorHAnsi"/>
        </w:rPr>
        <w:t xml:space="preserve">, with consideration given to </w:t>
      </w:r>
      <w:r w:rsidR="00890B97" w:rsidRPr="005D04C2">
        <w:rPr>
          <w:rFonts w:asciiTheme="majorHAnsi" w:hAnsiTheme="majorHAnsi"/>
        </w:rPr>
        <w:t xml:space="preserve">antifouling coating (AFC) type, </w:t>
      </w:r>
      <w:r w:rsidRPr="005D04C2">
        <w:rPr>
          <w:rFonts w:asciiTheme="majorHAnsi" w:hAnsiTheme="majorHAnsi"/>
        </w:rPr>
        <w:t xml:space="preserve">age, </w:t>
      </w:r>
      <w:r w:rsidR="00890B97" w:rsidRPr="005D04C2">
        <w:rPr>
          <w:rFonts w:asciiTheme="majorHAnsi" w:hAnsiTheme="majorHAnsi"/>
        </w:rPr>
        <w:t xml:space="preserve">and </w:t>
      </w:r>
      <w:r w:rsidRPr="005D04C2">
        <w:rPr>
          <w:rFonts w:asciiTheme="majorHAnsi" w:hAnsiTheme="majorHAnsi"/>
        </w:rPr>
        <w:t>condition;</w:t>
      </w:r>
      <w:r w:rsidR="00E15BFE" w:rsidRPr="005D04C2">
        <w:rPr>
          <w:rFonts w:asciiTheme="majorHAnsi" w:hAnsiTheme="majorHAnsi"/>
        </w:rPr>
        <w:t xml:space="preserve"> </w:t>
      </w:r>
      <w:r w:rsidRPr="005D04C2">
        <w:rPr>
          <w:rFonts w:asciiTheme="majorHAnsi" w:hAnsiTheme="majorHAnsi"/>
        </w:rPr>
        <w:t xml:space="preserve">the factors that influence efficacy of </w:t>
      </w:r>
      <w:r w:rsidR="00F44AD6" w:rsidRPr="005D04C2">
        <w:rPr>
          <w:rFonts w:asciiTheme="majorHAnsi" w:hAnsiTheme="majorHAnsi"/>
        </w:rPr>
        <w:t>AFC</w:t>
      </w:r>
      <w:r w:rsidRPr="005D04C2">
        <w:rPr>
          <w:rFonts w:asciiTheme="majorHAnsi" w:hAnsiTheme="majorHAnsi"/>
        </w:rPr>
        <w:t>s (e.g. applicator, conditions of application etc.)</w:t>
      </w:r>
      <w:r w:rsidR="002A277F">
        <w:rPr>
          <w:rFonts w:asciiTheme="majorHAnsi" w:hAnsiTheme="majorHAnsi"/>
        </w:rPr>
        <w:t>,</w:t>
      </w:r>
      <w:r w:rsidRPr="005D04C2">
        <w:rPr>
          <w:rFonts w:asciiTheme="majorHAnsi" w:hAnsiTheme="majorHAnsi"/>
        </w:rPr>
        <w:t xml:space="preserve"> and </w:t>
      </w:r>
      <w:r w:rsidR="002A277F">
        <w:rPr>
          <w:rFonts w:asciiTheme="majorHAnsi" w:hAnsiTheme="majorHAnsi"/>
        </w:rPr>
        <w:t xml:space="preserve">makes </w:t>
      </w:r>
      <w:r w:rsidRPr="005D04C2">
        <w:rPr>
          <w:rFonts w:asciiTheme="majorHAnsi" w:hAnsiTheme="majorHAnsi"/>
        </w:rPr>
        <w:t>recommendations on how to take this variability into account</w:t>
      </w:r>
      <w:r w:rsidR="00622AA0" w:rsidRPr="005D04C2">
        <w:rPr>
          <w:rFonts w:asciiTheme="majorHAnsi" w:hAnsiTheme="majorHAnsi"/>
        </w:rPr>
        <w:t>.</w:t>
      </w:r>
    </w:p>
    <w:p w14:paraId="163B0791" w14:textId="77777777" w:rsidR="00732BDA" w:rsidRDefault="00F56B54" w:rsidP="00862962">
      <w:pPr>
        <w:pStyle w:val="Heading2"/>
      </w:pPr>
      <w:bookmarkStart w:id="8" w:name="_Toc430782152"/>
      <w:bookmarkStart w:id="9" w:name="_Toc50117647"/>
      <w:bookmarkEnd w:id="7"/>
      <w:r>
        <w:lastRenderedPageBreak/>
        <w:t xml:space="preserve">Antifouling </w:t>
      </w:r>
      <w:r w:rsidR="009B605F">
        <w:t>c</w:t>
      </w:r>
      <w:r>
        <w:t>oatings</w:t>
      </w:r>
      <w:bookmarkStart w:id="10" w:name="_Toc430782153"/>
      <w:bookmarkEnd w:id="8"/>
      <w:bookmarkEnd w:id="9"/>
    </w:p>
    <w:p w14:paraId="719E09DC" w14:textId="77777777" w:rsidR="00CE4E47" w:rsidRDefault="00F56B54" w:rsidP="00DC23A4">
      <w:r>
        <w:t>All surfaces immersed in the sea become potential sites for colonisation by marine species which can attach directly to the surface, or on, within or between species that have already established on the surface. When the attachment or establishment of these species or communities is unwanted or deleterious, it is commonly termed fouling or biofouling (Dürr 2010). Efforts to prevent or limit fouling growth on vessel hulls date back to at least the Phoenicians who, at around 400 BCE, applied a mixture of arsenic, sulfur and oil to the sides of their vessels (Callow 1996). The following overview on the prevention of biofouling on underwater surfaces draws on, and augments, information in a series of previously published papers and reports (Lewis 1998, Lewis 2002, Lewis 2010, Dafforn et al. 2011, Morrisey et al. 2013, Lewis 2018).</w:t>
      </w:r>
    </w:p>
    <w:p w14:paraId="56ED2200" w14:textId="77777777" w:rsidR="00DD3374" w:rsidRDefault="00F56B54" w:rsidP="00DC23A4">
      <w:r>
        <w:t xml:space="preserve">The primary method to limit the growth of marine organisms on </w:t>
      </w:r>
      <w:r w:rsidR="002978DB">
        <w:t xml:space="preserve">immersed </w:t>
      </w:r>
      <w:r>
        <w:t xml:space="preserve">vessel </w:t>
      </w:r>
      <w:r w:rsidR="002978DB">
        <w:t xml:space="preserve">surfaces </w:t>
      </w:r>
      <w:r>
        <w:t xml:space="preserve">is the application of coatings that prevent or deter their settlement, attachment and/or maturation. This is </w:t>
      </w:r>
      <w:r w:rsidR="00D21B08">
        <w:t xml:space="preserve">typically </w:t>
      </w:r>
      <w:r>
        <w:t xml:space="preserve">achieved by either the coating containing “antifouling” biocides that are released at or through the coating surface (biocidal coatings), or </w:t>
      </w:r>
      <w:r w:rsidR="00711599">
        <w:t xml:space="preserve">by </w:t>
      </w:r>
      <w:r>
        <w:t>having surface properties that deter settlement, or facilitate the dislodgement of attached organisms (biocide-free coatings).</w:t>
      </w:r>
    </w:p>
    <w:p w14:paraId="623E3530" w14:textId="77777777" w:rsidR="00DD3374" w:rsidRDefault="00F56B54" w:rsidP="00862962">
      <w:pPr>
        <w:pStyle w:val="Heading3"/>
      </w:pPr>
      <w:bookmarkStart w:id="11" w:name="_Toc50117648"/>
      <w:r>
        <w:t xml:space="preserve">Biocidal </w:t>
      </w:r>
      <w:r w:rsidR="009B605F">
        <w:t>c</w:t>
      </w:r>
      <w:r>
        <w:t>oatings</w:t>
      </w:r>
      <w:bookmarkEnd w:id="11"/>
    </w:p>
    <w:p w14:paraId="078B4E74" w14:textId="77777777" w:rsidR="00827747" w:rsidRDefault="00F56B54" w:rsidP="009F1B0B">
      <w:r>
        <w:t>An effective biocidal coating functions by the continual release of biocide at the coating surface at a rate sufficient to prevent the attachment of biofouling species. When this rate drops below the critical value, species will begin to settle</w:t>
      </w:r>
      <w:r w:rsidR="00711599">
        <w:t>,</w:t>
      </w:r>
      <w:r w:rsidR="008E227E">
        <w:t xml:space="preserve"> with the initial colonisers </w:t>
      </w:r>
      <w:r w:rsidR="00782FDB">
        <w:t xml:space="preserve">those </w:t>
      </w:r>
      <w:r w:rsidR="008E227E">
        <w:t>species with the highest tolerance to the biocide.</w:t>
      </w:r>
    </w:p>
    <w:p w14:paraId="064D6DB8" w14:textId="77777777" w:rsidR="008E227E" w:rsidRPr="008E227E" w:rsidRDefault="00F56B54" w:rsidP="00DD3374">
      <w:pPr>
        <w:rPr>
          <w:rFonts w:asciiTheme="majorHAnsi" w:hAnsiTheme="majorHAnsi"/>
        </w:rPr>
      </w:pPr>
      <w:r>
        <w:t xml:space="preserve">These coatings, which are mostly applied as paints, </w:t>
      </w:r>
      <w:r w:rsidRPr="008E227E">
        <w:rPr>
          <w:rFonts w:asciiTheme="majorHAnsi" w:hAnsiTheme="majorHAnsi"/>
        </w:rPr>
        <w:t xml:space="preserve">release </w:t>
      </w:r>
      <w:r>
        <w:rPr>
          <w:rFonts w:asciiTheme="majorHAnsi" w:hAnsiTheme="majorHAnsi"/>
        </w:rPr>
        <w:t xml:space="preserve">the </w:t>
      </w:r>
      <w:r w:rsidRPr="008E227E">
        <w:rPr>
          <w:rFonts w:asciiTheme="majorHAnsi" w:hAnsiTheme="majorHAnsi"/>
        </w:rPr>
        <w:t>biocide</w:t>
      </w:r>
      <w:r>
        <w:rPr>
          <w:rFonts w:asciiTheme="majorHAnsi" w:hAnsiTheme="majorHAnsi"/>
        </w:rPr>
        <w:t xml:space="preserve">, or biocides, </w:t>
      </w:r>
      <w:r w:rsidRPr="008E227E">
        <w:rPr>
          <w:rFonts w:asciiTheme="majorHAnsi" w:hAnsiTheme="majorHAnsi"/>
        </w:rPr>
        <w:t>into the seawater</w:t>
      </w:r>
      <w:r>
        <w:rPr>
          <w:rFonts w:asciiTheme="majorHAnsi" w:hAnsiTheme="majorHAnsi"/>
        </w:rPr>
        <w:t xml:space="preserve"> by one of several chemical mechanisms that enable biocide dissolution at the coating surface.</w:t>
      </w:r>
    </w:p>
    <w:p w14:paraId="6376DA73" w14:textId="77777777" w:rsidR="00DC23A4" w:rsidRDefault="00F56B54" w:rsidP="00862962">
      <w:pPr>
        <w:pStyle w:val="Heading4"/>
      </w:pPr>
      <w:bookmarkStart w:id="12" w:name="_Soluble_matrix_(ablative)"/>
      <w:bookmarkEnd w:id="12"/>
      <w:r w:rsidRPr="008E227E">
        <w:t>Soluble matrix (ablative)</w:t>
      </w:r>
    </w:p>
    <w:p w14:paraId="61A746DE" w14:textId="77777777" w:rsidR="00827747" w:rsidRDefault="00F56B54" w:rsidP="00782FDB">
      <w:r>
        <w:t xml:space="preserve">The biocide, or biocides, are dispersed through a sparingly soluble paint matrix. Hydration causes the surface to slowly dissolve to enable the dissolution on the freely associated biocide. Conventional soluble matrix coatings utilise natural rosin as the matrix. The dissolution rate in newer ablative coatings, sometimes called controlled </w:t>
      </w:r>
      <w:r w:rsidR="0042062A">
        <w:t xml:space="preserve">depletion </w:t>
      </w:r>
      <w:r>
        <w:t xml:space="preserve">polymer (CDP) coatings, has been improved by </w:t>
      </w:r>
      <w:r w:rsidR="007368B1">
        <w:t>combining polymeric ingredients with the seawater soluble binder, but the mechanism remains a hydration/dissolution process.</w:t>
      </w:r>
    </w:p>
    <w:p w14:paraId="69568B5D" w14:textId="77777777" w:rsidR="00827747" w:rsidRDefault="00F56B54" w:rsidP="00782FDB">
      <w:r>
        <w:t xml:space="preserve">The service life of soluble matrix coating can be between 18 and 36 months, varying with formulation and service conditions. </w:t>
      </w:r>
      <w:r w:rsidR="00985F8E">
        <w:t xml:space="preserve">Inconsistent ablation and a relatively thick biocide-depleted surface (“leached layer”) can reduce biocide release rates and lead to premature failure, as can the formation of insoluble </w:t>
      </w:r>
      <w:r w:rsidR="00FE13B8">
        <w:t>precipitates</w:t>
      </w:r>
      <w:r w:rsidR="00985F8E">
        <w:t xml:space="preserve"> on the coating surface.</w:t>
      </w:r>
    </w:p>
    <w:p w14:paraId="382D4B06" w14:textId="77777777" w:rsidR="008E227E" w:rsidRDefault="00F56B54" w:rsidP="00862962">
      <w:pPr>
        <w:pStyle w:val="Heading4"/>
      </w:pPr>
      <w:r w:rsidRPr="008E227E">
        <w:t>Insoluble matrix (contact leaching/diffusion</w:t>
      </w:r>
      <w:r w:rsidR="00F20403">
        <w:t>/hard</w:t>
      </w:r>
      <w:r w:rsidRPr="008E227E">
        <w:t>)</w:t>
      </w:r>
    </w:p>
    <w:p w14:paraId="3CA3EFA9" w14:textId="77777777" w:rsidR="00827747" w:rsidRDefault="00F56B54" w:rsidP="00782FDB">
      <w:r>
        <w:t xml:space="preserve">As the name suggests, the binder in these coatings is insoluble and biocide release depends on the biocide particles in the dry paint to be of a density that enables direct contact between them. As biocide </w:t>
      </w:r>
      <w:r w:rsidR="002978DB">
        <w:t xml:space="preserve">particles </w:t>
      </w:r>
      <w:r>
        <w:t xml:space="preserve">close to the surface dissolve, microchannels form within the coating that enable biocide </w:t>
      </w:r>
      <w:r w:rsidR="002978DB">
        <w:t xml:space="preserve">particles </w:t>
      </w:r>
      <w:r>
        <w:t xml:space="preserve">deeper in the film to dissolve and move out of the coating through the microchannels. Insoluble matrix coatings were harder and physically more durable than </w:t>
      </w:r>
      <w:r>
        <w:lastRenderedPageBreak/>
        <w:t>conventional sol</w:t>
      </w:r>
      <w:r w:rsidR="00782FDB">
        <w:t>u</w:t>
      </w:r>
      <w:r>
        <w:t>b</w:t>
      </w:r>
      <w:r w:rsidR="00782FDB">
        <w:t>le</w:t>
      </w:r>
      <w:r>
        <w:t xml:space="preserve"> matrix coatings but, with time, the skeletal matrix becomes clogged with insoluble degradation products</w:t>
      </w:r>
      <w:r w:rsidR="00782FDB">
        <w:t>,</w:t>
      </w:r>
      <w:r>
        <w:t xml:space="preserve"> </w:t>
      </w:r>
      <w:r w:rsidR="002978DB">
        <w:t>resulting</w:t>
      </w:r>
      <w:r>
        <w:t xml:space="preserve"> in a drop in biocide release rates to below effective levels.</w:t>
      </w:r>
    </w:p>
    <w:p w14:paraId="782DEEFF" w14:textId="77777777" w:rsidR="00A53390" w:rsidRPr="008E227E" w:rsidRDefault="00F56B54" w:rsidP="00782FDB">
      <w:r>
        <w:t>Effective service life is generally less than 24 months. Thick leaching layers and insoluble surface precipitates can cause premature failure.</w:t>
      </w:r>
    </w:p>
    <w:p w14:paraId="1536AD37" w14:textId="77777777" w:rsidR="008E227E" w:rsidRDefault="00F56B54" w:rsidP="00862962">
      <w:pPr>
        <w:pStyle w:val="Heading4"/>
      </w:pPr>
      <w:r w:rsidRPr="008E227E">
        <w:t>Self-polishing copolymer (SPC)</w:t>
      </w:r>
    </w:p>
    <w:p w14:paraId="6D9FE521" w14:textId="77777777" w:rsidR="003F6B75" w:rsidRDefault="00F56B54" w:rsidP="00782FDB">
      <w:r>
        <w:t xml:space="preserve">Unlike soluble matrix coatings, the mechanism of biocide release from </w:t>
      </w:r>
      <w:r w:rsidR="003F155A">
        <w:t>SPC</w:t>
      </w:r>
      <w:r w:rsidR="00FE13B8">
        <w:t xml:space="preserve"> c</w:t>
      </w:r>
      <w:r>
        <w:t xml:space="preserve">oatings is through hydrolysis of the copolymer paint matrix. When exposed to seawater, the copolymer </w:t>
      </w:r>
      <w:r w:rsidR="001967C4">
        <w:t>cleaves,</w:t>
      </w:r>
      <w:r w:rsidR="007148DA">
        <w:t xml:space="preserve"> </w:t>
      </w:r>
      <w:r>
        <w:t xml:space="preserve">and part is released. The residual backbone of the copolymer is </w:t>
      </w:r>
      <w:r w:rsidR="00C669A0">
        <w:t>soluble and</w:t>
      </w:r>
      <w:r>
        <w:t xml:space="preserve"> is then released.</w:t>
      </w:r>
      <w:r w:rsidR="00827747">
        <w:t xml:space="preserve"> </w:t>
      </w:r>
      <w:r>
        <w:t>The first SPC antifouling coatings were the tributyltin (TBT) methacrylate copolymers, in which hydrolysis released the biocidal TBT moiety, followed by dissolution of the methacrylate backbone. Co-biocides were added to some TBT SPC coatings to boost performance, particularly for slow or low activity vessels.</w:t>
      </w:r>
    </w:p>
    <w:p w14:paraId="2A260E23" w14:textId="77777777" w:rsidR="00EE476F" w:rsidRDefault="00F56B54" w:rsidP="003F155A">
      <w:r>
        <w:t>Superior performance to conventional coatings was achieved due to the controlled nature of the process providing consistent biocide release rates through</w:t>
      </w:r>
      <w:r w:rsidR="00502CF0">
        <w:t>out</w:t>
      </w:r>
      <w:r>
        <w:t xml:space="preserve"> </w:t>
      </w:r>
      <w:r w:rsidR="00502CF0">
        <w:t xml:space="preserve">coating service </w:t>
      </w:r>
      <w:r>
        <w:t xml:space="preserve">life, polishing of surface micro-roughness to smooth the coating in service, </w:t>
      </w:r>
      <w:r w:rsidR="0045294A">
        <w:t>and minimal development of leached layers.</w:t>
      </w:r>
    </w:p>
    <w:p w14:paraId="10F924F7" w14:textId="77777777" w:rsidR="00827747" w:rsidRDefault="00F56B54" w:rsidP="003F155A">
      <w:r>
        <w:t>Replicating the self</w:t>
      </w:r>
      <w:r w:rsidR="00455199">
        <w:t>-</w:t>
      </w:r>
      <w:r>
        <w:t xml:space="preserve">polishing mechanism in tin-free coatings was challenging to the paint industry, but effective copper, zinc and silyl acrylate coatings are now available which provide similar service </w:t>
      </w:r>
      <w:r w:rsidR="00502CF0">
        <w:t xml:space="preserve">lives </w:t>
      </w:r>
      <w:r>
        <w:t xml:space="preserve">to the TBT SPCs. </w:t>
      </w:r>
      <w:r w:rsidR="00546ACE">
        <w:t>In</w:t>
      </w:r>
      <w:r w:rsidR="00502CF0">
        <w:t xml:space="preserve"> contrast to TBT SPCs, </w:t>
      </w:r>
      <w:r>
        <w:t xml:space="preserve">the biocide is not part of the copolymer, </w:t>
      </w:r>
      <w:r w:rsidR="00502CF0">
        <w:t xml:space="preserve">rather the </w:t>
      </w:r>
      <w:r>
        <w:t>biocides are mixed through the paint.</w:t>
      </w:r>
    </w:p>
    <w:p w14:paraId="410BDFD0" w14:textId="77777777" w:rsidR="0045294A" w:rsidRDefault="00F56B54" w:rsidP="003F155A">
      <w:r>
        <w:t xml:space="preserve">SPC coatings can provide a service life of up to 90 months, depending on the formulation, </w:t>
      </w:r>
      <w:r w:rsidR="00502CF0">
        <w:t>vessel operational profile</w:t>
      </w:r>
      <w:r>
        <w:t>, and application thickness. Specific formulations are marketed for high speed and/or high activity vessels (“hard” formulations), low speed and/or low activity vessels (“soft” formulations), and for low activity and/or static vessel and installations.</w:t>
      </w:r>
      <w:r w:rsidR="007C22D7">
        <w:t xml:space="preserve"> Premature failure can occur if, for example, a hard formulation is on a vessel that has little activity and the polishing rate induced by water flow is insufficient to erode the coating at the rate required to generate the critical biocide release rate. Surface deposits under low flow conditions can also obstruct effective polishing.</w:t>
      </w:r>
    </w:p>
    <w:p w14:paraId="7F95FE5C" w14:textId="77777777" w:rsidR="00827747" w:rsidRDefault="00F56B54" w:rsidP="003F155A">
      <w:r>
        <w:t>In some formulations, termed hybrid CDP/SPC coatings, rosin is added to reduce the cost of the product when the service interval achievable with pure SPC coatings is not needed.</w:t>
      </w:r>
    </w:p>
    <w:p w14:paraId="384BFA6C" w14:textId="77777777" w:rsidR="00F20403" w:rsidRDefault="00F56B54" w:rsidP="00862962">
      <w:pPr>
        <w:pStyle w:val="Heading4"/>
      </w:pPr>
      <w:r>
        <w:t>Biocidal fouling release</w:t>
      </w:r>
    </w:p>
    <w:p w14:paraId="55D2C365" w14:textId="27B8EA7F" w:rsidR="0045294A" w:rsidRPr="008E227E" w:rsidRDefault="00621D86" w:rsidP="003F155A">
      <w:r>
        <w:t>Biocide-free silicone fouling release coatings</w:t>
      </w:r>
      <w:r w:rsidR="007C22D7">
        <w:t xml:space="preserve"> discussed in more detail in</w:t>
      </w:r>
      <w:r w:rsidR="002310DA">
        <w:t xml:space="preserve"> Section </w:t>
      </w:r>
      <w:r w:rsidR="00831ABF">
        <w:t>1.2</w:t>
      </w:r>
      <w:r w:rsidR="007C22D7">
        <w:t xml:space="preserve"> can foul under static or low activity conditions. A silicone</w:t>
      </w:r>
      <w:r w:rsidR="00502CF0">
        <w:t xml:space="preserve">-based </w:t>
      </w:r>
      <w:r w:rsidR="007C22D7">
        <w:t>foul release coating is available that contains a biocide to boost static perfo</w:t>
      </w:r>
      <w:r w:rsidR="00455199">
        <w:t>r</w:t>
      </w:r>
      <w:r w:rsidR="007C22D7">
        <w:t>mance.</w:t>
      </w:r>
    </w:p>
    <w:p w14:paraId="119EE272" w14:textId="77777777" w:rsidR="008E227E" w:rsidRDefault="00F56B54" w:rsidP="00862962">
      <w:pPr>
        <w:pStyle w:val="Heading4"/>
      </w:pPr>
      <w:r w:rsidRPr="008E227E">
        <w:t>Metallic</w:t>
      </w:r>
    </w:p>
    <w:p w14:paraId="1761E058" w14:textId="77777777" w:rsidR="00373CD5" w:rsidRDefault="00F56B54" w:rsidP="003F155A">
      <w:r>
        <w:t xml:space="preserve">Sheathing of wooden ships with copper sheeting was the first authenticated antifouling treatment and </w:t>
      </w:r>
      <w:proofErr w:type="gramStart"/>
      <w:r>
        <w:t>dates back to</w:t>
      </w:r>
      <w:proofErr w:type="gramEnd"/>
      <w:r>
        <w:t xml:space="preserve"> the mid-1700s. The antifouling mechanis</w:t>
      </w:r>
      <w:r w:rsidR="005250F7">
        <w:t>m</w:t>
      </w:r>
      <w:r>
        <w:t xml:space="preserve"> is the release of copper ions as the metal corrodes. The widespread use of copper sheathing was </w:t>
      </w:r>
      <w:r w:rsidR="00F031EE">
        <w:t>superseded</w:t>
      </w:r>
      <w:r>
        <w:t xml:space="preserve"> by antifouling paints in the late 1800s, driven by the introduction of iron ships which could not be sheathed with copper because of the induced galvanic corrosion. Sheathing of wooden and </w:t>
      </w:r>
      <w:r>
        <w:lastRenderedPageBreak/>
        <w:t>fibreglass hulls with cupro-nickel sheet</w:t>
      </w:r>
      <w:r w:rsidR="00FC6845">
        <w:t xml:space="preserve"> </w:t>
      </w:r>
      <w:r>
        <w:t xml:space="preserve">does still </w:t>
      </w:r>
      <w:r w:rsidR="00C669A0">
        <w:t>occur but</w:t>
      </w:r>
      <w:r>
        <w:t xml:space="preserve"> is uncommon. The more common antifouling application of cupro-nickel alloys is for seawater pipework.</w:t>
      </w:r>
    </w:p>
    <w:p w14:paraId="20E85AE6" w14:textId="77777777" w:rsidR="00373CD5" w:rsidRDefault="00F56B54" w:rsidP="005250F7">
      <w:r>
        <w:t xml:space="preserve">A variant of metal sheathing is the incorporation of cupro-nickel particles or flakes into, or onto, an epoxy or other polymer matrix. These coatings are hard and impervious, with the antifouling effect </w:t>
      </w:r>
      <w:r w:rsidR="006B15A0">
        <w:t xml:space="preserve">dependent on metal particles being exposed to seawater at the surface. The coatings are not considered practical for </w:t>
      </w:r>
      <w:r w:rsidR="00C669A0">
        <w:t>vessels but</w:t>
      </w:r>
      <w:r w:rsidR="006B15A0">
        <w:t xml:space="preserve"> are used on offshore and fixed installations and can be effective for 60 months or more.</w:t>
      </w:r>
    </w:p>
    <w:p w14:paraId="0CF3F59C" w14:textId="77777777" w:rsidR="007C22D7" w:rsidRDefault="00F56B54" w:rsidP="00862962">
      <w:pPr>
        <w:pStyle w:val="Heading3"/>
      </w:pPr>
      <w:bookmarkStart w:id="13" w:name="_Toc50117649"/>
      <w:r>
        <w:t>Biocide-</w:t>
      </w:r>
      <w:r w:rsidR="009B605F">
        <w:t>f</w:t>
      </w:r>
      <w:r>
        <w:t xml:space="preserve">ree </w:t>
      </w:r>
      <w:r w:rsidR="009B605F">
        <w:t>c</w:t>
      </w:r>
      <w:r>
        <w:t>oatings</w:t>
      </w:r>
      <w:bookmarkEnd w:id="13"/>
    </w:p>
    <w:p w14:paraId="0622232A" w14:textId="77777777" w:rsidR="00BD5F34" w:rsidRDefault="00F56B54" w:rsidP="006B15A0">
      <w:r>
        <w:t xml:space="preserve">Biocide-free coatings for biofouling management are </w:t>
      </w:r>
      <w:r w:rsidR="0078127D">
        <w:t xml:space="preserve">mostly </w:t>
      </w:r>
      <w:r>
        <w:t xml:space="preserve">either coatings that minimise </w:t>
      </w:r>
      <w:r w:rsidR="005250F7">
        <w:t>the</w:t>
      </w:r>
      <w:r w:rsidR="00F031EE">
        <w:t xml:space="preserve"> </w:t>
      </w:r>
      <w:r>
        <w:t>adhesion strength of biofouling organisms, called foul or fouling release coatings</w:t>
      </w:r>
      <w:r w:rsidR="005250F7">
        <w:t xml:space="preserve"> (FRC)</w:t>
      </w:r>
      <w:r>
        <w:t xml:space="preserve">, or hard, durable </w:t>
      </w:r>
      <w:r w:rsidR="00D21B08">
        <w:t xml:space="preserve">(mechanically resistant) </w:t>
      </w:r>
      <w:r>
        <w:t>coatings that have no active antifouling property, but are able to be regularly scrubbed to remove established marine growth.</w:t>
      </w:r>
    </w:p>
    <w:p w14:paraId="66ABAC4A" w14:textId="77777777" w:rsidR="006B15A0" w:rsidRDefault="00F56B54" w:rsidP="00862962">
      <w:pPr>
        <w:pStyle w:val="Heading4"/>
      </w:pPr>
      <w:r>
        <w:t>Fouling release</w:t>
      </w:r>
    </w:p>
    <w:p w14:paraId="62FD8F43" w14:textId="77777777" w:rsidR="00F1178F" w:rsidRDefault="00F56B54" w:rsidP="005250F7">
      <w:r>
        <w:t xml:space="preserve">Most </w:t>
      </w:r>
      <w:r w:rsidR="005250F7">
        <w:t>FRCs</w:t>
      </w:r>
      <w:r>
        <w:t xml:space="preserve"> are formulated using silicone elastomers</w:t>
      </w:r>
      <w:r w:rsidR="00245BE0">
        <w:t xml:space="preserve"> or fluor</w:t>
      </w:r>
      <w:r w:rsidR="00472E22">
        <w:t>o</w:t>
      </w:r>
      <w:r w:rsidR="00245BE0">
        <w:t>polymers</w:t>
      </w:r>
      <w:r>
        <w:t xml:space="preserve"> to create a surface to which macrofouling organisms cannot securely adhere. Some species </w:t>
      </w:r>
      <w:proofErr w:type="gramStart"/>
      <w:r>
        <w:t>are able to</w:t>
      </w:r>
      <w:proofErr w:type="gramEnd"/>
      <w:r>
        <w:t xml:space="preserve"> attach and grow under static </w:t>
      </w:r>
      <w:r w:rsidR="00C669A0">
        <w:t>conditions but</w:t>
      </w:r>
      <w:r>
        <w:t xml:space="preserve"> can be easily dislodged by turbulent water flow across the surface</w:t>
      </w:r>
      <w:r w:rsidR="005250F7">
        <w:t>,</w:t>
      </w:r>
      <w:r>
        <w:t xml:space="preserve"> or </w:t>
      </w:r>
      <w:r w:rsidR="005250F7">
        <w:t xml:space="preserve">by </w:t>
      </w:r>
      <w:r w:rsidR="00D21B08">
        <w:t xml:space="preserve">non-aggressive </w:t>
      </w:r>
      <w:r>
        <w:t>physical cleaning</w:t>
      </w:r>
      <w:r w:rsidR="00D21B08">
        <w:t xml:space="preserve"> methods</w:t>
      </w:r>
      <w:r>
        <w:t>.</w:t>
      </w:r>
    </w:p>
    <w:p w14:paraId="346DEB43" w14:textId="77777777" w:rsidR="00827747" w:rsidRDefault="00F56B54" w:rsidP="005250F7">
      <w:r>
        <w:t>FRCs</w:t>
      </w:r>
      <w:r w:rsidR="00F1178F">
        <w:t xml:space="preserve"> can be effective for 60 months or more, with the main cause of failure </w:t>
      </w:r>
      <w:r>
        <w:t xml:space="preserve">a consequence of </w:t>
      </w:r>
      <w:r w:rsidR="00F1178F">
        <w:t>mechanical damag</w:t>
      </w:r>
      <w:r>
        <w:t>e due to the susceptibility of these</w:t>
      </w:r>
      <w:r w:rsidR="00F1178F">
        <w:t xml:space="preserve"> </w:t>
      </w:r>
      <w:r w:rsidR="00256833">
        <w:t xml:space="preserve">elastomeric </w:t>
      </w:r>
      <w:r w:rsidR="00F1178F">
        <w:t>coating</w:t>
      </w:r>
      <w:r>
        <w:t>s</w:t>
      </w:r>
      <w:r w:rsidR="00F1178F">
        <w:t xml:space="preserve"> to abrasion damage. </w:t>
      </w:r>
      <w:r>
        <w:t xml:space="preserve">FRCs </w:t>
      </w:r>
      <w:r w:rsidR="00F1178F">
        <w:t>can have better durability than biocidal coatings on sharp edges and projections</w:t>
      </w:r>
      <w:r>
        <w:t xml:space="preserve">, for example on sea chest intake grate bars, </w:t>
      </w:r>
      <w:r w:rsidR="00F1178F">
        <w:t>because of the better edge retention</w:t>
      </w:r>
      <w:r w:rsidR="00256833">
        <w:t xml:space="preserve"> of elastomeric coatings.</w:t>
      </w:r>
    </w:p>
    <w:p w14:paraId="77E72EB8" w14:textId="77777777" w:rsidR="00B12543" w:rsidRDefault="00F56B54" w:rsidP="00862962">
      <w:pPr>
        <w:pStyle w:val="Heading4"/>
      </w:pPr>
      <w:r>
        <w:t>Mechanically resistant</w:t>
      </w:r>
    </w:p>
    <w:p w14:paraId="7AF850AF" w14:textId="77777777" w:rsidR="00B12543" w:rsidRDefault="00F56B54" w:rsidP="005250F7">
      <w:r>
        <w:t xml:space="preserve">These coatings are hard, smooth, and abrasion resistant and </w:t>
      </w:r>
      <w:proofErr w:type="gramStart"/>
      <w:r>
        <w:t>are able to</w:t>
      </w:r>
      <w:proofErr w:type="gramEnd"/>
      <w:r>
        <w:t xml:space="preserve"> withstand mechanical cleaning, ice scour and other abrasive forces. Th</w:t>
      </w:r>
      <w:r w:rsidR="00FC6845">
        <w:t>ey</w:t>
      </w:r>
      <w:r>
        <w:t xml:space="preserve"> can be epoxy, ceramic/epoxy, or epoxy/gl</w:t>
      </w:r>
      <w:r w:rsidR="00F031EE">
        <w:t>a</w:t>
      </w:r>
      <w:r>
        <w:t>ss flake formulations.</w:t>
      </w:r>
    </w:p>
    <w:p w14:paraId="233C55EB" w14:textId="77777777" w:rsidR="00B12543" w:rsidRDefault="00F56B54" w:rsidP="005250F7">
      <w:r>
        <w:t xml:space="preserve">Mechanically resistant coatings are extremely durable and would not require renewal for 90 months or more. However, with no inherent mechanism to prevent biofouling attachment and growth, regular cleaning </w:t>
      </w:r>
      <w:r w:rsidR="005250F7">
        <w:t xml:space="preserve">is </w:t>
      </w:r>
      <w:r>
        <w:t xml:space="preserve">required to keep the surfaces clean </w:t>
      </w:r>
      <w:r w:rsidR="005250F7">
        <w:t xml:space="preserve">exposed to </w:t>
      </w:r>
      <w:r w:rsidR="002B7987">
        <w:t>a biofouling environment.</w:t>
      </w:r>
    </w:p>
    <w:p w14:paraId="5CB8D416" w14:textId="77777777" w:rsidR="0078127D" w:rsidRDefault="00F56B54" w:rsidP="00862962">
      <w:pPr>
        <w:pStyle w:val="Heading4"/>
      </w:pPr>
      <w:r>
        <w:t>Other biocide-free coatings</w:t>
      </w:r>
    </w:p>
    <w:p w14:paraId="39AD4747" w14:textId="77777777" w:rsidR="0078127D" w:rsidRDefault="00F56B54" w:rsidP="005250F7">
      <w:r>
        <w:t xml:space="preserve">Fluorinated polymer coatings, smart polymers, hydrophilic surfaces, fibre coatings and non-leaching coatings have all been proposed as non-toxic alternatives for antifouling prevention, but none of these technologies </w:t>
      </w:r>
      <w:r w:rsidR="00711599">
        <w:t xml:space="preserve">have </w:t>
      </w:r>
      <w:r>
        <w:t>yet demonstrate</w:t>
      </w:r>
      <w:r w:rsidR="00711599">
        <w:t>d</w:t>
      </w:r>
      <w:r>
        <w:t xml:space="preserve"> the performance or cost-effectiveness </w:t>
      </w:r>
      <w:r w:rsidR="00711599">
        <w:t xml:space="preserve">needed </w:t>
      </w:r>
      <w:r>
        <w:t>for adoption (Lewis 2009).</w:t>
      </w:r>
    </w:p>
    <w:p w14:paraId="47944F3A" w14:textId="77777777" w:rsidR="00E95722" w:rsidRDefault="00F56B54" w:rsidP="00862962">
      <w:pPr>
        <w:pStyle w:val="Heading3"/>
      </w:pPr>
      <w:bookmarkStart w:id="14" w:name="_Toc50117650"/>
      <w:bookmarkStart w:id="15" w:name="_Ref50121597"/>
      <w:bookmarkStart w:id="16" w:name="_Ref50125253"/>
      <w:r>
        <w:t>Antifouling coating system efficacy</w:t>
      </w:r>
      <w:bookmarkEnd w:id="14"/>
      <w:bookmarkEnd w:id="15"/>
      <w:bookmarkEnd w:id="16"/>
    </w:p>
    <w:p w14:paraId="1FB03525" w14:textId="77777777" w:rsidR="00827747" w:rsidRDefault="00F56B54" w:rsidP="00E95722">
      <w:r>
        <w:t>An effective antifouling coating system is one that is free of secondary biofouling</w:t>
      </w:r>
      <w:r w:rsidR="0030054B">
        <w:t xml:space="preserve">, such as </w:t>
      </w:r>
      <w:r w:rsidR="0030054B" w:rsidRPr="0030054B">
        <w:t>acorn and gooseneck barnacles, bryozoans, hydroids, serpulid worms, spirorbid worms, algal tufts, coralline algae</w:t>
      </w:r>
      <w:r w:rsidR="0030054B">
        <w:t xml:space="preserve"> and/or</w:t>
      </w:r>
      <w:r w:rsidR="0030054B" w:rsidRPr="0030054B">
        <w:t xml:space="preserve"> amphipods</w:t>
      </w:r>
      <w:r>
        <w:t xml:space="preserve">. For a biocidal coating, this is achieved by the continuous release of a biocide, or biocides, at the surface of the coating at </w:t>
      </w:r>
      <w:r w:rsidR="00711599">
        <w:t xml:space="preserve">a </w:t>
      </w:r>
      <w:r>
        <w:t xml:space="preserve">rate that </w:t>
      </w:r>
      <w:r w:rsidR="007D2900">
        <w:t xml:space="preserve">prevents attachment </w:t>
      </w:r>
      <w:r w:rsidR="007D2900">
        <w:lastRenderedPageBreak/>
        <w:t xml:space="preserve">of </w:t>
      </w:r>
      <w:r w:rsidR="003C6BFA">
        <w:t>macro</w:t>
      </w:r>
      <w:r>
        <w:t>foulin</w:t>
      </w:r>
      <w:r w:rsidR="007D2900">
        <w:t xml:space="preserve">g organisms. </w:t>
      </w:r>
      <w:r w:rsidR="0067292D">
        <w:t xml:space="preserve">If the rate of </w:t>
      </w:r>
      <w:r w:rsidR="007D2900">
        <w:t>biocide release drop</w:t>
      </w:r>
      <w:r w:rsidR="0067292D">
        <w:t>s</w:t>
      </w:r>
      <w:r w:rsidR="007D2900">
        <w:t xml:space="preserve"> below </w:t>
      </w:r>
      <w:r w:rsidR="00402F00">
        <w:t xml:space="preserve">the minimum concentration </w:t>
      </w:r>
      <w:r w:rsidR="007D2900">
        <w:t xml:space="preserve">needed to prevent settlement, </w:t>
      </w:r>
      <w:r w:rsidR="006B2184">
        <w:t>macro</w:t>
      </w:r>
      <w:r w:rsidR="007D2900">
        <w:t xml:space="preserve">fouling </w:t>
      </w:r>
      <w:r w:rsidR="007C1CB5">
        <w:t xml:space="preserve">organisms </w:t>
      </w:r>
      <w:r w:rsidR="007D2900">
        <w:t xml:space="preserve">will begin to attach, the </w:t>
      </w:r>
      <w:r w:rsidR="006B2184">
        <w:t xml:space="preserve">first </w:t>
      </w:r>
      <w:r w:rsidR="007C1CB5">
        <w:t xml:space="preserve">organisms </w:t>
      </w:r>
      <w:r w:rsidR="0067292D">
        <w:t xml:space="preserve">will be those with </w:t>
      </w:r>
      <w:r w:rsidR="007D2900">
        <w:t xml:space="preserve">the highest tolerance of the biocide or biocides. On a copper-based AFC, the </w:t>
      </w:r>
      <w:r w:rsidR="006B2184">
        <w:t>first macrofouling</w:t>
      </w:r>
      <w:r w:rsidR="007C1CB5">
        <w:t xml:space="preserve"> </w:t>
      </w:r>
      <w:r w:rsidR="006B2184">
        <w:t xml:space="preserve">organisms to settle </w:t>
      </w:r>
      <w:r w:rsidR="007D2900">
        <w:t>are commonly encrusting bryozoans (</w:t>
      </w:r>
      <w:r w:rsidR="007D2900">
        <w:rPr>
          <w:i/>
          <w:iCs/>
        </w:rPr>
        <w:t xml:space="preserve">Watersipora </w:t>
      </w:r>
      <w:r w:rsidR="007D2900">
        <w:t>spp.), then serpulid tubeworms (</w:t>
      </w:r>
      <w:r w:rsidR="007D2900">
        <w:rPr>
          <w:i/>
          <w:iCs/>
        </w:rPr>
        <w:t xml:space="preserve">Hydroides </w:t>
      </w:r>
      <w:r w:rsidR="007D2900">
        <w:t>spp.)</w:t>
      </w:r>
      <w:r w:rsidR="00D875DF">
        <w:t>, acorn barnacle</w:t>
      </w:r>
      <w:r w:rsidR="00FD5E2D">
        <w:t>s</w:t>
      </w:r>
      <w:r w:rsidR="00D875DF">
        <w:t xml:space="preserve"> (</w:t>
      </w:r>
      <w:r w:rsidR="00D875DF">
        <w:rPr>
          <w:i/>
          <w:iCs/>
        </w:rPr>
        <w:t xml:space="preserve">Amphibalanus </w:t>
      </w:r>
      <w:r w:rsidR="00D875DF">
        <w:t>spp.)</w:t>
      </w:r>
      <w:r w:rsidR="007C1CB5">
        <w:t>,</w:t>
      </w:r>
      <w:r w:rsidR="00D875DF">
        <w:t xml:space="preserve"> erect bryozoans (</w:t>
      </w:r>
      <w:r w:rsidR="00D875DF">
        <w:rPr>
          <w:i/>
          <w:iCs/>
        </w:rPr>
        <w:t xml:space="preserve">Bugula </w:t>
      </w:r>
      <w:r w:rsidR="00D875DF">
        <w:t>spp.)</w:t>
      </w:r>
      <w:r w:rsidR="007C1CB5">
        <w:t xml:space="preserve"> and</w:t>
      </w:r>
      <w:r w:rsidR="00FD5E2D">
        <w:t>,</w:t>
      </w:r>
      <w:r w:rsidR="007C1CB5">
        <w:t xml:space="preserve"> in</w:t>
      </w:r>
      <w:r w:rsidR="00D875DF">
        <w:t xml:space="preserve"> </w:t>
      </w:r>
      <w:r w:rsidR="00402F00">
        <w:t>areas with high exposure to sunlight</w:t>
      </w:r>
      <w:r w:rsidR="00D875DF">
        <w:t>, green algae (</w:t>
      </w:r>
      <w:r w:rsidR="00D875DF">
        <w:rPr>
          <w:i/>
          <w:iCs/>
        </w:rPr>
        <w:t xml:space="preserve">Ulva </w:t>
      </w:r>
      <w:r w:rsidR="00D875DF">
        <w:t>spp.)</w:t>
      </w:r>
      <w:r w:rsidR="00AA180D">
        <w:t xml:space="preserve"> (Wisely 1958, Callow 1990, Blossom et al. 2016)</w:t>
      </w:r>
      <w:r w:rsidR="00D875DF">
        <w:t>.</w:t>
      </w:r>
    </w:p>
    <w:p w14:paraId="45F39473" w14:textId="77777777" w:rsidR="00362740" w:rsidRDefault="00F56B54" w:rsidP="00E95722">
      <w:r>
        <w:t>Some of the r</w:t>
      </w:r>
      <w:r w:rsidR="007F4964">
        <w:t xml:space="preserve">easons for </w:t>
      </w:r>
      <w:r w:rsidR="0067292D">
        <w:t xml:space="preserve">a </w:t>
      </w:r>
      <w:r w:rsidR="007F4964">
        <w:t xml:space="preserve">premature failure of different biocidal coating types </w:t>
      </w:r>
      <w:r w:rsidR="0067292D">
        <w:t xml:space="preserve">are </w:t>
      </w:r>
      <w:r w:rsidR="007F4964">
        <w:t xml:space="preserve">discussed in </w:t>
      </w:r>
      <w:hyperlink w:anchor="_Soluble_matrix_(ablative)" w:history="1">
        <w:r w:rsidR="007F4964" w:rsidRPr="009B605F">
          <w:rPr>
            <w:rStyle w:val="Hyperlink"/>
          </w:rPr>
          <w:t>Section 1.1.1</w:t>
        </w:r>
      </w:hyperlink>
      <w:r w:rsidR="007F4964">
        <w:t xml:space="preserve">. However, early failure of an AFC can sometimes result from </w:t>
      </w:r>
      <w:r w:rsidR="00543067">
        <w:t>adverse</w:t>
      </w:r>
      <w:r w:rsidR="007F4964">
        <w:t xml:space="preserve"> conditions at the time of paint application, inadequate surface preparation, or incompatibility of coatings</w:t>
      </w:r>
      <w:r w:rsidR="006A5BE8">
        <w:t xml:space="preserve"> (</w:t>
      </w:r>
      <w:r w:rsidR="000961B5">
        <w:t>Fitzsimons 2011</w:t>
      </w:r>
      <w:r w:rsidR="006A5BE8">
        <w:t>)</w:t>
      </w:r>
      <w:r w:rsidR="007F4964">
        <w:t xml:space="preserve">. </w:t>
      </w:r>
      <w:r w:rsidR="00543067">
        <w:t>Technical (or Product) Data Sheets</w:t>
      </w:r>
      <w:r w:rsidR="004825D0">
        <w:t xml:space="preserve"> </w:t>
      </w:r>
      <w:r w:rsidR="00543067">
        <w:t xml:space="preserve">or instructions on the paint can label, specify the requirements for good application results, including surface preparation, </w:t>
      </w:r>
      <w:r>
        <w:t xml:space="preserve">acceptable environmental conditions, application method and recommended coating thicknesses, coating compatibilities, </w:t>
      </w:r>
      <w:r w:rsidR="00543067">
        <w:t>drying and curing time, minimum</w:t>
      </w:r>
      <w:r>
        <w:t xml:space="preserve"> or </w:t>
      </w:r>
      <w:r w:rsidR="00543067">
        <w:t>maximum times before immersion</w:t>
      </w:r>
      <w:r w:rsidR="007C1CB5">
        <w:t>,</w:t>
      </w:r>
      <w:r>
        <w:t xml:space="preserve"> etc. System failures</w:t>
      </w:r>
      <w:r w:rsidR="007C1CB5">
        <w:t>,</w:t>
      </w:r>
      <w:r>
        <w:t xml:space="preserve"> </w:t>
      </w:r>
      <w:r w:rsidR="007C1CB5">
        <w:t>including but not limited to,</w:t>
      </w:r>
      <w:r>
        <w:t xml:space="preserve"> paint delamination, blistering, cracking, </w:t>
      </w:r>
      <w:r w:rsidR="007C1CB5">
        <w:t xml:space="preserve">and </w:t>
      </w:r>
      <w:r>
        <w:t>sagging</w:t>
      </w:r>
      <w:r w:rsidR="001262E3">
        <w:t>,</w:t>
      </w:r>
      <w:r>
        <w:t xml:space="preserve"> can occur if these requirements are not met</w:t>
      </w:r>
      <w:r w:rsidR="006A5BE8">
        <w:t xml:space="preserve"> </w:t>
      </w:r>
      <w:r w:rsidR="001262E3">
        <w:t>(Batra 2014</w:t>
      </w:r>
      <w:r w:rsidR="006A5BE8">
        <w:t>)</w:t>
      </w:r>
      <w:r>
        <w:t>. The coating surface can also become hardened under some environmental conditions</w:t>
      </w:r>
      <w:r w:rsidR="00C4362D">
        <w:t>,</w:t>
      </w:r>
      <w:r>
        <w:t xml:space="preserve"> which prevents the initiation of biocide release when first immersed.</w:t>
      </w:r>
    </w:p>
    <w:p w14:paraId="2C92C89C" w14:textId="77777777" w:rsidR="00827747" w:rsidRDefault="00F56B54" w:rsidP="00E95722">
      <w:r>
        <w:t xml:space="preserve">Underwater hull </w:t>
      </w:r>
      <w:r w:rsidR="00362740">
        <w:t xml:space="preserve">coating system application is best performed by professional paint applicators, and </w:t>
      </w:r>
      <w:r w:rsidR="00182569">
        <w:t>the surface preparation and application overseen and approved by an inspector from the paint company</w:t>
      </w:r>
      <w:r w:rsidR="006A5BE8">
        <w:t xml:space="preserve"> </w:t>
      </w:r>
      <w:r>
        <w:t>(Batra 2014</w:t>
      </w:r>
      <w:r w:rsidR="006A5BE8">
        <w:t>)</w:t>
      </w:r>
      <w:r w:rsidR="00182569">
        <w:t xml:space="preserve">. This is the normal procedure for medium to large vessels in commercial dry-docks or shipyards, but not always the case for smaller vessels </w:t>
      </w:r>
      <w:r w:rsidR="00336025">
        <w:t>painted on slipways or in boatyards</w:t>
      </w:r>
      <w:r w:rsidR="006A5BE8">
        <w:t xml:space="preserve"> </w:t>
      </w:r>
      <w:r w:rsidR="00476523">
        <w:t>(TCS 2004)</w:t>
      </w:r>
      <w:r w:rsidR="00336025">
        <w:t>.</w:t>
      </w:r>
    </w:p>
    <w:p w14:paraId="1626D16E" w14:textId="77777777" w:rsidR="0092122E" w:rsidRDefault="00F56B54" w:rsidP="00E95722">
      <w:r>
        <w:t>A project for the Australian Government in</w:t>
      </w:r>
      <w:r w:rsidR="00182569">
        <w:t xml:space="preserve"> </w:t>
      </w:r>
      <w:r w:rsidR="00C4362D">
        <w:t>2004 addressed and made recommendations on antifouling performance standards for the maritime industry (TCS 2004)</w:t>
      </w:r>
      <w:r w:rsidR="007C1CB5">
        <w:t>, which included the following passage</w:t>
      </w:r>
      <w:r w:rsidR="00C4362D">
        <w:t>:</w:t>
      </w:r>
    </w:p>
    <w:p w14:paraId="6A3D2ABF" w14:textId="77777777" w:rsidR="00827747" w:rsidRDefault="00F56B54" w:rsidP="00862962">
      <w:pPr>
        <w:pStyle w:val="Quote"/>
      </w:pPr>
      <w:r>
        <w:t>“</w:t>
      </w:r>
      <w:r w:rsidRPr="00C4362D">
        <w:t>In appraising current industry practices there was a strong view, particularly among the manufacturers and suppliers of antifouling paints, that deficiencies in the application of these paints was the principal reason antifouling paints failed to achieve their potential service life. Upgrading industry standards by the defining good industry practice and auditing applicators against those standards</w:t>
      </w:r>
      <w:r>
        <w:t xml:space="preserve"> </w:t>
      </w:r>
      <w:proofErr w:type="gramStart"/>
      <w:r>
        <w:t>was seen as</w:t>
      </w:r>
      <w:proofErr w:type="gramEnd"/>
      <w:r>
        <w:t xml:space="preserve"> important.”</w:t>
      </w:r>
    </w:p>
    <w:p w14:paraId="479DCDA8" w14:textId="77777777" w:rsidR="00764D6A" w:rsidRDefault="00F56B54" w:rsidP="0040254F">
      <w:pPr>
        <w:pStyle w:val="Heading3"/>
      </w:pPr>
      <w:bookmarkStart w:id="17" w:name="_Toc50117651"/>
      <w:r>
        <w:t xml:space="preserve">Antifouling </w:t>
      </w:r>
      <w:r w:rsidR="009B605F">
        <w:t>b</w:t>
      </w:r>
      <w:r>
        <w:t>iocides</w:t>
      </w:r>
      <w:bookmarkEnd w:id="10"/>
      <w:bookmarkEnd w:id="17"/>
    </w:p>
    <w:p w14:paraId="0BE791EE" w14:textId="77777777" w:rsidR="005250F7" w:rsidRDefault="00F56B54" w:rsidP="002B7987">
      <w:r>
        <w:t xml:space="preserve">Very few </w:t>
      </w:r>
      <w:r w:rsidR="00476523">
        <w:t>biocides</w:t>
      </w:r>
      <w:r w:rsidR="00A13012">
        <w:t xml:space="preserve"> </w:t>
      </w:r>
      <w:r>
        <w:t>have the characteristics needed for use as effective antifoul</w:t>
      </w:r>
      <w:r w:rsidR="006A5BE8">
        <w:t>ing biocides</w:t>
      </w:r>
      <w:r>
        <w:t xml:space="preserve">. An </w:t>
      </w:r>
      <w:r w:rsidR="006A5BE8">
        <w:t xml:space="preserve">effective </w:t>
      </w:r>
      <w:r>
        <w:t>antifouling biocide needs:</w:t>
      </w:r>
    </w:p>
    <w:p w14:paraId="4DD62084" w14:textId="77777777" w:rsidR="00B7782B" w:rsidRDefault="00F56B54" w:rsidP="00862962">
      <w:pPr>
        <w:pStyle w:val="ListBullet"/>
      </w:pPr>
      <w:r>
        <w:t>to be</w:t>
      </w:r>
      <w:r w:rsidR="003D46F9">
        <w:t xml:space="preserve"> sufficiently</w:t>
      </w:r>
      <w:r>
        <w:t xml:space="preserve"> </w:t>
      </w:r>
      <w:r w:rsidR="004678A4">
        <w:t>chemically stable</w:t>
      </w:r>
      <w:r w:rsidR="00711599">
        <w:t xml:space="preserve"> </w:t>
      </w:r>
      <w:r w:rsidR="004678A4">
        <w:t>to enab</w:t>
      </w:r>
      <w:r w:rsidR="005250F7">
        <w:t>le</w:t>
      </w:r>
      <w:r w:rsidR="004678A4">
        <w:t xml:space="preserve"> persistence in the paint, but not </w:t>
      </w:r>
      <w:r w:rsidR="007C1CB5">
        <w:t>persistent</w:t>
      </w:r>
      <w:r w:rsidR="006A5BE8">
        <w:t>,</w:t>
      </w:r>
      <w:r w:rsidR="007C1CB5">
        <w:t xml:space="preserve"> </w:t>
      </w:r>
      <w:proofErr w:type="gramStart"/>
      <w:r w:rsidR="007C1CB5">
        <w:t>bioavailable</w:t>
      </w:r>
      <w:proofErr w:type="gramEnd"/>
      <w:r w:rsidR="007C1CB5">
        <w:t xml:space="preserve"> </w:t>
      </w:r>
      <w:r w:rsidR="006A5BE8">
        <w:t>or bio</w:t>
      </w:r>
      <w:r w:rsidR="001967C4">
        <w:t>-</w:t>
      </w:r>
      <w:r w:rsidR="006A5BE8">
        <w:t xml:space="preserve">accumulative </w:t>
      </w:r>
      <w:r w:rsidR="007C1CB5">
        <w:t>in the environment</w:t>
      </w:r>
      <w:r w:rsidR="005250F7">
        <w:t>, thus</w:t>
      </w:r>
      <w:r w:rsidR="002B7987">
        <w:t xml:space="preserve"> avoid</w:t>
      </w:r>
      <w:r w:rsidR="005250F7">
        <w:t xml:space="preserve">ing </w:t>
      </w:r>
      <w:r w:rsidR="004678A4">
        <w:t xml:space="preserve">consequent harm in the short </w:t>
      </w:r>
      <w:r w:rsidR="005250F7">
        <w:t>and/</w:t>
      </w:r>
      <w:r w:rsidR="004678A4">
        <w:t>or long term</w:t>
      </w:r>
    </w:p>
    <w:p w14:paraId="2AAA459D" w14:textId="77777777" w:rsidR="00B7782B" w:rsidRDefault="00F56B54" w:rsidP="00862962">
      <w:pPr>
        <w:pStyle w:val="ListBullet"/>
      </w:pPr>
      <w:r>
        <w:t xml:space="preserve">to be </w:t>
      </w:r>
      <w:r w:rsidR="002B7987">
        <w:t xml:space="preserve">toxic to the broad spectrum of potential biofouling species at release, but </w:t>
      </w:r>
      <w:r w:rsidR="004678A4">
        <w:t>not toxic to applicators or non-target species when released</w:t>
      </w:r>
    </w:p>
    <w:p w14:paraId="613D73D2" w14:textId="77777777" w:rsidR="000E71C5" w:rsidRDefault="00F56B54" w:rsidP="00862962">
      <w:pPr>
        <w:pStyle w:val="ListBullet"/>
      </w:pPr>
      <w:r>
        <w:lastRenderedPageBreak/>
        <w:t xml:space="preserve">to have </w:t>
      </w:r>
      <w:r w:rsidR="002B7987">
        <w:t xml:space="preserve">the chemical properties to dissolve out of the coating </w:t>
      </w:r>
      <w:r w:rsidR="007C1CB5">
        <w:t>at a sufficient</w:t>
      </w:r>
      <w:r w:rsidR="003D46F9">
        <w:t>, but not excessive,</w:t>
      </w:r>
      <w:r w:rsidR="007C1CB5">
        <w:t xml:space="preserve"> rate </w:t>
      </w:r>
      <w:r w:rsidR="002B7987">
        <w:t>over a long period of time</w:t>
      </w:r>
      <w:r w:rsidR="009B605F">
        <w:t>.</w:t>
      </w:r>
    </w:p>
    <w:p w14:paraId="0D912CB0" w14:textId="77777777" w:rsidR="00827747" w:rsidRDefault="00F56B54" w:rsidP="000E71C5">
      <w:pPr>
        <w:pStyle w:val="Heading4"/>
      </w:pPr>
      <w:bookmarkStart w:id="18" w:name="_Ref50119363"/>
      <w:r>
        <w:t xml:space="preserve">APVMA </w:t>
      </w:r>
      <w:r w:rsidR="009B605F">
        <w:t>a</w:t>
      </w:r>
      <w:r>
        <w:t xml:space="preserve">pproved </w:t>
      </w:r>
      <w:r w:rsidR="009B605F">
        <w:t>a</w:t>
      </w:r>
      <w:r>
        <w:t xml:space="preserve">ntifouling </w:t>
      </w:r>
      <w:r w:rsidR="009B605F">
        <w:t>b</w:t>
      </w:r>
      <w:r>
        <w:t>iocides</w:t>
      </w:r>
      <w:bookmarkEnd w:id="18"/>
    </w:p>
    <w:p w14:paraId="156C16E9" w14:textId="77777777" w:rsidR="00827747" w:rsidRDefault="00F56B54" w:rsidP="000E71C5">
      <w:r>
        <w:t xml:space="preserve">In Australia, where both antifouling biocides and products need approval from the APVMA for import, manufacture, sale and use, there are only </w:t>
      </w:r>
      <w:r w:rsidR="004678A4">
        <w:t xml:space="preserve">eight </w:t>
      </w:r>
      <w:r>
        <w:t xml:space="preserve">biocides used in the </w:t>
      </w:r>
      <w:r w:rsidR="00BA266D">
        <w:t>52</w:t>
      </w:r>
      <w:r>
        <w:t xml:space="preserve"> currently approved products (Appendix A); cuprous oxide, cuprous thiocyanate, </w:t>
      </w:r>
      <w:r w:rsidR="00B7782B">
        <w:t xml:space="preserve">copper pyrithione, </w:t>
      </w:r>
      <w:r w:rsidR="006A5BE8">
        <w:t>d</w:t>
      </w:r>
      <w:r w:rsidR="006A5BE8" w:rsidRPr="003A72F2">
        <w:t xml:space="preserve">ichloro-octyl-isothiazolin </w:t>
      </w:r>
      <w:r w:rsidR="006A5BE8">
        <w:t>(</w:t>
      </w:r>
      <w:r w:rsidR="00B7782B">
        <w:t>DCOIT</w:t>
      </w:r>
      <w:r w:rsidR="006A5BE8">
        <w:t>)</w:t>
      </w:r>
      <w:r w:rsidR="00B7782B">
        <w:t xml:space="preserve">, </w:t>
      </w:r>
      <w:r>
        <w:t xml:space="preserve">diuron, thiram, </w:t>
      </w:r>
      <w:r w:rsidR="00B7782B">
        <w:t>zinc pyrithione</w:t>
      </w:r>
      <w:r w:rsidR="006A5BE8">
        <w:t>,</w:t>
      </w:r>
      <w:r w:rsidR="00B7782B">
        <w:t xml:space="preserve"> and </w:t>
      </w:r>
      <w:r>
        <w:t>zineb</w:t>
      </w:r>
      <w:r w:rsidR="004678A4">
        <w:t xml:space="preserve">. That latter six are </w:t>
      </w:r>
      <w:r w:rsidR="006A5BE8">
        <w:t xml:space="preserve">primarily </w:t>
      </w:r>
      <w:r w:rsidR="004678A4">
        <w:t xml:space="preserve">used as “booster” or secondary biocides in copper-based antifouling coatings to </w:t>
      </w:r>
      <w:r w:rsidR="00455533">
        <w:t>prevent colonisation by copper-tolerant algae.</w:t>
      </w:r>
      <w:r w:rsidR="00E25E1A">
        <w:t xml:space="preserve"> </w:t>
      </w:r>
      <w:r w:rsidR="00450C36">
        <w:t>Diuron, thiram and zineb were “grandfathered”</w:t>
      </w:r>
      <w:r w:rsidR="003C4CD0">
        <w:t xml:space="preserve"> into the national registration scheme</w:t>
      </w:r>
      <w:r w:rsidR="00B7782B">
        <w:t>,</w:t>
      </w:r>
      <w:r w:rsidR="003C4CD0">
        <w:t xml:space="preserve"> when it was established in the early 1990s</w:t>
      </w:r>
      <w:r w:rsidR="00B7782B">
        <w:t>,</w:t>
      </w:r>
      <w:r w:rsidR="003C4CD0">
        <w:t xml:space="preserve"> without requiring full assessment</w:t>
      </w:r>
      <w:r w:rsidR="006A5BE8">
        <w:t xml:space="preserve"> </w:t>
      </w:r>
      <w:r w:rsidR="00AA78EC">
        <w:t>(Lewis 2010)</w:t>
      </w:r>
      <w:r w:rsidR="00B7782B">
        <w:t>.</w:t>
      </w:r>
      <w:r w:rsidR="003C4CD0">
        <w:t xml:space="preserve"> DCOIT, zinc pyrithione and copper pyrithione were approved later</w:t>
      </w:r>
      <w:r w:rsidR="00B7782B">
        <w:t>,</w:t>
      </w:r>
      <w:r w:rsidR="003C4CD0">
        <w:t xml:space="preserve"> and passed full assessment</w:t>
      </w:r>
      <w:r w:rsidR="006A5BE8">
        <w:t xml:space="preserve"> </w:t>
      </w:r>
      <w:r w:rsidR="00AA78EC">
        <w:t>(Lewis 2010</w:t>
      </w:r>
      <w:r w:rsidR="006A5BE8">
        <w:t>)</w:t>
      </w:r>
      <w:r w:rsidR="003C4CD0">
        <w:t>. An application was submitted for the approval of cybutryne</w:t>
      </w:r>
      <w:r w:rsidR="001B011A">
        <w:t xml:space="preserve"> </w:t>
      </w:r>
      <w:r w:rsidR="00687F5D">
        <w:t xml:space="preserve">(also known as Irgarol 1051) </w:t>
      </w:r>
      <w:r w:rsidR="001B011A">
        <w:t>in the 1990s</w:t>
      </w:r>
      <w:r w:rsidR="003C4CD0">
        <w:t xml:space="preserve">, </w:t>
      </w:r>
      <w:r w:rsidR="00B7782B">
        <w:t>which</w:t>
      </w:r>
      <w:r w:rsidR="001B011A">
        <w:t xml:space="preserve"> was, and continues to </w:t>
      </w:r>
      <w:r w:rsidR="00B7782B">
        <w:t>be used overseas</w:t>
      </w:r>
      <w:r w:rsidR="00687F5D">
        <w:t xml:space="preserve">. The application </w:t>
      </w:r>
      <w:r w:rsidR="003C4CD0">
        <w:t>was rejected</w:t>
      </w:r>
      <w:r w:rsidR="00AA78EC">
        <w:t xml:space="preserve"> </w:t>
      </w:r>
      <w:proofErr w:type="gramStart"/>
      <w:r w:rsidR="00AA78EC">
        <w:t>on the basis of</w:t>
      </w:r>
      <w:proofErr w:type="gramEnd"/>
      <w:r w:rsidR="00AA78EC">
        <w:t xml:space="preserve"> emerging evidence of environmental </w:t>
      </w:r>
      <w:r w:rsidR="001B011A">
        <w:t>persistence and impact on seagrass (Scarlett et al. 1999a, 1999b</w:t>
      </w:r>
      <w:r w:rsidR="006A5BE8">
        <w:t>)</w:t>
      </w:r>
      <w:r w:rsidR="003C4CD0">
        <w:t>.</w:t>
      </w:r>
    </w:p>
    <w:p w14:paraId="6EB79A3F" w14:textId="77777777" w:rsidR="00455533" w:rsidRDefault="00F56B54" w:rsidP="000E71C5">
      <w:r>
        <w:t xml:space="preserve">Coatings that contain no active </w:t>
      </w:r>
      <w:r w:rsidR="00687F5D">
        <w:t>constituent</w:t>
      </w:r>
      <w:r>
        <w:t xml:space="preserve">, </w:t>
      </w:r>
      <w:r w:rsidR="00687F5D">
        <w:t xml:space="preserve">which </w:t>
      </w:r>
      <w:r>
        <w:t>includ</w:t>
      </w:r>
      <w:r w:rsidR="00687F5D">
        <w:t>es</w:t>
      </w:r>
      <w:r>
        <w:t xml:space="preserve"> fouling release and mechanically resistant coatings, do not require APVMA approval</w:t>
      </w:r>
      <w:r w:rsidR="006A5BE8">
        <w:t xml:space="preserve"> </w:t>
      </w:r>
      <w:r w:rsidR="00383830">
        <w:t>(APVMA 2020a</w:t>
      </w:r>
      <w:r w:rsidR="006A5BE8">
        <w:t>)</w:t>
      </w:r>
      <w:r>
        <w:t>.</w:t>
      </w:r>
    </w:p>
    <w:p w14:paraId="14A5462B" w14:textId="77777777" w:rsidR="00827747" w:rsidRDefault="00F56B54" w:rsidP="00862962">
      <w:pPr>
        <w:pStyle w:val="Heading5"/>
      </w:pPr>
      <w:r>
        <w:t>Cuprous oxide</w:t>
      </w:r>
    </w:p>
    <w:p w14:paraId="2381AD06" w14:textId="77777777" w:rsidR="002B7987" w:rsidRDefault="00F56B54" w:rsidP="00B7782B">
      <w:r>
        <w:t>Cuprous oxide</w:t>
      </w:r>
      <w:r w:rsidR="00852C87">
        <w:t xml:space="preserve"> (dicopper oxide)</w:t>
      </w:r>
      <w:r>
        <w:t xml:space="preserve"> has been used as a primary antifouling biocide for more than a </w:t>
      </w:r>
      <w:r w:rsidR="00C669A0">
        <w:t>century</w:t>
      </w:r>
      <w:r w:rsidR="00D177E9">
        <w:t>.</w:t>
      </w:r>
      <w:r w:rsidR="00C669A0">
        <w:t xml:space="preserve"> </w:t>
      </w:r>
      <w:r w:rsidR="00D177E9">
        <w:t xml:space="preserve">It </w:t>
      </w:r>
      <w:r>
        <w:t>remains</w:t>
      </w:r>
      <w:r w:rsidR="00383830">
        <w:t xml:space="preserve"> </w:t>
      </w:r>
      <w:r w:rsidR="00201FE5">
        <w:t xml:space="preserve">in use </w:t>
      </w:r>
      <w:r>
        <w:t xml:space="preserve">after the </w:t>
      </w:r>
      <w:r w:rsidR="00B7782B">
        <w:t xml:space="preserve">introduction </w:t>
      </w:r>
      <w:r>
        <w:t>of alternatives such as mercury, arsenic and organotin compounds</w:t>
      </w:r>
      <w:r w:rsidR="00862962">
        <w:t>,</w:t>
      </w:r>
      <w:r>
        <w:t xml:space="preserve"> </w:t>
      </w:r>
      <w:r w:rsidR="00D177E9">
        <w:t xml:space="preserve">and their subsequent banning </w:t>
      </w:r>
      <w:r w:rsidR="00201FE5">
        <w:t>due to</w:t>
      </w:r>
      <w:r w:rsidR="00B7782B">
        <w:t xml:space="preserve"> unacceptable</w:t>
      </w:r>
      <w:r>
        <w:t xml:space="preserve"> human health or environmental risks</w:t>
      </w:r>
      <w:r w:rsidR="006A5BE8">
        <w:t xml:space="preserve"> </w:t>
      </w:r>
      <w:r w:rsidR="00383830">
        <w:t>(Lewis 2018</w:t>
      </w:r>
      <w:r w:rsidR="006A5BE8">
        <w:t>)</w:t>
      </w:r>
      <w:r>
        <w:t xml:space="preserve">. </w:t>
      </w:r>
      <w:r w:rsidR="00D92EAE">
        <w:t>The antifouling effect of the copper is</w:t>
      </w:r>
      <w:r>
        <w:t xml:space="preserve"> </w:t>
      </w:r>
      <w:r w:rsidR="00AD1854">
        <w:t>achieved through dissolution and release of free cuprous ions</w:t>
      </w:r>
      <w:r w:rsidR="00B7782B">
        <w:t xml:space="preserve"> (Cu</w:t>
      </w:r>
      <w:r w:rsidR="00B7782B">
        <w:rPr>
          <w:vertAlign w:val="superscript"/>
        </w:rPr>
        <w:t>+</w:t>
      </w:r>
      <w:r w:rsidR="00B7782B">
        <w:t>)</w:t>
      </w:r>
      <w:r w:rsidR="00AD1854">
        <w:t>, which provide the toxic effect.</w:t>
      </w:r>
      <w:r w:rsidR="00827747">
        <w:t xml:space="preserve"> </w:t>
      </w:r>
      <w:r w:rsidR="00B3090D">
        <w:t xml:space="preserve">The cuprous ion is </w:t>
      </w:r>
      <w:r w:rsidR="00C669A0">
        <w:t>unstable,</w:t>
      </w:r>
      <w:r w:rsidR="00B3090D">
        <w:t xml:space="preserve"> and, after release, this rapidly oxidises to form the more stable cupric form (Cu</w:t>
      </w:r>
      <w:r w:rsidR="00B3090D">
        <w:rPr>
          <w:vertAlign w:val="superscript"/>
        </w:rPr>
        <w:t>2+</w:t>
      </w:r>
      <w:r w:rsidR="00B3090D">
        <w:t>) (Brooks &amp; Waldock 2009</w:t>
      </w:r>
      <w:r w:rsidR="00383830">
        <w:t>a, 2009b</w:t>
      </w:r>
      <w:r w:rsidR="00B3090D">
        <w:t>). Cu</w:t>
      </w:r>
      <w:r w:rsidR="00B3090D">
        <w:rPr>
          <w:vertAlign w:val="superscript"/>
        </w:rPr>
        <w:t>2+</w:t>
      </w:r>
      <w:r w:rsidR="00B3090D">
        <w:t xml:space="preserve"> complexes with organic and inorganic ligands within a few micrometres of the hull surface, which significantly reduces copper toxicity</w:t>
      </w:r>
      <w:r w:rsidR="006A5BE8">
        <w:t xml:space="preserve"> </w:t>
      </w:r>
      <w:r w:rsidR="00383830">
        <w:t>(Brooks &amp; Waldock 2009a, 2009b</w:t>
      </w:r>
      <w:r w:rsidR="006A5BE8">
        <w:t>)</w:t>
      </w:r>
      <w:r w:rsidR="00B3090D">
        <w:t>.</w:t>
      </w:r>
    </w:p>
    <w:p w14:paraId="40D78B02" w14:textId="77777777" w:rsidR="00827747" w:rsidRDefault="00F56B54" w:rsidP="00B7782B">
      <w:r>
        <w:t xml:space="preserve">Cuprous oxide is </w:t>
      </w:r>
      <w:r w:rsidR="00E25E1A">
        <w:t>the primary biocide in 4</w:t>
      </w:r>
      <w:r w:rsidR="00A13012">
        <w:t>1</w:t>
      </w:r>
      <w:r w:rsidR="00E25E1A">
        <w:t>of the 5</w:t>
      </w:r>
      <w:r w:rsidR="00A13012">
        <w:t>2</w:t>
      </w:r>
      <w:r w:rsidR="00E25E1A">
        <w:t xml:space="preserve"> antifouling products </w:t>
      </w:r>
      <w:r w:rsidR="00B7782B">
        <w:t xml:space="preserve">currently </w:t>
      </w:r>
      <w:r w:rsidR="00E25E1A">
        <w:t>approved by the APVMA</w:t>
      </w:r>
      <w:r w:rsidR="00DB0697">
        <w:t xml:space="preserve"> (</w:t>
      </w:r>
      <w:hyperlink w:anchor="_Appendix_A:_APVMA" w:history="1">
        <w:r w:rsidR="00DB0697" w:rsidRPr="009B605F">
          <w:rPr>
            <w:rStyle w:val="Hyperlink"/>
          </w:rPr>
          <w:t>Appendix A</w:t>
        </w:r>
      </w:hyperlink>
      <w:r w:rsidR="00DB0697">
        <w:t>)</w:t>
      </w:r>
      <w:r w:rsidR="00E25E1A">
        <w:t>.</w:t>
      </w:r>
    </w:p>
    <w:p w14:paraId="27FC9EAD" w14:textId="77777777" w:rsidR="00B3090D" w:rsidRDefault="00F56B54" w:rsidP="00862962">
      <w:pPr>
        <w:pStyle w:val="Heading5"/>
      </w:pPr>
      <w:r>
        <w:t>Cuprous thiocyanate</w:t>
      </w:r>
    </w:p>
    <w:p w14:paraId="2160093F" w14:textId="77777777" w:rsidR="00B3090D" w:rsidRDefault="00F56B54" w:rsidP="00B7782B">
      <w:r>
        <w:t xml:space="preserve">The use of cuprous oxide, rather than cuprous thiocyanate, is generally preferred due to its lower cost, </w:t>
      </w:r>
      <w:r w:rsidR="001A7D41">
        <w:t>better solubility</w:t>
      </w:r>
      <w:r w:rsidR="00AC5D1E">
        <w:t>, higher</w:t>
      </w:r>
      <w:r w:rsidR="001A7D41">
        <w:t xml:space="preserve"> toxicity</w:t>
      </w:r>
      <w:r w:rsidR="00B7782B">
        <w:t>,</w:t>
      </w:r>
      <w:r w:rsidR="001A7D41">
        <w:t xml:space="preserve"> and the longer effective life of coatings containing </w:t>
      </w:r>
      <w:r w:rsidR="002F725D">
        <w:t>cuprous oxide</w:t>
      </w:r>
      <w:r w:rsidR="00C637E3">
        <w:t xml:space="preserve"> (</w:t>
      </w:r>
      <w:r w:rsidR="0073545B">
        <w:t>Brooks &amp; Waldock 2009b</w:t>
      </w:r>
      <w:r w:rsidR="006A5BE8">
        <w:t>)</w:t>
      </w:r>
      <w:r w:rsidR="001A7D41">
        <w:t>. However, galvanic corrosion of aluminium substrates can be initiated if paints containing cuprous oxide are applied without a completely effective and durable barrier coating between the substrate and the antifouling</w:t>
      </w:r>
      <w:r w:rsidR="0073545B">
        <w:t xml:space="preserve"> (Chasse et al. 2020</w:t>
      </w:r>
      <w:r w:rsidR="006A5BE8">
        <w:t>)</w:t>
      </w:r>
      <w:r w:rsidR="001A7D41">
        <w:t>. Mechanical damage, such as scratching to the barrier coating</w:t>
      </w:r>
      <w:r w:rsidR="00201FE5">
        <w:t xml:space="preserve">, </w:t>
      </w:r>
      <w:r w:rsidR="001A7D41">
        <w:t xml:space="preserve">can cause corrosion of the aluminium. Cuprous thiocyanate has a much lesser corrosive </w:t>
      </w:r>
      <w:r w:rsidR="00C669A0">
        <w:t>effect and</w:t>
      </w:r>
      <w:r w:rsidR="001A7D41">
        <w:t xml:space="preserve"> is consequently used as the primary biocide in antifouling coatings for </w:t>
      </w:r>
      <w:r w:rsidR="00DA5D69">
        <w:t>use on aluminium hulls and equipment</w:t>
      </w:r>
      <w:r w:rsidR="00AC5D1E">
        <w:t>,</w:t>
      </w:r>
      <w:r w:rsidR="00DA5D69">
        <w:t xml:space="preserve"> such as stern drives</w:t>
      </w:r>
      <w:r w:rsidR="00AC5D1E">
        <w:t xml:space="preserve"> </w:t>
      </w:r>
      <w:r w:rsidR="00C637E3">
        <w:t>(Finnie &amp; Williams 2010</w:t>
      </w:r>
      <w:r w:rsidR="00AC5D1E">
        <w:t>)</w:t>
      </w:r>
      <w:r w:rsidR="00DA5D69">
        <w:t xml:space="preserve">. </w:t>
      </w:r>
      <w:r w:rsidR="00AC5D1E">
        <w:t xml:space="preserve">In </w:t>
      </w:r>
      <w:r w:rsidR="00DA5D69">
        <w:t xml:space="preserve">contrast to the red cuprous oxide, </w:t>
      </w:r>
      <w:r w:rsidR="00AC5D1E">
        <w:t>cuprous thiocyanate is colourless and is</w:t>
      </w:r>
      <w:r w:rsidR="00DA5D69">
        <w:t xml:space="preserve"> used when lighter coloured hull coatings are desired</w:t>
      </w:r>
      <w:r w:rsidR="00C637E3">
        <w:t xml:space="preserve"> (Finnie &amp; Williams 2010</w:t>
      </w:r>
      <w:r w:rsidR="00AC5D1E">
        <w:t>).</w:t>
      </w:r>
    </w:p>
    <w:p w14:paraId="7C4F8AC7" w14:textId="77777777" w:rsidR="00827747" w:rsidRDefault="00F56B54" w:rsidP="00DB0697">
      <w:r>
        <w:t xml:space="preserve">Cuprous thiocyanate is the primary biocide in 9 of the </w:t>
      </w:r>
      <w:r w:rsidR="00BA266D">
        <w:t>52</w:t>
      </w:r>
      <w:r>
        <w:t xml:space="preserve"> antifouling products </w:t>
      </w:r>
      <w:r w:rsidR="00DB0697">
        <w:t xml:space="preserve">currently </w:t>
      </w:r>
      <w:r>
        <w:t>approved by the APVMA</w:t>
      </w:r>
      <w:r w:rsidR="00DB0697">
        <w:t xml:space="preserve"> (</w:t>
      </w:r>
      <w:hyperlink w:anchor="_Appendix_A:_APVMA" w:history="1">
        <w:r w:rsidR="00DB0697" w:rsidRPr="009B605F">
          <w:rPr>
            <w:rStyle w:val="Hyperlink"/>
          </w:rPr>
          <w:t>Appendix A</w:t>
        </w:r>
      </w:hyperlink>
      <w:r w:rsidR="00DB0697">
        <w:t>)</w:t>
      </w:r>
      <w:r>
        <w:t>.</w:t>
      </w:r>
    </w:p>
    <w:p w14:paraId="128BECC8" w14:textId="77777777" w:rsidR="00827747" w:rsidRDefault="00F56B54" w:rsidP="00862962">
      <w:pPr>
        <w:pStyle w:val="Heading5"/>
      </w:pPr>
      <w:r>
        <w:lastRenderedPageBreak/>
        <w:t>Diuron</w:t>
      </w:r>
    </w:p>
    <w:p w14:paraId="1D076B22" w14:textId="6F759BF6" w:rsidR="00DA5D69" w:rsidRDefault="00F56B54" w:rsidP="00DB0697">
      <w:r>
        <w:t xml:space="preserve">The primary use of diuron is as </w:t>
      </w:r>
      <w:r w:rsidR="003378D5">
        <w:t>a</w:t>
      </w:r>
      <w:r>
        <w:t xml:space="preserve"> herbicide and algaecide for general weed control on no-crop areas, as a pre-emptive herbicide on pineapple, sugarcane and woody crops, and </w:t>
      </w:r>
      <w:r w:rsidR="00DB0697">
        <w:t xml:space="preserve">for weed control </w:t>
      </w:r>
      <w:r>
        <w:t>in and around water bodies</w:t>
      </w:r>
      <w:r w:rsidR="00AC5D1E">
        <w:t xml:space="preserve"> </w:t>
      </w:r>
      <w:r w:rsidR="00707BB1">
        <w:t>(APVMA 2015a</w:t>
      </w:r>
      <w:r w:rsidR="00AC5D1E">
        <w:t>)</w:t>
      </w:r>
      <w:r>
        <w:t>. Approval of diuron as an antifouling biocide has been revoked in the UK</w:t>
      </w:r>
      <w:r w:rsidR="00AC5D1E">
        <w:t xml:space="preserve"> </w:t>
      </w:r>
      <w:r w:rsidR="00447C8D">
        <w:t>(</w:t>
      </w:r>
      <w:r w:rsidR="00AF44FC">
        <w:t>Konstantinou &amp; Albanis 2004</w:t>
      </w:r>
      <w:r w:rsidR="00AC5D1E">
        <w:t>)</w:t>
      </w:r>
      <w:r w:rsidR="00284638">
        <w:t>. Approval has also been revoked in New Zea</w:t>
      </w:r>
      <w:r w:rsidR="00FE13B8">
        <w:t xml:space="preserve">land, effective from June 2017 </w:t>
      </w:r>
      <w:r w:rsidR="00284638">
        <w:t>(EPA 2020).</w:t>
      </w:r>
      <w:r>
        <w:t xml:space="preserve"> </w:t>
      </w:r>
      <w:r w:rsidR="00322DAD">
        <w:t xml:space="preserve">A chemical review of diuron by the APVMA, completed in 2012, permitted its continued use for some agricultural applications, but revoked its use for numerous other agricultural, </w:t>
      </w:r>
      <w:proofErr w:type="gramStart"/>
      <w:r w:rsidR="00322DAD">
        <w:t>non-agricultural</w:t>
      </w:r>
      <w:proofErr w:type="gramEnd"/>
      <w:r w:rsidR="00322DAD">
        <w:t xml:space="preserve"> and industrial applications</w:t>
      </w:r>
      <w:r w:rsidR="0068115E">
        <w:t xml:space="preserve"> because of potential harm to aquatic environments</w:t>
      </w:r>
      <w:r w:rsidR="00322DAD">
        <w:t xml:space="preserve"> (APVMA 20</w:t>
      </w:r>
      <w:r w:rsidR="00DC5606">
        <w:t>15a</w:t>
      </w:r>
      <w:r w:rsidR="00322DAD">
        <w:t>). Continued use in antifouling paints was approved</w:t>
      </w:r>
      <w:r w:rsidR="0068115E">
        <w:t xml:space="preserve"> because the contribution to the environmental load from this source was </w:t>
      </w:r>
      <w:r w:rsidR="00DB0697">
        <w:t xml:space="preserve">considered </w:t>
      </w:r>
      <w:r w:rsidR="0068115E">
        <w:t>relatively small compared to agricultural use</w:t>
      </w:r>
      <w:r w:rsidR="00AC5D1E">
        <w:t xml:space="preserve"> </w:t>
      </w:r>
      <w:r w:rsidR="00FF68D6">
        <w:t>(APVMA 2015a</w:t>
      </w:r>
      <w:r w:rsidR="00AC5D1E">
        <w:t>)</w:t>
      </w:r>
      <w:r w:rsidR="0068115E">
        <w:t xml:space="preserve">. </w:t>
      </w:r>
    </w:p>
    <w:p w14:paraId="40A5ACDA" w14:textId="77777777" w:rsidR="00827747" w:rsidRDefault="00F56B54" w:rsidP="00DB0697">
      <w:r>
        <w:t>Di</w:t>
      </w:r>
      <w:r w:rsidR="0068115E">
        <w:t>ur</w:t>
      </w:r>
      <w:r>
        <w:t xml:space="preserve">on is a secondary biocide in </w:t>
      </w:r>
      <w:r w:rsidR="00A13012">
        <w:t>8</w:t>
      </w:r>
      <w:r>
        <w:t xml:space="preserve"> of the 5</w:t>
      </w:r>
      <w:r w:rsidR="00A13012">
        <w:t>2</w:t>
      </w:r>
      <w:r>
        <w:t xml:space="preserve"> antifouling products </w:t>
      </w:r>
      <w:r w:rsidR="00373524">
        <w:t xml:space="preserve">currently </w:t>
      </w:r>
      <w:r>
        <w:t>approved by the APVMA</w:t>
      </w:r>
      <w:r w:rsidR="00DB0697">
        <w:t xml:space="preserve"> (</w:t>
      </w:r>
      <w:hyperlink w:anchor="_Appendix_A:_APVMA" w:history="1">
        <w:r w:rsidR="00DB0697" w:rsidRPr="009B605F">
          <w:rPr>
            <w:rStyle w:val="Hyperlink"/>
          </w:rPr>
          <w:t>Appendix A</w:t>
        </w:r>
      </w:hyperlink>
      <w:r w:rsidR="00DB0697">
        <w:t>)</w:t>
      </w:r>
      <w:r>
        <w:t>.</w:t>
      </w:r>
    </w:p>
    <w:p w14:paraId="2EE4F532" w14:textId="77777777" w:rsidR="0068115E" w:rsidRDefault="00F56B54" w:rsidP="00862962">
      <w:pPr>
        <w:pStyle w:val="Heading5"/>
      </w:pPr>
      <w:r>
        <w:t>Thiram</w:t>
      </w:r>
    </w:p>
    <w:p w14:paraId="209F5C61" w14:textId="77777777" w:rsidR="0068115E" w:rsidRDefault="00F56B54" w:rsidP="00DB0697">
      <w:r>
        <w:t>The primary use of thiram is a</w:t>
      </w:r>
      <w:r w:rsidR="00DB0697">
        <w:t>s a</w:t>
      </w:r>
      <w:r w:rsidR="00DC5606">
        <w:t>n agricultural fungicide</w:t>
      </w:r>
      <w:r w:rsidR="00DB0697">
        <w:t>,</w:t>
      </w:r>
      <w:r w:rsidR="00DC5606">
        <w:t xml:space="preserve"> with approval for </w:t>
      </w:r>
      <w:r w:rsidR="00D177E9">
        <w:t xml:space="preserve">its </w:t>
      </w:r>
      <w:r w:rsidR="00DC5606">
        <w:t>use as an antifouling biocide grandfathered into the national antifouling registration system</w:t>
      </w:r>
      <w:r w:rsidR="00EF6A1B">
        <w:t xml:space="preserve"> (Lewis 2010</w:t>
      </w:r>
      <w:r w:rsidR="00AC5D1E">
        <w:t>)</w:t>
      </w:r>
      <w:r w:rsidR="00DC5606">
        <w:t xml:space="preserve">. Dithiocarbamate pesticides, of which thiram is one, are one of five chemicals nominated for review by the APVMA as a priority 1 </w:t>
      </w:r>
      <w:proofErr w:type="gramStart"/>
      <w:r w:rsidR="00DC5606">
        <w:t>on the basis of</w:t>
      </w:r>
      <w:proofErr w:type="gramEnd"/>
      <w:r w:rsidR="00DC5606">
        <w:t xml:space="preserve"> public health and worker safety concerns (APVMA 2015b)</w:t>
      </w:r>
      <w:r w:rsidR="005356CA">
        <w:t>. The New Zealand EPA reassessment of antifouling biocides recommended a time</w:t>
      </w:r>
      <w:r w:rsidR="00AC5D1E">
        <w:t>-</w:t>
      </w:r>
      <w:r w:rsidR="005356CA">
        <w:t>limited approval of thiram</w:t>
      </w:r>
      <w:r w:rsidR="001278A9">
        <w:t>,</w:t>
      </w:r>
      <w:r w:rsidR="005356CA">
        <w:t xml:space="preserve"> with approval to be revoked in Ju</w:t>
      </w:r>
      <w:r w:rsidR="00976FB6">
        <w:t>ne</w:t>
      </w:r>
      <w:r w:rsidR="005356CA">
        <w:t xml:space="preserve"> 2023 (EPA </w:t>
      </w:r>
      <w:r w:rsidR="00976FB6">
        <w:t>2020).</w:t>
      </w:r>
      <w:r w:rsidR="009D6162">
        <w:t xml:space="preserve"> Thiram is not listed as an approved active substance for antifouling in the UK (HSE 2020).</w:t>
      </w:r>
    </w:p>
    <w:p w14:paraId="1CA7A738" w14:textId="77777777" w:rsidR="00827747" w:rsidRDefault="00F56B54" w:rsidP="00DB0697">
      <w:r>
        <w:t xml:space="preserve">Thiram is a secondary biocide in 8 of the </w:t>
      </w:r>
      <w:r w:rsidR="00BA266D">
        <w:t>52</w:t>
      </w:r>
      <w:r>
        <w:t xml:space="preserve"> antifouling products currently approved by the APVMA</w:t>
      </w:r>
      <w:r w:rsidR="00DB0697">
        <w:t xml:space="preserve"> (</w:t>
      </w:r>
      <w:hyperlink w:anchor="_Appendix_A:_APVMA" w:history="1">
        <w:r w:rsidR="00DB0697" w:rsidRPr="009B605F">
          <w:rPr>
            <w:rStyle w:val="Hyperlink"/>
          </w:rPr>
          <w:t>Appendix A</w:t>
        </w:r>
      </w:hyperlink>
      <w:r w:rsidR="00DB0697">
        <w:t>)</w:t>
      </w:r>
      <w:r>
        <w:t>.</w:t>
      </w:r>
    </w:p>
    <w:p w14:paraId="66C6C8BD" w14:textId="77777777" w:rsidR="00976FB6" w:rsidRDefault="00F56B54" w:rsidP="00862962">
      <w:pPr>
        <w:pStyle w:val="Heading5"/>
      </w:pPr>
      <w:r>
        <w:t>Zineb</w:t>
      </w:r>
    </w:p>
    <w:p w14:paraId="730FD9BE" w14:textId="77777777" w:rsidR="009D6162" w:rsidRDefault="00F56B54" w:rsidP="009D6162">
      <w:r>
        <w:t>Zineb is another dithiocarbamate pesticide,</w:t>
      </w:r>
      <w:r w:rsidR="00D36A45">
        <w:t xml:space="preserve"> </w:t>
      </w:r>
      <w:r>
        <w:t xml:space="preserve">primarily used as an agricultural fungicide, that was grandfathered into the national antifouling registration system. It also falls under the proposed review of dithiocarbamates by the APVMA (APVMA 2015b). </w:t>
      </w:r>
      <w:r w:rsidR="00AC5D1E">
        <w:t>The New Zealand EPA reassessment of antifouling biocides recommended retention of the approval for zineb</w:t>
      </w:r>
      <w:r w:rsidR="00404518">
        <w:t>,</w:t>
      </w:r>
      <w:r w:rsidR="00AC5D1E">
        <w:t xml:space="preserve"> albeit </w:t>
      </w:r>
      <w:r>
        <w:t>with additional controls (EPA 2013</w:t>
      </w:r>
      <w:r w:rsidR="00F461A6">
        <w:t>b</w:t>
      </w:r>
      <w:r>
        <w:t>).</w:t>
      </w:r>
      <w:r w:rsidRPr="009D6162">
        <w:t xml:space="preserve"> </w:t>
      </w:r>
      <w:r>
        <w:t>Zineb is listed as an approved active substance for antifouling</w:t>
      </w:r>
      <w:r w:rsidRPr="009D6162">
        <w:t xml:space="preserve"> </w:t>
      </w:r>
      <w:r>
        <w:t>in the UK (HSE 2020).</w:t>
      </w:r>
    </w:p>
    <w:p w14:paraId="42213B1F" w14:textId="77777777" w:rsidR="00827747" w:rsidRDefault="00F56B54" w:rsidP="00B44E2A">
      <w:r>
        <w:t>Zineb</w:t>
      </w:r>
      <w:r w:rsidR="001278A9">
        <w:t xml:space="preserve"> is a secondary biocide in </w:t>
      </w:r>
      <w:r w:rsidR="00A13012">
        <w:t>7</w:t>
      </w:r>
      <w:r w:rsidR="001278A9">
        <w:t xml:space="preserve"> of the 5</w:t>
      </w:r>
      <w:r w:rsidR="00A13012">
        <w:t>2</w:t>
      </w:r>
      <w:r w:rsidR="001278A9">
        <w:t xml:space="preserve"> antifouling products currently approved by the APVMA</w:t>
      </w:r>
      <w:r w:rsidR="00B44E2A">
        <w:t xml:space="preserve"> (</w:t>
      </w:r>
      <w:hyperlink w:anchor="_Appendix_A:_APVMA" w:history="1">
        <w:r w:rsidR="00B44E2A" w:rsidRPr="009B605F">
          <w:rPr>
            <w:rStyle w:val="Hyperlink"/>
          </w:rPr>
          <w:t>Appendix A</w:t>
        </w:r>
      </w:hyperlink>
      <w:r w:rsidR="00B44E2A">
        <w:t>)</w:t>
      </w:r>
      <w:r w:rsidR="001278A9">
        <w:t>.</w:t>
      </w:r>
    </w:p>
    <w:p w14:paraId="0FE5D9B9" w14:textId="77777777" w:rsidR="00A624F0" w:rsidRDefault="00F56B54" w:rsidP="00862962">
      <w:pPr>
        <w:pStyle w:val="Heading5"/>
      </w:pPr>
      <w:r>
        <w:t>DCOIT</w:t>
      </w:r>
    </w:p>
    <w:p w14:paraId="7FDE504A" w14:textId="77777777" w:rsidR="00A624F0" w:rsidRDefault="00F56B54" w:rsidP="00B44E2A">
      <w:r>
        <w:t>Dichloro-octyl-isothiazolin (DCOIT), marketed under the names Seanine 211</w:t>
      </w:r>
      <w:r w:rsidR="00B44E2A">
        <w:rPr>
          <w:vertAlign w:val="superscript"/>
        </w:rPr>
        <w:t>TM</w:t>
      </w:r>
      <w:r>
        <w:t xml:space="preserve"> or Kathon 287T</w:t>
      </w:r>
      <w:r w:rsidR="00B44E2A">
        <w:rPr>
          <w:vertAlign w:val="superscript"/>
        </w:rPr>
        <w:t>TM</w:t>
      </w:r>
      <w:r>
        <w:t>, is a microbiocide that was the first active substance to be fully assessed and approved by the APVMA for use in antifouling paints.</w:t>
      </w:r>
      <w:r w:rsidR="00827747">
        <w:t xml:space="preserve"> </w:t>
      </w:r>
      <w:r w:rsidR="00AC5D1E">
        <w:t>The New Zealand EPA reassessment of antifouling biocides recommended retention of the approval for DCOIT</w:t>
      </w:r>
      <w:r w:rsidR="00404518">
        <w:t>,</w:t>
      </w:r>
      <w:r w:rsidR="00AC5D1E">
        <w:t xml:space="preserve"> albeit </w:t>
      </w:r>
      <w:r>
        <w:t>with additional controls (EPA 2013</w:t>
      </w:r>
      <w:r w:rsidR="00F461A6">
        <w:t>b</w:t>
      </w:r>
      <w:r>
        <w:t>). Its use in antifouling paints is also approved in the US</w:t>
      </w:r>
      <w:r w:rsidR="00AC5D1E">
        <w:t xml:space="preserve"> </w:t>
      </w:r>
      <w:r w:rsidR="00E0092A">
        <w:t xml:space="preserve">(Ecology WA 2019) </w:t>
      </w:r>
      <w:r w:rsidR="00852C87">
        <w:t xml:space="preserve">and the UK (HSE 2020) </w:t>
      </w:r>
      <w:r>
        <w:t>but</w:t>
      </w:r>
      <w:r w:rsidR="00852C87">
        <w:t>,</w:t>
      </w:r>
      <w:r>
        <w:t xml:space="preserve"> in the UK</w:t>
      </w:r>
      <w:r w:rsidR="00852C87">
        <w:t>,</w:t>
      </w:r>
      <w:r>
        <w:t xml:space="preserve"> it is only approved for professional use</w:t>
      </w:r>
      <w:r w:rsidR="00EF6A1B">
        <w:t xml:space="preserve"> (</w:t>
      </w:r>
      <w:r w:rsidR="00952723">
        <w:t>HSE 2004</w:t>
      </w:r>
      <w:r w:rsidR="00AC5D1E">
        <w:t>)</w:t>
      </w:r>
      <w:r>
        <w:t>.</w:t>
      </w:r>
    </w:p>
    <w:p w14:paraId="0EBB2F08" w14:textId="77777777" w:rsidR="00827747" w:rsidRDefault="00F56B54" w:rsidP="00B44E2A">
      <w:r>
        <w:t xml:space="preserve">DCOIT is a secondary biocide in </w:t>
      </w:r>
      <w:r w:rsidR="00A13012">
        <w:t>3</w:t>
      </w:r>
      <w:r>
        <w:t xml:space="preserve"> of the 5</w:t>
      </w:r>
      <w:r w:rsidR="00A13012">
        <w:t>2</w:t>
      </w:r>
      <w:r>
        <w:t xml:space="preserve"> antifouling products currently approved by the APVMA</w:t>
      </w:r>
      <w:r w:rsidR="00B44E2A">
        <w:t xml:space="preserve"> (</w:t>
      </w:r>
      <w:hyperlink w:anchor="_Appendix_A:_APVMA" w:history="1">
        <w:r w:rsidR="00B44E2A" w:rsidRPr="009B605F">
          <w:rPr>
            <w:rStyle w:val="Hyperlink"/>
          </w:rPr>
          <w:t>Appendix A</w:t>
        </w:r>
      </w:hyperlink>
      <w:r w:rsidR="00B44E2A">
        <w:t>)</w:t>
      </w:r>
      <w:r>
        <w:t>.</w:t>
      </w:r>
    </w:p>
    <w:p w14:paraId="3E07FB08" w14:textId="77777777" w:rsidR="00144B32" w:rsidRDefault="00F56B54" w:rsidP="00862962">
      <w:pPr>
        <w:pStyle w:val="Heading5"/>
      </w:pPr>
      <w:r>
        <w:lastRenderedPageBreak/>
        <w:t>Zinc pyrithione</w:t>
      </w:r>
    </w:p>
    <w:p w14:paraId="5336336D" w14:textId="77777777" w:rsidR="00144B32" w:rsidRDefault="00F56B54" w:rsidP="00B44E2A">
      <w:r>
        <w:t>Zinc pyrithione (ZPT), marketed under the names Zinc Omadine</w:t>
      </w:r>
      <w:r w:rsidR="00B44E2A">
        <w:rPr>
          <w:vertAlign w:val="superscript"/>
        </w:rPr>
        <w:t>TM</w:t>
      </w:r>
      <w:r>
        <w:t xml:space="preserve"> </w:t>
      </w:r>
      <w:r w:rsidR="00F42280">
        <w:t>or Zinc Pyrion</w:t>
      </w:r>
      <w:r w:rsidR="00B44E2A">
        <w:rPr>
          <w:vertAlign w:val="superscript"/>
        </w:rPr>
        <w:t>TM</w:t>
      </w:r>
      <w:r>
        <w:t xml:space="preserve">, is a </w:t>
      </w:r>
      <w:r w:rsidR="00F42280">
        <w:t xml:space="preserve">microbiocide that </w:t>
      </w:r>
      <w:r>
        <w:t>is a common ingredient in anti-dandruff shampoos</w:t>
      </w:r>
      <w:r w:rsidR="000717CA">
        <w:t xml:space="preserve"> and was </w:t>
      </w:r>
      <w:r>
        <w:t>fully assessed by the APVMA</w:t>
      </w:r>
      <w:r w:rsidR="000717CA">
        <w:t xml:space="preserve"> (then the NRA)</w:t>
      </w:r>
      <w:r>
        <w:t xml:space="preserve"> for use </w:t>
      </w:r>
      <w:r w:rsidR="00B63DA6">
        <w:t xml:space="preserve">as </w:t>
      </w:r>
      <w:r>
        <w:t xml:space="preserve">an </w:t>
      </w:r>
      <w:r w:rsidR="00B63DA6">
        <w:t xml:space="preserve">active constituent in </w:t>
      </w:r>
      <w:r>
        <w:t>antifouling</w:t>
      </w:r>
      <w:r w:rsidR="00827747">
        <w:t xml:space="preserve"> </w:t>
      </w:r>
      <w:r w:rsidR="00B63DA6">
        <w:t>paint products</w:t>
      </w:r>
      <w:r w:rsidR="00C669A0">
        <w:t xml:space="preserve"> and</w:t>
      </w:r>
      <w:r>
        <w:t xml:space="preserve"> approved in 2001</w:t>
      </w:r>
      <w:r w:rsidR="00AC5D1E">
        <w:t xml:space="preserve"> </w:t>
      </w:r>
      <w:r w:rsidR="000717CA">
        <w:t>(NRA 2001</w:t>
      </w:r>
      <w:r w:rsidR="00AC5D1E">
        <w:t>)</w:t>
      </w:r>
      <w:r>
        <w:t>.</w:t>
      </w:r>
      <w:r w:rsidRPr="00144B32">
        <w:t xml:space="preserve"> </w:t>
      </w:r>
      <w:r w:rsidR="00404518">
        <w:t>The New Zealand EPA reassessment of antifouling biocides recommended retention of the approval for ZPT, albeit</w:t>
      </w:r>
      <w:r>
        <w:t xml:space="preserve"> with additional controls (EPA 2013</w:t>
      </w:r>
      <w:r w:rsidR="00F461A6">
        <w:t>b</w:t>
      </w:r>
      <w:r>
        <w:t>).</w:t>
      </w:r>
      <w:r w:rsidR="00F42280">
        <w:t xml:space="preserve"> Its use in antifouling products </w:t>
      </w:r>
      <w:r w:rsidR="00551084">
        <w:t>h</w:t>
      </w:r>
      <w:r w:rsidR="00952723">
        <w:t>as been</w:t>
      </w:r>
      <w:r w:rsidR="00F42280">
        <w:t xml:space="preserve"> approved in the US </w:t>
      </w:r>
      <w:r w:rsidR="00E0092A">
        <w:t xml:space="preserve">(Ecology WA 2019) </w:t>
      </w:r>
      <w:r w:rsidR="00F42280">
        <w:t>and UK</w:t>
      </w:r>
      <w:r w:rsidR="00404518">
        <w:t xml:space="preserve"> </w:t>
      </w:r>
      <w:r w:rsidR="000717CA">
        <w:t>(</w:t>
      </w:r>
      <w:r w:rsidR="00952723">
        <w:t>HSE 2004</w:t>
      </w:r>
      <w:r w:rsidR="00404518">
        <w:t>)</w:t>
      </w:r>
      <w:r w:rsidR="00F42280">
        <w:t>.</w:t>
      </w:r>
    </w:p>
    <w:p w14:paraId="615FCE69" w14:textId="77777777" w:rsidR="00827747" w:rsidRDefault="00F56B54" w:rsidP="00B44E2A">
      <w:r>
        <w:t xml:space="preserve">ZPT is a secondary biocide in </w:t>
      </w:r>
      <w:r w:rsidR="00A13012">
        <w:t>8</w:t>
      </w:r>
      <w:r>
        <w:t xml:space="preserve"> of the 5</w:t>
      </w:r>
      <w:r w:rsidR="00A13012">
        <w:t>2</w:t>
      </w:r>
      <w:r>
        <w:t xml:space="preserve"> antifouling products currently approved by the APVMA</w:t>
      </w:r>
      <w:r w:rsidR="00B44E2A">
        <w:t xml:space="preserve"> (</w:t>
      </w:r>
      <w:hyperlink w:anchor="_Appendix_A:_APVMA" w:history="1">
        <w:r w:rsidR="009B605F" w:rsidRPr="009B605F">
          <w:rPr>
            <w:rStyle w:val="Hyperlink"/>
          </w:rPr>
          <w:t>Appendix A</w:t>
        </w:r>
      </w:hyperlink>
      <w:r w:rsidR="00B44E2A">
        <w:t>)</w:t>
      </w:r>
      <w:r>
        <w:t>.</w:t>
      </w:r>
    </w:p>
    <w:p w14:paraId="337E8EFA" w14:textId="77777777" w:rsidR="00F42280" w:rsidRDefault="00F56B54" w:rsidP="00862962">
      <w:pPr>
        <w:pStyle w:val="Heading5"/>
      </w:pPr>
      <w:r>
        <w:t>Copper pyrithione</w:t>
      </w:r>
    </w:p>
    <w:p w14:paraId="193FD7D4" w14:textId="77777777" w:rsidR="00F42280" w:rsidRDefault="00F56B54" w:rsidP="00B44E2A">
      <w:r>
        <w:t>Copper pyrithione (CuPT)</w:t>
      </w:r>
      <w:r w:rsidR="00C4661D">
        <w:t xml:space="preserve">, </w:t>
      </w:r>
      <w:r>
        <w:t>marketed under the names Copper Omadine</w:t>
      </w:r>
      <w:r w:rsidR="00C4661D">
        <w:rPr>
          <w:vertAlign w:val="superscript"/>
        </w:rPr>
        <w:t>TM</w:t>
      </w:r>
      <w:r>
        <w:t xml:space="preserve">, </w:t>
      </w:r>
      <w:r w:rsidR="00C4661D">
        <w:t>is a</w:t>
      </w:r>
      <w:r w:rsidR="0070140B">
        <w:t xml:space="preserve"> microbiocide that</w:t>
      </w:r>
      <w:r>
        <w:t xml:space="preserve"> was fully assessed by the APVMA for use </w:t>
      </w:r>
      <w:r w:rsidR="00B63DA6">
        <w:t xml:space="preserve">as an active constituent in antifouling paint products </w:t>
      </w:r>
      <w:r w:rsidR="00C669A0">
        <w:t>and</w:t>
      </w:r>
      <w:r>
        <w:t xml:space="preserve"> approved in 2005</w:t>
      </w:r>
      <w:r w:rsidR="00404518">
        <w:t xml:space="preserve"> </w:t>
      </w:r>
      <w:r w:rsidR="00B63DA6">
        <w:t>(APVMA 2005</w:t>
      </w:r>
      <w:r w:rsidR="00404518">
        <w:t>)</w:t>
      </w:r>
      <w:r>
        <w:t>.</w:t>
      </w:r>
      <w:r w:rsidRPr="00144B32">
        <w:t xml:space="preserve"> </w:t>
      </w:r>
      <w:r w:rsidR="00404518">
        <w:t>The New Zealand EPA reassessment of antifouling biocides recommended retention of the approval for CuPT, albeit</w:t>
      </w:r>
      <w:r>
        <w:t xml:space="preserve"> with additional controls (EPA 2013</w:t>
      </w:r>
      <w:r w:rsidR="00F461A6">
        <w:t>b</w:t>
      </w:r>
      <w:r>
        <w:t xml:space="preserve">). Its use in antifouling products is also approved in the US </w:t>
      </w:r>
      <w:r w:rsidR="00E0092A">
        <w:t xml:space="preserve">(Ecology WA 2019) </w:t>
      </w:r>
      <w:r>
        <w:t>and UK</w:t>
      </w:r>
      <w:r w:rsidR="00404518">
        <w:t xml:space="preserve"> (</w:t>
      </w:r>
      <w:r w:rsidR="00852C87">
        <w:t>HSE 2020</w:t>
      </w:r>
      <w:r w:rsidR="00404518">
        <w:t>)</w:t>
      </w:r>
      <w:r>
        <w:t>.</w:t>
      </w:r>
    </w:p>
    <w:p w14:paraId="41478CAC" w14:textId="77777777" w:rsidR="00827747" w:rsidRDefault="00F56B54" w:rsidP="00C4661D">
      <w:r>
        <w:t xml:space="preserve">CuPT is a secondary biocide in </w:t>
      </w:r>
      <w:r w:rsidR="00A13012">
        <w:t>10</w:t>
      </w:r>
      <w:r>
        <w:t xml:space="preserve"> of the 5</w:t>
      </w:r>
      <w:r w:rsidR="00A13012">
        <w:t>2</w:t>
      </w:r>
      <w:r>
        <w:t xml:space="preserve"> antifouling products currently approved by the APVMA</w:t>
      </w:r>
      <w:r w:rsidR="00C4661D">
        <w:t xml:space="preserve"> (</w:t>
      </w:r>
      <w:hyperlink w:anchor="_Appendix_A:_APVMA" w:history="1">
        <w:r w:rsidR="009B605F" w:rsidRPr="009B605F">
          <w:rPr>
            <w:rStyle w:val="Hyperlink"/>
          </w:rPr>
          <w:t>Appendix A</w:t>
        </w:r>
      </w:hyperlink>
      <w:r w:rsidR="00C4661D">
        <w:t>)</w:t>
      </w:r>
      <w:r>
        <w:t>.</w:t>
      </w:r>
    </w:p>
    <w:p w14:paraId="70EC8636" w14:textId="77777777" w:rsidR="00827747" w:rsidRDefault="00F56B54" w:rsidP="00862962">
      <w:pPr>
        <w:pStyle w:val="Heading5"/>
      </w:pPr>
      <w:r>
        <w:t>Dichlofluanid</w:t>
      </w:r>
    </w:p>
    <w:p w14:paraId="3CE5BCC1" w14:textId="77777777" w:rsidR="009D6162" w:rsidRDefault="00F56B54" w:rsidP="009D6162">
      <w:r>
        <w:t>Dichlofluanid, an agricultural fungicide, was approved by the APVMA for use as an antifouling biocide in 2007</w:t>
      </w:r>
      <w:r w:rsidR="00404518">
        <w:t xml:space="preserve"> </w:t>
      </w:r>
      <w:r w:rsidR="0070140B">
        <w:t>(Lewis 2010</w:t>
      </w:r>
      <w:r w:rsidR="00404518">
        <w:t>)</w:t>
      </w:r>
      <w:r>
        <w:t xml:space="preserve">. </w:t>
      </w:r>
      <w:r w:rsidR="00404518">
        <w:t>The New Zealand EPA reassessment of antifouling biocides recommended retention of the approval for Dichlofluanid, albeit</w:t>
      </w:r>
      <w:r>
        <w:t xml:space="preserve"> with additional controls (EPA 2013</w:t>
      </w:r>
      <w:r w:rsidR="00F461A6">
        <w:t>b</w:t>
      </w:r>
      <w:r>
        <w:t>). Dichlofluanid is approved as an approved active substance for antifouling</w:t>
      </w:r>
      <w:r w:rsidRPr="009D6162">
        <w:t xml:space="preserve"> </w:t>
      </w:r>
      <w:r>
        <w:t>in the UK (HSE 2020).</w:t>
      </w:r>
    </w:p>
    <w:p w14:paraId="54870AC2" w14:textId="77777777" w:rsidR="00DA7EED" w:rsidRDefault="00F56B54" w:rsidP="00032163">
      <w:r>
        <w:t xml:space="preserve">Dichlofluanid </w:t>
      </w:r>
      <w:proofErr w:type="gramStart"/>
      <w:r>
        <w:t>was seen as</w:t>
      </w:r>
      <w:proofErr w:type="gramEnd"/>
      <w:r>
        <w:t xml:space="preserve"> a replacement for diuron, and three products containing the biocide were approved by the APVMA</w:t>
      </w:r>
      <w:r w:rsidR="00637BE5">
        <w:t xml:space="preserve"> between 2005 and 2010</w:t>
      </w:r>
      <w:r>
        <w:t xml:space="preserve">. However, raw material supply issues subsequently </w:t>
      </w:r>
      <w:r w:rsidR="00F90F4C">
        <w:t>prevented its use</w:t>
      </w:r>
      <w:r w:rsidR="00032163">
        <w:t>,</w:t>
      </w:r>
      <w:r w:rsidR="00F90F4C">
        <w:t xml:space="preserve"> and there are no longer any APVMA approved products that contain dichlofluanid</w:t>
      </w:r>
      <w:r w:rsidR="00404518">
        <w:t xml:space="preserve"> (</w:t>
      </w:r>
      <w:r w:rsidR="00637BE5">
        <w:t>APVMA 2020</w:t>
      </w:r>
      <w:r w:rsidR="002A4B9F">
        <w:t>c</w:t>
      </w:r>
      <w:r w:rsidR="00404518">
        <w:t>)</w:t>
      </w:r>
      <w:r w:rsidR="00F90F4C">
        <w:t>.</w:t>
      </w:r>
    </w:p>
    <w:p w14:paraId="5BB49BBA" w14:textId="77777777" w:rsidR="00F42280" w:rsidRDefault="00F56B54" w:rsidP="00BF16C3">
      <w:pPr>
        <w:pStyle w:val="Heading4"/>
      </w:pPr>
      <w:r>
        <w:t>Antifouling biocides not yet approved by the APVMA</w:t>
      </w:r>
    </w:p>
    <w:p w14:paraId="3AC713F3" w14:textId="77777777" w:rsidR="00BF16C3" w:rsidRDefault="00F56B54" w:rsidP="00BF16C3">
      <w:r>
        <w:t>Research and development into new antifouling biocides continues worldwide with the ob</w:t>
      </w:r>
      <w:r w:rsidR="00642661">
        <w:t>j</w:t>
      </w:r>
      <w:r>
        <w:t xml:space="preserve">ective of finding effective and more </w:t>
      </w:r>
      <w:r w:rsidR="00C669A0">
        <w:t>environmentally friendly</w:t>
      </w:r>
      <w:r>
        <w:t xml:space="preserve"> products</w:t>
      </w:r>
      <w:r w:rsidR="00404518">
        <w:t xml:space="preserve"> (</w:t>
      </w:r>
      <w:r w:rsidR="00662856">
        <w:t>Zainzinger 2019</w:t>
      </w:r>
      <w:r w:rsidR="00404518">
        <w:t>)</w:t>
      </w:r>
      <w:r>
        <w:t>. The following biocides are now in use overseas, but applications for approval are yet to be submitted to the APVMA.</w:t>
      </w:r>
    </w:p>
    <w:p w14:paraId="025521E7" w14:textId="77777777" w:rsidR="00BF16C3" w:rsidRDefault="00F56B54" w:rsidP="00862962">
      <w:pPr>
        <w:pStyle w:val="Heading5"/>
        <w:numPr>
          <w:ilvl w:val="0"/>
          <w:numId w:val="43"/>
        </w:numPr>
      </w:pPr>
      <w:r>
        <w:t>Tralopyril</w:t>
      </w:r>
    </w:p>
    <w:p w14:paraId="17025F7B" w14:textId="77777777" w:rsidR="00BF16C3" w:rsidRDefault="00F56B54" w:rsidP="00032163">
      <w:r>
        <w:t>Tralopyril, marketed under the name Econea</w:t>
      </w:r>
      <w:r w:rsidR="00404518">
        <w:t>™</w:t>
      </w:r>
      <w:r>
        <w:t xml:space="preserve">, is </w:t>
      </w:r>
      <w:r w:rsidR="007F7E51">
        <w:t xml:space="preserve">promoted as </w:t>
      </w:r>
      <w:r>
        <w:t>a metal-free antifouling agent</w:t>
      </w:r>
      <w:r w:rsidR="00404518">
        <w:t xml:space="preserve"> (</w:t>
      </w:r>
      <w:r w:rsidR="007F7E51">
        <w:t>Janssen 2016</w:t>
      </w:r>
      <w:r w:rsidR="00404518">
        <w:t>)</w:t>
      </w:r>
      <w:r>
        <w:t>. US approval was granted in 2007</w:t>
      </w:r>
      <w:r w:rsidR="00404518">
        <w:t xml:space="preserve"> (</w:t>
      </w:r>
      <w:r w:rsidR="006F06F3">
        <w:t>US EPA 2007</w:t>
      </w:r>
      <w:r w:rsidR="00404518">
        <w:t>)</w:t>
      </w:r>
      <w:r w:rsidR="00B54982">
        <w:t xml:space="preserve"> and EU BPR approval in 2014 (Janssen 2016)</w:t>
      </w:r>
      <w:r>
        <w:t>. In addition to use as a secondary biocide in copper-based paints, it has been used in combination with zinc pyrithione to offer a copper-free antifouling paint</w:t>
      </w:r>
      <w:r w:rsidR="00404518">
        <w:t xml:space="preserve"> (</w:t>
      </w:r>
      <w:r w:rsidR="004B6386">
        <w:t>US EPA 2019</w:t>
      </w:r>
      <w:r w:rsidR="00404518">
        <w:t>)</w:t>
      </w:r>
      <w:r>
        <w:t xml:space="preserve">. </w:t>
      </w:r>
      <w:r w:rsidR="00DA7EED">
        <w:t>Tralopyril was not included in New Zealand’s reassessment of antifouling biocides</w:t>
      </w:r>
      <w:r w:rsidR="00404518">
        <w:t xml:space="preserve"> (</w:t>
      </w:r>
      <w:r w:rsidR="00837C6E">
        <w:t>EPA 2013c</w:t>
      </w:r>
      <w:r w:rsidR="00404518">
        <w:t>)</w:t>
      </w:r>
      <w:r w:rsidR="00DA7EED">
        <w:t xml:space="preserve">, nor is it </w:t>
      </w:r>
      <w:r w:rsidR="009D6162">
        <w:t xml:space="preserve">yet </w:t>
      </w:r>
      <w:r w:rsidR="00DA7EED">
        <w:t>approved in the UK</w:t>
      </w:r>
      <w:r w:rsidR="00404518">
        <w:t xml:space="preserve"> (</w:t>
      </w:r>
      <w:r w:rsidR="009D6162">
        <w:t>HSE 2020</w:t>
      </w:r>
      <w:r w:rsidR="00404518">
        <w:t>)</w:t>
      </w:r>
      <w:r w:rsidR="00DA7EED">
        <w:t>.</w:t>
      </w:r>
    </w:p>
    <w:p w14:paraId="5115ACE1" w14:textId="77777777" w:rsidR="00BF16C3" w:rsidRDefault="00F56B54" w:rsidP="00862962">
      <w:pPr>
        <w:pStyle w:val="Heading5"/>
      </w:pPr>
      <w:r>
        <w:lastRenderedPageBreak/>
        <w:t>Medetomidine</w:t>
      </w:r>
    </w:p>
    <w:p w14:paraId="47961140" w14:textId="77777777" w:rsidR="00BF16C3" w:rsidRDefault="00F56B54" w:rsidP="00032163">
      <w:r>
        <w:t>Medetomidine is a synthetic drug used as a surgical anaesthetic and analgesic</w:t>
      </w:r>
      <w:r w:rsidR="00087BED">
        <w:t xml:space="preserve"> (</w:t>
      </w:r>
      <w:r w:rsidR="000C2A1B">
        <w:t>Sinclair 2003</w:t>
      </w:r>
      <w:r w:rsidR="00087BED">
        <w:t>)</w:t>
      </w:r>
      <w:r>
        <w:t>. Research and development of the substance as an antifouling agent took place in Sweden and it is marketed for antifouling use under the name Selektop</w:t>
      </w:r>
      <w:r w:rsidR="00087BED">
        <w:t>e</w:t>
      </w:r>
      <w:r w:rsidR="00404518">
        <w:t>™</w:t>
      </w:r>
      <w:r w:rsidR="00087BED">
        <w:t xml:space="preserve"> (</w:t>
      </w:r>
      <w:r w:rsidR="000C2A1B">
        <w:t>I-Tech 2020</w:t>
      </w:r>
      <w:r w:rsidR="00087BED">
        <w:t>)</w:t>
      </w:r>
      <w:r>
        <w:t>. Selektope</w:t>
      </w:r>
      <w:r w:rsidR="00087BED">
        <w:t>™</w:t>
      </w:r>
      <w:r>
        <w:t xml:space="preserve"> </w:t>
      </w:r>
      <w:r w:rsidR="00E42F37">
        <w:t>acts as</w:t>
      </w:r>
      <w:r>
        <w:t xml:space="preserve"> a </w:t>
      </w:r>
      <w:r w:rsidR="00285A3C">
        <w:t xml:space="preserve">barnacle </w:t>
      </w:r>
      <w:r w:rsidR="00C669A0">
        <w:t>repellent and</w:t>
      </w:r>
      <w:r w:rsidR="00285A3C">
        <w:t xml:space="preserve"> </w:t>
      </w:r>
      <w:r w:rsidR="00E42F37">
        <w:t xml:space="preserve">is </w:t>
      </w:r>
      <w:r w:rsidR="00285A3C">
        <w:t xml:space="preserve">claimed </w:t>
      </w:r>
      <w:r w:rsidR="00032163">
        <w:t>t</w:t>
      </w:r>
      <w:r w:rsidR="00285A3C">
        <w:t xml:space="preserve">o work by </w:t>
      </w:r>
      <w:r w:rsidR="00F90F4C">
        <w:t xml:space="preserve">temporarily activating </w:t>
      </w:r>
      <w:r w:rsidR="0002685B">
        <w:t>the swimming behaviour of barnacle cyprid larvae to prevent their settlement</w:t>
      </w:r>
      <w:r w:rsidR="00087BED">
        <w:t xml:space="preserve"> (</w:t>
      </w:r>
      <w:r w:rsidR="000C2A1B">
        <w:t>Goldie 201</w:t>
      </w:r>
      <w:r w:rsidR="00B27FDB">
        <w:t>5</w:t>
      </w:r>
      <w:r w:rsidR="00087BED">
        <w:t>)</w:t>
      </w:r>
      <w:r w:rsidR="0002685B">
        <w:t>. Use of Selektope</w:t>
      </w:r>
      <w:r w:rsidR="00087BED">
        <w:t>™</w:t>
      </w:r>
      <w:r w:rsidR="0002685B">
        <w:t xml:space="preserve"> has been approved in</w:t>
      </w:r>
      <w:r w:rsidR="0070073E">
        <w:t xml:space="preserve"> China, South Korea</w:t>
      </w:r>
      <w:r w:rsidR="005D1C44">
        <w:t>,</w:t>
      </w:r>
      <w:r w:rsidR="0070073E">
        <w:t xml:space="preserve"> Japan </w:t>
      </w:r>
      <w:r w:rsidR="0002685B">
        <w:t xml:space="preserve">and South Korea </w:t>
      </w:r>
      <w:r w:rsidR="00087BED">
        <w:t>(</w:t>
      </w:r>
      <w:r w:rsidR="0070073E">
        <w:t>I-Tech 2020</w:t>
      </w:r>
      <w:r w:rsidR="00087BED">
        <w:t xml:space="preserve">) </w:t>
      </w:r>
      <w:r w:rsidR="0002685B">
        <w:t xml:space="preserve">and </w:t>
      </w:r>
      <w:r w:rsidR="00032163">
        <w:t xml:space="preserve">it </w:t>
      </w:r>
      <w:r w:rsidR="0002685B">
        <w:t xml:space="preserve">is incorporated into at least </w:t>
      </w:r>
      <w:r w:rsidR="00B27FDB">
        <w:t>eight</w:t>
      </w:r>
      <w:r w:rsidR="0002685B">
        <w:t xml:space="preserve"> </w:t>
      </w:r>
      <w:r w:rsidR="00032163">
        <w:t xml:space="preserve">antifouling </w:t>
      </w:r>
      <w:r w:rsidR="0002685B">
        <w:t>products</w:t>
      </w:r>
      <w:r w:rsidR="00B27FDB">
        <w:t xml:space="preserve"> from the manufacturers Chugoku, Hempel, Jotun</w:t>
      </w:r>
      <w:r w:rsidR="00032163">
        <w:t>,</w:t>
      </w:r>
      <w:r w:rsidR="0002685B">
        <w:t xml:space="preserve"> including coatings for ocean-going vessels</w:t>
      </w:r>
      <w:r w:rsidR="00087BED">
        <w:t xml:space="preserve"> (</w:t>
      </w:r>
      <w:r w:rsidR="00B27FDB">
        <w:t>Selektope 2020</w:t>
      </w:r>
      <w:r w:rsidR="00087BED">
        <w:t>)</w:t>
      </w:r>
      <w:r w:rsidR="0002685B">
        <w:t>.</w:t>
      </w:r>
      <w:r w:rsidR="00C34CB9">
        <w:t xml:space="preserve"> The UK Health and Safety Executive recommended to the EU </w:t>
      </w:r>
      <w:r w:rsidR="00032163">
        <w:t xml:space="preserve">in 2014 </w:t>
      </w:r>
      <w:r w:rsidR="00C34CB9">
        <w:t xml:space="preserve">that the product should be approved </w:t>
      </w:r>
      <w:r w:rsidR="00032163">
        <w:t>as an antifouling biocide</w:t>
      </w:r>
      <w:r w:rsidR="00087BED">
        <w:t xml:space="preserve"> (</w:t>
      </w:r>
      <w:r w:rsidR="00D84131">
        <w:t>Crawl 2014</w:t>
      </w:r>
      <w:r w:rsidR="00087BED">
        <w:t>)</w:t>
      </w:r>
      <w:r w:rsidR="00C34CB9">
        <w:t>.</w:t>
      </w:r>
    </w:p>
    <w:p w14:paraId="63209219" w14:textId="77777777" w:rsidR="00AB3F2C" w:rsidRDefault="00F56B54" w:rsidP="00AB3F2C">
      <w:pPr>
        <w:pStyle w:val="Heading4"/>
      </w:pPr>
      <w:r>
        <w:t xml:space="preserve">Antifouling biocides not </w:t>
      </w:r>
      <w:r w:rsidR="00C669A0">
        <w:t>approved,</w:t>
      </w:r>
      <w:r>
        <w:t xml:space="preserve"> or approval revoked by the APVMA</w:t>
      </w:r>
    </w:p>
    <w:p w14:paraId="7391BEB7" w14:textId="77777777" w:rsidR="00AB3F2C" w:rsidRPr="009B605F" w:rsidRDefault="00F56B54" w:rsidP="001F288E">
      <w:pPr>
        <w:pStyle w:val="Heading5"/>
        <w:numPr>
          <w:ilvl w:val="0"/>
          <w:numId w:val="44"/>
        </w:numPr>
        <w:ind w:hanging="720"/>
      </w:pPr>
      <w:r w:rsidRPr="009B605F">
        <w:t>Organotin compounds</w:t>
      </w:r>
    </w:p>
    <w:p w14:paraId="394E796D" w14:textId="77777777" w:rsidR="00AB3F2C" w:rsidRDefault="00F56B54" w:rsidP="00032163">
      <w:r>
        <w:t xml:space="preserve">Annex 1 to the </w:t>
      </w:r>
      <w:r w:rsidR="006F73DF" w:rsidRPr="00230C64">
        <w:rPr>
          <w:i/>
        </w:rPr>
        <w:t xml:space="preserve">International Convention on the Control of Harmful Anti-fouling Systems on Ships </w:t>
      </w:r>
      <w:r w:rsidRPr="00230C64">
        <w:rPr>
          <w:i/>
        </w:rPr>
        <w:t>2001</w:t>
      </w:r>
      <w:r w:rsidR="006F73DF" w:rsidRPr="00230C64">
        <w:rPr>
          <w:i/>
        </w:rPr>
        <w:t xml:space="preserve"> </w:t>
      </w:r>
      <w:r w:rsidR="006F73DF" w:rsidRPr="006F73DF">
        <w:t>(IMO AFS Convention)</w:t>
      </w:r>
      <w:r>
        <w:t xml:space="preserve"> </w:t>
      </w:r>
      <w:r w:rsidR="00F91F2F">
        <w:t>prohibited the application to ships of antifouling systems that contained organotin compounds that acted as biocides from January 2003</w:t>
      </w:r>
      <w:r w:rsidR="000F53C8">
        <w:t xml:space="preserve">, </w:t>
      </w:r>
      <w:r w:rsidR="00F91F2F">
        <w:t xml:space="preserve">and the presence of such coatings </w:t>
      </w:r>
      <w:r w:rsidR="000F53C8">
        <w:t xml:space="preserve">on ships </w:t>
      </w:r>
      <w:r w:rsidR="00F91F2F">
        <w:t>after January 2008</w:t>
      </w:r>
      <w:r w:rsidR="000F53C8">
        <w:t>,</w:t>
      </w:r>
      <w:r w:rsidR="00F91F2F">
        <w:t xml:space="preserve"> unless sealed under a barrier coating (IMO 2005). The </w:t>
      </w:r>
      <w:r w:rsidR="00901C19">
        <w:t>APVMA cancelled the registrations of all antifouling products that contained organotin biocides, effective as of 31 March 2003. The AFS Convention entered into force in September 2008 and, as of Ma</w:t>
      </w:r>
      <w:r w:rsidR="00E05790">
        <w:t>y</w:t>
      </w:r>
      <w:r w:rsidR="00901C19">
        <w:t xml:space="preserve"> 2020, had been ratified by 89 states representing 96% of world shipping tonnage</w:t>
      </w:r>
      <w:r w:rsidR="00087BED">
        <w:t xml:space="preserve"> (</w:t>
      </w:r>
      <w:r w:rsidR="00E05790">
        <w:t>IMO 2020</w:t>
      </w:r>
      <w:r w:rsidR="00087BED">
        <w:t>)</w:t>
      </w:r>
      <w:r w:rsidR="00901C19">
        <w:t>.</w:t>
      </w:r>
    </w:p>
    <w:p w14:paraId="129529AF" w14:textId="77777777" w:rsidR="00827747" w:rsidRDefault="00F56B54" w:rsidP="000F53C8">
      <w:r>
        <w:t xml:space="preserve">The AFS Convention requires that vessels greater than </w:t>
      </w:r>
      <w:r w:rsidR="00C319EF">
        <w:t xml:space="preserve">400 gross tonnage </w:t>
      </w:r>
      <w:r w:rsidR="00087BED">
        <w:t xml:space="preserve">(gt) </w:t>
      </w:r>
      <w:r w:rsidR="00C319EF">
        <w:t>carry an International Anti-Fouling System Certificate as evidence that the coating system is compliant and, similarly, vessels less than 400 gt</w:t>
      </w:r>
      <w:r w:rsidR="000F53C8">
        <w:t>,</w:t>
      </w:r>
      <w:r w:rsidR="00C319EF">
        <w:t xml:space="preserve"> but of a length greater than 24 m</w:t>
      </w:r>
      <w:r w:rsidR="000F53C8">
        <w:t>,</w:t>
      </w:r>
      <w:r w:rsidR="00C319EF">
        <w:t xml:space="preserve"> are required of have a Declaration on Anti-Fouling System</w:t>
      </w:r>
      <w:r w:rsidR="00087BED">
        <w:t xml:space="preserve"> (</w:t>
      </w:r>
      <w:r w:rsidR="00E05790">
        <w:t>IMO 2005</w:t>
      </w:r>
      <w:r w:rsidR="00087BED">
        <w:t>)</w:t>
      </w:r>
      <w:r w:rsidR="00C319EF">
        <w:t>.</w:t>
      </w:r>
    </w:p>
    <w:p w14:paraId="7F6CE54E" w14:textId="77777777" w:rsidR="00C319EF" w:rsidRDefault="00F56B54" w:rsidP="000F53C8">
      <w:r>
        <w:t xml:space="preserve">However, organotin compounds may still be present </w:t>
      </w:r>
      <w:r w:rsidR="00253C4A">
        <w:t xml:space="preserve">in underwater coating systems </w:t>
      </w:r>
      <w:r>
        <w:t>on:</w:t>
      </w:r>
    </w:p>
    <w:p w14:paraId="0FA5CD29" w14:textId="77777777" w:rsidR="00C319EF" w:rsidRDefault="00F56B54" w:rsidP="000F53C8">
      <w:pPr>
        <w:pStyle w:val="ListNumber2"/>
      </w:pPr>
      <w:r>
        <w:t>Domestic shipping in countries that are not signatories to the Convention or do not have parallel domestic regulations</w:t>
      </w:r>
    </w:p>
    <w:p w14:paraId="66BC600E" w14:textId="77777777" w:rsidR="00C319EF" w:rsidRDefault="00F56B54" w:rsidP="000F53C8">
      <w:pPr>
        <w:pStyle w:val="ListNumber2"/>
      </w:pPr>
      <w:r>
        <w:t>Small vessels in countries without domestic regulations to p</w:t>
      </w:r>
      <w:r w:rsidR="000F53C8">
        <w:t>r</w:t>
      </w:r>
      <w:r>
        <w:t xml:space="preserve">event their use. For example, one US paint company continues to </w:t>
      </w:r>
      <w:r w:rsidR="00253C4A">
        <w:t>advertise tributyltin-containing antifouling paints as “Export – (Non-US)”</w:t>
      </w:r>
      <w:r w:rsidR="00D55844">
        <w:t xml:space="preserve"> (Sea Hawk 2020)</w:t>
      </w:r>
      <w:r w:rsidR="00253C4A">
        <w:t>. The market is understood to be countries in the Caribbean</w:t>
      </w:r>
    </w:p>
    <w:p w14:paraId="63BDE1D5" w14:textId="77777777" w:rsidR="00253C4A" w:rsidRDefault="00F56B54" w:rsidP="000F53C8">
      <w:pPr>
        <w:pStyle w:val="ListNumber2"/>
      </w:pPr>
      <w:r>
        <w:t>Vessels where the organotin antifouling was applied before 2003, subsequently sealed under a barrier coat, and the total system not removed and replaced since. This scenario is considered unlikely</w:t>
      </w:r>
      <w:r w:rsidR="005D1C44">
        <w:t>.</w:t>
      </w:r>
    </w:p>
    <w:p w14:paraId="068DA60A" w14:textId="77777777" w:rsidR="00827747" w:rsidRDefault="00F56B54" w:rsidP="00D465F3">
      <w:r>
        <w:t xml:space="preserve">Dibutylin dilaurate or dibutyltin dioctanoate are commonly used in the formulation of silicone </w:t>
      </w:r>
      <w:r w:rsidR="00C47F17">
        <w:t>FRCs</w:t>
      </w:r>
      <w:r w:rsidR="00570C56">
        <w:t>, with b</w:t>
      </w:r>
      <w:r>
        <w:t>oth act</w:t>
      </w:r>
      <w:r w:rsidR="00570C56">
        <w:t>ing</w:t>
      </w:r>
      <w:r>
        <w:t xml:space="preserve"> as catalysts for the room temperature vulcanisation (i.e. curing) of the silicone</w:t>
      </w:r>
      <w:r w:rsidR="00087BED">
        <w:t xml:space="preserve"> (</w:t>
      </w:r>
      <w:r w:rsidR="00DB160A">
        <w:t>Davies 20</w:t>
      </w:r>
      <w:r w:rsidR="00EF0FFB">
        <w:t>10</w:t>
      </w:r>
      <w:r w:rsidR="0078236A">
        <w:t>, Lejars et al. 2012</w:t>
      </w:r>
      <w:r w:rsidR="00087BED">
        <w:t>)</w:t>
      </w:r>
      <w:r w:rsidR="00E45BD2">
        <w:t xml:space="preserve">. </w:t>
      </w:r>
      <w:r w:rsidR="000F5645">
        <w:t>To allow for this, the</w:t>
      </w:r>
      <w:r w:rsidR="00E45BD2">
        <w:t xml:space="preserve"> use of an organotin</w:t>
      </w:r>
      <w:r w:rsidR="002E2E43">
        <w:t xml:space="preserve"> </w:t>
      </w:r>
      <w:r w:rsidR="002E2E43" w:rsidRPr="00424F73">
        <w:rPr>
          <w:u w:val="single"/>
        </w:rPr>
        <w:t>not acting as a biocide</w:t>
      </w:r>
      <w:r w:rsidR="00E45BD2">
        <w:t xml:space="preserve"> </w:t>
      </w:r>
      <w:r w:rsidR="00FD6BC8">
        <w:t xml:space="preserve">in </w:t>
      </w:r>
      <w:r w:rsidR="002E2E43">
        <w:t xml:space="preserve">a </w:t>
      </w:r>
      <w:r w:rsidR="00FD6BC8">
        <w:t xml:space="preserve">hull coating </w:t>
      </w:r>
      <w:r w:rsidR="00E45BD2">
        <w:t>is allowed by the IMO AFS Convention</w:t>
      </w:r>
      <w:r w:rsidR="00FD6BC8">
        <w:t xml:space="preserve"> (Appendix to MEPC 104(49), para 6.3) up to a threshold level of 2,500 mg Sn/kg dry paint</w:t>
      </w:r>
      <w:r w:rsidR="0078236A">
        <w:t xml:space="preserve"> (IMO 2005)</w:t>
      </w:r>
      <w:r w:rsidR="00FD6BC8">
        <w:t>. For organotins acting and released as biocides, tin concentrations of up to 50,000 mg Sn/kg occur</w:t>
      </w:r>
      <w:r w:rsidR="00DC0AC3">
        <w:t xml:space="preserve"> (IMO 2005)</w:t>
      </w:r>
      <w:r w:rsidR="00FD6BC8">
        <w:t>.</w:t>
      </w:r>
    </w:p>
    <w:p w14:paraId="03277234" w14:textId="77777777" w:rsidR="00FD6BC8" w:rsidRDefault="00F56B54" w:rsidP="00D9651D">
      <w:r>
        <w:lastRenderedPageBreak/>
        <w:t xml:space="preserve">When introduced in the 1960s, </w:t>
      </w:r>
      <w:r w:rsidR="002E2E43">
        <w:t>tri</w:t>
      </w:r>
      <w:r>
        <w:t xml:space="preserve">organotin compounds were considered ideal antifouling biocides because of their </w:t>
      </w:r>
      <w:r w:rsidR="002E2E43">
        <w:t xml:space="preserve">“rapid” </w:t>
      </w:r>
      <w:r>
        <w:t>degradation to non-toxic compounds (Omae 2006)</w:t>
      </w:r>
      <w:r w:rsidR="00D208DE">
        <w:t xml:space="preserve">. Degradation in the environment, caused by hydrolysis, UV light and microorganisms, involves the progressive removal of organic groups from the tin atom: e.g. tributyl to </w:t>
      </w:r>
      <w:r w:rsidR="00D208DE" w:rsidRPr="00424F73">
        <w:rPr>
          <w:u w:val="single"/>
        </w:rPr>
        <w:t>di</w:t>
      </w:r>
      <w:r w:rsidR="00D208DE">
        <w:t xml:space="preserve">butyl to </w:t>
      </w:r>
      <w:r w:rsidR="00D208DE" w:rsidRPr="00424F73">
        <w:rPr>
          <w:u w:val="single"/>
        </w:rPr>
        <w:t>mono</w:t>
      </w:r>
      <w:r w:rsidR="00D208DE">
        <w:t>butyl to inorganic tin</w:t>
      </w:r>
      <w:r w:rsidR="00087BED">
        <w:t xml:space="preserve"> </w:t>
      </w:r>
      <w:r w:rsidR="00662856">
        <w:t>(Seligman et al. 1996</w:t>
      </w:r>
      <w:r w:rsidR="00087BED">
        <w:t>)</w:t>
      </w:r>
      <w:r w:rsidR="00D208DE">
        <w:t xml:space="preserve">. Each step is associated with </w:t>
      </w:r>
      <w:r w:rsidR="00087BED">
        <w:t>lowered</w:t>
      </w:r>
      <w:r w:rsidR="00D208DE">
        <w:t xml:space="preserve"> toxicity; for example, d</w:t>
      </w:r>
      <w:r>
        <w:t xml:space="preserve">ibutylin </w:t>
      </w:r>
      <w:r w:rsidR="00564999">
        <w:t>has been found to be an order of magnitude less toxic than tributyltin to mussels (Widdows &amp; Page 1993)</w:t>
      </w:r>
      <w:r w:rsidR="00D208DE">
        <w:t>, and the ultimate inorganic tin is considered harmless</w:t>
      </w:r>
      <w:r w:rsidR="00087BED">
        <w:t xml:space="preserve"> (</w:t>
      </w:r>
      <w:r w:rsidR="00662856">
        <w:t>Omae 200</w:t>
      </w:r>
      <w:r w:rsidR="004931B3">
        <w:t>6</w:t>
      </w:r>
      <w:r w:rsidR="00087BED">
        <w:t>)</w:t>
      </w:r>
      <w:r w:rsidR="00D208DE">
        <w:t>.</w:t>
      </w:r>
      <w:r w:rsidR="00827747">
        <w:t xml:space="preserve"> </w:t>
      </w:r>
      <w:r w:rsidR="00123B11">
        <w:t xml:space="preserve">The environmental problems with tributyltin biocides were that, in areas of high input </w:t>
      </w:r>
      <w:r w:rsidR="002E2E43">
        <w:t xml:space="preserve">and low water exchange </w:t>
      </w:r>
      <w:r w:rsidR="00123B11">
        <w:t>such as marinas and harbours, the degradation rate (half-life) was insufficient to prevent significant harmful effects</w:t>
      </w:r>
      <w:r w:rsidR="00087BED">
        <w:t xml:space="preserve"> to non-target species (</w:t>
      </w:r>
      <w:r w:rsidR="00662856">
        <w:t>Lewis 1998</w:t>
      </w:r>
      <w:r w:rsidR="00087BED">
        <w:t>)</w:t>
      </w:r>
      <w:r w:rsidR="00123B11">
        <w:t>, particularly to molluscs</w:t>
      </w:r>
      <w:r w:rsidR="00087BED">
        <w:t xml:space="preserve"> (</w:t>
      </w:r>
      <w:r w:rsidR="004931B3">
        <w:t>Lee 1996</w:t>
      </w:r>
      <w:r w:rsidR="00087BED">
        <w:t>)</w:t>
      </w:r>
      <w:r w:rsidR="00123B11">
        <w:t>.</w:t>
      </w:r>
    </w:p>
    <w:p w14:paraId="1B54DA95" w14:textId="4F10A94D" w:rsidR="00827747" w:rsidRDefault="00F56B54" w:rsidP="00D9651D">
      <w:r>
        <w:t xml:space="preserve">Unlike the biocidal organotins, in which tributyl moiety is released through the coating surface where the toxic action happens, the dibutyltin </w:t>
      </w:r>
      <w:r w:rsidR="00087BED">
        <w:t xml:space="preserve">used within </w:t>
      </w:r>
      <w:r w:rsidR="00C47F17">
        <w:t>FRCs</w:t>
      </w:r>
      <w:r w:rsidR="00087BED">
        <w:t xml:space="preserve"> </w:t>
      </w:r>
      <w:r>
        <w:t>remains chemically bound within the paint</w:t>
      </w:r>
      <w:r w:rsidR="000F5645">
        <w:t xml:space="preserve"> (Akzo </w:t>
      </w:r>
      <w:r w:rsidR="003378D5">
        <w:t>Nobel</w:t>
      </w:r>
      <w:r w:rsidR="009D010F">
        <w:t>, 2016)</w:t>
      </w:r>
      <w:r w:rsidR="003378D5">
        <w:t xml:space="preserve">. </w:t>
      </w:r>
      <w:r>
        <w:t xml:space="preserve">Tests at International Paint in the UK found that the </w:t>
      </w:r>
      <w:r w:rsidR="00DA7139">
        <w:t>D</w:t>
      </w:r>
      <w:r>
        <w:t xml:space="preserve">BT content in a </w:t>
      </w:r>
      <w:r w:rsidR="001967C4">
        <w:t>10-year-old</w:t>
      </w:r>
      <w:r>
        <w:t xml:space="preserve"> flake of </w:t>
      </w:r>
      <w:r>
        <w:rPr>
          <w:i/>
          <w:iCs/>
        </w:rPr>
        <w:t xml:space="preserve">Intersleek </w:t>
      </w:r>
      <w:r>
        <w:t>silicone FR coating was 0.4%, compared to the original content of 0.6% (C. Anderson, pers. comm.).</w:t>
      </w:r>
    </w:p>
    <w:p w14:paraId="2152479F" w14:textId="77777777" w:rsidR="00123B11" w:rsidRDefault="00F56B54" w:rsidP="00D465F3">
      <w:r>
        <w:t>The presence of dibutyltin in an FR</w:t>
      </w:r>
      <w:r w:rsidR="00C47F17">
        <w:t>Cs</w:t>
      </w:r>
      <w:r>
        <w:t xml:space="preserve"> is not considered </w:t>
      </w:r>
      <w:r w:rsidR="00C47F17">
        <w:t xml:space="preserve">to be an environmental </w:t>
      </w:r>
      <w:r>
        <w:t>contamination issue if the coating is cleaned in-water because:</w:t>
      </w:r>
    </w:p>
    <w:p w14:paraId="6C925FCC" w14:textId="77777777" w:rsidR="00123B11" w:rsidRPr="00424F73" w:rsidRDefault="00F56B54" w:rsidP="001F288E">
      <w:pPr>
        <w:pStyle w:val="ListBullet"/>
      </w:pPr>
      <w:r w:rsidRPr="00424F73">
        <w:t xml:space="preserve">The dibutyltin is </w:t>
      </w:r>
      <w:r w:rsidR="00D9651D" w:rsidRPr="00424F73">
        <w:t xml:space="preserve">bound within the paint </w:t>
      </w:r>
      <w:r w:rsidR="002E2E43">
        <w:t xml:space="preserve">by the silicone curing process </w:t>
      </w:r>
      <w:r w:rsidR="00D9651D" w:rsidRPr="00424F73">
        <w:t xml:space="preserve">and </w:t>
      </w:r>
      <w:r w:rsidR="002E2E43">
        <w:t xml:space="preserve">so is </w:t>
      </w:r>
      <w:r w:rsidR="00D9651D" w:rsidRPr="00424F73">
        <w:t>not released</w:t>
      </w:r>
      <w:r w:rsidR="002E2E43">
        <w:t xml:space="preserve"> during cleaning</w:t>
      </w:r>
      <w:r w:rsidR="00D9651D" w:rsidRPr="00424F73">
        <w:t>, even if within a detached paint flake</w:t>
      </w:r>
      <w:r w:rsidR="00C47F17">
        <w:t xml:space="preserve"> (</w:t>
      </w:r>
      <w:r w:rsidR="00FD0A2A">
        <w:t>Akzo Nobel 2016)</w:t>
      </w:r>
    </w:p>
    <w:p w14:paraId="4672086D" w14:textId="77777777" w:rsidR="00D9651D" w:rsidRPr="00424F73" w:rsidRDefault="00F56B54" w:rsidP="001F288E">
      <w:pPr>
        <w:pStyle w:val="ListBullet"/>
      </w:pPr>
      <w:r w:rsidRPr="00424F73">
        <w:t xml:space="preserve">The concentration of dibutyltin in the dried paint film is </w:t>
      </w:r>
      <w:r w:rsidR="002E2E43">
        <w:t xml:space="preserve">very </w:t>
      </w:r>
      <w:r w:rsidRPr="00424F73">
        <w:t xml:space="preserve">low, and permissible under the AFS Convention </w:t>
      </w:r>
      <w:r w:rsidR="00C47F17">
        <w:t>(</w:t>
      </w:r>
      <w:r w:rsidR="004931B3">
        <w:t>IMO 2005</w:t>
      </w:r>
      <w:r w:rsidR="00C47F17">
        <w:t>)</w:t>
      </w:r>
    </w:p>
    <w:p w14:paraId="1FBA060E" w14:textId="77777777" w:rsidR="00827747" w:rsidRDefault="00F56B54" w:rsidP="009B605F">
      <w:pPr>
        <w:pStyle w:val="ListBullet"/>
      </w:pPr>
      <w:r w:rsidRPr="00424F73">
        <w:t xml:space="preserve">Dibutyltin has low toxicity compared to tributyltin, and further degrades in the environment to </w:t>
      </w:r>
      <w:r w:rsidRPr="00C47F17">
        <w:rPr>
          <w:rFonts w:cstheme="minorHAnsi"/>
        </w:rPr>
        <w:t xml:space="preserve">even less toxic </w:t>
      </w:r>
      <w:r w:rsidRPr="00230C64">
        <w:rPr>
          <w:rFonts w:cstheme="minorHAnsi"/>
        </w:rPr>
        <w:t>monobutyltin, then harmless inorganic tin</w:t>
      </w:r>
      <w:r w:rsidR="00C47F17" w:rsidRPr="00230C64">
        <w:rPr>
          <w:rFonts w:cstheme="minorHAnsi"/>
        </w:rPr>
        <w:t xml:space="preserve"> (</w:t>
      </w:r>
      <w:r w:rsidR="004931B3">
        <w:rPr>
          <w:rFonts w:cstheme="minorHAnsi"/>
        </w:rPr>
        <w:t>Seligman et al. 1996</w:t>
      </w:r>
      <w:r w:rsidR="00C47F17" w:rsidRPr="00230C64">
        <w:rPr>
          <w:rFonts w:cstheme="minorHAnsi"/>
        </w:rPr>
        <w:t>)</w:t>
      </w:r>
      <w:r w:rsidRPr="00230C64">
        <w:rPr>
          <w:rFonts w:cstheme="minorHAnsi"/>
        </w:rPr>
        <w:t>.</w:t>
      </w:r>
    </w:p>
    <w:p w14:paraId="3E87135D" w14:textId="77777777" w:rsidR="00D9651D" w:rsidRDefault="00F56B54" w:rsidP="00D9651D">
      <w:r>
        <w:t xml:space="preserve">Reflecting the difference in toxicity, the Australian Water Quality Guidelines lists marine water trigger values for this </w:t>
      </w:r>
      <w:r w:rsidR="00E16F59">
        <w:t>tributyltin and</w:t>
      </w:r>
      <w:r>
        <w:t xml:space="preserve"> does not include di- or monobutyltin (</w:t>
      </w:r>
      <w:r w:rsidR="00ED042B" w:rsidRPr="00A30EF1">
        <w:t>ANZECC/ARMCANZ 2000</w:t>
      </w:r>
      <w:r>
        <w:t>).</w:t>
      </w:r>
    </w:p>
    <w:p w14:paraId="5EFEAD2D" w14:textId="77777777" w:rsidR="00253C4A" w:rsidRDefault="00F56B54" w:rsidP="00862962">
      <w:pPr>
        <w:pStyle w:val="Heading5"/>
      </w:pPr>
      <w:r>
        <w:t>Cybutryne</w:t>
      </w:r>
    </w:p>
    <w:p w14:paraId="6B4681BE" w14:textId="77777777" w:rsidR="00253C4A" w:rsidRDefault="00F56B54" w:rsidP="000F53C8">
      <w:r>
        <w:t>Cybutryne</w:t>
      </w:r>
      <w:r w:rsidR="00C47F17">
        <w:t xml:space="preserve"> (</w:t>
      </w:r>
      <w:r w:rsidR="000F53C8">
        <w:t>2</w:t>
      </w:r>
      <w:r w:rsidRPr="00F60576">
        <w:t>-methylthio-4-tert-butylamino-6-cyclopropylamino-s-triazine</w:t>
      </w:r>
      <w:r w:rsidR="00C47F17">
        <w:t>),</w:t>
      </w:r>
      <w:r>
        <w:t xml:space="preserve"> </w:t>
      </w:r>
      <w:r w:rsidR="00C47F17">
        <w:t xml:space="preserve">is </w:t>
      </w:r>
      <w:r>
        <w:t>marketed as Irgarol 1051</w:t>
      </w:r>
      <w:r w:rsidR="00C47F17">
        <w:t>™</w:t>
      </w:r>
      <w:r>
        <w:t>, is an environmentally persistent herbicide and algaecide</w:t>
      </w:r>
      <w:r w:rsidR="00C47F17">
        <w:t xml:space="preserve"> (</w:t>
      </w:r>
      <w:r w:rsidR="00420F1D">
        <w:t>Thomas 2009</w:t>
      </w:r>
      <w:r w:rsidR="00C47F17">
        <w:t>)</w:t>
      </w:r>
      <w:r>
        <w:t xml:space="preserve">. An application was made to the APVMA for </w:t>
      </w:r>
      <w:r w:rsidR="00755896">
        <w:t>its approval for antifouling use</w:t>
      </w:r>
      <w:r w:rsidR="00E0092A">
        <w:t xml:space="preserve"> in the 1990s</w:t>
      </w:r>
      <w:r w:rsidR="000F53C8">
        <w:t>,</w:t>
      </w:r>
      <w:r w:rsidR="00755896">
        <w:t xml:space="preserve"> but this was rejected</w:t>
      </w:r>
      <w:r w:rsidR="00E0092A">
        <w:t xml:space="preserve"> because of the emerging information on environmental persistence and toxicity</w:t>
      </w:r>
      <w:r w:rsidR="00755896">
        <w:t xml:space="preserve">. The import and manufacture </w:t>
      </w:r>
      <w:r w:rsidR="00D050E9">
        <w:t xml:space="preserve">of antifouling paints containing cybutryne was banned </w:t>
      </w:r>
      <w:r w:rsidR="00755896">
        <w:t>by New Zealand in 2013</w:t>
      </w:r>
      <w:r w:rsidR="00C47F17">
        <w:t xml:space="preserve"> (</w:t>
      </w:r>
      <w:r w:rsidR="007E63BB">
        <w:t>EPA 2013c</w:t>
      </w:r>
      <w:r w:rsidR="00C47F17">
        <w:t>)</w:t>
      </w:r>
      <w:r w:rsidR="000F53C8">
        <w:t>,</w:t>
      </w:r>
      <w:r w:rsidR="00D050E9">
        <w:t xml:space="preserve"> and the UK revoked approval for both amateur an</w:t>
      </w:r>
      <w:r w:rsidR="000F53C8">
        <w:t>d</w:t>
      </w:r>
      <w:r w:rsidR="00D050E9">
        <w:t xml:space="preserve"> professional use in 200</w:t>
      </w:r>
      <w:r w:rsidR="00952723">
        <w:t>3</w:t>
      </w:r>
      <w:r w:rsidR="00C47F17">
        <w:t xml:space="preserve"> (</w:t>
      </w:r>
      <w:r w:rsidR="00952723">
        <w:t>HSE 2004</w:t>
      </w:r>
      <w:r w:rsidR="00C47F17">
        <w:t>)</w:t>
      </w:r>
      <w:r w:rsidR="00D050E9">
        <w:t>.</w:t>
      </w:r>
      <w:r w:rsidR="009A1154">
        <w:t xml:space="preserve"> Cybutryne continues to be used in antifouling paints in the US, but there have been recommendations for its prohibition (Ecology WA 2019).</w:t>
      </w:r>
    </w:p>
    <w:p w14:paraId="0AEC5388" w14:textId="1A44BF12" w:rsidR="00827747" w:rsidRDefault="00F56B54" w:rsidP="000F53C8">
      <w:r>
        <w:t xml:space="preserve">In February 2020, </w:t>
      </w:r>
      <w:r w:rsidR="00872FEE">
        <w:t xml:space="preserve">the </w:t>
      </w:r>
      <w:r w:rsidR="00B0391A">
        <w:t xml:space="preserve">seventh meeting of the </w:t>
      </w:r>
      <w:r w:rsidR="00872FEE">
        <w:t>IMO</w:t>
      </w:r>
      <w:r w:rsidR="00B0391A">
        <w:t>’s Sub-Committee on</w:t>
      </w:r>
      <w:r w:rsidR="00872FEE">
        <w:t xml:space="preserve"> </w:t>
      </w:r>
      <w:r w:rsidR="00B0391A">
        <w:t xml:space="preserve">Pollution Prevention and Response </w:t>
      </w:r>
      <w:r w:rsidR="00872FEE">
        <w:t xml:space="preserve">agreed on amendments to the AFS Convention </w:t>
      </w:r>
      <w:r>
        <w:t xml:space="preserve">for </w:t>
      </w:r>
      <w:r w:rsidR="00872FEE">
        <w:t>a ban to apply or re-apply antifouling systems containing cybutryne from July 2022, and for removal or sealing such coatings applied before this date either before July 2027 or no later than 60 months following the application of such coating prior to July 2022</w:t>
      </w:r>
      <w:r w:rsidR="00C47F17">
        <w:t xml:space="preserve"> (</w:t>
      </w:r>
      <w:r w:rsidR="00420F1D">
        <w:t>DNV-GL 2020</w:t>
      </w:r>
      <w:r w:rsidR="00C47F17">
        <w:t>)</w:t>
      </w:r>
      <w:r w:rsidR="00872FEE">
        <w:t xml:space="preserve">. </w:t>
      </w:r>
    </w:p>
    <w:p w14:paraId="274D457A" w14:textId="77777777" w:rsidR="00037DBB" w:rsidRDefault="00F56B54" w:rsidP="00862962">
      <w:pPr>
        <w:pStyle w:val="Heading5"/>
      </w:pPr>
      <w:r>
        <w:lastRenderedPageBreak/>
        <w:t>Chlorothalonil</w:t>
      </w:r>
    </w:p>
    <w:p w14:paraId="5A6F0E38" w14:textId="77777777" w:rsidR="00827747" w:rsidRDefault="00F56B54" w:rsidP="000F53C8">
      <w:r>
        <w:t>Chlorothalonil is an agricultural fungicide and has been used as a microbiocidal preservative in paints and adhesives</w:t>
      </w:r>
      <w:r w:rsidR="00C47F17">
        <w:t xml:space="preserve"> (</w:t>
      </w:r>
      <w:r w:rsidR="00420F1D">
        <w:t>Amaras et al. 2018</w:t>
      </w:r>
      <w:r w:rsidR="00C47F17">
        <w:t>)</w:t>
      </w:r>
      <w:r>
        <w:t>. It is currently lis</w:t>
      </w:r>
      <w:r w:rsidR="00B850D8">
        <w:t>ted by the APVMA as nominated and prioritised (Priority 2) for review because of environmental, human health, and environmental residue concerns</w:t>
      </w:r>
      <w:r w:rsidR="00E10B98">
        <w:t xml:space="preserve"> (</w:t>
      </w:r>
      <w:r w:rsidR="00F41CAD">
        <w:t>APVMA 2015b</w:t>
      </w:r>
      <w:r w:rsidR="00E10B98">
        <w:t>)</w:t>
      </w:r>
      <w:r w:rsidR="00B850D8">
        <w:t xml:space="preserve">. </w:t>
      </w:r>
      <w:r>
        <w:t>As an antifouling biocide, it was grandfathered into the national antifouling registration system</w:t>
      </w:r>
      <w:r w:rsidR="00E10B98">
        <w:t xml:space="preserve"> (</w:t>
      </w:r>
      <w:r w:rsidR="00420F1D">
        <w:t>Lewis 2010</w:t>
      </w:r>
      <w:r w:rsidR="001967C4">
        <w:t>) but</w:t>
      </w:r>
      <w:r w:rsidR="00420F1D">
        <w:t xml:space="preserve"> </w:t>
      </w:r>
      <w:r>
        <w:t>is no longer present in any APVMA approved antifouling products</w:t>
      </w:r>
      <w:r w:rsidR="00E10B98">
        <w:t xml:space="preserve"> (Appendix 1)</w:t>
      </w:r>
      <w:r w:rsidR="00B850D8">
        <w:t>. The UK revoked approval of its antifouling use by both amateurs and professionals from 2003</w:t>
      </w:r>
      <w:r w:rsidR="00E10B98">
        <w:t xml:space="preserve"> (</w:t>
      </w:r>
      <w:r w:rsidR="00952723">
        <w:t>HSE 2004</w:t>
      </w:r>
      <w:r w:rsidR="00E10B98">
        <w:t>)</w:t>
      </w:r>
      <w:r w:rsidR="00B850D8">
        <w:t xml:space="preserve">, and New Zealand banned the import and manufacture of antifouling paints containing </w:t>
      </w:r>
      <w:r w:rsidR="00E10B98">
        <w:t>chlorothalonil</w:t>
      </w:r>
      <w:r w:rsidR="00B850D8">
        <w:t xml:space="preserve"> from 2013</w:t>
      </w:r>
      <w:r w:rsidR="00E10B98">
        <w:t xml:space="preserve"> (</w:t>
      </w:r>
      <w:r w:rsidR="007E63BB">
        <w:t>EPA 2013c</w:t>
      </w:r>
      <w:r w:rsidR="00E10B98">
        <w:t>)</w:t>
      </w:r>
      <w:r w:rsidR="00B850D8">
        <w:t>.</w:t>
      </w:r>
    </w:p>
    <w:p w14:paraId="71815D52" w14:textId="77777777" w:rsidR="00827747" w:rsidRDefault="00F56B54" w:rsidP="00862962">
      <w:pPr>
        <w:pStyle w:val="Heading5"/>
      </w:pPr>
      <w:r>
        <w:t xml:space="preserve">Mancozeb, </w:t>
      </w:r>
      <w:r w:rsidR="00EA765B">
        <w:t xml:space="preserve">ziram, </w:t>
      </w:r>
      <w:r>
        <w:t>tolyfluanid, octhilinone</w:t>
      </w:r>
    </w:p>
    <w:p w14:paraId="0AE610F9" w14:textId="77777777" w:rsidR="00B850D8" w:rsidRDefault="00F56B54" w:rsidP="00B0642E">
      <w:r>
        <w:t xml:space="preserve">None of these substances </w:t>
      </w:r>
      <w:r w:rsidR="00B0642E">
        <w:t>is</w:t>
      </w:r>
      <w:r>
        <w:t xml:space="preserve"> present in antifouling products approved by the APVMA</w:t>
      </w:r>
      <w:r w:rsidR="00E10B98">
        <w:t xml:space="preserve"> (Appendix 1)</w:t>
      </w:r>
      <w:r>
        <w:t xml:space="preserve">. Mancozeb </w:t>
      </w:r>
      <w:r w:rsidR="00EA765B">
        <w:t>and ziram are dithiocarbamate pesticides</w:t>
      </w:r>
      <w:r w:rsidR="00E16F59">
        <w:t xml:space="preserve"> </w:t>
      </w:r>
      <w:r w:rsidR="00E10B98">
        <w:t>and are thus</w:t>
      </w:r>
      <w:r w:rsidR="00EA765B">
        <w:t xml:space="preserve"> included in the nomination for review of these pesticides by the APVMA as a priority 1 </w:t>
      </w:r>
      <w:r w:rsidR="00C669A0">
        <w:t>based on</w:t>
      </w:r>
      <w:r w:rsidR="00EA765B">
        <w:t xml:space="preserve"> public health and worker safety concerns (APVMA 2015b). Recommendations from the New Zealand EPA reassessment of antifouling biocides w</w:t>
      </w:r>
      <w:r w:rsidR="00B0642E">
        <w:t>ere</w:t>
      </w:r>
      <w:r w:rsidR="00EA765B">
        <w:t xml:space="preserve"> to retain approval of mancozeb and tolyfluanid with additional controls, and to ban products containing octhilinone or ziram (EPA 2013</w:t>
      </w:r>
      <w:r w:rsidR="00F461A6">
        <w:t>b</w:t>
      </w:r>
      <w:r w:rsidR="00EA765B">
        <w:t>).</w:t>
      </w:r>
    </w:p>
    <w:p w14:paraId="3725CF70" w14:textId="77777777" w:rsidR="00873D52" w:rsidRDefault="00F56B54" w:rsidP="00873D52">
      <w:r>
        <w:t>Tolyfluanid continues to be listed as an approved active substance for antifouling</w:t>
      </w:r>
      <w:r w:rsidRPr="009D6162">
        <w:t xml:space="preserve"> </w:t>
      </w:r>
      <w:r>
        <w:t>in the UK (HSE 2020).</w:t>
      </w:r>
    </w:p>
    <w:p w14:paraId="4093D142" w14:textId="77777777" w:rsidR="00764D6A" w:rsidRDefault="00F56B54">
      <w:pPr>
        <w:pStyle w:val="Heading3"/>
      </w:pPr>
      <w:bookmarkStart w:id="19" w:name="_Toc430782154"/>
      <w:bookmarkStart w:id="20" w:name="_Toc50117652"/>
      <w:r>
        <w:t>Non-</w:t>
      </w:r>
      <w:r w:rsidR="009B605F">
        <w:t>a</w:t>
      </w:r>
      <w:r w:rsidR="00795447">
        <w:t>ctive</w:t>
      </w:r>
      <w:r>
        <w:t xml:space="preserve"> </w:t>
      </w:r>
      <w:r w:rsidR="009B605F">
        <w:t>c</w:t>
      </w:r>
      <w:r>
        <w:t xml:space="preserve">oating </w:t>
      </w:r>
      <w:r w:rsidR="009B605F">
        <w:t>c</w:t>
      </w:r>
      <w:r>
        <w:t>o</w:t>
      </w:r>
      <w:bookmarkEnd w:id="19"/>
      <w:r w:rsidR="00795447">
        <w:t>nstituents</w:t>
      </w:r>
      <w:bookmarkEnd w:id="20"/>
    </w:p>
    <w:p w14:paraId="01CF9517" w14:textId="77777777" w:rsidR="00795447" w:rsidRDefault="00F56B54" w:rsidP="00795447">
      <w:r>
        <w:t xml:space="preserve">In addition to active constituents, antifouling products contain non-active constituents that include binders, pigments, extenders, </w:t>
      </w:r>
      <w:proofErr w:type="gramStart"/>
      <w:r>
        <w:t>solvents</w:t>
      </w:r>
      <w:proofErr w:type="gramEnd"/>
      <w:r>
        <w:t xml:space="preserve"> and additives (APVMA 2020).</w:t>
      </w:r>
      <w:r w:rsidR="006B7CF3">
        <w:t xml:space="preserve"> Some of these constituents have metal atoms within their structures and could be released into the environment by passive release as part of the coating hydration or hydrolysis process.</w:t>
      </w:r>
    </w:p>
    <w:p w14:paraId="13974B1B" w14:textId="77777777" w:rsidR="006B7CF3" w:rsidRPr="000E5656" w:rsidRDefault="00F56B54" w:rsidP="00F008B9">
      <w:pPr>
        <w:pStyle w:val="Heading4"/>
      </w:pPr>
      <w:r w:rsidRPr="000E5656">
        <w:t>Binders</w:t>
      </w:r>
    </w:p>
    <w:p w14:paraId="2E2903AF" w14:textId="77777777" w:rsidR="006B7CF3" w:rsidRDefault="00F56B54" w:rsidP="00B0642E">
      <w:r>
        <w:t>Self-polishing copolymers developed to replace TBT-copolymers</w:t>
      </w:r>
      <w:r w:rsidR="00750CC7">
        <w:t xml:space="preserve"> include zinc, </w:t>
      </w:r>
      <w:proofErr w:type="gramStart"/>
      <w:r w:rsidR="00750CC7">
        <w:t>copper</w:t>
      </w:r>
      <w:proofErr w:type="gramEnd"/>
      <w:r w:rsidR="00750CC7">
        <w:t xml:space="preserve"> and silyl acrylates.</w:t>
      </w:r>
      <w:r w:rsidR="00827747">
        <w:t xml:space="preserve"> </w:t>
      </w:r>
      <w:r w:rsidR="00750CC7">
        <w:t>These copolymers hydrolyse in seawater to release the metal ion</w:t>
      </w:r>
      <w:r w:rsidR="00573E6A">
        <w:t xml:space="preserve"> group</w:t>
      </w:r>
      <w:r w:rsidR="00750CC7">
        <w:t xml:space="preserve"> and leave the water-soluble polymer backbone</w:t>
      </w:r>
      <w:r w:rsidR="006D3C11">
        <w:t xml:space="preserve"> (</w:t>
      </w:r>
      <w:r w:rsidR="00EF0FFB">
        <w:t>Bressy et al. 2009</w:t>
      </w:r>
      <w:r w:rsidR="006D3C11">
        <w:t>)</w:t>
      </w:r>
      <w:r w:rsidR="00750CC7">
        <w:t xml:space="preserve">. </w:t>
      </w:r>
      <w:r w:rsidR="00573E6A">
        <w:t>The level of copper or zinc released is insufficient to confer any antifouling effect</w:t>
      </w:r>
      <w:r w:rsidR="006D3C11">
        <w:t xml:space="preserve"> (</w:t>
      </w:r>
      <w:r w:rsidR="00EF0FFB">
        <w:t>Shilton 1997</w:t>
      </w:r>
      <w:r w:rsidR="006D3C11">
        <w:t>)</w:t>
      </w:r>
      <w:r w:rsidR="00573E6A">
        <w:t>, which is generated by the</w:t>
      </w:r>
      <w:r w:rsidR="00B0642E">
        <w:t xml:space="preserve"> added</w:t>
      </w:r>
      <w:r w:rsidR="00573E6A">
        <w:t xml:space="preserve"> copper and secondary biocides </w:t>
      </w:r>
      <w:r w:rsidR="00F568CC">
        <w:t>released from the coating as the surface polishes.</w:t>
      </w:r>
    </w:p>
    <w:p w14:paraId="767F15E1" w14:textId="77777777" w:rsidR="00F568CC" w:rsidRPr="000E5656" w:rsidRDefault="00F56B54" w:rsidP="00F008B9">
      <w:pPr>
        <w:pStyle w:val="Heading4"/>
      </w:pPr>
      <w:r w:rsidRPr="000E5656">
        <w:t>Pigments</w:t>
      </w:r>
    </w:p>
    <w:p w14:paraId="0477599E" w14:textId="77777777" w:rsidR="00827747" w:rsidRDefault="00F56B54" w:rsidP="00B0642E">
      <w:r>
        <w:t xml:space="preserve">Pigments are often metallic compounds and can include oxides of zinc, </w:t>
      </w:r>
      <w:proofErr w:type="gramStart"/>
      <w:r>
        <w:t>iron</w:t>
      </w:r>
      <w:proofErr w:type="gramEnd"/>
      <w:r>
        <w:t xml:space="preserve"> and titanium. Zinc oxide </w:t>
      </w:r>
      <w:r w:rsidR="00B0642E">
        <w:t>is a common additive to antifouling paints, but not a</w:t>
      </w:r>
      <w:r w:rsidR="00F431DD">
        <w:t xml:space="preserve">s a </w:t>
      </w:r>
      <w:r w:rsidR="00B0642E">
        <w:t xml:space="preserve">biocide. It </w:t>
      </w:r>
      <w:r w:rsidR="0024188B">
        <w:t>can have multiple functions</w:t>
      </w:r>
      <w:r w:rsidR="00B0642E">
        <w:t>:</w:t>
      </w:r>
      <w:r w:rsidR="0024188B">
        <w:t xml:space="preserve"> to regulate paint dissolution, to stabilise wet paint in the can, to modify dry film properties, and as a pigment (IPPIC 2012).</w:t>
      </w:r>
    </w:p>
    <w:p w14:paraId="71B5C60E" w14:textId="77777777" w:rsidR="008B48C1" w:rsidRPr="000E5656" w:rsidRDefault="00F56B54" w:rsidP="00F008B9">
      <w:pPr>
        <w:pStyle w:val="Heading4"/>
      </w:pPr>
      <w:r>
        <w:t>Plasticisers</w:t>
      </w:r>
    </w:p>
    <w:p w14:paraId="657C081C" w14:textId="77777777" w:rsidR="00827747" w:rsidRDefault="00F56B54" w:rsidP="0029547D">
      <w:r>
        <w:t>Dibutyltin dilaurate is used as a catalyst for curing silicones, as a stabiliser for polyvinyl chloride resins, as a corrosion inhibitor</w:t>
      </w:r>
      <w:r w:rsidR="0029547D">
        <w:t xml:space="preserve"> and, in veterinary use, to treat tapeworms in chickens</w:t>
      </w:r>
      <w:r w:rsidR="006D3C11">
        <w:t xml:space="preserve"> (</w:t>
      </w:r>
      <w:r w:rsidR="00DC0AC3">
        <w:t>Blunden &amp; Chapma</w:t>
      </w:r>
      <w:r w:rsidR="0022031E">
        <w:t>n</w:t>
      </w:r>
      <w:r w:rsidR="00DC0AC3">
        <w:t xml:space="preserve"> 1986, </w:t>
      </w:r>
      <w:r w:rsidR="0029547D">
        <w:t>OSHA 2003</w:t>
      </w:r>
      <w:r w:rsidR="006D3C11">
        <w:t>)</w:t>
      </w:r>
      <w:r>
        <w:t>. Dibutyltin diacetate is used as a catalyst for the crosslinking of silicon/rubber sealants</w:t>
      </w:r>
      <w:r w:rsidR="006D3C11">
        <w:t xml:space="preserve"> (</w:t>
      </w:r>
      <w:r w:rsidR="00EF0FFB">
        <w:t>Davies 2010</w:t>
      </w:r>
      <w:r w:rsidR="006D3C11">
        <w:t>)</w:t>
      </w:r>
      <w:r>
        <w:t>.</w:t>
      </w:r>
      <w:r w:rsidRPr="00D403AF">
        <w:t xml:space="preserve"> </w:t>
      </w:r>
      <w:proofErr w:type="gramStart"/>
      <w:r>
        <w:t>Both of these</w:t>
      </w:r>
      <w:proofErr w:type="gramEnd"/>
      <w:r>
        <w:t xml:space="preserve"> low toxicity organotin compounds </w:t>
      </w:r>
      <w:r w:rsidR="000140BC">
        <w:t xml:space="preserve">can be </w:t>
      </w:r>
      <w:r>
        <w:t>used</w:t>
      </w:r>
      <w:r w:rsidR="000140BC">
        <w:t xml:space="preserve"> as catalyst</w:t>
      </w:r>
      <w:r w:rsidR="006F4CC4">
        <w:t>s</w:t>
      </w:r>
      <w:r w:rsidR="000140BC">
        <w:t xml:space="preserve"> in the curing agent for</w:t>
      </w:r>
      <w:r>
        <w:t xml:space="preserve"> silicone fouling release coatings</w:t>
      </w:r>
      <w:r w:rsidR="006D3C11">
        <w:t xml:space="preserve"> </w:t>
      </w:r>
      <w:r w:rsidR="00FD0A2A">
        <w:t>(Lejars et al. 2012</w:t>
      </w:r>
      <w:r w:rsidR="006D3C11">
        <w:t>)</w:t>
      </w:r>
      <w:r w:rsidR="000140BC">
        <w:t xml:space="preserve">. To allow for such use, under the AFS Convention, an antifouling paint is allowed a maximum </w:t>
      </w:r>
      <w:r w:rsidR="000140BC">
        <w:lastRenderedPageBreak/>
        <w:t>content of 2500 mg Sn/kg dry paint, and the levels in fouling release coatings are below this</w:t>
      </w:r>
      <w:r w:rsidR="006D3C11">
        <w:t xml:space="preserve"> (</w:t>
      </w:r>
      <w:r w:rsidR="00EF0FFB">
        <w:t>IMO 2005</w:t>
      </w:r>
      <w:r w:rsidR="006D3C11">
        <w:t>)</w:t>
      </w:r>
      <w:r w:rsidR="006F4CC4">
        <w:t>.</w:t>
      </w:r>
    </w:p>
    <w:p w14:paraId="62501248" w14:textId="77777777" w:rsidR="00764D6A" w:rsidRDefault="00F56B54">
      <w:pPr>
        <w:pStyle w:val="Heading3"/>
      </w:pPr>
      <w:bookmarkStart w:id="21" w:name="_Toc430782155"/>
      <w:bookmarkStart w:id="22" w:name="_Toc50117653"/>
      <w:r>
        <w:t xml:space="preserve">Uncoated </w:t>
      </w:r>
      <w:r w:rsidR="00827747">
        <w:t>m</w:t>
      </w:r>
      <w:r>
        <w:t xml:space="preserve">etallic </w:t>
      </w:r>
      <w:r w:rsidR="00827747">
        <w:t>s</w:t>
      </w:r>
      <w:r>
        <w:t>urfaces</w:t>
      </w:r>
      <w:bookmarkEnd w:id="21"/>
      <w:bookmarkEnd w:id="22"/>
    </w:p>
    <w:p w14:paraId="34DA3484" w14:textId="77777777" w:rsidR="00827747" w:rsidRDefault="00F56B54" w:rsidP="00565E3F">
      <w:r>
        <w:t xml:space="preserve">Although most underwater surfaces </w:t>
      </w:r>
      <w:r w:rsidR="00C36C78">
        <w:t>of a vessel are painted, for operational reasons, some specific areas are not.</w:t>
      </w:r>
    </w:p>
    <w:p w14:paraId="321D760F" w14:textId="77777777" w:rsidR="00C36C78" w:rsidRDefault="00F56B54" w:rsidP="00F008B9">
      <w:pPr>
        <w:pStyle w:val="Heading4"/>
      </w:pPr>
      <w:bookmarkStart w:id="23" w:name="_Hlk44362779"/>
      <w:r>
        <w:t>Cathodic protection anodes</w:t>
      </w:r>
    </w:p>
    <w:p w14:paraId="2F46E994" w14:textId="77777777" w:rsidR="008F61C1" w:rsidRDefault="00F56B54" w:rsidP="00B0642E">
      <w:r>
        <w:t>Cathodic protection</w:t>
      </w:r>
      <w:r w:rsidR="00B0642E">
        <w:t xml:space="preserve"> (CP)</w:t>
      </w:r>
      <w:r>
        <w:t xml:space="preserve"> systems are installed on </w:t>
      </w:r>
      <w:r w:rsidR="00942156">
        <w:t>metal</w:t>
      </w:r>
      <w:r>
        <w:t xml:space="preserve"> hulled vessels</w:t>
      </w:r>
      <w:r w:rsidR="006134A8">
        <w:t>, to the outer hull and also in seawater tanks,</w:t>
      </w:r>
      <w:r>
        <w:t xml:space="preserve"> to prevent penetrative corrosion of the structur</w:t>
      </w:r>
      <w:r w:rsidR="00942156">
        <w:t xml:space="preserve">al metal </w:t>
      </w:r>
      <w:r>
        <w:t xml:space="preserve">if the coating system is breached </w:t>
      </w:r>
      <w:r w:rsidR="00B0642E">
        <w:t xml:space="preserve">and </w:t>
      </w:r>
      <w:r>
        <w:t xml:space="preserve">seawater </w:t>
      </w:r>
      <w:r w:rsidR="00B0642E">
        <w:t xml:space="preserve">is able </w:t>
      </w:r>
      <w:r>
        <w:t>to contact the metal substrate</w:t>
      </w:r>
      <w:r w:rsidR="006D3C11">
        <w:t xml:space="preserve"> (</w:t>
      </w:r>
      <w:r w:rsidR="008C1F5C">
        <w:t>Rolands &amp; Angell 1976</w:t>
      </w:r>
      <w:r w:rsidR="006D3C11">
        <w:t>)</w:t>
      </w:r>
      <w:r>
        <w:t>. Cathodic protection systems are either impressed current (ICCP) system</w:t>
      </w:r>
      <w:r w:rsidR="00B0642E">
        <w:t>s</w:t>
      </w:r>
      <w:r>
        <w:t>, in which an electrical potential difference between the hull and a reference anode is balanced by output from the ICCP anode, or sacrificial anode system</w:t>
      </w:r>
      <w:r w:rsidR="00B0642E">
        <w:t>s</w:t>
      </w:r>
      <w:r>
        <w:t xml:space="preserve">, in which </w:t>
      </w:r>
      <w:r w:rsidR="006134A8">
        <w:t xml:space="preserve">galvanic anodes of a metal less noble (more reactive) than </w:t>
      </w:r>
      <w:r w:rsidR="00942156">
        <w:t>the structural material</w:t>
      </w:r>
      <w:r w:rsidR="006134A8">
        <w:t xml:space="preserve"> are attached to the hull</w:t>
      </w:r>
      <w:r w:rsidR="006D3C11">
        <w:t xml:space="preserve"> (</w:t>
      </w:r>
      <w:r w:rsidR="008C1F5C">
        <w:t>Rolands &amp; Angell 1976</w:t>
      </w:r>
      <w:r w:rsidR="006D3C11">
        <w:t>)</w:t>
      </w:r>
      <w:r w:rsidR="00B0642E">
        <w:t>. I</w:t>
      </w:r>
      <w:r w:rsidR="006134A8">
        <w:t xml:space="preserve">f </w:t>
      </w:r>
      <w:r w:rsidR="00942156">
        <w:t>metal substrate</w:t>
      </w:r>
      <w:r w:rsidR="006134A8">
        <w:t xml:space="preserve"> is exposed, the anode will </w:t>
      </w:r>
      <w:r w:rsidR="00942156">
        <w:t xml:space="preserve">preferentially </w:t>
      </w:r>
      <w:r w:rsidR="006134A8">
        <w:t>corrode instead of the st</w:t>
      </w:r>
      <w:r w:rsidR="00942156">
        <w:t>ructural metal</w:t>
      </w:r>
      <w:r w:rsidR="006134A8">
        <w:t xml:space="preserve">. </w:t>
      </w:r>
      <w:r w:rsidR="00942156">
        <w:t>S</w:t>
      </w:r>
      <w:r w:rsidR="006134A8">
        <w:t xml:space="preserve">acrificial anodes on ships are made of </w:t>
      </w:r>
      <w:r>
        <w:t xml:space="preserve">alloyed </w:t>
      </w:r>
      <w:r w:rsidR="006134A8">
        <w:t>zinc</w:t>
      </w:r>
      <w:r w:rsidR="00942156">
        <w:t xml:space="preserve"> (for iron, </w:t>
      </w:r>
      <w:proofErr w:type="gramStart"/>
      <w:r w:rsidR="00942156">
        <w:t>steel</w:t>
      </w:r>
      <w:proofErr w:type="gramEnd"/>
      <w:r w:rsidR="00942156">
        <w:t xml:space="preserve"> and aluminium) or aluminium (for iron and steel)</w:t>
      </w:r>
      <w:r w:rsidR="006D3C11">
        <w:t xml:space="preserve"> (</w:t>
      </w:r>
      <w:r w:rsidR="001D6C99">
        <w:t>Morgan 1987</w:t>
      </w:r>
      <w:r w:rsidR="006D3C11">
        <w:t>)</w:t>
      </w:r>
      <w:r w:rsidR="006134A8">
        <w:t>.</w:t>
      </w:r>
      <w:r w:rsidR="00942156">
        <w:t xml:space="preserve"> Zinc is the traditional mater</w:t>
      </w:r>
      <w:r>
        <w:t>ial used, but aluminium anodes are lighter, can last longer, and can provide better protection</w:t>
      </w:r>
      <w:r w:rsidR="006D3C11">
        <w:t xml:space="preserve"> (</w:t>
      </w:r>
      <w:r w:rsidR="00CA0DC8">
        <w:t>MME 2020</w:t>
      </w:r>
      <w:r w:rsidR="006D3C11">
        <w:t>)</w:t>
      </w:r>
      <w:r>
        <w:t xml:space="preserve">. The zinc alloy used for anodes can contain 0.025 </w:t>
      </w:r>
      <w:r w:rsidR="00B0642E">
        <w:t>t</w:t>
      </w:r>
      <w:r>
        <w:t>o 0.15% of cadmium</w:t>
      </w:r>
      <w:r w:rsidR="006D3C11">
        <w:t xml:space="preserve"> (</w:t>
      </w:r>
      <w:r w:rsidR="001D6C99">
        <w:t>Standards Australia 2016</w:t>
      </w:r>
      <w:r w:rsidR="006D3C11">
        <w:t>)</w:t>
      </w:r>
      <w:r>
        <w:t>.</w:t>
      </w:r>
    </w:p>
    <w:bookmarkEnd w:id="23"/>
    <w:p w14:paraId="4E7B9B39" w14:textId="77777777" w:rsidR="0053360F" w:rsidRDefault="00F56B54" w:rsidP="00F008B9">
      <w:pPr>
        <w:pStyle w:val="Heading4"/>
      </w:pPr>
      <w:r>
        <w:t>Propellers</w:t>
      </w:r>
    </w:p>
    <w:p w14:paraId="76FEA5FB" w14:textId="77777777" w:rsidR="002B719D" w:rsidRDefault="00F56B54" w:rsidP="00B0642E">
      <w:r>
        <w:t xml:space="preserve">Conventionally propellers are not painted which, at least in part, is </w:t>
      </w:r>
      <w:r w:rsidR="0009280D">
        <w:t xml:space="preserve">because of </w:t>
      </w:r>
      <w:r>
        <w:t>the rapid erosion and loss of the paint system from the propeller surfaces by water turbulence and cavitation</w:t>
      </w:r>
      <w:r w:rsidR="004065E1">
        <w:t>, and for vessels operating in shallow waters, abrasion by disturbed sedimen</w:t>
      </w:r>
      <w:r w:rsidR="009C147A">
        <w:t>t</w:t>
      </w:r>
      <w:r>
        <w:t>. However, recently, silicone</w:t>
      </w:r>
      <w:r w:rsidR="0009280D">
        <w:t xml:space="preserve"> FR</w:t>
      </w:r>
      <w:r>
        <w:t xml:space="preserve"> coatings in combination with a high performance anti-corrosive coating system are proving to b</w:t>
      </w:r>
      <w:r w:rsidR="0009280D">
        <w:t xml:space="preserve">e </w:t>
      </w:r>
      <w:r>
        <w:t>durable</w:t>
      </w:r>
      <w:r w:rsidR="0009280D">
        <w:t xml:space="preserve">, </w:t>
      </w:r>
      <w:r>
        <w:t>to reduce biofoul</w:t>
      </w:r>
      <w:r w:rsidR="008D2C1E">
        <w:t>ing</w:t>
      </w:r>
      <w:r w:rsidR="0009280D">
        <w:t>,</w:t>
      </w:r>
      <w:r w:rsidR="008D2C1E">
        <w:t xml:space="preserve"> and </w:t>
      </w:r>
      <w:r w:rsidR="0009280D">
        <w:t xml:space="preserve">to </w:t>
      </w:r>
      <w:r w:rsidR="008D2C1E">
        <w:t>minimise the need for propeller polishing</w:t>
      </w:r>
      <w:r w:rsidR="006D3C11">
        <w:t xml:space="preserve"> </w:t>
      </w:r>
      <w:r w:rsidR="00D6728E">
        <w:t xml:space="preserve">(Atlar </w:t>
      </w:r>
      <w:r w:rsidR="00D6728E" w:rsidRPr="001F288E">
        <w:rPr>
          <w:i/>
        </w:rPr>
        <w:t>et al</w:t>
      </w:r>
      <w:r w:rsidR="00D6728E">
        <w:t>, 2002, Korkut and Atlar, 2012)</w:t>
      </w:r>
    </w:p>
    <w:p w14:paraId="22328AF1" w14:textId="77777777" w:rsidR="00C36C78" w:rsidRDefault="00F56B54" w:rsidP="0009280D">
      <w:r>
        <w:t>Propellers</w:t>
      </w:r>
      <w:r w:rsidR="009760A6">
        <w:t xml:space="preserve"> are mostly </w:t>
      </w:r>
      <w:r>
        <w:t xml:space="preserve">constructed </w:t>
      </w:r>
      <w:r w:rsidR="009760A6">
        <w:t xml:space="preserve">from </w:t>
      </w:r>
      <w:r>
        <w:t>copper and steel alloys</w:t>
      </w:r>
      <w:r w:rsidR="009760A6">
        <w:t xml:space="preserve">, and traditionally </w:t>
      </w:r>
      <w:r w:rsidR="0009280D">
        <w:t xml:space="preserve">from </w:t>
      </w:r>
      <w:r w:rsidR="009760A6">
        <w:t>nickel aluminium bronze or manganese aluminium bronze</w:t>
      </w:r>
      <w:r w:rsidR="0009280D">
        <w:t xml:space="preserve"> alloys</w:t>
      </w:r>
      <w:r w:rsidR="006D3C11">
        <w:t xml:space="preserve"> (</w:t>
      </w:r>
      <w:r w:rsidR="00D93652">
        <w:t>Vardhan et al. 2019)</w:t>
      </w:r>
      <w:r w:rsidR="009760A6">
        <w:t xml:space="preserve">. </w:t>
      </w:r>
      <w:r w:rsidR="00262C75">
        <w:t>Nickel aluminium bronze can contain, for example, around 80% copper, 10% aluminium, 5% nickel and 4% iron</w:t>
      </w:r>
      <w:r w:rsidR="00D93652">
        <w:t xml:space="preserve"> (Powell &amp; Webster 2012)</w:t>
      </w:r>
      <w:r w:rsidR="00262C75">
        <w:t>.</w:t>
      </w:r>
    </w:p>
    <w:p w14:paraId="080903AA" w14:textId="77777777" w:rsidR="00262C75" w:rsidRDefault="00F56B54" w:rsidP="00F008B9">
      <w:pPr>
        <w:pStyle w:val="Heading4"/>
      </w:pPr>
      <w:r>
        <w:t>Sensor windows</w:t>
      </w:r>
    </w:p>
    <w:p w14:paraId="5CDE4881" w14:textId="77777777" w:rsidR="00B8408C" w:rsidRPr="00565E3F" w:rsidRDefault="00F56B54" w:rsidP="0009280D">
      <w:r>
        <w:t xml:space="preserve">Depth and other sensor and transducer windows are also not </w:t>
      </w:r>
      <w:r w:rsidR="00916C16">
        <w:t>painted but</w:t>
      </w:r>
      <w:r>
        <w:t xml:space="preserve"> are constructed on non-metallic plastics or composites</w:t>
      </w:r>
      <w:r w:rsidR="00C4677B">
        <w:t>, for example polycarbonate</w:t>
      </w:r>
      <w:r w:rsidR="006D3C11">
        <w:t xml:space="preserve"> (</w:t>
      </w:r>
      <w:r w:rsidR="00C4677B">
        <w:t>RD Instruments 2002</w:t>
      </w:r>
      <w:r w:rsidR="006D3C11">
        <w:t>)</w:t>
      </w:r>
      <w:r>
        <w:t>.</w:t>
      </w:r>
    </w:p>
    <w:p w14:paraId="56905C19" w14:textId="77777777" w:rsidR="00764D6A" w:rsidRDefault="00F56B54" w:rsidP="00AD1C24">
      <w:pPr>
        <w:pStyle w:val="Heading3"/>
      </w:pPr>
      <w:bookmarkStart w:id="24" w:name="_Toc50117654"/>
      <w:r>
        <w:t>IWC Recommendations</w:t>
      </w:r>
      <w:bookmarkEnd w:id="24"/>
    </w:p>
    <w:p w14:paraId="7B29FFBF" w14:textId="77777777" w:rsidR="00916C16" w:rsidRDefault="00F56B54" w:rsidP="00622ECD">
      <w:proofErr w:type="gramStart"/>
      <w:r>
        <w:t>In regard to</w:t>
      </w:r>
      <w:proofErr w:type="gramEnd"/>
      <w:r>
        <w:t xml:space="preserve"> hull coatings and surfaces, the following recommendations are made with respect to IWC. </w:t>
      </w:r>
      <w:r w:rsidR="004065E1">
        <w:t>H</w:t>
      </w:r>
      <w:r>
        <w:t>ull grooming</w:t>
      </w:r>
      <w:r w:rsidR="004065E1">
        <w:t xml:space="preserve"> and proactive or reactive IWC</w:t>
      </w:r>
      <w:r>
        <w:t xml:space="preserve"> should not:</w:t>
      </w:r>
    </w:p>
    <w:p w14:paraId="15454C55" w14:textId="77777777" w:rsidR="00916C16" w:rsidRPr="00424F73" w:rsidRDefault="00F56B54" w:rsidP="00862962">
      <w:pPr>
        <w:pStyle w:val="ListBullet"/>
      </w:pPr>
      <w:r w:rsidRPr="00916C16">
        <w:t>be permitted if the vessel does not have a valid International Anti-Fouling System Certificate or Declaration on Anti-Fouling System that lists biocides present</w:t>
      </w:r>
      <w:r w:rsidRPr="00424F73">
        <w:t xml:space="preserve"> in the coating</w:t>
      </w:r>
    </w:p>
    <w:p w14:paraId="1E8E1BCB" w14:textId="77777777" w:rsidR="00827747" w:rsidRDefault="00F56B54" w:rsidP="00862962">
      <w:pPr>
        <w:pStyle w:val="ListBullet"/>
      </w:pPr>
      <w:r w:rsidRPr="00424F73">
        <w:t>be permitted if the AFC contains diuron, cybutryne, ziram, chlorothalonil</w:t>
      </w:r>
      <w:r w:rsidRPr="00916C16">
        <w:t>, or other biocides restricted o</w:t>
      </w:r>
      <w:r w:rsidRPr="00424F73">
        <w:t>r banned elsewhere in the world</w:t>
      </w:r>
      <w:r w:rsidR="0059011F">
        <w:t>.</w:t>
      </w:r>
    </w:p>
    <w:p w14:paraId="4CCCF617" w14:textId="77777777" w:rsidR="00764D6A" w:rsidRDefault="00F56B54" w:rsidP="00D74B1C">
      <w:pPr>
        <w:pStyle w:val="Heading2"/>
      </w:pPr>
      <w:bookmarkStart w:id="25" w:name="_Toc430782157"/>
      <w:bookmarkStart w:id="26" w:name="_Toc50117655"/>
      <w:r w:rsidRPr="00D74B1C">
        <w:lastRenderedPageBreak/>
        <w:t>Contaminant</w:t>
      </w:r>
      <w:r>
        <w:t xml:space="preserve"> </w:t>
      </w:r>
      <w:r w:rsidR="007F5E21">
        <w:t>s</w:t>
      </w:r>
      <w:r>
        <w:t>ources</w:t>
      </w:r>
      <w:bookmarkEnd w:id="25"/>
      <w:bookmarkEnd w:id="26"/>
    </w:p>
    <w:p w14:paraId="6E09A4CC" w14:textId="77777777" w:rsidR="00B8408C" w:rsidRDefault="00F56B54">
      <w:pPr>
        <w:pStyle w:val="Heading3"/>
      </w:pPr>
      <w:bookmarkStart w:id="27" w:name="_Toc50117656"/>
      <w:bookmarkStart w:id="28" w:name="_Toc430782158"/>
      <w:r>
        <w:t>Coatings</w:t>
      </w:r>
      <w:bookmarkEnd w:id="27"/>
    </w:p>
    <w:p w14:paraId="03041B27" w14:textId="77777777" w:rsidR="00827747" w:rsidRDefault="00F56B54" w:rsidP="001F75FE">
      <w:r>
        <w:t xml:space="preserve">The process of biofouling development starts with the adsorption of a film of organic and inorganic matter from the seawater, followed by microbial colonisation of this film by bacteria, </w:t>
      </w:r>
      <w:proofErr w:type="gramStart"/>
      <w:r>
        <w:t>microalgae</w:t>
      </w:r>
      <w:proofErr w:type="gramEnd"/>
      <w:r>
        <w:t xml:space="preserve"> and protozoans. This occurs on all surfaces, whether non-biocidal or biocidal. On biocidal coatings, bacteria and microalgae often exude polysaccharides or other substance (slime) that ameliorate the toxicity of the biocide to the microbes. On non-biocidal surfaces, several days to weeks after first immersion, multicellular organisms will settle, </w:t>
      </w:r>
      <w:proofErr w:type="gramStart"/>
      <w:r>
        <w:t>attach</w:t>
      </w:r>
      <w:proofErr w:type="gramEnd"/>
      <w:r>
        <w:t xml:space="preserve"> and grow. An effective antifouling coating will hold the biofouling development at the biofilm stage until the biocide release rate drops below that necessary to prevent macrofouling attachment.</w:t>
      </w:r>
    </w:p>
    <w:p w14:paraId="4F925027" w14:textId="77777777" w:rsidR="00827747" w:rsidRDefault="00F56B54" w:rsidP="001F75FE">
      <w:r>
        <w:t xml:space="preserve">On biocide-free coatings or surfaces, macrofouling development is largely unconstrained but, for fouling release coatings, the strength of adhesion is </w:t>
      </w:r>
      <w:r w:rsidR="00183E96">
        <w:t>reduced,</w:t>
      </w:r>
      <w:r>
        <w:t xml:space="preserve"> and organisms can be dislodged by turbulent water movement across the surface, or light mechanical force.</w:t>
      </w:r>
    </w:p>
    <w:p w14:paraId="3B19CFB9" w14:textId="77777777" w:rsidR="00B8408C" w:rsidRDefault="00F56B54" w:rsidP="00B8408C">
      <w:r>
        <w:t>Once a biocidal surface is immersed, biocide release will commence through the process of hydrolysis or hydration at the coating surface</w:t>
      </w:r>
      <w:r w:rsidR="00C270F8">
        <w:t xml:space="preserve"> (</w:t>
      </w:r>
      <w:r w:rsidR="00F652CA">
        <w:t>Bressy et al. 2009)</w:t>
      </w:r>
      <w:r>
        <w:t xml:space="preserve">. </w:t>
      </w:r>
      <w:r w:rsidR="001F75FE">
        <w:t>This changes the surface composition of the coating and three different layers develop: the innermost sound layer of unreacted paint, the leached layer from which biocide has dissolved but the skeletal paint matrix remains, and the surface biofilm of microbes and their extracellular exudates</w:t>
      </w:r>
      <w:r w:rsidR="00C270F8">
        <w:t xml:space="preserve"> (</w:t>
      </w:r>
      <w:r w:rsidR="00F652CA">
        <w:t>Morrisey et al. 2013)</w:t>
      </w:r>
    </w:p>
    <w:p w14:paraId="6842B7BC" w14:textId="77777777" w:rsidR="00827747" w:rsidRDefault="00F56B54" w:rsidP="001F75FE">
      <w:r>
        <w:t>Three types of IWC can be defined: hull grooming, proactive cleaning, and reactive cleaning.</w:t>
      </w:r>
    </w:p>
    <w:p w14:paraId="628F84BB" w14:textId="77777777" w:rsidR="001F75FE" w:rsidRDefault="00F56B54" w:rsidP="001F75FE">
      <w:r>
        <w:t>Hull grooming is regular cleaning to remove the biofilm, surface deposits, and friable surface from hull surfaces to reduce surface microroughness and viscous drag</w:t>
      </w:r>
      <w:r w:rsidR="0019736B">
        <w:t>.</w:t>
      </w:r>
      <w:r>
        <w:t xml:space="preserve"> The benefit of hull grooming cleaning is </w:t>
      </w:r>
      <w:r>
        <w:rPr>
          <w:lang w:eastAsia="ja-JP"/>
        </w:rPr>
        <w:t>improvement in ship performance and efficiency which reduces environmental impact by reducing drag, fuel consumption, greenhouse gas emissions and costs. It will also eliminate the need for high intensity hull cleaning methods</w:t>
      </w:r>
      <w:r w:rsidRPr="00C55011">
        <w:rPr>
          <w:lang w:eastAsia="ja-JP"/>
        </w:rPr>
        <w:t xml:space="preserve"> </w:t>
      </w:r>
      <w:r>
        <w:rPr>
          <w:lang w:eastAsia="ja-JP"/>
        </w:rPr>
        <w:t xml:space="preserve">and can increase coating longevity. </w:t>
      </w:r>
      <w:r>
        <w:t xml:space="preserve">Hull grooming is generally restricted to the planar surfaces of the hull that are prone to hydrodynamic drag. Propeller polishing can be considered </w:t>
      </w:r>
      <w:proofErr w:type="gramStart"/>
      <w:r>
        <w:t>similar to</w:t>
      </w:r>
      <w:proofErr w:type="gramEnd"/>
      <w:r>
        <w:t xml:space="preserve"> hull grooming, as it is undertaken to restore the propulsion efficiency of propellers.</w:t>
      </w:r>
    </w:p>
    <w:p w14:paraId="36E3E72E" w14:textId="77777777" w:rsidR="001F75FE" w:rsidRDefault="00F56B54" w:rsidP="001F75FE">
      <w:r>
        <w:t xml:space="preserve">Proactive IWC is the removal of early stages of biofouling to prevent the growth and maturation of macrofouling organisms, on both hull surfaces and on and within hull </w:t>
      </w:r>
      <w:r w:rsidR="003378D5">
        <w:t>niches that,</w:t>
      </w:r>
      <w:r>
        <w:t xml:space="preserve"> if established, can significantly impact on vessel efficiency and facilitate marine species translocation. Reactive IWC is the removal of established macrofouling to restore hull efficiency or remove growth considered to pose a biosecurity risk.</w:t>
      </w:r>
    </w:p>
    <w:p w14:paraId="6028A31B" w14:textId="77777777" w:rsidR="00827747" w:rsidRDefault="00F56B54" w:rsidP="001F75FE">
      <w:r>
        <w:t>Hull grooming and p</w:t>
      </w:r>
      <w:r w:rsidRPr="005A0666">
        <w:t xml:space="preserve">roactive </w:t>
      </w:r>
      <w:r>
        <w:t>IWC are similar in removing</w:t>
      </w:r>
      <w:r w:rsidRPr="005A0666">
        <w:t xml:space="preserve"> the surface biofilm</w:t>
      </w:r>
      <w:r>
        <w:t xml:space="preserve"> and, if present, the early, microscopic stages of newly settled macrofouling</w:t>
      </w:r>
      <w:r w:rsidRPr="005A0666">
        <w:t xml:space="preserve">, and some or </w:t>
      </w:r>
      <w:proofErr w:type="gramStart"/>
      <w:r w:rsidRPr="005A0666">
        <w:t>all of</w:t>
      </w:r>
      <w:proofErr w:type="gramEnd"/>
      <w:r w:rsidRPr="005A0666">
        <w:t xml:space="preserve"> the leached layer.</w:t>
      </w:r>
      <w:r>
        <w:t xml:space="preserve"> </w:t>
      </w:r>
      <w:r w:rsidRPr="005A0666">
        <w:t xml:space="preserve">Reactive </w:t>
      </w:r>
      <w:r>
        <w:t xml:space="preserve">IWC removes </w:t>
      </w:r>
      <w:r w:rsidRPr="005A0666">
        <w:t xml:space="preserve">hard </w:t>
      </w:r>
      <w:r>
        <w:t>and soft macro</w:t>
      </w:r>
      <w:r w:rsidRPr="005A0666">
        <w:t>fouling</w:t>
      </w:r>
      <w:r>
        <w:t>, together with underlying and interspersed</w:t>
      </w:r>
      <w:r w:rsidRPr="005A0666">
        <w:t xml:space="preserve"> biofilm, </w:t>
      </w:r>
      <w:r>
        <w:t xml:space="preserve">and friable </w:t>
      </w:r>
      <w:r w:rsidRPr="005A0666">
        <w:t>leached layer</w:t>
      </w:r>
      <w:r>
        <w:t xml:space="preserve">. If aggressive cleaning methods are used for proactive or reactive IWC, the outer surface of </w:t>
      </w:r>
      <w:r w:rsidRPr="005A0666">
        <w:t>sound paint</w:t>
      </w:r>
      <w:r>
        <w:t xml:space="preserve"> underlying the leached layer may be removed</w:t>
      </w:r>
      <w:r w:rsidRPr="005A0666">
        <w:t>.</w:t>
      </w:r>
      <w:r>
        <w:t xml:space="preserve"> Paint flakes may also be removed during IWC if the paint system is damaged or defective. </w:t>
      </w:r>
      <w:r>
        <w:lastRenderedPageBreak/>
        <w:t>Biocide concentrations are higher in sound paint and paint flakes than in the leached layer and/or biofilm.</w:t>
      </w:r>
    </w:p>
    <w:p w14:paraId="12062305" w14:textId="77777777" w:rsidR="00B8408C" w:rsidRDefault="00F56B54" w:rsidP="00B8408C">
      <w:pPr>
        <w:pStyle w:val="Heading4"/>
      </w:pPr>
      <w:r>
        <w:t xml:space="preserve">Sound </w:t>
      </w:r>
      <w:r w:rsidR="0031761D">
        <w:t>p</w:t>
      </w:r>
      <w:r>
        <w:t>aint</w:t>
      </w:r>
    </w:p>
    <w:p w14:paraId="107A32FD" w14:textId="77777777" w:rsidR="00B8408C" w:rsidRPr="00B8408C" w:rsidRDefault="00F56B54" w:rsidP="00B8408C">
      <w:r>
        <w:t>The base layer of the active antifouling coating is the</w:t>
      </w:r>
      <w:r w:rsidR="0009280D">
        <w:t xml:space="preserve"> sound</w:t>
      </w:r>
      <w:r>
        <w:t xml:space="preserve"> layer where seawater has yet to penetrate to commence the hydrolysis/hydration reactions. This layer will have the same composition</w:t>
      </w:r>
      <w:r w:rsidR="00D700A7">
        <w:t xml:space="preserve"> and biocide content</w:t>
      </w:r>
      <w:r>
        <w:t xml:space="preserve"> as the dried paint </w:t>
      </w:r>
      <w:r w:rsidR="0009280D">
        <w:t xml:space="preserve">film </w:t>
      </w:r>
      <w:r>
        <w:t>prior to immersion.</w:t>
      </w:r>
    </w:p>
    <w:p w14:paraId="3B02C1EB" w14:textId="77777777" w:rsidR="00B8408C" w:rsidRDefault="00F56B54" w:rsidP="00B8408C">
      <w:pPr>
        <w:pStyle w:val="Heading4"/>
      </w:pPr>
      <w:bookmarkStart w:id="29" w:name="_Toc351391256"/>
      <w:bookmarkStart w:id="30" w:name="_Toc430782159"/>
      <w:r>
        <w:t xml:space="preserve">Leached </w:t>
      </w:r>
      <w:r w:rsidR="0031761D">
        <w:t>l</w:t>
      </w:r>
      <w:r>
        <w:t>ayer</w:t>
      </w:r>
      <w:bookmarkEnd w:id="29"/>
      <w:bookmarkEnd w:id="30"/>
    </w:p>
    <w:p w14:paraId="73D61C13" w14:textId="77777777" w:rsidR="00B8408C" w:rsidRPr="00B8408C" w:rsidRDefault="00F56B54" w:rsidP="00B8408C">
      <w:r>
        <w:t>The mechanism of biocide release from an antifouling coating results in a surface layer that is depleted of biocide and other soluble compounds</w:t>
      </w:r>
      <w:r w:rsidR="00C270F8">
        <w:t xml:space="preserve"> (</w:t>
      </w:r>
      <w:r w:rsidR="00F652CA">
        <w:t>Lewis 1998)</w:t>
      </w:r>
      <w:r>
        <w:t xml:space="preserve">. In soluble matrix and SPC coatings, this is </w:t>
      </w:r>
      <w:r w:rsidR="001C6D22">
        <w:t>due to the biocide dissolving at a faster rate than the dissolution or hydrolysis of the paint matrix</w:t>
      </w:r>
      <w:r w:rsidR="00C270F8">
        <w:t xml:space="preserve"> (</w:t>
      </w:r>
      <w:r w:rsidR="00F652CA">
        <w:t>Lewis 1998</w:t>
      </w:r>
      <w:r w:rsidR="00C270F8">
        <w:t>)</w:t>
      </w:r>
      <w:r w:rsidR="001C6D22">
        <w:t>. The area of biocide depletion is termed the ‘leach’ or ‘leached</w:t>
      </w:r>
      <w:r w:rsidR="0009280D">
        <w:t>’</w:t>
      </w:r>
      <w:r w:rsidR="001C6D22">
        <w:t xml:space="preserve"> layer. The thickness of the leached layer varies with the length of immersion and water velocity across the coating surface, but also between coating types with, generally, insoluble matrix coatings developing </w:t>
      </w:r>
      <w:r w:rsidR="00B4108D">
        <w:t>‘</w:t>
      </w:r>
      <w:r w:rsidR="001C6D22">
        <w:t>thick</w:t>
      </w:r>
      <w:r w:rsidR="00B4108D">
        <w:t xml:space="preserve">’ </w:t>
      </w:r>
      <w:r w:rsidR="001C6D22">
        <w:t>leached layers</w:t>
      </w:r>
      <w:r w:rsidR="00B4108D">
        <w:t xml:space="preserve"> </w:t>
      </w:r>
      <w:r w:rsidR="001C6D22">
        <w:t>(~75</w:t>
      </w:r>
      <w:r w:rsidR="0009280D">
        <w:t>+</w:t>
      </w:r>
      <w:r w:rsidR="001C6D22">
        <w:t xml:space="preserve"> </w:t>
      </w:r>
      <w:r w:rsidR="001C6D22">
        <w:rPr>
          <w:rFonts w:ascii="Calibri" w:hAnsi="Calibri" w:cs="Calibri"/>
        </w:rPr>
        <w:t>μ</w:t>
      </w:r>
      <w:r w:rsidR="001C6D22">
        <w:t xml:space="preserve">m thick), </w:t>
      </w:r>
      <w:r w:rsidR="00B4108D">
        <w:t>soluble matrix/ablative coatings</w:t>
      </w:r>
      <w:r w:rsidR="00827747">
        <w:t xml:space="preserve"> </w:t>
      </w:r>
      <w:r w:rsidR="00B4108D">
        <w:t>‘relatively thick’</w:t>
      </w:r>
      <w:r w:rsidR="00827747">
        <w:t xml:space="preserve"> </w:t>
      </w:r>
      <w:r w:rsidR="00B4108D">
        <w:t xml:space="preserve">layers (30 – 80 </w:t>
      </w:r>
      <w:r w:rsidR="00B4108D">
        <w:rPr>
          <w:rFonts w:ascii="Calibri" w:hAnsi="Calibri" w:cs="Calibri"/>
        </w:rPr>
        <w:t>μ</w:t>
      </w:r>
      <w:r w:rsidR="00B4108D">
        <w:t xml:space="preserve">m), and tin-free SPCs thinner layers (10 – 40 </w:t>
      </w:r>
      <w:r w:rsidR="00B4108D">
        <w:rPr>
          <w:rFonts w:ascii="Calibri" w:hAnsi="Calibri" w:cs="Calibri"/>
        </w:rPr>
        <w:t>μ</w:t>
      </w:r>
      <w:r w:rsidR="00B4108D">
        <w:t>m)</w:t>
      </w:r>
      <w:r w:rsidR="00C270F8">
        <w:t xml:space="preserve"> (</w:t>
      </w:r>
      <w:r w:rsidR="00F652CA">
        <w:t>Morrisey et al. 2013)</w:t>
      </w:r>
      <w:r w:rsidR="00B4108D">
        <w:t>.</w:t>
      </w:r>
    </w:p>
    <w:p w14:paraId="77FFFE95" w14:textId="77777777" w:rsidR="00764D6A" w:rsidRDefault="00F56B54" w:rsidP="00B8408C">
      <w:pPr>
        <w:pStyle w:val="Heading4"/>
      </w:pPr>
      <w:r>
        <w:t>Biofilms</w:t>
      </w:r>
      <w:bookmarkEnd w:id="28"/>
    </w:p>
    <w:p w14:paraId="32D699BC" w14:textId="77777777" w:rsidR="00B4108D" w:rsidRPr="00B4108D" w:rsidRDefault="00F56B54" w:rsidP="00B4108D">
      <w:r>
        <w:t>Antifouling and fouling control coatings are all rapidly colonised by</w:t>
      </w:r>
      <w:r w:rsidR="0009280D">
        <w:t xml:space="preserve"> bacteria and other micro-organisms which develop surface biofil</w:t>
      </w:r>
      <w:r>
        <w:t>ms</w:t>
      </w:r>
      <w:r w:rsidR="0009280D">
        <w:t xml:space="preserve"> (commonly referred to as ‘slime’)</w:t>
      </w:r>
      <w:r w:rsidR="00C270F8">
        <w:t xml:space="preserve"> (</w:t>
      </w:r>
      <w:r w:rsidR="000D46BE">
        <w:t>Cassé &amp; Swain</w:t>
      </w:r>
      <w:r w:rsidR="005573C4">
        <w:t xml:space="preserve"> 2006</w:t>
      </w:r>
      <w:r w:rsidR="00C270F8">
        <w:t>)</w:t>
      </w:r>
      <w:r w:rsidR="0009280D">
        <w:t>.</w:t>
      </w:r>
      <w:r w:rsidR="00827747">
        <w:t xml:space="preserve"> </w:t>
      </w:r>
      <w:r w:rsidR="0009280D">
        <w:t>T</w:t>
      </w:r>
      <w:r>
        <w:t>he composition of this biofilm changes with time</w:t>
      </w:r>
      <w:r w:rsidR="0009280D">
        <w:t>: t</w:t>
      </w:r>
      <w:r>
        <w:t>he first colonisers are small bacteria, followed by larger bacteria and diatoms</w:t>
      </w:r>
      <w:r w:rsidR="00C270F8">
        <w:t xml:space="preserve"> </w:t>
      </w:r>
      <w:r w:rsidR="00F652CA">
        <w:t>(Lewis 1998</w:t>
      </w:r>
      <w:r w:rsidR="00C270F8">
        <w:t>)</w:t>
      </w:r>
      <w:r w:rsidR="0009280D">
        <w:t xml:space="preserve">. Diatoms </w:t>
      </w:r>
      <w:r>
        <w:t>contribut</w:t>
      </w:r>
      <w:r w:rsidR="0009280D">
        <w:t>e</w:t>
      </w:r>
      <w:r>
        <w:t xml:space="preserve"> much of the biomass of biofilms on illuminated surfaces</w:t>
      </w:r>
      <w:r w:rsidR="00C270F8">
        <w:t xml:space="preserve"> (</w:t>
      </w:r>
      <w:r w:rsidR="000D46BE">
        <w:t>Molino et al. 200</w:t>
      </w:r>
      <w:r w:rsidR="005573C4">
        <w:t>8</w:t>
      </w:r>
      <w:r w:rsidR="00C270F8">
        <w:t>)</w:t>
      </w:r>
      <w:r>
        <w:t>. Stunted and prostrate filamentous algae can also establish within the biofilm</w:t>
      </w:r>
      <w:r w:rsidR="00C270F8">
        <w:t xml:space="preserve"> (</w:t>
      </w:r>
      <w:r w:rsidR="001772A2">
        <w:t xml:space="preserve">Taylor &amp; Evans 1976, </w:t>
      </w:r>
      <w:r w:rsidR="005573C4">
        <w:t>Woods et al. 1988</w:t>
      </w:r>
      <w:r w:rsidR="00C270F8">
        <w:t>)</w:t>
      </w:r>
      <w:r>
        <w:t>. The biofilm is also highly absorptive and, although microorganisms and their remains form the most conspicuous components of the film, varying amounts of extracellular polymeric substances</w:t>
      </w:r>
      <w:r w:rsidR="009B6C24">
        <w:t xml:space="preserve"> (EPS)</w:t>
      </w:r>
      <w:r>
        <w:t>, trapped detritus, inorganic precipitates, and corrosion products form the bulk of the layer</w:t>
      </w:r>
      <w:r w:rsidR="00C270F8">
        <w:t xml:space="preserve"> (</w:t>
      </w:r>
      <w:r w:rsidR="005573C4">
        <w:t>Lewis 1998</w:t>
      </w:r>
      <w:r w:rsidR="00C270F8">
        <w:t>)</w:t>
      </w:r>
      <w:r>
        <w:t>.</w:t>
      </w:r>
      <w:r w:rsidR="009B6C24">
        <w:t xml:space="preserve"> Measured thicknesses of biofilms range from 0 – 600 </w:t>
      </w:r>
      <w:r w:rsidR="009B6C24">
        <w:rPr>
          <w:rFonts w:ascii="Calibri" w:hAnsi="Calibri" w:cs="Calibri"/>
        </w:rPr>
        <w:t>μ</w:t>
      </w:r>
      <w:r w:rsidR="009B6C24">
        <w:t>m</w:t>
      </w:r>
      <w:r w:rsidR="00C270F8">
        <w:t xml:space="preserve"> (</w:t>
      </w:r>
      <w:r w:rsidR="00B83080">
        <w:t>Jackson &amp; Jones 1988</w:t>
      </w:r>
      <w:r w:rsidR="00C270F8">
        <w:t>)</w:t>
      </w:r>
      <w:r w:rsidR="009B6C24">
        <w:t xml:space="preserve">, but measurements on one vessel coated with an insoluble matrix paint ranged between 1,500 and 2,500 </w:t>
      </w:r>
      <w:r w:rsidR="009B6C24">
        <w:rPr>
          <w:rFonts w:ascii="Calibri" w:hAnsi="Calibri" w:cs="Calibri"/>
        </w:rPr>
        <w:t>μ</w:t>
      </w:r>
      <w:r w:rsidR="009B6C24">
        <w:t>m</w:t>
      </w:r>
      <w:r w:rsidR="00C270F8">
        <w:t xml:space="preserve"> (</w:t>
      </w:r>
      <w:r w:rsidR="00B83080">
        <w:t>Doi 1982</w:t>
      </w:r>
      <w:r w:rsidR="00C270F8">
        <w:t>)</w:t>
      </w:r>
      <w:r w:rsidR="009B6C24">
        <w:t>. EPS in biofilms can modify the release of biocide from the coating surface and trap and bind copper ions</w:t>
      </w:r>
      <w:r w:rsidR="00C270F8">
        <w:t xml:space="preserve"> (</w:t>
      </w:r>
      <w:r w:rsidR="00A438FD">
        <w:t>Lindner</w:t>
      </w:r>
      <w:r w:rsidR="00CB47CE">
        <w:t xml:space="preserve"> </w:t>
      </w:r>
      <w:r w:rsidR="00A438FD">
        <w:t xml:space="preserve">1988, </w:t>
      </w:r>
      <w:r w:rsidR="00B83080">
        <w:t>Yebra et al. 2006</w:t>
      </w:r>
      <w:r w:rsidR="00C270F8">
        <w:t>)</w:t>
      </w:r>
      <w:r w:rsidR="009B6C24">
        <w:t>.</w:t>
      </w:r>
    </w:p>
    <w:p w14:paraId="6DD481A8" w14:textId="77777777" w:rsidR="00732BDA" w:rsidRDefault="00F56B54" w:rsidP="00B8408C">
      <w:pPr>
        <w:pStyle w:val="Heading4"/>
      </w:pPr>
      <w:r>
        <w:t xml:space="preserve">Paint </w:t>
      </w:r>
      <w:r w:rsidR="0031761D">
        <w:t>f</w:t>
      </w:r>
      <w:r>
        <w:t>lakes</w:t>
      </w:r>
    </w:p>
    <w:p w14:paraId="0C7F0B5C" w14:textId="77777777" w:rsidR="00827747" w:rsidRDefault="00F56B54" w:rsidP="009B6C24">
      <w:r>
        <w:t>Lifting and flaking p</w:t>
      </w:r>
      <w:r w:rsidR="009B6C24">
        <w:t>aint can be</w:t>
      </w:r>
      <w:r>
        <w:t xml:space="preserve"> the result of </w:t>
      </w:r>
      <w:r w:rsidR="009B6C24">
        <w:t xml:space="preserve">paint system defects </w:t>
      </w:r>
      <w:r>
        <w:t xml:space="preserve">and </w:t>
      </w:r>
      <w:r w:rsidR="009B6C24">
        <w:t>failures</w:t>
      </w:r>
      <w:r>
        <w:t>, or mechanical damage</w:t>
      </w:r>
      <w:r w:rsidR="00C270F8">
        <w:t xml:space="preserve"> (</w:t>
      </w:r>
      <w:r w:rsidR="00D677F3">
        <w:t>Fitzsimons 2011)</w:t>
      </w:r>
      <w:r w:rsidR="009B6C24">
        <w:t xml:space="preserve">. The overall chemical composition of a flake will depend on </w:t>
      </w:r>
      <w:r w:rsidR="00A471CA">
        <w:t xml:space="preserve">the depth of the fracture layer within the coating system. If delamination is at the hull surface, the flake will include all coats of the anticorrosive system, any tie or barrier coats, and the antifouling </w:t>
      </w:r>
      <w:r w:rsidR="00183E96">
        <w:t>topcoats</w:t>
      </w:r>
      <w:r w:rsidR="00A471CA">
        <w:t>. If the system has been recoated at a dry-docking without removal of the existing system, then the coats of new barrier/tie/antifouling paints will also be present in the flake. If the fracture layer is within the system, which can be due to surface contamination during over</w:t>
      </w:r>
      <w:r w:rsidR="00760EA3">
        <w:t>-</w:t>
      </w:r>
      <w:r w:rsidR="00A471CA">
        <w:t>coating, the flake will be composed of whatever coats were applied above the delamination surface.</w:t>
      </w:r>
    </w:p>
    <w:p w14:paraId="00E38FAF" w14:textId="77777777" w:rsidR="00351DD7" w:rsidRDefault="00F56B54" w:rsidP="009B6C24">
      <w:r>
        <w:t xml:space="preserve">Paint lifting or delamination </w:t>
      </w:r>
      <w:r w:rsidR="001D4A86">
        <w:t xml:space="preserve">often </w:t>
      </w:r>
      <w:r>
        <w:t>indicates system breakdown</w:t>
      </w:r>
      <w:r w:rsidR="00EF381A">
        <w:t xml:space="preserve">, </w:t>
      </w:r>
      <w:r>
        <w:t xml:space="preserve">poor </w:t>
      </w:r>
      <w:r w:rsidR="00EF381A">
        <w:t xml:space="preserve">surface preparation for painting, or poor </w:t>
      </w:r>
      <w:r>
        <w:t>paint application</w:t>
      </w:r>
      <w:r w:rsidR="00C270F8">
        <w:t xml:space="preserve"> </w:t>
      </w:r>
      <w:r w:rsidR="00D677F3">
        <w:t>(Fitzsimons 2011</w:t>
      </w:r>
      <w:r w:rsidR="00C270F8">
        <w:t>)</w:t>
      </w:r>
      <w:r w:rsidR="00EF381A">
        <w:t xml:space="preserve">. These failures can compromise the </w:t>
      </w:r>
      <w:r w:rsidR="00EF381A">
        <w:lastRenderedPageBreak/>
        <w:t>performance of both the anticorrosive and antifouling function of the paint and, mostly, can only be rectified by repair, renewal, or replacement in a dry-dock.</w:t>
      </w:r>
    </w:p>
    <w:p w14:paraId="350BD616" w14:textId="77777777" w:rsidR="00B8408C" w:rsidRDefault="00F56B54" w:rsidP="00B8408C">
      <w:pPr>
        <w:pStyle w:val="Heading3"/>
      </w:pPr>
      <w:bookmarkStart w:id="31" w:name="_Toc50117657"/>
      <w:r>
        <w:t>Unpainted metals</w:t>
      </w:r>
      <w:bookmarkEnd w:id="31"/>
    </w:p>
    <w:p w14:paraId="2220D599" w14:textId="77777777" w:rsidR="00827747" w:rsidRDefault="00F56B54" w:rsidP="00A471CA">
      <w:r>
        <w:t>Most metals will corrode when immersed in seawater</w:t>
      </w:r>
      <w:r w:rsidR="00C270F8">
        <w:t xml:space="preserve"> (</w:t>
      </w:r>
      <w:r w:rsidR="006B750E">
        <w:t>Powell 2012</w:t>
      </w:r>
      <w:r w:rsidR="00C270F8">
        <w:t>)</w:t>
      </w:r>
      <w:r>
        <w:t>, but at varying rates</w:t>
      </w:r>
      <w:r w:rsidR="00C270F8">
        <w:t xml:space="preserve"> (</w:t>
      </w:r>
      <w:r w:rsidR="006B750E">
        <w:t xml:space="preserve">Francis </w:t>
      </w:r>
      <w:r w:rsidR="00850E1B">
        <w:t>2012</w:t>
      </w:r>
      <w:r w:rsidR="006B750E">
        <w:t>)</w:t>
      </w:r>
      <w:r>
        <w:t xml:space="preserve">. The antifouling effect of copper and cupro-nickel alloys is, for example, known to be due to the </w:t>
      </w:r>
      <w:r w:rsidR="00671D7A">
        <w:t>slow release of copper from the metal surface</w:t>
      </w:r>
      <w:r w:rsidR="00125575">
        <w:t xml:space="preserve"> (</w:t>
      </w:r>
      <w:r w:rsidR="00411887">
        <w:t>Redfield 1952</w:t>
      </w:r>
      <w:r w:rsidR="00125575">
        <w:t>)</w:t>
      </w:r>
      <w:r w:rsidR="00671D7A">
        <w:t>. Released copper ions can react to form insoluble copper precipitates on the metal surface, one example being a green copper patina</w:t>
      </w:r>
      <w:r w:rsidR="00AB28B0">
        <w:t xml:space="preserve"> of basic copper chloride</w:t>
      </w:r>
      <w:r w:rsidR="00780679">
        <w:t xml:space="preserve"> (Lindner 1988)</w:t>
      </w:r>
      <w:r w:rsidR="0097513F">
        <w:t>.</w:t>
      </w:r>
      <w:r w:rsidR="00AB28B0">
        <w:t xml:space="preserve"> This </w:t>
      </w:r>
      <w:r w:rsidR="00391D59">
        <w:t>patina can</w:t>
      </w:r>
      <w:r w:rsidR="00671D7A">
        <w:t xml:space="preserve"> also form on copper-based antifouling paints, particularly in the splash zone along the wind and water line of a vessel</w:t>
      </w:r>
      <w:r w:rsidR="00125575">
        <w:t xml:space="preserve"> (</w:t>
      </w:r>
      <w:r w:rsidR="006B750E">
        <w:t>Lindner 1988</w:t>
      </w:r>
      <w:r w:rsidR="00125575">
        <w:t>)</w:t>
      </w:r>
      <w:r w:rsidR="00671D7A">
        <w:t>.</w:t>
      </w:r>
    </w:p>
    <w:p w14:paraId="60AF181F" w14:textId="77777777" w:rsidR="00732BDA" w:rsidRDefault="00F56B54" w:rsidP="00732BDA">
      <w:r>
        <w:t>Sacrificial CP anodes are designed to corrode</w:t>
      </w:r>
      <w:r w:rsidR="00125575">
        <w:t>, the more defects in the paint system and exposed hull plate, the faster the anodes will erode (</w:t>
      </w:r>
      <w:r w:rsidR="009C147A">
        <w:t>Rolands &amp; Angell 1976</w:t>
      </w:r>
      <w:r w:rsidR="00125575">
        <w:t>)</w:t>
      </w:r>
      <w:r>
        <w:t>. If the hull coating is in excellent condition, the anode will not corrode</w:t>
      </w:r>
      <w:r w:rsidR="00125575">
        <w:t>.</w:t>
      </w:r>
      <w:r w:rsidR="00827747">
        <w:t xml:space="preserve"> </w:t>
      </w:r>
      <w:r w:rsidR="00831CD4">
        <w:t>Similarly,</w:t>
      </w:r>
      <w:r>
        <w:t xml:space="preserve"> to antifouling paints, the </w:t>
      </w:r>
      <w:r w:rsidR="00845652">
        <w:t xml:space="preserve">corrosion process can result in friable corrosion products on the anode surfaces, but the unreacted metal will be </w:t>
      </w:r>
      <w:r w:rsidR="007A0C0D">
        <w:t>sound</w:t>
      </w:r>
      <w:r w:rsidR="00125575">
        <w:t xml:space="preserve"> (</w:t>
      </w:r>
      <w:r w:rsidR="009534E6">
        <w:t>Bohnes &amp; Franke 1997)</w:t>
      </w:r>
      <w:r w:rsidR="007A0C0D">
        <w:t>.</w:t>
      </w:r>
    </w:p>
    <w:p w14:paraId="383D5509" w14:textId="77777777" w:rsidR="00732BDA" w:rsidRDefault="00F56B54" w:rsidP="00D74B1C">
      <w:pPr>
        <w:pStyle w:val="Heading2"/>
      </w:pPr>
      <w:bookmarkStart w:id="32" w:name="_Toc50117658"/>
      <w:r>
        <w:lastRenderedPageBreak/>
        <w:t xml:space="preserve">Source </w:t>
      </w:r>
      <w:r w:rsidR="00827747">
        <w:t>c</w:t>
      </w:r>
      <w:r>
        <w:t>ontamination</w:t>
      </w:r>
      <w:bookmarkEnd w:id="32"/>
    </w:p>
    <w:p w14:paraId="23F40E7E" w14:textId="77777777" w:rsidR="00D74B1C" w:rsidRDefault="00F56B54" w:rsidP="00D74B1C">
      <w:pPr>
        <w:pStyle w:val="Heading3"/>
        <w:rPr>
          <w:lang w:eastAsia="ja-JP"/>
        </w:rPr>
      </w:pPr>
      <w:bookmarkStart w:id="33" w:name="_Toc50117659"/>
      <w:r>
        <w:rPr>
          <w:lang w:eastAsia="ja-JP"/>
        </w:rPr>
        <w:t>Biofilms</w:t>
      </w:r>
      <w:bookmarkEnd w:id="33"/>
    </w:p>
    <w:p w14:paraId="64DCB18B" w14:textId="58DD1528" w:rsidR="00AB28B0" w:rsidRDefault="00F56B54" w:rsidP="00AB28B0">
      <w:pPr>
        <w:rPr>
          <w:lang w:eastAsia="ja-JP"/>
        </w:rPr>
      </w:pPr>
      <w:r w:rsidRPr="00831CD4">
        <w:rPr>
          <w:lang w:eastAsia="ja-JP"/>
        </w:rPr>
        <w:t>Surface biofilms can accumulate biocide released from the paint</w:t>
      </w:r>
      <w:r w:rsidR="00125575">
        <w:rPr>
          <w:lang w:eastAsia="ja-JP"/>
        </w:rPr>
        <w:t xml:space="preserve"> (</w:t>
      </w:r>
      <w:r w:rsidR="000D53D2">
        <w:t>Lindner1988, Yebra et al. 2006</w:t>
      </w:r>
      <w:r w:rsidR="00125575">
        <w:rPr>
          <w:lang w:eastAsia="ja-JP"/>
        </w:rPr>
        <w:t>)</w:t>
      </w:r>
      <w:r w:rsidRPr="00831CD4">
        <w:rPr>
          <w:lang w:eastAsia="ja-JP"/>
        </w:rPr>
        <w:t>.</w:t>
      </w:r>
      <w:r>
        <w:rPr>
          <w:lang w:eastAsia="ja-JP"/>
        </w:rPr>
        <w:t xml:space="preserve"> Slimes on organotin SPC coatings </w:t>
      </w:r>
      <w:r w:rsidR="00760EA3">
        <w:rPr>
          <w:lang w:eastAsia="ja-JP"/>
        </w:rPr>
        <w:t xml:space="preserve">were </w:t>
      </w:r>
      <w:r>
        <w:rPr>
          <w:lang w:eastAsia="ja-JP"/>
        </w:rPr>
        <w:t>often thicker than those on copper-base</w:t>
      </w:r>
      <w:r w:rsidR="00760EA3">
        <w:rPr>
          <w:lang w:eastAsia="ja-JP"/>
        </w:rPr>
        <w:t>d</w:t>
      </w:r>
      <w:r>
        <w:rPr>
          <w:lang w:eastAsia="ja-JP"/>
        </w:rPr>
        <w:t xml:space="preserve"> paints</w:t>
      </w:r>
      <w:r w:rsidR="00760EA3">
        <w:rPr>
          <w:lang w:eastAsia="ja-JP"/>
        </w:rPr>
        <w:t>,</w:t>
      </w:r>
      <w:r>
        <w:rPr>
          <w:lang w:eastAsia="ja-JP"/>
        </w:rPr>
        <w:t xml:space="preserve"> </w:t>
      </w:r>
      <w:r w:rsidR="00760EA3">
        <w:rPr>
          <w:lang w:eastAsia="ja-JP"/>
        </w:rPr>
        <w:t>as</w:t>
      </w:r>
      <w:r>
        <w:rPr>
          <w:lang w:eastAsia="ja-JP"/>
        </w:rPr>
        <w:t xml:space="preserve"> biocide-tolerant diatoms </w:t>
      </w:r>
      <w:r w:rsidR="00760EA3">
        <w:rPr>
          <w:lang w:eastAsia="ja-JP"/>
        </w:rPr>
        <w:t xml:space="preserve">secreted </w:t>
      </w:r>
      <w:r>
        <w:rPr>
          <w:lang w:eastAsia="ja-JP"/>
        </w:rPr>
        <w:t>large quantities of extra-cellular mucilage</w:t>
      </w:r>
      <w:r w:rsidR="00760EA3">
        <w:rPr>
          <w:lang w:eastAsia="ja-JP"/>
        </w:rPr>
        <w:t>, which bound to TBT and acted as a protective mechanism</w:t>
      </w:r>
      <w:r w:rsidR="00125575">
        <w:rPr>
          <w:lang w:eastAsia="ja-JP"/>
        </w:rPr>
        <w:t xml:space="preserve"> (</w:t>
      </w:r>
      <w:r w:rsidR="004D49E7">
        <w:rPr>
          <w:lang w:eastAsia="ja-JP"/>
        </w:rPr>
        <w:t>Thomas &amp; Robinson 1986, Callow 1990</w:t>
      </w:r>
      <w:r w:rsidR="00125575">
        <w:rPr>
          <w:lang w:eastAsia="ja-JP"/>
        </w:rPr>
        <w:t>)</w:t>
      </w:r>
      <w:r>
        <w:rPr>
          <w:lang w:eastAsia="ja-JP"/>
        </w:rPr>
        <w:t>. High levels of TBT were therefore present in the</w:t>
      </w:r>
      <w:r w:rsidR="00760EA3">
        <w:rPr>
          <w:lang w:eastAsia="ja-JP"/>
        </w:rPr>
        <w:t>se</w:t>
      </w:r>
      <w:r>
        <w:rPr>
          <w:lang w:eastAsia="ja-JP"/>
        </w:rPr>
        <w:t xml:space="preserve"> biofilm</w:t>
      </w:r>
      <w:r w:rsidR="00760EA3">
        <w:rPr>
          <w:lang w:eastAsia="ja-JP"/>
        </w:rPr>
        <w:t>s</w:t>
      </w:r>
      <w:r w:rsidR="00125575">
        <w:rPr>
          <w:lang w:eastAsia="ja-JP"/>
        </w:rPr>
        <w:t xml:space="preserve"> (</w:t>
      </w:r>
      <w:r w:rsidR="00370D17">
        <w:rPr>
          <w:lang w:eastAsia="ja-JP"/>
        </w:rPr>
        <w:t>Fent &amp; Humm 1995</w:t>
      </w:r>
      <w:r w:rsidR="002026CA">
        <w:rPr>
          <w:lang w:eastAsia="ja-JP"/>
        </w:rPr>
        <w:t>, Fletcher &amp; Lewis 1999</w:t>
      </w:r>
      <w:r w:rsidR="00370D17">
        <w:rPr>
          <w:lang w:eastAsia="ja-JP"/>
        </w:rPr>
        <w:t>)</w:t>
      </w:r>
      <w:r>
        <w:rPr>
          <w:lang w:eastAsia="ja-JP"/>
        </w:rPr>
        <w:t>. As discussed in</w:t>
      </w:r>
      <w:r w:rsidR="009D623E">
        <w:rPr>
          <w:lang w:eastAsia="ja-JP"/>
        </w:rPr>
        <w:t xml:space="preserve"> Section</w:t>
      </w:r>
      <w:r>
        <w:rPr>
          <w:lang w:eastAsia="ja-JP"/>
        </w:rPr>
        <w:t xml:space="preserve"> </w:t>
      </w:r>
      <w:r w:rsidR="009D623E">
        <w:rPr>
          <w:lang w:eastAsia="ja-JP"/>
        </w:rPr>
        <w:fldChar w:fldCharType="begin"/>
      </w:r>
      <w:r w:rsidR="009D623E">
        <w:rPr>
          <w:lang w:eastAsia="ja-JP"/>
        </w:rPr>
        <w:instrText xml:space="preserve"> REF _Ref50119363 \w \h </w:instrText>
      </w:r>
      <w:r w:rsidR="009D623E">
        <w:rPr>
          <w:lang w:eastAsia="ja-JP"/>
        </w:rPr>
      </w:r>
      <w:r w:rsidR="009D623E">
        <w:rPr>
          <w:lang w:eastAsia="ja-JP"/>
        </w:rPr>
        <w:fldChar w:fldCharType="separate"/>
      </w:r>
      <w:r w:rsidR="001C040D">
        <w:rPr>
          <w:lang w:eastAsia="ja-JP"/>
        </w:rPr>
        <w:t>1.4.1</w:t>
      </w:r>
      <w:r w:rsidR="009D623E">
        <w:rPr>
          <w:lang w:eastAsia="ja-JP"/>
        </w:rPr>
        <w:fldChar w:fldCharType="end"/>
      </w:r>
      <w:r w:rsidR="009D623E">
        <w:rPr>
          <w:lang w:eastAsia="ja-JP"/>
        </w:rPr>
        <w:t xml:space="preserve"> </w:t>
      </w:r>
      <w:r w:rsidR="00795C75">
        <w:rPr>
          <w:lang w:eastAsia="ja-JP"/>
        </w:rPr>
        <w:t>in copper</w:t>
      </w:r>
      <w:r w:rsidR="00183E96">
        <w:rPr>
          <w:lang w:eastAsia="ja-JP"/>
        </w:rPr>
        <w:t>-</w:t>
      </w:r>
      <w:r w:rsidR="00795C75">
        <w:rPr>
          <w:lang w:eastAsia="ja-JP"/>
        </w:rPr>
        <w:t>base</w:t>
      </w:r>
      <w:r w:rsidR="00590598">
        <w:rPr>
          <w:lang w:eastAsia="ja-JP"/>
        </w:rPr>
        <w:t>d</w:t>
      </w:r>
      <w:r w:rsidR="00795C75">
        <w:rPr>
          <w:lang w:eastAsia="ja-JP"/>
        </w:rPr>
        <w:t xml:space="preserve"> paints, the unstable and toxic cuprous ion rapidly oxidises to the cupric ion when released and this</w:t>
      </w:r>
      <w:r w:rsidR="0097513F">
        <w:rPr>
          <w:lang w:eastAsia="ja-JP"/>
        </w:rPr>
        <w:t>,</w:t>
      </w:r>
      <w:r w:rsidR="00795C75">
        <w:rPr>
          <w:lang w:eastAsia="ja-JP"/>
        </w:rPr>
        <w:t xml:space="preserve"> in turn</w:t>
      </w:r>
      <w:r w:rsidR="0097513F">
        <w:rPr>
          <w:lang w:eastAsia="ja-JP"/>
        </w:rPr>
        <w:t>,</w:t>
      </w:r>
      <w:r w:rsidR="00795C75">
        <w:rPr>
          <w:lang w:eastAsia="ja-JP"/>
        </w:rPr>
        <w:t xml:space="preserve"> complexes with organic and inorganic ligands</w:t>
      </w:r>
      <w:r w:rsidR="00977F1D">
        <w:rPr>
          <w:lang w:eastAsia="ja-JP"/>
        </w:rPr>
        <w:t xml:space="preserve">. </w:t>
      </w:r>
      <w:r w:rsidR="002A03D6">
        <w:rPr>
          <w:lang w:eastAsia="ja-JP"/>
        </w:rPr>
        <w:t xml:space="preserve">The loosely adherent biofilm </w:t>
      </w:r>
      <w:r w:rsidR="000C53CA">
        <w:rPr>
          <w:lang w:eastAsia="ja-JP"/>
        </w:rPr>
        <w:t xml:space="preserve">can </w:t>
      </w:r>
      <w:r w:rsidR="002A03D6">
        <w:rPr>
          <w:lang w:eastAsia="ja-JP"/>
        </w:rPr>
        <w:t xml:space="preserve">be removed by wiping </w:t>
      </w:r>
      <w:r w:rsidR="001772A2">
        <w:rPr>
          <w:lang w:eastAsia="ja-JP"/>
        </w:rPr>
        <w:t>or</w:t>
      </w:r>
      <w:r w:rsidR="002A03D6">
        <w:rPr>
          <w:lang w:eastAsia="ja-JP"/>
        </w:rPr>
        <w:t xml:space="preserve"> light cleaning, but the copper accumulated in this biofilm would be in a non-toxic complexed form</w:t>
      </w:r>
      <w:r w:rsidR="00760EA3">
        <w:rPr>
          <w:lang w:eastAsia="ja-JP"/>
        </w:rPr>
        <w:t>.</w:t>
      </w:r>
    </w:p>
    <w:p w14:paraId="0193FD10" w14:textId="77777777" w:rsidR="00810E15" w:rsidRDefault="00F56B54" w:rsidP="00810E15">
      <w:pPr>
        <w:rPr>
          <w:lang w:eastAsia="ja-JP"/>
        </w:rPr>
      </w:pPr>
      <w:r>
        <w:rPr>
          <w:lang w:eastAsia="ja-JP"/>
        </w:rPr>
        <w:t>Published information on the levels of biocide in biofilms, or information that infers biocide levels</w:t>
      </w:r>
      <w:r w:rsidR="002F1423">
        <w:rPr>
          <w:lang w:eastAsia="ja-JP"/>
        </w:rPr>
        <w:t>,</w:t>
      </w:r>
      <w:r>
        <w:rPr>
          <w:lang w:eastAsia="ja-JP"/>
        </w:rPr>
        <w:t xml:space="preserve"> is scant</w:t>
      </w:r>
      <w:r w:rsidR="00125575">
        <w:rPr>
          <w:lang w:eastAsia="ja-JP"/>
        </w:rPr>
        <w:t xml:space="preserve"> (</w:t>
      </w:r>
      <w:r w:rsidR="001772A2">
        <w:rPr>
          <w:lang w:eastAsia="ja-JP"/>
        </w:rPr>
        <w:t xml:space="preserve">Morrisey et al. </w:t>
      </w:r>
      <w:r w:rsidR="002026CA">
        <w:rPr>
          <w:lang w:eastAsia="ja-JP"/>
        </w:rPr>
        <w:t>2013</w:t>
      </w:r>
      <w:r w:rsidR="00125575">
        <w:rPr>
          <w:lang w:eastAsia="ja-JP"/>
        </w:rPr>
        <w:t>)</w:t>
      </w:r>
      <w:r w:rsidR="00590598">
        <w:rPr>
          <w:lang w:eastAsia="ja-JP"/>
        </w:rPr>
        <w:t>. For cuprous oxide, available information</w:t>
      </w:r>
      <w:r>
        <w:rPr>
          <w:lang w:eastAsia="ja-JP"/>
        </w:rPr>
        <w:t xml:space="preserve"> did enable an estimation for use in modelling environmental discharges from in-water cleaning (Morrisey et al. 2013).</w:t>
      </w:r>
      <w:r w:rsidR="00827747">
        <w:rPr>
          <w:lang w:eastAsia="ja-JP"/>
        </w:rPr>
        <w:t xml:space="preserve"> </w:t>
      </w:r>
      <w:r w:rsidR="002F1423">
        <w:rPr>
          <w:lang w:eastAsia="ja-JP"/>
        </w:rPr>
        <w:t xml:space="preserve">For this modelling, the estimate of copper concentration in the biofilm was 2.5 </w:t>
      </w:r>
      <w:r w:rsidR="002F1423">
        <w:rPr>
          <w:rFonts w:ascii="Calibri" w:hAnsi="Calibri" w:cs="Calibri"/>
          <w:lang w:eastAsia="ja-JP"/>
        </w:rPr>
        <w:t>μ</w:t>
      </w:r>
      <w:r w:rsidR="002F1423">
        <w:rPr>
          <w:lang w:eastAsia="ja-JP"/>
        </w:rPr>
        <w:t>g Cu/cm</w:t>
      </w:r>
      <w:r w:rsidR="002F1423">
        <w:rPr>
          <w:vertAlign w:val="superscript"/>
          <w:lang w:eastAsia="ja-JP"/>
        </w:rPr>
        <w:t>3</w:t>
      </w:r>
      <w:r w:rsidR="002F1423">
        <w:rPr>
          <w:lang w:eastAsia="ja-JP"/>
        </w:rPr>
        <w:t xml:space="preserve">, and the copper removed with slime between 25 and 100 </w:t>
      </w:r>
      <w:r w:rsidR="002F1423">
        <w:rPr>
          <w:rFonts w:ascii="Calibri" w:hAnsi="Calibri" w:cs="Calibri"/>
          <w:lang w:eastAsia="ja-JP"/>
        </w:rPr>
        <w:t>μ</w:t>
      </w:r>
      <w:r w:rsidR="002F1423">
        <w:rPr>
          <w:lang w:eastAsia="ja-JP"/>
        </w:rPr>
        <w:t>g/cm</w:t>
      </w:r>
      <w:r w:rsidR="002F1423">
        <w:rPr>
          <w:vertAlign w:val="superscript"/>
          <w:lang w:eastAsia="ja-JP"/>
        </w:rPr>
        <w:t>2</w:t>
      </w:r>
      <w:r w:rsidR="002F1423">
        <w:rPr>
          <w:lang w:eastAsia="ja-JP"/>
        </w:rPr>
        <w:t>/event.</w:t>
      </w:r>
      <w:r w:rsidR="00827747">
        <w:rPr>
          <w:lang w:eastAsia="ja-JP"/>
        </w:rPr>
        <w:t xml:space="preserve"> </w:t>
      </w:r>
      <w:r>
        <w:rPr>
          <w:lang w:eastAsia="ja-JP"/>
        </w:rPr>
        <w:t>The copper content of the biofilm since measured on one vessel as part of an in-water cleaning trial in 2015</w:t>
      </w:r>
      <w:r w:rsidR="003C1D09">
        <w:rPr>
          <w:lang w:eastAsia="ja-JP"/>
        </w:rPr>
        <w:t xml:space="preserve"> was [0.02-] 0.18 [-1.5]</w:t>
      </w:r>
      <w:r w:rsidR="003C1D09" w:rsidRPr="003C1D09">
        <w:rPr>
          <w:rFonts w:ascii="Calibri" w:hAnsi="Calibri" w:cs="Calibri"/>
          <w:lang w:eastAsia="ja-JP"/>
        </w:rPr>
        <w:t xml:space="preserve"> </w:t>
      </w:r>
      <w:r w:rsidR="003C1D09">
        <w:rPr>
          <w:rFonts w:ascii="Calibri" w:hAnsi="Calibri" w:cs="Calibri"/>
          <w:lang w:eastAsia="ja-JP"/>
        </w:rPr>
        <w:t>μ</w:t>
      </w:r>
      <w:r w:rsidR="003C1D09">
        <w:rPr>
          <w:lang w:eastAsia="ja-JP"/>
        </w:rPr>
        <w:t>g/cm</w:t>
      </w:r>
      <w:r w:rsidR="003C1D09">
        <w:rPr>
          <w:vertAlign w:val="superscript"/>
          <w:lang w:eastAsia="ja-JP"/>
        </w:rPr>
        <w:t>2</w:t>
      </w:r>
      <w:r w:rsidR="003C1D09">
        <w:rPr>
          <w:lang w:eastAsia="ja-JP"/>
        </w:rPr>
        <w:t xml:space="preserve">, which is much lower than the estimates used in the Morrisey </w:t>
      </w:r>
      <w:r w:rsidR="00CF657F">
        <w:rPr>
          <w:lang w:eastAsia="ja-JP"/>
        </w:rPr>
        <w:t xml:space="preserve">et al. </w:t>
      </w:r>
      <w:r w:rsidR="003C1D09">
        <w:rPr>
          <w:lang w:eastAsia="ja-JP"/>
        </w:rPr>
        <w:t>modelling</w:t>
      </w:r>
      <w:r w:rsidR="00827747">
        <w:rPr>
          <w:lang w:eastAsia="ja-JP"/>
        </w:rPr>
        <w:t xml:space="preserve"> </w:t>
      </w:r>
      <w:r>
        <w:rPr>
          <w:lang w:eastAsia="ja-JP"/>
        </w:rPr>
        <w:t xml:space="preserve"> (</w:t>
      </w:r>
      <w:r w:rsidR="00590598">
        <w:rPr>
          <w:lang w:eastAsia="ja-JP"/>
        </w:rPr>
        <w:t>GRD Franmarine Holdings Ltd, unpublished data</w:t>
      </w:r>
      <w:r>
        <w:rPr>
          <w:lang w:eastAsia="ja-JP"/>
        </w:rPr>
        <w:t>).</w:t>
      </w:r>
      <w:r w:rsidR="003C1D09">
        <w:rPr>
          <w:lang w:eastAsia="ja-JP"/>
        </w:rPr>
        <w:t xml:space="preserve"> The percentage of </w:t>
      </w:r>
      <w:r w:rsidR="00CF657F">
        <w:rPr>
          <w:lang w:eastAsia="ja-JP"/>
        </w:rPr>
        <w:t>copper in particulate form (i.e. non-toxic) in these biofilm samples was also high (~75-80%)</w:t>
      </w:r>
    </w:p>
    <w:p w14:paraId="256000F1" w14:textId="77777777" w:rsidR="00C317BD" w:rsidRPr="001F288E" w:rsidRDefault="00F56B54" w:rsidP="001F288E">
      <w:pPr>
        <w:pStyle w:val="Heading3"/>
      </w:pPr>
      <w:bookmarkStart w:id="34" w:name="_Toc50117660"/>
      <w:r w:rsidRPr="001F288E">
        <w:rPr>
          <w:b w:val="0"/>
          <w:bCs w:val="0"/>
        </w:rPr>
        <w:t xml:space="preserve">Primary and </w:t>
      </w:r>
      <w:r w:rsidR="00827747" w:rsidRPr="001F288E">
        <w:rPr>
          <w:b w:val="0"/>
          <w:bCs w:val="0"/>
        </w:rPr>
        <w:t>s</w:t>
      </w:r>
      <w:r w:rsidRPr="001F288E">
        <w:rPr>
          <w:b w:val="0"/>
          <w:bCs w:val="0"/>
        </w:rPr>
        <w:t xml:space="preserve">econdary </w:t>
      </w:r>
      <w:r w:rsidR="00827747" w:rsidRPr="001F288E">
        <w:rPr>
          <w:b w:val="0"/>
          <w:bCs w:val="0"/>
        </w:rPr>
        <w:t>f</w:t>
      </w:r>
      <w:r w:rsidRPr="001F288E">
        <w:rPr>
          <w:b w:val="0"/>
          <w:bCs w:val="0"/>
        </w:rPr>
        <w:t>ouling</w:t>
      </w:r>
      <w:bookmarkStart w:id="35" w:name="_Toc50117661"/>
      <w:bookmarkStart w:id="36" w:name="_Ref50122417"/>
      <w:bookmarkEnd w:id="34"/>
      <w:bookmarkEnd w:id="35"/>
    </w:p>
    <w:bookmarkEnd w:id="36"/>
    <w:p w14:paraId="6F10E4E2" w14:textId="77777777" w:rsidR="0095594E" w:rsidRDefault="00F56B54" w:rsidP="0095594E">
      <w:pPr>
        <w:rPr>
          <w:lang w:eastAsia="ja-JP"/>
        </w:rPr>
      </w:pPr>
      <w:r>
        <w:rPr>
          <w:lang w:eastAsia="ja-JP"/>
        </w:rPr>
        <w:t>In addition to a biofilm,  vessels may accumulate secondary fouling includes macroscopic sessile organisms, visible to the naked eye, that are attached directly to the substrate, or tertiary fouling which includes macroscopic sessile or mobile organisms growing on or in interstices between the secondary biofouling organisms.</w:t>
      </w:r>
    </w:p>
    <w:p w14:paraId="76299471" w14:textId="77777777" w:rsidR="00827747" w:rsidRDefault="00F56B54" w:rsidP="00C317BD">
      <w:pPr>
        <w:rPr>
          <w:lang w:eastAsia="ja-JP"/>
        </w:rPr>
      </w:pPr>
      <w:r>
        <w:rPr>
          <w:lang w:eastAsia="ja-JP"/>
        </w:rPr>
        <w:t>The literature does not provide any evidence of released biocide accumulating in secondary or tertiary biofouling. Biocide present in the biofilm is not accumulated by the micro</w:t>
      </w:r>
      <w:r w:rsidR="00CB47CE">
        <w:rPr>
          <w:lang w:eastAsia="ja-JP"/>
        </w:rPr>
        <w:t>o</w:t>
      </w:r>
      <w:r>
        <w:rPr>
          <w:lang w:eastAsia="ja-JP"/>
        </w:rPr>
        <w:t>rganisms, but by sequestration into the extracellular slime because of, in the case of copper, the complexation of the copper ions with the organic ligands in the slime</w:t>
      </w:r>
      <w:r w:rsidR="00146579">
        <w:rPr>
          <w:lang w:eastAsia="ja-JP"/>
        </w:rPr>
        <w:t xml:space="preserve"> (</w:t>
      </w:r>
      <w:r w:rsidR="00CB47CE">
        <w:rPr>
          <w:lang w:eastAsia="ja-JP"/>
        </w:rPr>
        <w:t>Brooks &amp; Waldock 2009a</w:t>
      </w:r>
      <w:r w:rsidR="00146579">
        <w:rPr>
          <w:lang w:eastAsia="ja-JP"/>
        </w:rPr>
        <w:t>)</w:t>
      </w:r>
      <w:r>
        <w:rPr>
          <w:lang w:eastAsia="ja-JP"/>
        </w:rPr>
        <w:t>.</w:t>
      </w:r>
      <w:r w:rsidR="0003362D">
        <w:rPr>
          <w:lang w:eastAsia="ja-JP"/>
        </w:rPr>
        <w:t xml:space="preserve"> Bound copper is not considered to be bioavailable (Thomas &amp; Brooks 2010).</w:t>
      </w:r>
    </w:p>
    <w:p w14:paraId="3430AFA8" w14:textId="77777777" w:rsidR="00412EA5" w:rsidRDefault="00F56B54" w:rsidP="00810E15">
      <w:pPr>
        <w:rPr>
          <w:lang w:eastAsia="ja-JP"/>
        </w:rPr>
      </w:pPr>
      <w:r>
        <w:rPr>
          <w:lang w:eastAsia="ja-JP"/>
        </w:rPr>
        <w:t>The uptake of copper and other trace metals by multicellular organism</w:t>
      </w:r>
      <w:r w:rsidR="00844FDB">
        <w:rPr>
          <w:lang w:eastAsia="ja-JP"/>
        </w:rPr>
        <w:t>s</w:t>
      </w:r>
      <w:r>
        <w:rPr>
          <w:lang w:eastAsia="ja-JP"/>
        </w:rPr>
        <w:t xml:space="preserve"> can be</w:t>
      </w:r>
      <w:r w:rsidR="00B6402C">
        <w:rPr>
          <w:lang w:eastAsia="ja-JP"/>
        </w:rPr>
        <w:t xml:space="preserve"> by absorption </w:t>
      </w:r>
      <w:r>
        <w:rPr>
          <w:lang w:eastAsia="ja-JP"/>
        </w:rPr>
        <w:t xml:space="preserve">from solution across a permeable body surface (e.g. the gills) or from food via the alimentary canal (Luoma &amp; Rainbow 2008). </w:t>
      </w:r>
      <w:r w:rsidR="00B6402C">
        <w:rPr>
          <w:lang w:eastAsia="ja-JP"/>
        </w:rPr>
        <w:t>Distinct from this is adsorption onto the surface of the organism. The adsorbed copper has no ecotoxicological role within the organism involved (Luoma &amp; Rainbow 2008).</w:t>
      </w:r>
      <w:r>
        <w:rPr>
          <w:lang w:eastAsia="ja-JP"/>
        </w:rPr>
        <w:t xml:space="preserve"> </w:t>
      </w:r>
      <w:r w:rsidR="00C317BD">
        <w:rPr>
          <w:lang w:eastAsia="ja-JP"/>
        </w:rPr>
        <w:t>Any bioaccumulation in second</w:t>
      </w:r>
      <w:r w:rsidR="00F3304E">
        <w:rPr>
          <w:lang w:eastAsia="ja-JP"/>
        </w:rPr>
        <w:t xml:space="preserve">ary/tertiary biofouling </w:t>
      </w:r>
      <w:r>
        <w:rPr>
          <w:lang w:eastAsia="ja-JP"/>
        </w:rPr>
        <w:t>c</w:t>
      </w:r>
      <w:r w:rsidR="00F3304E">
        <w:rPr>
          <w:lang w:eastAsia="ja-JP"/>
        </w:rPr>
        <w:t xml:space="preserve">ould </w:t>
      </w:r>
      <w:r>
        <w:rPr>
          <w:lang w:eastAsia="ja-JP"/>
        </w:rPr>
        <w:t>therefore be by absorption of dissolved copper across the gills, or via the gut fr</w:t>
      </w:r>
      <w:r w:rsidR="00C317BD">
        <w:rPr>
          <w:lang w:eastAsia="ja-JP"/>
        </w:rPr>
        <w:t>om contaminated food or particles filtered from the water column</w:t>
      </w:r>
      <w:r w:rsidR="00F3304E">
        <w:rPr>
          <w:lang w:eastAsia="ja-JP"/>
        </w:rPr>
        <w:t xml:space="preserve"> by organisms</w:t>
      </w:r>
      <w:r w:rsidR="00C317BD">
        <w:rPr>
          <w:lang w:eastAsia="ja-JP"/>
        </w:rPr>
        <w:t xml:space="preserve"> during filter feeding</w:t>
      </w:r>
      <w:r>
        <w:rPr>
          <w:lang w:eastAsia="ja-JP"/>
        </w:rPr>
        <w:t xml:space="preserve">. </w:t>
      </w:r>
      <w:r w:rsidR="004820DE">
        <w:rPr>
          <w:lang w:eastAsia="ja-JP"/>
        </w:rPr>
        <w:t>F</w:t>
      </w:r>
      <w:r>
        <w:rPr>
          <w:lang w:eastAsia="ja-JP"/>
        </w:rPr>
        <w:t xml:space="preserve">ree copper </w:t>
      </w:r>
      <w:r w:rsidR="0095594E">
        <w:rPr>
          <w:lang w:eastAsia="ja-JP"/>
        </w:rPr>
        <w:t xml:space="preserve">is </w:t>
      </w:r>
      <w:r>
        <w:rPr>
          <w:lang w:eastAsia="ja-JP"/>
        </w:rPr>
        <w:t>rapidly bound</w:t>
      </w:r>
      <w:r w:rsidR="00820EFF">
        <w:rPr>
          <w:lang w:eastAsia="ja-JP"/>
        </w:rPr>
        <w:t xml:space="preserve"> on release from the coating</w:t>
      </w:r>
      <w:r w:rsidR="0095594E">
        <w:rPr>
          <w:lang w:eastAsia="ja-JP"/>
        </w:rPr>
        <w:t xml:space="preserve">, </w:t>
      </w:r>
      <w:r w:rsidR="008E19E3">
        <w:rPr>
          <w:lang w:eastAsia="ja-JP"/>
        </w:rPr>
        <w:t>minimising the likelihood of</w:t>
      </w:r>
      <w:r w:rsidR="00820EFF">
        <w:rPr>
          <w:lang w:eastAsia="ja-JP"/>
        </w:rPr>
        <w:t xml:space="preserve"> </w:t>
      </w:r>
      <w:r w:rsidR="0095594E">
        <w:rPr>
          <w:lang w:eastAsia="ja-JP"/>
        </w:rPr>
        <w:t xml:space="preserve">bioaccumulation </w:t>
      </w:r>
      <w:r w:rsidR="00820EFF">
        <w:rPr>
          <w:lang w:eastAsia="ja-JP"/>
        </w:rPr>
        <w:t>in biofouling organisms</w:t>
      </w:r>
      <w:r w:rsidR="008E19E3">
        <w:rPr>
          <w:lang w:eastAsia="ja-JP"/>
        </w:rPr>
        <w:t xml:space="preserve"> from this source. In instances where copper is bioaccumulated in biofouling organisms, it</w:t>
      </w:r>
      <w:r w:rsidR="00820EFF">
        <w:rPr>
          <w:lang w:eastAsia="ja-JP"/>
        </w:rPr>
        <w:t xml:space="preserve"> is more likely</w:t>
      </w:r>
      <w:r w:rsidR="00C317BD">
        <w:rPr>
          <w:lang w:eastAsia="ja-JP"/>
        </w:rPr>
        <w:t xml:space="preserve"> a consequence of heightened environmental contamination, to which antifouling may contribute, but the route is indirect. </w:t>
      </w:r>
      <w:r w:rsidR="00820EFF">
        <w:rPr>
          <w:lang w:eastAsia="ja-JP"/>
        </w:rPr>
        <w:t xml:space="preserve">Bioaccumulation in </w:t>
      </w:r>
      <w:r w:rsidR="00820EFF">
        <w:rPr>
          <w:lang w:eastAsia="ja-JP"/>
        </w:rPr>
        <w:lastRenderedPageBreak/>
        <w:t>biofouling organisms attached to a hull would be presumed to have lower levels of contamination than those growing on fixed structures within a contaminated port or harbour</w:t>
      </w:r>
      <w:r w:rsidR="00583298">
        <w:rPr>
          <w:lang w:eastAsia="ja-JP"/>
        </w:rPr>
        <w:t>,</w:t>
      </w:r>
      <w:r w:rsidR="00820EFF">
        <w:rPr>
          <w:lang w:eastAsia="ja-JP"/>
        </w:rPr>
        <w:t xml:space="preserve"> due to the shorter or inte</w:t>
      </w:r>
      <w:r w:rsidR="00583298">
        <w:rPr>
          <w:lang w:eastAsia="ja-JP"/>
        </w:rPr>
        <w:t>rmittent exposure time of the former.</w:t>
      </w:r>
    </w:p>
    <w:p w14:paraId="4ACF9C91" w14:textId="532BAC3A" w:rsidR="00387668" w:rsidRPr="00907AA0" w:rsidRDefault="00F56B54" w:rsidP="00810E15">
      <w:pPr>
        <w:rPr>
          <w:lang w:eastAsia="ja-JP"/>
        </w:rPr>
      </w:pPr>
      <w:r>
        <w:rPr>
          <w:lang w:eastAsia="ja-JP"/>
        </w:rPr>
        <w:t>If secondary or tertiary fouling is present on a surface, then it can be inferred that release of the biocide</w:t>
      </w:r>
      <w:r w:rsidR="00583298">
        <w:rPr>
          <w:lang w:eastAsia="ja-JP"/>
        </w:rPr>
        <w:t xml:space="preserve"> from the hull coating </w:t>
      </w:r>
      <w:r>
        <w:rPr>
          <w:lang w:eastAsia="ja-JP"/>
        </w:rPr>
        <w:t>is of an insufficient level</w:t>
      </w:r>
      <w:r w:rsidR="00583298">
        <w:rPr>
          <w:lang w:eastAsia="ja-JP"/>
        </w:rPr>
        <w:t xml:space="preserve"> to prevent biofouling attachment and further reduce any risk of </w:t>
      </w:r>
      <w:r>
        <w:rPr>
          <w:lang w:eastAsia="ja-JP"/>
        </w:rPr>
        <w:t>significant accumulation within an organism. For th</w:t>
      </w:r>
      <w:r w:rsidR="00583298">
        <w:rPr>
          <w:lang w:eastAsia="ja-JP"/>
        </w:rPr>
        <w:t>ese</w:t>
      </w:r>
      <w:r>
        <w:rPr>
          <w:lang w:eastAsia="ja-JP"/>
        </w:rPr>
        <w:t xml:space="preserve"> reason</w:t>
      </w:r>
      <w:r w:rsidR="00583298">
        <w:rPr>
          <w:lang w:eastAsia="ja-JP"/>
        </w:rPr>
        <w:t>s</w:t>
      </w:r>
      <w:r>
        <w:rPr>
          <w:lang w:eastAsia="ja-JP"/>
        </w:rPr>
        <w:t xml:space="preserve">, </w:t>
      </w:r>
      <w:r w:rsidR="00583298">
        <w:rPr>
          <w:lang w:eastAsia="ja-JP"/>
        </w:rPr>
        <w:t xml:space="preserve">and </w:t>
      </w:r>
      <w:r w:rsidR="00844FDB">
        <w:rPr>
          <w:lang w:eastAsia="ja-JP"/>
        </w:rPr>
        <w:t>because any</w:t>
      </w:r>
      <w:r w:rsidR="00583298">
        <w:rPr>
          <w:lang w:eastAsia="ja-JP"/>
        </w:rPr>
        <w:t xml:space="preserve"> copper absorbed by an organism would be chemically bound in a non-toxic form (Luoma &amp; Rainbow 2008), </w:t>
      </w:r>
      <w:r>
        <w:rPr>
          <w:lang w:eastAsia="ja-JP"/>
        </w:rPr>
        <w:t xml:space="preserve">secondary and tertiary biofouling removed during IWC </w:t>
      </w:r>
      <w:r w:rsidR="00590598">
        <w:rPr>
          <w:lang w:eastAsia="ja-JP"/>
        </w:rPr>
        <w:t xml:space="preserve">is </w:t>
      </w:r>
      <w:r w:rsidR="00583298">
        <w:rPr>
          <w:lang w:eastAsia="ja-JP"/>
        </w:rPr>
        <w:t xml:space="preserve">not </w:t>
      </w:r>
      <w:r w:rsidR="00590598">
        <w:rPr>
          <w:lang w:eastAsia="ja-JP"/>
        </w:rPr>
        <w:t xml:space="preserve">considered </w:t>
      </w:r>
      <w:r>
        <w:rPr>
          <w:lang w:eastAsia="ja-JP"/>
        </w:rPr>
        <w:t xml:space="preserve">to pose any </w:t>
      </w:r>
      <w:r w:rsidR="005D1970" w:rsidRPr="00621D86">
        <w:rPr>
          <w:lang w:eastAsia="ja-JP"/>
        </w:rPr>
        <w:t>measurable</w:t>
      </w:r>
      <w:r w:rsidR="00B27E0A" w:rsidRPr="00B27E0A">
        <w:rPr>
          <w:lang w:eastAsia="ja-JP"/>
        </w:rPr>
        <w:t xml:space="preserve"> </w:t>
      </w:r>
      <w:r w:rsidRPr="00B27E0A">
        <w:rPr>
          <w:lang w:eastAsia="ja-JP"/>
        </w:rPr>
        <w:t>chemical</w:t>
      </w:r>
      <w:r>
        <w:rPr>
          <w:lang w:eastAsia="ja-JP"/>
        </w:rPr>
        <w:t xml:space="preserve"> contamination risk.</w:t>
      </w:r>
    </w:p>
    <w:p w14:paraId="19B64D08" w14:textId="77777777" w:rsidR="00D74B1C" w:rsidRDefault="00F56B54" w:rsidP="00D74B1C">
      <w:pPr>
        <w:pStyle w:val="Heading3"/>
        <w:rPr>
          <w:lang w:eastAsia="ja-JP"/>
        </w:rPr>
      </w:pPr>
      <w:bookmarkStart w:id="37" w:name="_Toc50117662"/>
      <w:r>
        <w:rPr>
          <w:lang w:eastAsia="ja-JP"/>
        </w:rPr>
        <w:t xml:space="preserve">Leached </w:t>
      </w:r>
      <w:r w:rsidR="00827747">
        <w:rPr>
          <w:lang w:eastAsia="ja-JP"/>
        </w:rPr>
        <w:t>l</w:t>
      </w:r>
      <w:r>
        <w:rPr>
          <w:lang w:eastAsia="ja-JP"/>
        </w:rPr>
        <w:t>ayer</w:t>
      </w:r>
      <w:bookmarkEnd w:id="37"/>
    </w:p>
    <w:p w14:paraId="01B5E408" w14:textId="77777777" w:rsidR="00827747" w:rsidRDefault="00F56B54" w:rsidP="00907AA0">
      <w:pPr>
        <w:rPr>
          <w:lang w:eastAsia="ja-JP"/>
        </w:rPr>
      </w:pPr>
      <w:r>
        <w:rPr>
          <w:lang w:eastAsia="ja-JP"/>
        </w:rPr>
        <w:t>The leached layer is likely to be a</w:t>
      </w:r>
      <w:r w:rsidR="004A7FA0">
        <w:rPr>
          <w:lang w:eastAsia="ja-JP"/>
        </w:rPr>
        <w:t xml:space="preserve"> physically</w:t>
      </w:r>
      <w:r>
        <w:rPr>
          <w:lang w:eastAsia="ja-JP"/>
        </w:rPr>
        <w:t xml:space="preserve"> unstable layer, due to the dissolution of biocide and other more soluble paint constituents</w:t>
      </w:r>
      <w:r w:rsidR="004A7FA0">
        <w:rPr>
          <w:lang w:eastAsia="ja-JP"/>
        </w:rPr>
        <w:t>,</w:t>
      </w:r>
      <w:r>
        <w:rPr>
          <w:lang w:eastAsia="ja-JP"/>
        </w:rPr>
        <w:t xml:space="preserve"> so would be removed by moderate cleaning pressure. When in dry-dock, surface preparation of existing coatings prior to recoating requires high pressure (~1500 psi) water washing to remove the dried slime and leached layer to ensure adhesion of the new paint</w:t>
      </w:r>
      <w:r w:rsidR="007B75FE">
        <w:rPr>
          <w:lang w:eastAsia="ja-JP"/>
        </w:rPr>
        <w:t xml:space="preserve"> (</w:t>
      </w:r>
      <w:r w:rsidR="00936442">
        <w:rPr>
          <w:lang w:eastAsia="ja-JP"/>
        </w:rPr>
        <w:t>ABS 2007)</w:t>
      </w:r>
      <w:r>
        <w:rPr>
          <w:lang w:eastAsia="ja-JP"/>
        </w:rPr>
        <w:t>. The leached layer is likely to be softer when hydrated before aerial exposure, but removal in-water may still require more than a light wipe, particularly if insoluble copper precip</w:t>
      </w:r>
      <w:r w:rsidR="00655181">
        <w:rPr>
          <w:lang w:eastAsia="ja-JP"/>
        </w:rPr>
        <w:t>ita</w:t>
      </w:r>
      <w:r>
        <w:rPr>
          <w:lang w:eastAsia="ja-JP"/>
        </w:rPr>
        <w:t xml:space="preserve">tes have formed. </w:t>
      </w:r>
      <w:r w:rsidR="00B85199">
        <w:rPr>
          <w:lang w:eastAsia="ja-JP"/>
        </w:rPr>
        <w:t xml:space="preserve">However, removal of the biofilm and leached layer is important to rejuvenate a coating and </w:t>
      </w:r>
      <w:r w:rsidR="00655181">
        <w:rPr>
          <w:lang w:eastAsia="ja-JP"/>
        </w:rPr>
        <w:t>re-establish</w:t>
      </w:r>
      <w:r w:rsidR="00B85199">
        <w:rPr>
          <w:lang w:eastAsia="ja-JP"/>
        </w:rPr>
        <w:t xml:space="preserve"> optimal biocide release rates.</w:t>
      </w:r>
    </w:p>
    <w:p w14:paraId="39F9BC42" w14:textId="77777777" w:rsidR="008302AA" w:rsidRPr="00907AA0" w:rsidRDefault="00F56B54" w:rsidP="00907AA0">
      <w:pPr>
        <w:rPr>
          <w:lang w:eastAsia="ja-JP"/>
        </w:rPr>
      </w:pPr>
      <w:r>
        <w:rPr>
          <w:lang w:eastAsia="ja-JP"/>
        </w:rPr>
        <w:t>The only known published information on the concentration of biocides in the leached layer is that inferred in Morrisey et al. (2013) from SEM/EDX</w:t>
      </w:r>
      <w:r w:rsidR="00F325AE">
        <w:rPr>
          <w:lang w:eastAsia="ja-JP"/>
        </w:rPr>
        <w:t xml:space="preserve"> traces through antifouling paint flakes </w:t>
      </w:r>
      <w:r w:rsidR="00C07B41">
        <w:rPr>
          <w:lang w:eastAsia="ja-JP"/>
        </w:rPr>
        <w:t>and from measurements of copper content in vessel wash down</w:t>
      </w:r>
      <w:r w:rsidR="004A7FA0">
        <w:rPr>
          <w:lang w:eastAsia="ja-JP"/>
        </w:rPr>
        <w:t xml:space="preserve"> water</w:t>
      </w:r>
      <w:r w:rsidR="00C07B41">
        <w:rPr>
          <w:lang w:eastAsia="ja-JP"/>
        </w:rPr>
        <w:t>.</w:t>
      </w:r>
      <w:r w:rsidR="00CF657F">
        <w:rPr>
          <w:lang w:eastAsia="ja-JP"/>
        </w:rPr>
        <w:t xml:space="preserve"> Values of 2.4 – 24 </w:t>
      </w:r>
      <w:r w:rsidR="00CF657F">
        <w:rPr>
          <w:rFonts w:ascii="Calibri" w:hAnsi="Calibri" w:cs="Calibri"/>
          <w:lang w:eastAsia="ja-JP"/>
        </w:rPr>
        <w:t>μ</w:t>
      </w:r>
      <w:r w:rsidR="00CF657F">
        <w:rPr>
          <w:lang w:eastAsia="ja-JP"/>
        </w:rPr>
        <w:t>g Cu/cm</w:t>
      </w:r>
      <w:r w:rsidR="00CF657F">
        <w:rPr>
          <w:vertAlign w:val="superscript"/>
          <w:lang w:eastAsia="ja-JP"/>
        </w:rPr>
        <w:t xml:space="preserve">2 </w:t>
      </w:r>
      <w:r w:rsidR="00CF657F">
        <w:rPr>
          <w:lang w:eastAsia="ja-JP"/>
        </w:rPr>
        <w:t>were applied in the Morrisey et al. modelling.</w:t>
      </w:r>
      <w:r w:rsidR="00827747">
        <w:rPr>
          <w:lang w:eastAsia="ja-JP"/>
        </w:rPr>
        <w:t xml:space="preserve"> </w:t>
      </w:r>
      <w:r w:rsidR="00810E15">
        <w:rPr>
          <w:lang w:eastAsia="ja-JP"/>
        </w:rPr>
        <w:t>Along with the biofilm, a</w:t>
      </w:r>
      <w:r w:rsidR="00C07B41">
        <w:rPr>
          <w:lang w:eastAsia="ja-JP"/>
        </w:rPr>
        <w:t xml:space="preserve">ctual measurement of the copper content of </w:t>
      </w:r>
      <w:r w:rsidR="00810E15">
        <w:rPr>
          <w:lang w:eastAsia="ja-JP"/>
        </w:rPr>
        <w:t xml:space="preserve">the </w:t>
      </w:r>
      <w:r w:rsidR="00C07B41">
        <w:rPr>
          <w:lang w:eastAsia="ja-JP"/>
        </w:rPr>
        <w:t xml:space="preserve">leached layer was undertaken as part of </w:t>
      </w:r>
      <w:r w:rsidR="00810E15">
        <w:rPr>
          <w:lang w:eastAsia="ja-JP"/>
        </w:rPr>
        <w:t xml:space="preserve">the </w:t>
      </w:r>
      <w:r w:rsidR="00C07B41">
        <w:rPr>
          <w:lang w:eastAsia="ja-JP"/>
        </w:rPr>
        <w:t>in-water cleaning trial in 2015 (</w:t>
      </w:r>
      <w:r w:rsidR="00A75481">
        <w:rPr>
          <w:lang w:eastAsia="ja-JP"/>
        </w:rPr>
        <w:t>GRD Franmarine Holdings Ltd, unpublished data</w:t>
      </w:r>
      <w:r w:rsidR="00C07B41">
        <w:rPr>
          <w:lang w:eastAsia="ja-JP"/>
        </w:rPr>
        <w:t>).</w:t>
      </w:r>
      <w:r w:rsidR="00CF657F">
        <w:rPr>
          <w:lang w:eastAsia="ja-JP"/>
        </w:rPr>
        <w:t xml:space="preserve"> </w:t>
      </w:r>
      <w:r w:rsidR="00874438">
        <w:rPr>
          <w:lang w:eastAsia="ja-JP"/>
        </w:rPr>
        <w:t xml:space="preserve">The measured concentration range was [0.02-] 1.02 [-8.7] </w:t>
      </w:r>
      <w:r w:rsidR="00874438">
        <w:rPr>
          <w:rFonts w:ascii="Calibri" w:hAnsi="Calibri" w:cs="Calibri"/>
          <w:lang w:eastAsia="ja-JP"/>
        </w:rPr>
        <w:t>μ</w:t>
      </w:r>
      <w:r w:rsidR="00874438">
        <w:rPr>
          <w:lang w:eastAsia="ja-JP"/>
        </w:rPr>
        <w:t>g Cu/cm</w:t>
      </w:r>
      <w:r w:rsidR="00874438">
        <w:rPr>
          <w:vertAlign w:val="superscript"/>
          <w:lang w:eastAsia="ja-JP"/>
        </w:rPr>
        <w:t>2</w:t>
      </w:r>
      <w:r w:rsidR="00874438">
        <w:rPr>
          <w:lang w:eastAsia="ja-JP"/>
        </w:rPr>
        <w:t>, very much at the lower end of the range applied by Morrisey et al. The percentage of particulate copper was higher than for the biofilm: ~85-95%.</w:t>
      </w:r>
    </w:p>
    <w:p w14:paraId="3CB7F00B" w14:textId="77777777" w:rsidR="00D74B1C" w:rsidRDefault="00F56B54" w:rsidP="00D74B1C">
      <w:pPr>
        <w:pStyle w:val="Heading3"/>
      </w:pPr>
      <w:bookmarkStart w:id="38" w:name="_Toc50117663"/>
      <w:r>
        <w:t xml:space="preserve">Sound </w:t>
      </w:r>
      <w:r w:rsidR="0031761D">
        <w:t>p</w:t>
      </w:r>
      <w:r>
        <w:t>aint</w:t>
      </w:r>
      <w:bookmarkEnd w:id="38"/>
    </w:p>
    <w:p w14:paraId="7780AC16" w14:textId="77777777" w:rsidR="00B85199" w:rsidRDefault="00F56B54" w:rsidP="00B85199">
      <w:r>
        <w:t>The sound paint below the leached layer contains the highest concentrations of biocide, equivalent to that in the dried paint film when applied. Aggressive cleaning, for example using steel bristled brushes, can cut into and remove sound paint.</w:t>
      </w:r>
    </w:p>
    <w:p w14:paraId="1E56BCE2" w14:textId="77777777" w:rsidR="00B85199" w:rsidRPr="00B85199" w:rsidRDefault="00F56B54" w:rsidP="00B85199">
      <w:r>
        <w:t>The concentration of biocide in sound paint can be calculated from the per cent volume of the biocide in the wet paint, and parameters such as the per cent solids in the wet paint, the dry film/wet film thickness ratio, the specific gravity of the wet paint, and the weight fraction of active ingredient</w:t>
      </w:r>
      <w:r w:rsidR="004A7FA0">
        <w:t xml:space="preserve"> </w:t>
      </w:r>
      <w:r w:rsidR="008302AA">
        <w:t>in the biocide</w:t>
      </w:r>
      <w:r w:rsidR="00923784">
        <w:t xml:space="preserve"> (</w:t>
      </w:r>
      <w:r w:rsidR="00052A0F">
        <w:t>Finnie 2006)</w:t>
      </w:r>
      <w:r w:rsidR="008302AA">
        <w:t xml:space="preserve">. For antifouling products approved for use in Australia, the biocide content is publicly available </w:t>
      </w:r>
      <w:r w:rsidR="002F6295">
        <w:t>via the</w:t>
      </w:r>
      <w:r w:rsidR="008302AA">
        <w:t xml:space="preserve"> </w:t>
      </w:r>
      <w:r w:rsidR="002F6295">
        <w:t xml:space="preserve">APVMA </w:t>
      </w:r>
      <w:r w:rsidR="002F6295" w:rsidRPr="002F6295">
        <w:t>Public Chemical Registration Information System</w:t>
      </w:r>
      <w:r w:rsidR="008302AA">
        <w:t>. The other parameters needed for the calculation are usually provided on the technical or product data sheet for the product.</w:t>
      </w:r>
    </w:p>
    <w:p w14:paraId="0098EB5E" w14:textId="77777777" w:rsidR="00D74B1C" w:rsidRDefault="00F56B54" w:rsidP="00D74B1C">
      <w:pPr>
        <w:pStyle w:val="Heading3"/>
      </w:pPr>
      <w:bookmarkStart w:id="39" w:name="_Toc50117664"/>
      <w:r>
        <w:t xml:space="preserve">Paint </w:t>
      </w:r>
      <w:r w:rsidR="0031761D">
        <w:t>f</w:t>
      </w:r>
      <w:r>
        <w:t>lakes</w:t>
      </w:r>
      <w:bookmarkEnd w:id="39"/>
    </w:p>
    <w:p w14:paraId="058A30A5" w14:textId="77777777" w:rsidR="00827747" w:rsidRDefault="00F56B54" w:rsidP="007D21FB">
      <w:r>
        <w:t>The biocide content of a paint flake is dependent on the surface area of the paint flake and the number</w:t>
      </w:r>
      <w:r w:rsidR="00D46695">
        <w:t>,</w:t>
      </w:r>
      <w:r>
        <w:t xml:space="preserve"> </w:t>
      </w:r>
      <w:proofErr w:type="gramStart"/>
      <w:r>
        <w:t>composition</w:t>
      </w:r>
      <w:proofErr w:type="gramEnd"/>
      <w:r w:rsidR="00D46695">
        <w:t xml:space="preserve"> and thickness</w:t>
      </w:r>
      <w:r>
        <w:t xml:space="preserve"> of paint layers within the flake. When a flake is deposited in the environment, the release of biocide is only from exposed surfaces of the paint, so the top face </w:t>
      </w:r>
      <w:r>
        <w:lastRenderedPageBreak/>
        <w:t>of the flake, from around the edge</w:t>
      </w:r>
      <w:r w:rsidR="00847BFA">
        <w:t>, and from the lower face if disbondment has occurred at the antifouling/anticorrosive paint interface</w:t>
      </w:r>
      <w:r>
        <w:t>. The flake will</w:t>
      </w:r>
      <w:r w:rsidR="007D1BD6">
        <w:t xml:space="preserve"> </w:t>
      </w:r>
      <w:r>
        <w:t xml:space="preserve">persist in a calm environment and only degrade at the rate </w:t>
      </w:r>
      <w:r w:rsidR="004A7FA0">
        <w:t xml:space="preserve">that </w:t>
      </w:r>
      <w:r>
        <w:t xml:space="preserve">an equivalent </w:t>
      </w:r>
      <w:r w:rsidR="007D1BD6">
        <w:t>surface area</w:t>
      </w:r>
      <w:r>
        <w:t xml:space="preserve"> of paint would degrade while on a coated substrate</w:t>
      </w:r>
      <w:r w:rsidR="006D323E">
        <w:t xml:space="preserve"> (</w:t>
      </w:r>
      <w:r w:rsidR="00AD5A3C">
        <w:t>Takahashi et al. 2012)</w:t>
      </w:r>
      <w:r>
        <w:t xml:space="preserve">. </w:t>
      </w:r>
      <w:r w:rsidR="007D1BD6">
        <w:t>However, i</w:t>
      </w:r>
      <w:r>
        <w:t>f the flake is in a turbulent environment, particularly one with mobile sand, gravel or other abrasive material, the flake is likely to be physically broken down and the total biocide content of the flake released into the environment</w:t>
      </w:r>
      <w:r w:rsidR="006D323E">
        <w:t xml:space="preserve"> (</w:t>
      </w:r>
      <w:r w:rsidR="00AD5A3C">
        <w:t>Turner 2010</w:t>
      </w:r>
      <w:r w:rsidR="006D323E">
        <w:t>)</w:t>
      </w:r>
      <w:r>
        <w:t>.</w:t>
      </w:r>
    </w:p>
    <w:p w14:paraId="2178E5F6" w14:textId="77777777" w:rsidR="007D1BD6" w:rsidRDefault="00F56B54" w:rsidP="007D21FB">
      <w:r>
        <w:t>Dislodged paint flakes that fall to the sea floor to become incorporated into the sediment can directly contaminate the sediment as paint flakes or particles</w:t>
      </w:r>
      <w:r w:rsidR="004A7FA0">
        <w:t>,</w:t>
      </w:r>
      <w:r>
        <w:t xml:space="preserve"> and also through indirect contamination via </w:t>
      </w:r>
      <w:r w:rsidR="002F6DF2">
        <w:t xml:space="preserve">biocide </w:t>
      </w:r>
      <w:r>
        <w:t>dissolution and subsequent adsorption</w:t>
      </w:r>
      <w:r w:rsidR="006D323E">
        <w:t xml:space="preserve"> (</w:t>
      </w:r>
      <w:r w:rsidR="00AD5A3C">
        <w:t>Turner 2010</w:t>
      </w:r>
      <w:r w:rsidR="00DD5420">
        <w:t>, Soroldoni et al. 2020</w:t>
      </w:r>
      <w:r w:rsidR="006D323E">
        <w:t>)</w:t>
      </w:r>
      <w:r>
        <w:t>. Flakes deposited in the sediment, even if not broken down, can skew measurements in environmental monitoring or sediment toxicity assessment required by the National Assessment Guidelines for Dredging</w:t>
      </w:r>
      <w:r w:rsidR="004A7FA0">
        <w:t xml:space="preserve"> (CoA 2009)</w:t>
      </w:r>
      <w:r>
        <w:t xml:space="preserve">. </w:t>
      </w:r>
      <w:r w:rsidR="00EC4D62">
        <w:t>The recommended method for bulk sediment chemical analyses in these guidelines is for the sample to be ground to ensure homogeneity followed by, for the analysis of non-volatile metals, strong acid extraction.</w:t>
      </w:r>
      <w:r w:rsidR="00827747">
        <w:t xml:space="preserve"> </w:t>
      </w:r>
      <w:r w:rsidR="00EC4D62">
        <w:t xml:space="preserve">This </w:t>
      </w:r>
      <w:r w:rsidR="000F37C1">
        <w:t>would dissolve any paint flake and release all copper or other metals within the flake</w:t>
      </w:r>
      <w:r w:rsidR="00EC4D62">
        <w:t xml:space="preserve"> into the </w:t>
      </w:r>
      <w:r w:rsidR="00CD38C1">
        <w:t>test sample</w:t>
      </w:r>
      <w:r w:rsidR="000F37C1">
        <w:t>.</w:t>
      </w:r>
    </w:p>
    <w:p w14:paraId="361AE04C" w14:textId="77777777" w:rsidR="00EF381A" w:rsidRPr="009B6C24" w:rsidRDefault="00F56B54" w:rsidP="007D21FB">
      <w:r>
        <w:t>In-water cleaning is likely to dislodge loose or lifting paint</w:t>
      </w:r>
      <w:r w:rsidR="004A7FA0">
        <w:t>, or break blisters</w:t>
      </w:r>
      <w:r>
        <w:t xml:space="preserve"> on a degraded system but</w:t>
      </w:r>
      <w:r w:rsidR="000807C0">
        <w:t>,</w:t>
      </w:r>
      <w:r>
        <w:t xml:space="preserve"> </w:t>
      </w:r>
      <w:r w:rsidR="000807C0">
        <w:t xml:space="preserve">if the coating system is sound, </w:t>
      </w:r>
      <w:r>
        <w:t>should not cause damage that results in paint flakes.</w:t>
      </w:r>
    </w:p>
    <w:p w14:paraId="401B9A90" w14:textId="77777777" w:rsidR="00827747" w:rsidRDefault="00F56B54" w:rsidP="000807C0">
      <w:r>
        <w:t xml:space="preserve">Paint flakes generated during hull maintenance activities would be representative of the full coating system, so could include primer, anticorrosive, sealer and tie coats in addition to the antifouling paint. As the overall concentration of </w:t>
      </w:r>
      <w:r w:rsidR="002F6DF2">
        <w:t>biocide</w:t>
      </w:r>
      <w:r>
        <w:t xml:space="preserve"> in a paint flake is an average over all paint layers, the measured value would often be less than the concentration in the antifouling paint alone. For some other metals, including zinc and aluminium, the concentration may </w:t>
      </w:r>
      <w:proofErr w:type="gramStart"/>
      <w:r>
        <w:t>actually be</w:t>
      </w:r>
      <w:proofErr w:type="gramEnd"/>
      <w:r>
        <w:t xml:space="preserve"> elevated in a coating system sample because of the use of these metals in </w:t>
      </w:r>
      <w:r w:rsidR="004A7FA0">
        <w:t>an</w:t>
      </w:r>
      <w:r>
        <w:t>ticorrosi</w:t>
      </w:r>
      <w:r w:rsidR="004A7FA0">
        <w:t>ve</w:t>
      </w:r>
      <w:r>
        <w:t xml:space="preserve"> coatings.</w:t>
      </w:r>
    </w:p>
    <w:p w14:paraId="7E056B76" w14:textId="77777777" w:rsidR="00827747" w:rsidRDefault="00F56B54" w:rsidP="00D74B1C">
      <w:r>
        <w:t xml:space="preserve">No information </w:t>
      </w:r>
      <w:r w:rsidR="00847BFA">
        <w:t xml:space="preserve">was found by Morrisey et al. (2013) </w:t>
      </w:r>
      <w:r>
        <w:t>on the quantity of paint flakes likely to be dislodged during in-water cleaning</w:t>
      </w:r>
      <w:r w:rsidR="004A7FA0">
        <w:t xml:space="preserve">, </w:t>
      </w:r>
      <w:r w:rsidR="00847BFA">
        <w:t>but</w:t>
      </w:r>
      <w:r w:rsidR="00183E96">
        <w:t xml:space="preserve"> this was</w:t>
      </w:r>
      <w:r w:rsidR="00847BFA">
        <w:t xml:space="preserve"> considered likely to</w:t>
      </w:r>
      <w:r w:rsidR="004A7FA0">
        <w:t xml:space="preserve"> vary with the condition and integrity of the coating system</w:t>
      </w:r>
      <w:r>
        <w:t xml:space="preserve">. If the in-water cleaning is part of hull husbandry to remove slime and light macrofouling to improve hull efficiency, or to reactivate a paint coating by removing the leached layer, then the extent of paint breakdown and delamination </w:t>
      </w:r>
      <w:r w:rsidR="00847BFA">
        <w:t>was</w:t>
      </w:r>
      <w:r>
        <w:t xml:space="preserve"> expected to be low</w:t>
      </w:r>
      <w:r w:rsidR="006D323E">
        <w:t xml:space="preserve"> </w:t>
      </w:r>
      <w:r w:rsidR="00847BFA">
        <w:t>(Morrisey et al. 2013</w:t>
      </w:r>
      <w:r w:rsidR="006D323E">
        <w:t>)</w:t>
      </w:r>
      <w:r>
        <w:t>.</w:t>
      </w:r>
    </w:p>
    <w:p w14:paraId="30F89650" w14:textId="77777777" w:rsidR="00D74B1C" w:rsidRDefault="00F56B54" w:rsidP="00D74B1C">
      <w:r w:rsidRPr="00D64054">
        <w:t>If breakdown is extensive, there is also likely to be well developed biofouling, as the system would be at or close to its service life. In this latter situation slipping or dry-docking for antifouling renewal should be the recommended treatment, rather than in-water cleaning</w:t>
      </w:r>
      <w:r w:rsidR="006D323E">
        <w:t xml:space="preserve"> (D</w:t>
      </w:r>
      <w:r w:rsidR="00847BFA">
        <w:t>oE</w:t>
      </w:r>
      <w:r w:rsidR="006D323E">
        <w:t>/</w:t>
      </w:r>
      <w:r w:rsidR="00847BFA">
        <w:t>NZ</w:t>
      </w:r>
      <w:r w:rsidR="006D323E">
        <w:t>MPI 2015)</w:t>
      </w:r>
      <w:r>
        <w:t>.</w:t>
      </w:r>
    </w:p>
    <w:p w14:paraId="4BAB4C0F" w14:textId="77777777" w:rsidR="00916C16" w:rsidRDefault="00F56B54" w:rsidP="00D74B1C">
      <w:r>
        <w:t xml:space="preserve">If silicone fouling release coatings are recoated without suitable and thorough cleaning of the existing coating, the newly applied coating can delaminate. </w:t>
      </w:r>
      <w:r w:rsidR="00FE1608">
        <w:t xml:space="preserve">Although these coatings are biocide free, the coatings are elastomers which are pliable plastics. Flakes are therefore a form of plastic pollution and </w:t>
      </w:r>
      <w:r w:rsidR="0084594E">
        <w:t>release</w:t>
      </w:r>
      <w:r w:rsidR="00FE1608">
        <w:t xml:space="preserve"> into the marine environment should be avoided.</w:t>
      </w:r>
    </w:p>
    <w:p w14:paraId="0591C2DB" w14:textId="77777777" w:rsidR="00916C16" w:rsidRDefault="00F56B54" w:rsidP="00916C16">
      <w:pPr>
        <w:pStyle w:val="Heading3"/>
      </w:pPr>
      <w:r w:rsidRPr="00916C16">
        <w:t xml:space="preserve"> </w:t>
      </w:r>
      <w:bookmarkStart w:id="40" w:name="_Toc50117665"/>
      <w:r>
        <w:t xml:space="preserve">IWC </w:t>
      </w:r>
      <w:r w:rsidR="0031761D">
        <w:t>R</w:t>
      </w:r>
      <w:r>
        <w:t>ecommendations</w:t>
      </w:r>
      <w:bookmarkEnd w:id="40"/>
    </w:p>
    <w:p w14:paraId="43ECF226" w14:textId="77777777" w:rsidR="00916C16" w:rsidRDefault="00F56B54" w:rsidP="00916C16">
      <w:proofErr w:type="gramStart"/>
      <w:r>
        <w:t>In regard to</w:t>
      </w:r>
      <w:proofErr w:type="gramEnd"/>
      <w:r>
        <w:t xml:space="preserve"> source contamination, it is recommended that:</w:t>
      </w:r>
    </w:p>
    <w:p w14:paraId="7412642F" w14:textId="77777777" w:rsidR="00916C16" w:rsidRDefault="00F56B54" w:rsidP="00916C16">
      <w:r>
        <w:lastRenderedPageBreak/>
        <w:t>IWC should:</w:t>
      </w:r>
    </w:p>
    <w:p w14:paraId="009A4AC0" w14:textId="77777777" w:rsidR="00916C16" w:rsidRDefault="00F56B54" w:rsidP="001F288E">
      <w:pPr>
        <w:pStyle w:val="ListBullet"/>
      </w:pPr>
      <w:r>
        <w:t>capture and contain paint waste if the coating system is defective and paint flakes are likely to be removed during cleaning</w:t>
      </w:r>
    </w:p>
    <w:p w14:paraId="3A325BFA" w14:textId="77777777" w:rsidR="00916C16" w:rsidRDefault="00F56B54" w:rsidP="00916C16">
      <w:r>
        <w:t>IWC should not:</w:t>
      </w:r>
    </w:p>
    <w:p w14:paraId="38FF5073" w14:textId="77777777" w:rsidR="00916C16" w:rsidRDefault="00F56B54" w:rsidP="001F288E">
      <w:pPr>
        <w:pStyle w:val="ListBullet"/>
      </w:pPr>
      <w:r>
        <w:t>damage the coating</w:t>
      </w:r>
    </w:p>
    <w:p w14:paraId="35BE2DC9" w14:textId="77777777" w:rsidR="00916C16" w:rsidRDefault="00F56B54" w:rsidP="001F288E">
      <w:pPr>
        <w:pStyle w:val="ListBullet"/>
      </w:pPr>
      <w:r>
        <w:t>cut deeply in to sound paint below the leached layer</w:t>
      </w:r>
    </w:p>
    <w:p w14:paraId="5BEF41F9" w14:textId="77777777" w:rsidR="002D71F9" w:rsidRDefault="00F56B54" w:rsidP="001F288E">
      <w:pPr>
        <w:pStyle w:val="ListBullet"/>
      </w:pPr>
      <w:r>
        <w:t xml:space="preserve">be undertaken if there is extensive significant coating system breakdown with flaking or lifting of the paint. The vessel should, instead, be dry-docked for coating system repair, </w:t>
      </w:r>
      <w:proofErr w:type="gramStart"/>
      <w:r>
        <w:t>renewal</w:t>
      </w:r>
      <w:proofErr w:type="gramEnd"/>
      <w:r>
        <w:t xml:space="preserve"> or replacement.</w:t>
      </w:r>
    </w:p>
    <w:p w14:paraId="04C2D204" w14:textId="77777777" w:rsidR="00D74B1C" w:rsidRDefault="00F56B54" w:rsidP="00D74B1C">
      <w:pPr>
        <w:pStyle w:val="Heading2"/>
      </w:pPr>
      <w:bookmarkStart w:id="41" w:name="_Toc50117666"/>
      <w:r>
        <w:lastRenderedPageBreak/>
        <w:t xml:space="preserve">Cleaning </w:t>
      </w:r>
      <w:r w:rsidR="0031761D">
        <w:t>s</w:t>
      </w:r>
      <w:r>
        <w:t>cenarios</w:t>
      </w:r>
      <w:bookmarkEnd w:id="41"/>
    </w:p>
    <w:p w14:paraId="40FF8DCA" w14:textId="77777777" w:rsidR="00D74B1C" w:rsidRDefault="00F56B54" w:rsidP="00D74B1C">
      <w:pPr>
        <w:pStyle w:val="Heading3"/>
        <w:rPr>
          <w:lang w:eastAsia="ja-JP"/>
        </w:rPr>
      </w:pPr>
      <w:bookmarkStart w:id="42" w:name="_Toc50117667"/>
      <w:r>
        <w:rPr>
          <w:lang w:eastAsia="ja-JP"/>
        </w:rPr>
        <w:t xml:space="preserve">Grooming </w:t>
      </w:r>
      <w:r w:rsidR="00FC729B">
        <w:rPr>
          <w:lang w:eastAsia="ja-JP"/>
        </w:rPr>
        <w:t>&amp;</w:t>
      </w:r>
      <w:r>
        <w:rPr>
          <w:lang w:eastAsia="ja-JP"/>
        </w:rPr>
        <w:t xml:space="preserve"> </w:t>
      </w:r>
      <w:r w:rsidR="0031761D">
        <w:rPr>
          <w:lang w:eastAsia="ja-JP"/>
        </w:rPr>
        <w:t>c</w:t>
      </w:r>
      <w:r>
        <w:rPr>
          <w:lang w:eastAsia="ja-JP"/>
        </w:rPr>
        <w:t>leaning</w:t>
      </w:r>
      <w:bookmarkEnd w:id="42"/>
    </w:p>
    <w:p w14:paraId="26EF49EA" w14:textId="77777777" w:rsidR="00827747" w:rsidRDefault="00F56B54" w:rsidP="00DF21BB">
      <w:r>
        <w:t>Three types of IWC can be defined: hull grooming, proactive cleaning, and reactive cleaning.</w:t>
      </w:r>
    </w:p>
    <w:p w14:paraId="44F34D15" w14:textId="77777777" w:rsidR="00DF21BB" w:rsidRDefault="00F56B54" w:rsidP="00DF21BB">
      <w:r>
        <w:t>Hull grooming is regular cleaning to remove the biofilm, surface deposits, and friable surface from hull surfaces to reduce surface microroughness and viscous drag</w:t>
      </w:r>
      <w:r w:rsidR="00582E83">
        <w:t>.</w:t>
      </w:r>
      <w:r>
        <w:t xml:space="preserve"> The benefit of hull grooming is </w:t>
      </w:r>
      <w:r>
        <w:rPr>
          <w:lang w:eastAsia="ja-JP"/>
        </w:rPr>
        <w:t xml:space="preserve">improvement in ship performance and efficiency which reduces environmental impact by reducing drag, fuel consumption, greenhouse gas emissions and costs. </w:t>
      </w:r>
      <w:r w:rsidR="00D31EED">
        <w:rPr>
          <w:lang w:eastAsia="ja-JP"/>
        </w:rPr>
        <w:t>Regular grooming may also</w:t>
      </w:r>
      <w:r>
        <w:rPr>
          <w:lang w:eastAsia="ja-JP"/>
        </w:rPr>
        <w:t xml:space="preserve"> eliminate the need for high intensity hull cleaning methods</w:t>
      </w:r>
      <w:r w:rsidRPr="00C55011">
        <w:rPr>
          <w:lang w:eastAsia="ja-JP"/>
        </w:rPr>
        <w:t xml:space="preserve"> </w:t>
      </w:r>
      <w:r>
        <w:rPr>
          <w:lang w:eastAsia="ja-JP"/>
        </w:rPr>
        <w:t xml:space="preserve">and can increase coating longevity. </w:t>
      </w:r>
      <w:r>
        <w:t xml:space="preserve">Hull grooming is generally restricted to the planar surfaces of the hull that are prone to hydrodynamic drag. Propeller polishing can be considered </w:t>
      </w:r>
      <w:proofErr w:type="gramStart"/>
      <w:r>
        <w:t>similar to</w:t>
      </w:r>
      <w:proofErr w:type="gramEnd"/>
      <w:r>
        <w:t xml:space="preserve"> hull grooming, as it is undertaken to restore the propulsion efficiency of propellers.</w:t>
      </w:r>
    </w:p>
    <w:p w14:paraId="44E0E583" w14:textId="77777777" w:rsidR="00827747" w:rsidRDefault="00F56B54" w:rsidP="00DF21BB">
      <w:r>
        <w:t xml:space="preserve">Proactive IWC is the removal of early stages of biofouling to prevent the growth and maturation of macrofouling organisms, on both hull surfaces and on and within hull niches, </w:t>
      </w:r>
      <w:r w:rsidR="00D31EED">
        <w:t xml:space="preserve">which, </w:t>
      </w:r>
      <w:r>
        <w:t>if established, can significantly impact on vessel efficiency and facilitate marine species translocation. Reactive IWC is the removal of established macrofouling to restore hull efficiency or remove growth considered to pose a biosecurity risk.</w:t>
      </w:r>
    </w:p>
    <w:p w14:paraId="02D1A5FD" w14:textId="77777777" w:rsidR="00827747" w:rsidRDefault="00F56B54" w:rsidP="00DF21BB">
      <w:r>
        <w:t>Hull grooming and p</w:t>
      </w:r>
      <w:r w:rsidRPr="005A0666">
        <w:t xml:space="preserve">roactive </w:t>
      </w:r>
      <w:r>
        <w:t xml:space="preserve">IWC </w:t>
      </w:r>
      <w:r w:rsidR="00EB314F">
        <w:t>can be considered</w:t>
      </w:r>
      <w:r>
        <w:t xml:space="preserve"> similar in </w:t>
      </w:r>
      <w:r w:rsidR="00EB314F">
        <w:t xml:space="preserve">their approach, with a focus on </w:t>
      </w:r>
      <w:r>
        <w:t xml:space="preserve">removing </w:t>
      </w:r>
      <w:r w:rsidRPr="005A0666">
        <w:t>the surface biofilm</w:t>
      </w:r>
      <w:r>
        <w:t xml:space="preserve"> and, if present, the early, microscopic stages of newly settled macrofouling</w:t>
      </w:r>
      <w:r w:rsidRPr="005A0666">
        <w:t>, and some or all of the leached layer.</w:t>
      </w:r>
      <w:r>
        <w:t xml:space="preserve"> </w:t>
      </w:r>
      <w:r w:rsidRPr="005A0666">
        <w:t xml:space="preserve">Reactive </w:t>
      </w:r>
      <w:r>
        <w:t xml:space="preserve">IWC removes </w:t>
      </w:r>
      <w:r w:rsidRPr="005A0666">
        <w:t xml:space="preserve">hard </w:t>
      </w:r>
      <w:r>
        <w:t>and soft macro</w:t>
      </w:r>
      <w:r w:rsidRPr="005A0666">
        <w:t>fouling</w:t>
      </w:r>
      <w:r>
        <w:t xml:space="preserve">, together with underlying and spatially interspersed </w:t>
      </w:r>
      <w:r w:rsidRPr="005A0666">
        <w:t xml:space="preserve">biofilm, </w:t>
      </w:r>
      <w:r>
        <w:t xml:space="preserve">and friable </w:t>
      </w:r>
      <w:r w:rsidRPr="005A0666">
        <w:t>leached layer</w:t>
      </w:r>
      <w:r>
        <w:t xml:space="preserve">. If aggressive cleaning methods are used for proactive or reactive IWC, the outer surface of </w:t>
      </w:r>
      <w:r w:rsidRPr="005A0666">
        <w:t>sound paint</w:t>
      </w:r>
      <w:r>
        <w:t xml:space="preserve"> underlying the leached layer may be </w:t>
      </w:r>
      <w:r w:rsidR="00EB314F">
        <w:t xml:space="preserve">unintentionally </w:t>
      </w:r>
      <w:r>
        <w:t>removed</w:t>
      </w:r>
      <w:r w:rsidRPr="005A0666">
        <w:t>.</w:t>
      </w:r>
    </w:p>
    <w:p w14:paraId="3FD994C1" w14:textId="77777777" w:rsidR="00C1500C" w:rsidRDefault="00F56B54" w:rsidP="00862962">
      <w:pPr>
        <w:pStyle w:val="Heading4"/>
        <w:rPr>
          <w:lang w:eastAsia="ja-JP"/>
        </w:rPr>
      </w:pPr>
      <w:r>
        <w:rPr>
          <w:lang w:eastAsia="ja-JP"/>
        </w:rPr>
        <w:t xml:space="preserve">Hull </w:t>
      </w:r>
      <w:r w:rsidR="0031761D">
        <w:rPr>
          <w:lang w:eastAsia="ja-JP"/>
        </w:rPr>
        <w:t>g</w:t>
      </w:r>
      <w:r>
        <w:rPr>
          <w:lang w:eastAsia="ja-JP"/>
        </w:rPr>
        <w:t>rooming</w:t>
      </w:r>
    </w:p>
    <w:p w14:paraId="192C92A6" w14:textId="77777777" w:rsidR="00827747" w:rsidRDefault="00F56B54" w:rsidP="00C1500C">
      <w:pPr>
        <w:rPr>
          <w:lang w:eastAsia="ja-JP"/>
        </w:rPr>
      </w:pPr>
      <w:r>
        <w:rPr>
          <w:lang w:eastAsia="ja-JP"/>
        </w:rPr>
        <w:t>Hull grooming is a relatively new concept that aims</w:t>
      </w:r>
      <w:r w:rsidR="008B5FD1">
        <w:rPr>
          <w:lang w:eastAsia="ja-JP"/>
        </w:rPr>
        <w:t xml:space="preserve">, by regular, light cleaning to </w:t>
      </w:r>
      <w:r w:rsidR="00933E2C">
        <w:rPr>
          <w:lang w:eastAsia="ja-JP"/>
        </w:rPr>
        <w:t xml:space="preserve">proactively </w:t>
      </w:r>
      <w:r w:rsidR="0084594E">
        <w:rPr>
          <w:lang w:eastAsia="ja-JP"/>
        </w:rPr>
        <w:t>remove microbial biofouling and newly settled macrofouling</w:t>
      </w:r>
      <w:r w:rsidR="003F0473">
        <w:rPr>
          <w:lang w:eastAsia="ja-JP"/>
        </w:rPr>
        <w:t xml:space="preserve"> and therefore </w:t>
      </w:r>
      <w:r w:rsidR="008B5FD1">
        <w:rPr>
          <w:lang w:eastAsia="ja-JP"/>
        </w:rPr>
        <w:t xml:space="preserve">maintain coatings </w:t>
      </w:r>
      <w:r w:rsidR="0084594E">
        <w:rPr>
          <w:lang w:eastAsia="ja-JP"/>
        </w:rPr>
        <w:t xml:space="preserve">on the hull and laminar surfaces </w:t>
      </w:r>
      <w:r w:rsidR="008B5FD1">
        <w:rPr>
          <w:lang w:eastAsia="ja-JP"/>
        </w:rPr>
        <w:t>smooth and free of secondary biofouling (Tribou &amp; Swain 2010).</w:t>
      </w:r>
      <w:r w:rsidR="006B4A37">
        <w:rPr>
          <w:lang w:eastAsia="ja-JP"/>
        </w:rPr>
        <w:t xml:space="preserve"> </w:t>
      </w:r>
      <w:r w:rsidR="002049CA">
        <w:rPr>
          <w:lang w:eastAsia="ja-JP"/>
        </w:rPr>
        <w:t xml:space="preserve">The intent </w:t>
      </w:r>
      <w:r w:rsidR="00A558FC">
        <w:rPr>
          <w:lang w:eastAsia="ja-JP"/>
        </w:rPr>
        <w:t>of hull grooming is to</w:t>
      </w:r>
      <w:r w:rsidR="00535F40">
        <w:rPr>
          <w:lang w:eastAsia="ja-JP"/>
        </w:rPr>
        <w:t xml:space="preserve"> maintain a light biofilm layer to consequently </w:t>
      </w:r>
      <w:r w:rsidR="00A558FC">
        <w:rPr>
          <w:lang w:eastAsia="ja-JP"/>
        </w:rPr>
        <w:t>improve ship performance and efficiency</w:t>
      </w:r>
      <w:r w:rsidR="004A7FA0">
        <w:rPr>
          <w:lang w:eastAsia="ja-JP"/>
        </w:rPr>
        <w:t>,</w:t>
      </w:r>
      <w:r w:rsidR="00A558FC">
        <w:rPr>
          <w:lang w:eastAsia="ja-JP"/>
        </w:rPr>
        <w:t xml:space="preserve"> and to minimise environmental impacts by reducing drag, fuel consumption, greenhouse gas emissions and costs</w:t>
      </w:r>
      <w:r w:rsidR="00535F40">
        <w:rPr>
          <w:lang w:eastAsia="ja-JP"/>
        </w:rPr>
        <w:t xml:space="preserve"> (Hunsucker et al. 2018). Grooming can also, by controlling macrofouling, minimise the risk of</w:t>
      </w:r>
      <w:r>
        <w:rPr>
          <w:lang w:eastAsia="ja-JP"/>
        </w:rPr>
        <w:t xml:space="preserve"> </w:t>
      </w:r>
      <w:r w:rsidR="00A558FC">
        <w:rPr>
          <w:lang w:eastAsia="ja-JP"/>
        </w:rPr>
        <w:t>spread of invasive marine species</w:t>
      </w:r>
      <w:r w:rsidR="001F79F3">
        <w:rPr>
          <w:lang w:eastAsia="ja-JP"/>
        </w:rPr>
        <w:t xml:space="preserve">, </w:t>
      </w:r>
      <w:r w:rsidR="00535F40">
        <w:rPr>
          <w:lang w:eastAsia="ja-JP"/>
        </w:rPr>
        <w:t>increase coating longevity, and eliminate the need for high intensity hull cleaning methods, (</w:t>
      </w:r>
      <w:r w:rsidR="001F79F3">
        <w:rPr>
          <w:lang w:eastAsia="ja-JP"/>
        </w:rPr>
        <w:t>Tribou &amp; Swain 2010</w:t>
      </w:r>
      <w:r w:rsidR="00535F40">
        <w:rPr>
          <w:lang w:eastAsia="ja-JP"/>
        </w:rPr>
        <w:t xml:space="preserve">, Hearin et al. </w:t>
      </w:r>
      <w:r w:rsidR="00AF3A67">
        <w:rPr>
          <w:lang w:eastAsia="ja-JP"/>
        </w:rPr>
        <w:t>2015, 2016</w:t>
      </w:r>
      <w:r w:rsidR="008A6A48">
        <w:rPr>
          <w:lang w:eastAsia="ja-JP"/>
        </w:rPr>
        <w:t>,</w:t>
      </w:r>
      <w:r w:rsidR="001F79F3">
        <w:rPr>
          <w:lang w:eastAsia="ja-JP"/>
        </w:rPr>
        <w:t>).</w:t>
      </w:r>
    </w:p>
    <w:p w14:paraId="5E02AF50" w14:textId="77777777" w:rsidR="004968E5" w:rsidRDefault="00F56B54" w:rsidP="00C1500C">
      <w:pPr>
        <w:rPr>
          <w:lang w:eastAsia="ja-JP"/>
        </w:rPr>
      </w:pPr>
      <w:r>
        <w:rPr>
          <w:lang w:eastAsia="ja-JP"/>
        </w:rPr>
        <w:t xml:space="preserve">Trials have assessed </w:t>
      </w:r>
      <w:r w:rsidR="003F0473">
        <w:rPr>
          <w:lang w:eastAsia="ja-JP"/>
        </w:rPr>
        <w:t xml:space="preserve">weekly and monthly grooming </w:t>
      </w:r>
      <w:r>
        <w:rPr>
          <w:lang w:eastAsia="ja-JP"/>
        </w:rPr>
        <w:t xml:space="preserve">frequencies </w:t>
      </w:r>
      <w:r w:rsidR="0008020F">
        <w:rPr>
          <w:lang w:eastAsia="ja-JP"/>
        </w:rPr>
        <w:t xml:space="preserve">on static test panels </w:t>
      </w:r>
      <w:r>
        <w:rPr>
          <w:lang w:eastAsia="ja-JP"/>
        </w:rPr>
        <w:t>(Tribou &amp; Swain 2017) and, although both were effective, the optimum grooming frequency is still to be determined (Swain 2019).</w:t>
      </w:r>
      <w:r w:rsidR="00827747">
        <w:rPr>
          <w:lang w:eastAsia="ja-JP"/>
        </w:rPr>
        <w:t xml:space="preserve"> </w:t>
      </w:r>
      <w:r w:rsidR="000A0B1A">
        <w:rPr>
          <w:lang w:eastAsia="ja-JP"/>
        </w:rPr>
        <w:t>Although the work of Tribou and Swain is directed toward maintenance practices for US Navy ships, t</w:t>
      </w:r>
      <w:r w:rsidR="0008020F">
        <w:rPr>
          <w:lang w:eastAsia="ja-JP"/>
        </w:rPr>
        <w:t xml:space="preserve">he </w:t>
      </w:r>
      <w:r w:rsidR="000A0B1A">
        <w:rPr>
          <w:lang w:eastAsia="ja-JP"/>
        </w:rPr>
        <w:t xml:space="preserve">commercial </w:t>
      </w:r>
      <w:r w:rsidR="0008020F">
        <w:rPr>
          <w:lang w:eastAsia="ja-JP"/>
        </w:rPr>
        <w:t>application of grooming is likely to be on owner-operated</w:t>
      </w:r>
      <w:r w:rsidR="000A0B1A">
        <w:rPr>
          <w:lang w:eastAsia="ja-JP"/>
        </w:rPr>
        <w:t>, active</w:t>
      </w:r>
      <w:r w:rsidR="0008020F">
        <w:rPr>
          <w:lang w:eastAsia="ja-JP"/>
        </w:rPr>
        <w:t xml:space="preserve"> deep sea trading vessels and cruise ships where hull efficiency and fuel economy is of </w:t>
      </w:r>
      <w:r w:rsidR="000A0B1A">
        <w:rPr>
          <w:lang w:eastAsia="ja-JP"/>
        </w:rPr>
        <w:t xml:space="preserve">operational </w:t>
      </w:r>
      <w:r w:rsidR="0008020F">
        <w:rPr>
          <w:lang w:eastAsia="ja-JP"/>
        </w:rPr>
        <w:t xml:space="preserve">importance. </w:t>
      </w:r>
      <w:r w:rsidR="000A0B1A">
        <w:rPr>
          <w:lang w:eastAsia="ja-JP"/>
        </w:rPr>
        <w:t>Grooming is likely to be performed on an opportu</w:t>
      </w:r>
      <w:r w:rsidR="003F0473">
        <w:rPr>
          <w:lang w:eastAsia="ja-JP"/>
        </w:rPr>
        <w:t>nistic</w:t>
      </w:r>
      <w:r w:rsidR="000A0B1A">
        <w:rPr>
          <w:lang w:eastAsia="ja-JP"/>
        </w:rPr>
        <w:t xml:space="preserve"> basis</w:t>
      </w:r>
      <w:r>
        <w:rPr>
          <w:lang w:eastAsia="ja-JP"/>
        </w:rPr>
        <w:t>,</w:t>
      </w:r>
      <w:r w:rsidR="000A0B1A">
        <w:rPr>
          <w:lang w:eastAsia="ja-JP"/>
        </w:rPr>
        <w:t xml:space="preserve"> with the frequency dependent on the operational schedules.</w:t>
      </w:r>
      <w:r>
        <w:rPr>
          <w:lang w:eastAsia="ja-JP"/>
        </w:rPr>
        <w:t xml:space="preserve"> The newly developed “Hull Skating Solution</w:t>
      </w:r>
      <w:r w:rsidR="003F0473">
        <w:rPr>
          <w:lang w:eastAsia="ja-JP"/>
        </w:rPr>
        <w:t>s</w:t>
      </w:r>
      <w:r>
        <w:rPr>
          <w:lang w:eastAsia="ja-JP"/>
        </w:rPr>
        <w:t xml:space="preserve">” </w:t>
      </w:r>
      <w:r w:rsidR="003F0473">
        <w:rPr>
          <w:lang w:eastAsia="ja-JP"/>
        </w:rPr>
        <w:t xml:space="preserve">released </w:t>
      </w:r>
      <w:r>
        <w:rPr>
          <w:lang w:eastAsia="ja-JP"/>
        </w:rPr>
        <w:t>by Jotun is such an application (Jotun 2020).</w:t>
      </w:r>
    </w:p>
    <w:p w14:paraId="280C7511" w14:textId="77777777" w:rsidR="00827747" w:rsidRDefault="00F56B54" w:rsidP="00230C64">
      <w:r>
        <w:lastRenderedPageBreak/>
        <w:t>T</w:t>
      </w:r>
      <w:r w:rsidR="00F0201A">
        <w:t xml:space="preserve">he optimum frequency for grooming would </w:t>
      </w:r>
      <w:r>
        <w:t xml:space="preserve">likely be based on </w:t>
      </w:r>
      <w:r w:rsidR="00F0201A">
        <w:t>the coating type, the operational profile of the vessel, and the operational environment</w:t>
      </w:r>
      <w:r>
        <w:t xml:space="preserve"> (</w:t>
      </w:r>
      <w:r w:rsidR="00FF3AC7">
        <w:t>Swain 2019</w:t>
      </w:r>
      <w:r>
        <w:t>)</w:t>
      </w:r>
      <w:r w:rsidR="00F0201A">
        <w:t>. The earlier the cleaning is completed in the process of biofouling development, the less likely will be the requirement for biological waste capture. Monitoring ship performance provides an indicator of increasing hull friction and can be used as a guide to the need for grooming. From an environmental perspective, the more often a hull is groomed the better</w:t>
      </w:r>
      <w:r w:rsidR="00AC6482">
        <w:t>,</w:t>
      </w:r>
      <w:r w:rsidR="00F0201A">
        <w:t xml:space="preserve"> to prevent biofouling-induced increases in fuel consumption and consequent harmful air emissions. However, this needs to be balanced against any accelerated erosion of the AFC.</w:t>
      </w:r>
    </w:p>
    <w:p w14:paraId="00F3E153" w14:textId="77777777" w:rsidR="006B4A37" w:rsidRDefault="00F56B54" w:rsidP="00862962">
      <w:pPr>
        <w:pStyle w:val="Heading4"/>
        <w:rPr>
          <w:lang w:eastAsia="ja-JP"/>
        </w:rPr>
      </w:pPr>
      <w:r>
        <w:rPr>
          <w:lang w:eastAsia="ja-JP"/>
        </w:rPr>
        <w:t>Reactive IWC</w:t>
      </w:r>
    </w:p>
    <w:p w14:paraId="2717DFF5" w14:textId="77777777" w:rsidR="00A04EAA" w:rsidRPr="00A04EAA" w:rsidRDefault="00F56B54" w:rsidP="00A04EAA">
      <w:pPr>
        <w:rPr>
          <w:lang w:eastAsia="ja-JP"/>
        </w:rPr>
      </w:pPr>
      <w:r>
        <w:rPr>
          <w:lang w:eastAsia="ja-JP"/>
        </w:rPr>
        <w:t xml:space="preserve">Reactive IWC is undertaken to remove established macrofouling. Before advent of </w:t>
      </w:r>
      <w:r w:rsidR="004A7FA0">
        <w:rPr>
          <w:lang w:eastAsia="ja-JP"/>
        </w:rPr>
        <w:t xml:space="preserve">the organotin </w:t>
      </w:r>
      <w:r>
        <w:rPr>
          <w:lang w:eastAsia="ja-JP"/>
        </w:rPr>
        <w:t>self-polishing coatings in the mid-1970s, antifouling coatings generally lost effectiveness in less than 12 months and hulls were often scrubbed with brush carts to remove biofouling</w:t>
      </w:r>
      <w:r w:rsidR="004A7FA0">
        <w:rPr>
          <w:lang w:eastAsia="ja-JP"/>
        </w:rPr>
        <w:t>,</w:t>
      </w:r>
      <w:r>
        <w:rPr>
          <w:lang w:eastAsia="ja-JP"/>
        </w:rPr>
        <w:t xml:space="preserve"> and the insoluble </w:t>
      </w:r>
      <w:r w:rsidR="005E07EB">
        <w:rPr>
          <w:lang w:eastAsia="ja-JP"/>
        </w:rPr>
        <w:t xml:space="preserve">surface </w:t>
      </w:r>
      <w:r>
        <w:rPr>
          <w:lang w:eastAsia="ja-JP"/>
        </w:rPr>
        <w:t>precip</w:t>
      </w:r>
      <w:r w:rsidR="004A7FA0">
        <w:rPr>
          <w:lang w:eastAsia="ja-JP"/>
        </w:rPr>
        <w:t>it</w:t>
      </w:r>
      <w:r>
        <w:rPr>
          <w:lang w:eastAsia="ja-JP"/>
        </w:rPr>
        <w:t>ate</w:t>
      </w:r>
      <w:r w:rsidR="005E07EB">
        <w:rPr>
          <w:lang w:eastAsia="ja-JP"/>
        </w:rPr>
        <w:t>s</w:t>
      </w:r>
      <w:r w:rsidR="004A7FA0">
        <w:rPr>
          <w:lang w:eastAsia="ja-JP"/>
        </w:rPr>
        <w:t>,</w:t>
      </w:r>
      <w:r w:rsidR="005E07EB">
        <w:rPr>
          <w:lang w:eastAsia="ja-JP"/>
        </w:rPr>
        <w:t xml:space="preserve"> to improve ship performance and extend the </w:t>
      </w:r>
      <w:r w:rsidR="005D77E6">
        <w:rPr>
          <w:lang w:eastAsia="ja-JP"/>
        </w:rPr>
        <w:t>dry</w:t>
      </w:r>
      <w:r w:rsidR="005E07EB">
        <w:rPr>
          <w:lang w:eastAsia="ja-JP"/>
        </w:rPr>
        <w:t>-docking interval</w:t>
      </w:r>
      <w:r w:rsidR="002F1410">
        <w:rPr>
          <w:lang w:eastAsia="ja-JP"/>
        </w:rPr>
        <w:t xml:space="preserve"> (</w:t>
      </w:r>
      <w:r w:rsidR="000F5ED4">
        <w:rPr>
          <w:lang w:eastAsia="ja-JP"/>
        </w:rPr>
        <w:t>Bohlander 2009</w:t>
      </w:r>
      <w:r w:rsidR="002F1410">
        <w:rPr>
          <w:lang w:eastAsia="ja-JP"/>
        </w:rPr>
        <w:t>)</w:t>
      </w:r>
      <w:r w:rsidR="005E07EB">
        <w:rPr>
          <w:lang w:eastAsia="ja-JP"/>
        </w:rPr>
        <w:t>.</w:t>
      </w:r>
      <w:r>
        <w:rPr>
          <w:lang w:eastAsia="ja-JP"/>
        </w:rPr>
        <w:t xml:space="preserve"> </w:t>
      </w:r>
      <w:r w:rsidR="005E07EB">
        <w:rPr>
          <w:lang w:eastAsia="ja-JP"/>
        </w:rPr>
        <w:t>This practice has continued, for example on US Navy ships</w:t>
      </w:r>
      <w:r w:rsidR="002F1410">
        <w:rPr>
          <w:lang w:eastAsia="ja-JP"/>
        </w:rPr>
        <w:t xml:space="preserve"> </w:t>
      </w:r>
      <w:r>
        <w:rPr>
          <w:lang w:eastAsia="ja-JP"/>
        </w:rPr>
        <w:t>(NSSC 2006</w:t>
      </w:r>
      <w:r w:rsidR="002F1410">
        <w:rPr>
          <w:lang w:eastAsia="ja-JP"/>
        </w:rPr>
        <w:t>)</w:t>
      </w:r>
      <w:r w:rsidR="005E07EB">
        <w:rPr>
          <w:lang w:eastAsia="ja-JP"/>
        </w:rPr>
        <w:t>.</w:t>
      </w:r>
    </w:p>
    <w:p w14:paraId="59F77353" w14:textId="77777777" w:rsidR="006B4A37" w:rsidRDefault="00F56B54" w:rsidP="007F5E21">
      <w:pPr>
        <w:pStyle w:val="Heading5"/>
        <w:numPr>
          <w:ilvl w:val="0"/>
          <w:numId w:val="48"/>
        </w:numPr>
        <w:ind w:hanging="720"/>
        <w:rPr>
          <w:lang w:eastAsia="ja-JP"/>
        </w:rPr>
      </w:pPr>
      <w:r>
        <w:rPr>
          <w:lang w:eastAsia="ja-JP"/>
        </w:rPr>
        <w:t>Hull surfaces</w:t>
      </w:r>
    </w:p>
    <w:p w14:paraId="05101AC6" w14:textId="77777777" w:rsidR="00827747" w:rsidRDefault="00F56B54" w:rsidP="004A7FA0">
      <w:pPr>
        <w:rPr>
          <w:lang w:eastAsia="ja-JP"/>
        </w:rPr>
      </w:pPr>
      <w:r>
        <w:rPr>
          <w:lang w:eastAsia="ja-JP"/>
        </w:rPr>
        <w:t>Until recently, t</w:t>
      </w:r>
      <w:r w:rsidR="005E07EB">
        <w:rPr>
          <w:lang w:eastAsia="ja-JP"/>
        </w:rPr>
        <w:t xml:space="preserve">he focus </w:t>
      </w:r>
      <w:r>
        <w:rPr>
          <w:lang w:eastAsia="ja-JP"/>
        </w:rPr>
        <w:t xml:space="preserve">and intent </w:t>
      </w:r>
      <w:r w:rsidR="005E07EB">
        <w:rPr>
          <w:lang w:eastAsia="ja-JP"/>
        </w:rPr>
        <w:t xml:space="preserve">of </w:t>
      </w:r>
      <w:r>
        <w:rPr>
          <w:lang w:eastAsia="ja-JP"/>
        </w:rPr>
        <w:t xml:space="preserve">hull </w:t>
      </w:r>
      <w:r w:rsidR="005E07EB">
        <w:rPr>
          <w:lang w:eastAsia="ja-JP"/>
        </w:rPr>
        <w:t xml:space="preserve">cleaning has been to improve the hydrodynamic performance of a vessel by removing established biofouling and rejuvenating the antifouling coating. Hull surfaces, including both the vertical sides and the flat bottom, were the areas of concern and brush carts were employed as the most economical method in terms of both </w:t>
      </w:r>
      <w:r w:rsidR="00FA6C89">
        <w:rPr>
          <w:lang w:eastAsia="ja-JP"/>
        </w:rPr>
        <w:t>cost and time</w:t>
      </w:r>
      <w:r w:rsidR="002F1410">
        <w:rPr>
          <w:lang w:eastAsia="ja-JP"/>
        </w:rPr>
        <w:t xml:space="preserve"> (</w:t>
      </w:r>
      <w:r w:rsidR="000F5ED4">
        <w:rPr>
          <w:lang w:eastAsia="ja-JP"/>
        </w:rPr>
        <w:t>Bohlander 2009</w:t>
      </w:r>
      <w:r w:rsidR="002F1410">
        <w:rPr>
          <w:lang w:eastAsia="ja-JP"/>
        </w:rPr>
        <w:t>)</w:t>
      </w:r>
      <w:r w:rsidR="00FA6C89">
        <w:rPr>
          <w:lang w:eastAsia="ja-JP"/>
        </w:rPr>
        <w:t>.</w:t>
      </w:r>
    </w:p>
    <w:p w14:paraId="55DFD108" w14:textId="77777777" w:rsidR="005E07EB" w:rsidRDefault="00F56B54" w:rsidP="00862962">
      <w:pPr>
        <w:pStyle w:val="Heading5"/>
        <w:rPr>
          <w:lang w:eastAsia="ja-JP"/>
        </w:rPr>
      </w:pPr>
      <w:r>
        <w:rPr>
          <w:lang w:eastAsia="ja-JP"/>
        </w:rPr>
        <w:t>Propeller polishing</w:t>
      </w:r>
    </w:p>
    <w:p w14:paraId="0662F51B" w14:textId="77777777" w:rsidR="00FA6C89" w:rsidRPr="006B4A37" w:rsidRDefault="00F56B54" w:rsidP="003F7CC9">
      <w:pPr>
        <w:rPr>
          <w:lang w:eastAsia="ja-JP"/>
        </w:rPr>
      </w:pPr>
      <w:r>
        <w:rPr>
          <w:lang w:eastAsia="ja-JP"/>
        </w:rPr>
        <w:t>Across the shipping industry, propeller clea</w:t>
      </w:r>
      <w:r w:rsidR="00775887">
        <w:rPr>
          <w:lang w:eastAsia="ja-JP"/>
        </w:rPr>
        <w:t>n</w:t>
      </w:r>
      <w:r>
        <w:rPr>
          <w:lang w:eastAsia="ja-JP"/>
        </w:rPr>
        <w:t xml:space="preserve">ing has been a more common practice than hull cleaning. </w:t>
      </w:r>
      <w:r w:rsidR="003A64C3" w:rsidRPr="003A64C3">
        <w:rPr>
          <w:lang w:eastAsia="ja-JP"/>
        </w:rPr>
        <w:t>Propellers are generally not painted with biocidal coatings and the added roughness caused by the establishment of hard-shelled biofouling and calcium deposits on the propeller blades, cavitation and corrosion of the blade surfaces negatively impacts engine operation, propulsion, and fuel efficiency</w:t>
      </w:r>
      <w:r w:rsidR="002F1410">
        <w:rPr>
          <w:lang w:eastAsia="ja-JP"/>
        </w:rPr>
        <w:t xml:space="preserve"> (</w:t>
      </w:r>
      <w:r w:rsidR="001578C7">
        <w:rPr>
          <w:lang w:eastAsia="ja-JP"/>
        </w:rPr>
        <w:t>Atlar et al. 2002, Carlton 201</w:t>
      </w:r>
      <w:r w:rsidR="00F95E49">
        <w:rPr>
          <w:lang w:eastAsia="ja-JP"/>
        </w:rPr>
        <w:t>9</w:t>
      </w:r>
      <w:r w:rsidR="002F1410">
        <w:rPr>
          <w:lang w:eastAsia="ja-JP"/>
        </w:rPr>
        <w:t>)</w:t>
      </w:r>
      <w:r>
        <w:rPr>
          <w:lang w:eastAsia="ja-JP"/>
        </w:rPr>
        <w:t xml:space="preserve">. </w:t>
      </w:r>
      <w:r w:rsidR="004E3B98">
        <w:rPr>
          <w:lang w:eastAsia="ja-JP"/>
        </w:rPr>
        <w:t xml:space="preserve">The aim of polishing is to </w:t>
      </w:r>
      <w:r w:rsidR="00380E2C">
        <w:rPr>
          <w:lang w:eastAsia="ja-JP"/>
        </w:rPr>
        <w:t xml:space="preserve">proactively </w:t>
      </w:r>
      <w:r w:rsidR="004E3B98">
        <w:rPr>
          <w:lang w:eastAsia="ja-JP"/>
        </w:rPr>
        <w:t xml:space="preserve">remove surface </w:t>
      </w:r>
      <w:r w:rsidR="00183E96">
        <w:rPr>
          <w:lang w:eastAsia="ja-JP"/>
        </w:rPr>
        <w:t>roughness,</w:t>
      </w:r>
      <w:r w:rsidR="004E3B98">
        <w:rPr>
          <w:lang w:eastAsia="ja-JP"/>
        </w:rPr>
        <w:t xml:space="preserve"> and </w:t>
      </w:r>
      <w:r w:rsidR="007B31EF">
        <w:rPr>
          <w:lang w:eastAsia="ja-JP"/>
        </w:rPr>
        <w:t xml:space="preserve">this </w:t>
      </w:r>
      <w:r w:rsidR="004E3B98">
        <w:rPr>
          <w:lang w:eastAsia="ja-JP"/>
        </w:rPr>
        <w:t>is achieved, both in and out of the water, using power tools fitted with rotating discs or brushes</w:t>
      </w:r>
      <w:r w:rsidR="002F1410">
        <w:rPr>
          <w:lang w:eastAsia="ja-JP"/>
        </w:rPr>
        <w:t xml:space="preserve"> (</w:t>
      </w:r>
      <w:r w:rsidR="008F54F8">
        <w:rPr>
          <w:lang w:eastAsia="ja-JP"/>
        </w:rPr>
        <w:t>Morrisey &amp; Woods 2015</w:t>
      </w:r>
      <w:r w:rsidR="002F1410">
        <w:rPr>
          <w:lang w:eastAsia="ja-JP"/>
        </w:rPr>
        <w:t>)</w:t>
      </w:r>
      <w:r w:rsidR="004E3B98">
        <w:rPr>
          <w:lang w:eastAsia="ja-JP"/>
        </w:rPr>
        <w:t xml:space="preserve">. The frequency of propeller polishing varies, </w:t>
      </w:r>
      <w:r w:rsidR="00097F37">
        <w:rPr>
          <w:lang w:eastAsia="ja-JP"/>
        </w:rPr>
        <w:t>with suggestions that best practice</w:t>
      </w:r>
      <w:r w:rsidR="0075791A">
        <w:rPr>
          <w:lang w:eastAsia="ja-JP"/>
        </w:rPr>
        <w:t xml:space="preserve"> for commercial ships</w:t>
      </w:r>
      <w:r w:rsidR="00097F37">
        <w:rPr>
          <w:lang w:eastAsia="ja-JP"/>
        </w:rPr>
        <w:t xml:space="preserve"> is every 6 months</w:t>
      </w:r>
      <w:r w:rsidR="00934EAB">
        <w:rPr>
          <w:lang w:eastAsia="ja-JP"/>
        </w:rPr>
        <w:t xml:space="preserve"> (Hydrex 2012)</w:t>
      </w:r>
      <w:r w:rsidR="00097F37">
        <w:rPr>
          <w:lang w:eastAsia="ja-JP"/>
        </w:rPr>
        <w:t>.</w:t>
      </w:r>
    </w:p>
    <w:p w14:paraId="1D61AE14" w14:textId="77777777" w:rsidR="006B4A37" w:rsidRDefault="00F56B54" w:rsidP="00862962">
      <w:pPr>
        <w:pStyle w:val="Heading5"/>
        <w:rPr>
          <w:lang w:eastAsia="ja-JP"/>
        </w:rPr>
      </w:pPr>
      <w:r>
        <w:rPr>
          <w:lang w:eastAsia="ja-JP"/>
        </w:rPr>
        <w:t>Niches</w:t>
      </w:r>
    </w:p>
    <w:p w14:paraId="4760019E" w14:textId="77777777" w:rsidR="00827747" w:rsidRDefault="00F56B54" w:rsidP="003F7CC9">
      <w:pPr>
        <w:rPr>
          <w:lang w:eastAsia="ja-JP"/>
        </w:rPr>
      </w:pPr>
      <w:r>
        <w:rPr>
          <w:lang w:eastAsia="ja-JP"/>
        </w:rPr>
        <w:t xml:space="preserve">Until relatively recently, the driver for any in-water cleaning of ships has been the impact of marine growth on operational performance, and this also applies to hull niches. The two major niches of concern </w:t>
      </w:r>
      <w:r w:rsidR="003F7CC9">
        <w:rPr>
          <w:lang w:eastAsia="ja-JP"/>
        </w:rPr>
        <w:t xml:space="preserve">to a ship’s operation </w:t>
      </w:r>
      <w:r>
        <w:rPr>
          <w:lang w:eastAsia="ja-JP"/>
        </w:rPr>
        <w:t xml:space="preserve">are sea chest grates and </w:t>
      </w:r>
      <w:r w:rsidR="00C5773E">
        <w:rPr>
          <w:lang w:eastAsia="ja-JP"/>
        </w:rPr>
        <w:t>through</w:t>
      </w:r>
      <w:r w:rsidR="00C566BE">
        <w:rPr>
          <w:lang w:eastAsia="ja-JP"/>
        </w:rPr>
        <w:t>-</w:t>
      </w:r>
      <w:r w:rsidR="00C5773E">
        <w:rPr>
          <w:lang w:eastAsia="ja-JP"/>
        </w:rPr>
        <w:t>hull sensors</w:t>
      </w:r>
      <w:r>
        <w:rPr>
          <w:lang w:eastAsia="ja-JP"/>
        </w:rPr>
        <w:t xml:space="preserve">. The clogging of sea chest grates </w:t>
      </w:r>
      <w:r w:rsidR="00C5773E">
        <w:rPr>
          <w:lang w:eastAsia="ja-JP"/>
        </w:rPr>
        <w:t>reduces water flow into the sea chest</w:t>
      </w:r>
      <w:r w:rsidR="00AA035D">
        <w:rPr>
          <w:lang w:eastAsia="ja-JP"/>
        </w:rPr>
        <w:t>,</w:t>
      </w:r>
      <w:r w:rsidR="00C5773E">
        <w:rPr>
          <w:lang w:eastAsia="ja-JP"/>
        </w:rPr>
        <w:t xml:space="preserve"> and on into the pipework of cooling and other inboard systems. For cooling water systems, reduction of water flow can reduce the effectiveness and cause failures of heat exchange coolers</w:t>
      </w:r>
      <w:r w:rsidR="003F7CC9">
        <w:rPr>
          <w:lang w:eastAsia="ja-JP"/>
        </w:rPr>
        <w:t>,</w:t>
      </w:r>
      <w:r w:rsidR="00C5773E">
        <w:rPr>
          <w:lang w:eastAsia="ja-JP"/>
        </w:rPr>
        <w:t xml:space="preserve"> resulting in engine or other critical system breakdowns. Marine growth on </w:t>
      </w:r>
      <w:r w:rsidR="00D73AE0">
        <w:rPr>
          <w:lang w:eastAsia="ja-JP"/>
        </w:rPr>
        <w:t>depth, speed, ICCP and other through hull sensors can compromise performance.</w:t>
      </w:r>
      <w:r>
        <w:rPr>
          <w:lang w:eastAsia="ja-JP"/>
        </w:rPr>
        <w:t xml:space="preserve"> </w:t>
      </w:r>
      <w:r w:rsidR="00D73AE0">
        <w:rPr>
          <w:lang w:eastAsia="ja-JP"/>
        </w:rPr>
        <w:t xml:space="preserve">Cleaning of both sea chest </w:t>
      </w:r>
      <w:r w:rsidR="00831CD4">
        <w:rPr>
          <w:lang w:eastAsia="ja-JP"/>
        </w:rPr>
        <w:t>grates,</w:t>
      </w:r>
      <w:r w:rsidR="00D73AE0">
        <w:rPr>
          <w:lang w:eastAsia="ja-JP"/>
        </w:rPr>
        <w:t xml:space="preserve"> and sensor surfaces would be by divers using simple hand tools, such as scrapers, or high</w:t>
      </w:r>
      <w:r w:rsidR="00183E96">
        <w:rPr>
          <w:lang w:eastAsia="ja-JP"/>
        </w:rPr>
        <w:t>-</w:t>
      </w:r>
      <w:r w:rsidR="00D73AE0">
        <w:rPr>
          <w:lang w:eastAsia="ja-JP"/>
        </w:rPr>
        <w:t>pressure water</w:t>
      </w:r>
      <w:r w:rsidR="002A38FC">
        <w:rPr>
          <w:lang w:eastAsia="ja-JP"/>
        </w:rPr>
        <w:t xml:space="preserve"> jetting</w:t>
      </w:r>
      <w:r w:rsidR="00D73AE0">
        <w:rPr>
          <w:lang w:eastAsia="ja-JP"/>
        </w:rPr>
        <w:t>.</w:t>
      </w:r>
    </w:p>
    <w:p w14:paraId="492AE7C2" w14:textId="77777777" w:rsidR="00827747" w:rsidRDefault="00F56B54" w:rsidP="003F7CC9">
      <w:pPr>
        <w:rPr>
          <w:lang w:eastAsia="ja-JP"/>
        </w:rPr>
      </w:pPr>
      <w:r>
        <w:rPr>
          <w:lang w:eastAsia="ja-JP"/>
        </w:rPr>
        <w:t>Other niches have been designed to accommodate</w:t>
      </w:r>
      <w:r w:rsidR="003F7CC9">
        <w:rPr>
          <w:lang w:eastAsia="ja-JP"/>
        </w:rPr>
        <w:t xml:space="preserve"> the</w:t>
      </w:r>
      <w:r>
        <w:rPr>
          <w:lang w:eastAsia="ja-JP"/>
        </w:rPr>
        <w:t xml:space="preserve"> marine growth that </w:t>
      </w:r>
      <w:r w:rsidR="003F7CC9">
        <w:rPr>
          <w:lang w:eastAsia="ja-JP"/>
        </w:rPr>
        <w:t xml:space="preserve">may </w:t>
      </w:r>
      <w:r>
        <w:rPr>
          <w:lang w:eastAsia="ja-JP"/>
        </w:rPr>
        <w:t>develop</w:t>
      </w:r>
      <w:r w:rsidR="003F7CC9">
        <w:rPr>
          <w:lang w:eastAsia="ja-JP"/>
        </w:rPr>
        <w:t xml:space="preserve"> </w:t>
      </w:r>
      <w:r>
        <w:rPr>
          <w:lang w:eastAsia="ja-JP"/>
        </w:rPr>
        <w:t>between docking</w:t>
      </w:r>
      <w:r w:rsidR="003F7CC9">
        <w:rPr>
          <w:lang w:eastAsia="ja-JP"/>
        </w:rPr>
        <w:t>s to avoid i</w:t>
      </w:r>
      <w:r>
        <w:rPr>
          <w:lang w:eastAsia="ja-JP"/>
        </w:rPr>
        <w:t>mpact</w:t>
      </w:r>
      <w:r w:rsidR="003F7CC9">
        <w:rPr>
          <w:lang w:eastAsia="ja-JP"/>
        </w:rPr>
        <w:t>s on</w:t>
      </w:r>
      <w:r>
        <w:rPr>
          <w:lang w:eastAsia="ja-JP"/>
        </w:rPr>
        <w:t xml:space="preserve"> operational performance. Sea chests, for example, are designed with a large internal volume and cross section</w:t>
      </w:r>
      <w:r w:rsidR="00AA035D">
        <w:rPr>
          <w:lang w:eastAsia="ja-JP"/>
        </w:rPr>
        <w:t>,</w:t>
      </w:r>
      <w:r>
        <w:rPr>
          <w:lang w:eastAsia="ja-JP"/>
        </w:rPr>
        <w:t xml:space="preserve"> much greater than the cross section of the intake pipe or pipes drawing water through the sea chest. Large aggregations of marine growth can </w:t>
      </w:r>
      <w:r>
        <w:rPr>
          <w:lang w:eastAsia="ja-JP"/>
        </w:rPr>
        <w:lastRenderedPageBreak/>
        <w:t>therefore develop on the inner walls of a sea chest without a reduction of the critical flow into inboard piping system</w:t>
      </w:r>
      <w:r w:rsidR="00AA035D">
        <w:rPr>
          <w:lang w:eastAsia="ja-JP"/>
        </w:rPr>
        <w:t xml:space="preserve">. For this reason, sea chests have become a niche of concern </w:t>
      </w:r>
      <w:proofErr w:type="gramStart"/>
      <w:r w:rsidR="00AA035D">
        <w:rPr>
          <w:lang w:eastAsia="ja-JP"/>
        </w:rPr>
        <w:t>in regard to</w:t>
      </w:r>
      <w:proofErr w:type="gramEnd"/>
      <w:r w:rsidR="00AA035D">
        <w:rPr>
          <w:lang w:eastAsia="ja-JP"/>
        </w:rPr>
        <w:t xml:space="preserve"> biosecurity</w:t>
      </w:r>
      <w:r w:rsidR="005D77E6">
        <w:rPr>
          <w:lang w:eastAsia="ja-JP"/>
        </w:rPr>
        <w:t xml:space="preserve"> (</w:t>
      </w:r>
      <w:r w:rsidR="005C675F">
        <w:rPr>
          <w:lang w:eastAsia="ja-JP"/>
        </w:rPr>
        <w:t>Coutts &amp; Dogshun 2007, Frey et al. 2014</w:t>
      </w:r>
      <w:r w:rsidR="005D77E6">
        <w:rPr>
          <w:lang w:eastAsia="ja-JP"/>
        </w:rPr>
        <w:t>)</w:t>
      </w:r>
      <w:r>
        <w:rPr>
          <w:lang w:eastAsia="ja-JP"/>
        </w:rPr>
        <w:t>.</w:t>
      </w:r>
    </w:p>
    <w:p w14:paraId="0E09E3C2" w14:textId="77777777" w:rsidR="00D73AE0" w:rsidRDefault="00F56B54" w:rsidP="00AA035D">
      <w:pPr>
        <w:rPr>
          <w:lang w:eastAsia="ja-JP"/>
        </w:rPr>
      </w:pPr>
      <w:r>
        <w:rPr>
          <w:lang w:eastAsia="ja-JP"/>
        </w:rPr>
        <w:t xml:space="preserve">Removal of growth from a sea chest </w:t>
      </w:r>
      <w:r w:rsidR="00AA035D">
        <w:rPr>
          <w:lang w:eastAsia="ja-JP"/>
        </w:rPr>
        <w:t xml:space="preserve">in-water requires the </w:t>
      </w:r>
      <w:r w:rsidR="00595063">
        <w:rPr>
          <w:lang w:eastAsia="ja-JP"/>
        </w:rPr>
        <w:t xml:space="preserve">opening or </w:t>
      </w:r>
      <w:r>
        <w:rPr>
          <w:lang w:eastAsia="ja-JP"/>
        </w:rPr>
        <w:t>removal of the sea chest grate, some of which are secured by welds</w:t>
      </w:r>
      <w:r w:rsidR="00AA035D">
        <w:rPr>
          <w:lang w:eastAsia="ja-JP"/>
        </w:rPr>
        <w:t>. T</w:t>
      </w:r>
      <w:r>
        <w:rPr>
          <w:lang w:eastAsia="ja-JP"/>
        </w:rPr>
        <w:t>he sea chest opening</w:t>
      </w:r>
      <w:r w:rsidR="00183E96">
        <w:rPr>
          <w:lang w:eastAsia="ja-JP"/>
        </w:rPr>
        <w:t>,</w:t>
      </w:r>
      <w:r>
        <w:rPr>
          <w:lang w:eastAsia="ja-JP"/>
        </w:rPr>
        <w:t xml:space="preserve"> and internal dimensions</w:t>
      </w:r>
      <w:r w:rsidR="00183E96">
        <w:rPr>
          <w:lang w:eastAsia="ja-JP"/>
        </w:rPr>
        <w:t>,</w:t>
      </w:r>
      <w:r>
        <w:rPr>
          <w:lang w:eastAsia="ja-JP"/>
        </w:rPr>
        <w:t xml:space="preserve"> </w:t>
      </w:r>
      <w:r w:rsidR="00AA035D">
        <w:rPr>
          <w:lang w:eastAsia="ja-JP"/>
        </w:rPr>
        <w:t xml:space="preserve">then need </w:t>
      </w:r>
      <w:r>
        <w:rPr>
          <w:lang w:eastAsia="ja-JP"/>
        </w:rPr>
        <w:t xml:space="preserve">to be sufficient to enable </w:t>
      </w:r>
      <w:r w:rsidR="00AA035D">
        <w:rPr>
          <w:lang w:eastAsia="ja-JP"/>
        </w:rPr>
        <w:t xml:space="preserve">diver </w:t>
      </w:r>
      <w:r>
        <w:rPr>
          <w:lang w:eastAsia="ja-JP"/>
        </w:rPr>
        <w:t xml:space="preserve">access. </w:t>
      </w:r>
      <w:r w:rsidR="00595063">
        <w:rPr>
          <w:lang w:eastAsia="ja-JP"/>
        </w:rPr>
        <w:t>Some sea chests are sufficiently large and internally open to enable this but, for many, the opening may be too small, the chest too small</w:t>
      </w:r>
      <w:r w:rsidR="00AA035D">
        <w:rPr>
          <w:lang w:eastAsia="ja-JP"/>
        </w:rPr>
        <w:t>,</w:t>
      </w:r>
      <w:r w:rsidR="00595063">
        <w:rPr>
          <w:lang w:eastAsia="ja-JP"/>
        </w:rPr>
        <w:t xml:space="preserve"> there may be baffles internally dividing the internal chest or, if box coolers are fitted, </w:t>
      </w:r>
      <w:r w:rsidR="003378D5">
        <w:rPr>
          <w:lang w:eastAsia="ja-JP"/>
        </w:rPr>
        <w:t>and access</w:t>
      </w:r>
      <w:r w:rsidR="00595063">
        <w:rPr>
          <w:lang w:eastAsia="ja-JP"/>
        </w:rPr>
        <w:t xml:space="preserve"> around the cooler is limited.</w:t>
      </w:r>
      <w:r w:rsidR="00827747">
        <w:rPr>
          <w:lang w:eastAsia="ja-JP"/>
        </w:rPr>
        <w:t xml:space="preserve"> </w:t>
      </w:r>
      <w:r w:rsidR="00595063">
        <w:rPr>
          <w:lang w:eastAsia="ja-JP"/>
        </w:rPr>
        <w:t xml:space="preserve">As with the design of sea chests to accommodate biofouling, </w:t>
      </w:r>
      <w:r w:rsidR="00AA035D">
        <w:rPr>
          <w:lang w:eastAsia="ja-JP"/>
        </w:rPr>
        <w:t xml:space="preserve">consideration of </w:t>
      </w:r>
      <w:r w:rsidR="00595063">
        <w:rPr>
          <w:lang w:eastAsia="ja-JP"/>
        </w:rPr>
        <w:t xml:space="preserve">access for cleaning has </w:t>
      </w:r>
      <w:r w:rsidR="00AA035D">
        <w:rPr>
          <w:lang w:eastAsia="ja-JP"/>
        </w:rPr>
        <w:t xml:space="preserve">also </w:t>
      </w:r>
      <w:r w:rsidR="00595063">
        <w:rPr>
          <w:lang w:eastAsia="ja-JP"/>
        </w:rPr>
        <w:t xml:space="preserve">not </w:t>
      </w:r>
      <w:r w:rsidR="005C675F">
        <w:rPr>
          <w:lang w:eastAsia="ja-JP"/>
        </w:rPr>
        <w:t>seemed to be a</w:t>
      </w:r>
      <w:r w:rsidR="00AA035D">
        <w:rPr>
          <w:lang w:eastAsia="ja-JP"/>
        </w:rPr>
        <w:t xml:space="preserve"> design </w:t>
      </w:r>
      <w:r w:rsidR="00595063">
        <w:rPr>
          <w:lang w:eastAsia="ja-JP"/>
        </w:rPr>
        <w:t>priority.</w:t>
      </w:r>
    </w:p>
    <w:p w14:paraId="2C733AA2" w14:textId="77777777" w:rsidR="00FC729B" w:rsidRDefault="00F56B54" w:rsidP="00FC729B">
      <w:pPr>
        <w:pStyle w:val="Heading4"/>
        <w:rPr>
          <w:lang w:eastAsia="ja-JP"/>
        </w:rPr>
      </w:pPr>
      <w:r>
        <w:rPr>
          <w:lang w:eastAsia="ja-JP"/>
        </w:rPr>
        <w:t>Cleaning methods</w:t>
      </w:r>
    </w:p>
    <w:p w14:paraId="5B9D1252" w14:textId="77777777" w:rsidR="00576938" w:rsidRDefault="00F56B54" w:rsidP="007F5E21">
      <w:pPr>
        <w:pStyle w:val="Heading5"/>
        <w:numPr>
          <w:ilvl w:val="0"/>
          <w:numId w:val="49"/>
        </w:numPr>
        <w:ind w:hanging="720"/>
        <w:rPr>
          <w:lang w:eastAsia="ja-JP"/>
        </w:rPr>
      </w:pPr>
      <w:r>
        <w:rPr>
          <w:lang w:eastAsia="ja-JP"/>
        </w:rPr>
        <w:t>Manual</w:t>
      </w:r>
    </w:p>
    <w:p w14:paraId="33D4B9D8" w14:textId="77777777" w:rsidR="00827747" w:rsidRDefault="00F56B54" w:rsidP="00AA035D">
      <w:pPr>
        <w:rPr>
          <w:lang w:eastAsia="ja-JP"/>
        </w:rPr>
      </w:pPr>
      <w:r>
        <w:rPr>
          <w:lang w:eastAsia="ja-JP"/>
        </w:rPr>
        <w:t xml:space="preserve">Manual removal of biofouling by divers is undertaken </w:t>
      </w:r>
      <w:r w:rsidR="00AA035D">
        <w:rPr>
          <w:lang w:eastAsia="ja-JP"/>
        </w:rPr>
        <w:t xml:space="preserve">with </w:t>
      </w:r>
      <w:r>
        <w:rPr>
          <w:lang w:eastAsia="ja-JP"/>
        </w:rPr>
        <w:t xml:space="preserve">hand-held scrapers, </w:t>
      </w:r>
      <w:r w:rsidR="00AA035D">
        <w:rPr>
          <w:lang w:eastAsia="ja-JP"/>
        </w:rPr>
        <w:t xml:space="preserve">small </w:t>
      </w:r>
      <w:r>
        <w:rPr>
          <w:lang w:eastAsia="ja-JP"/>
        </w:rPr>
        <w:t>hand</w:t>
      </w:r>
      <w:r w:rsidR="00AA035D">
        <w:rPr>
          <w:lang w:eastAsia="ja-JP"/>
        </w:rPr>
        <w:t>-</w:t>
      </w:r>
      <w:r>
        <w:rPr>
          <w:lang w:eastAsia="ja-JP"/>
        </w:rPr>
        <w:t>held power tools</w:t>
      </w:r>
      <w:r w:rsidR="00AA035D">
        <w:rPr>
          <w:lang w:eastAsia="ja-JP"/>
        </w:rPr>
        <w:t>,</w:t>
      </w:r>
      <w:r>
        <w:rPr>
          <w:lang w:eastAsia="ja-JP"/>
        </w:rPr>
        <w:t xml:space="preserve"> such as </w:t>
      </w:r>
      <w:r w:rsidR="002A38FC">
        <w:rPr>
          <w:lang w:eastAsia="ja-JP"/>
        </w:rPr>
        <w:t>hydraulic rotating brush or disc units, or high</w:t>
      </w:r>
      <w:r w:rsidR="00183E96">
        <w:rPr>
          <w:lang w:eastAsia="ja-JP"/>
        </w:rPr>
        <w:t>-</w:t>
      </w:r>
      <w:r w:rsidR="002A38FC">
        <w:rPr>
          <w:lang w:eastAsia="ja-JP"/>
        </w:rPr>
        <w:t>pressure water jetting systems</w:t>
      </w:r>
      <w:r w:rsidR="005D77E6">
        <w:rPr>
          <w:lang w:eastAsia="ja-JP"/>
        </w:rPr>
        <w:t xml:space="preserve"> (</w:t>
      </w:r>
      <w:r w:rsidR="00F95E49">
        <w:rPr>
          <w:lang w:eastAsia="ja-JP"/>
        </w:rPr>
        <w:t>Morrisey &amp; Woods 2015</w:t>
      </w:r>
      <w:r w:rsidR="005D77E6">
        <w:rPr>
          <w:lang w:eastAsia="ja-JP"/>
        </w:rPr>
        <w:t>)</w:t>
      </w:r>
      <w:r w:rsidR="002A38FC">
        <w:rPr>
          <w:lang w:eastAsia="ja-JP"/>
        </w:rPr>
        <w:t>.</w:t>
      </w:r>
      <w:r w:rsidR="00326E42">
        <w:rPr>
          <w:lang w:eastAsia="ja-JP"/>
        </w:rPr>
        <w:t xml:space="preserve"> Manual scraping is</w:t>
      </w:r>
      <w:r w:rsidR="00F768EC">
        <w:rPr>
          <w:lang w:eastAsia="ja-JP"/>
        </w:rPr>
        <w:t xml:space="preserve"> a targeted cleaning method</w:t>
      </w:r>
      <w:r w:rsidR="00326E42">
        <w:rPr>
          <w:lang w:eastAsia="ja-JP"/>
        </w:rPr>
        <w:t xml:space="preserve"> commonly used to dislodge scattered barnacles off hulls, or the removal of secondary and tertiary biofouling from niche areas. Water jetting is often used in conjunction with scraping to clean difficult to access areas, such as </w:t>
      </w:r>
      <w:r w:rsidR="00F768EC">
        <w:rPr>
          <w:lang w:eastAsia="ja-JP"/>
        </w:rPr>
        <w:t>in rudder hinges, under rope guards, inside sea chests if the grates are unable to be removed, etc. Water jetting can also more effectively remove soft fouling mats, such as green algal bands along the waterline.</w:t>
      </w:r>
    </w:p>
    <w:p w14:paraId="02EA5616" w14:textId="77777777" w:rsidR="006B4A37" w:rsidRDefault="00F56B54" w:rsidP="00862962">
      <w:pPr>
        <w:pStyle w:val="Heading5"/>
        <w:rPr>
          <w:lang w:eastAsia="ja-JP"/>
        </w:rPr>
      </w:pPr>
      <w:r>
        <w:rPr>
          <w:lang w:eastAsia="ja-JP"/>
        </w:rPr>
        <w:t>Mechanised</w:t>
      </w:r>
    </w:p>
    <w:p w14:paraId="72F52976" w14:textId="77777777" w:rsidR="00827747" w:rsidRDefault="00F56B54" w:rsidP="00AA035D">
      <w:pPr>
        <w:rPr>
          <w:lang w:eastAsia="ja-JP"/>
        </w:rPr>
      </w:pPr>
      <w:r>
        <w:rPr>
          <w:lang w:eastAsia="ja-JP"/>
        </w:rPr>
        <w:t xml:space="preserve">Broad areas </w:t>
      </w:r>
      <w:r w:rsidR="00831CD4">
        <w:rPr>
          <w:lang w:eastAsia="ja-JP"/>
        </w:rPr>
        <w:t>of hull</w:t>
      </w:r>
      <w:r w:rsidR="00BB7A74">
        <w:rPr>
          <w:lang w:eastAsia="ja-JP"/>
        </w:rPr>
        <w:t xml:space="preserve"> plate on the vertical sides and flats of ships can be cleaned by ‘brush carts</w:t>
      </w:r>
      <w:r w:rsidR="00F81ED4">
        <w:rPr>
          <w:lang w:eastAsia="ja-JP"/>
        </w:rPr>
        <w:t>’</w:t>
      </w:r>
      <w:r w:rsidR="00BB7A74">
        <w:rPr>
          <w:lang w:eastAsia="ja-JP"/>
        </w:rPr>
        <w:t>, which have one or more rotating discs or high</w:t>
      </w:r>
      <w:r w:rsidR="00183E96">
        <w:rPr>
          <w:lang w:eastAsia="ja-JP"/>
        </w:rPr>
        <w:t>-</w:t>
      </w:r>
      <w:r w:rsidR="00BB7A74">
        <w:rPr>
          <w:lang w:eastAsia="ja-JP"/>
        </w:rPr>
        <w:t xml:space="preserve">pressure water jets </w:t>
      </w:r>
      <w:r w:rsidR="00F81ED4">
        <w:rPr>
          <w:lang w:eastAsia="ja-JP"/>
        </w:rPr>
        <w:t>under a steerable motor housing</w:t>
      </w:r>
      <w:r w:rsidR="005D77E6">
        <w:rPr>
          <w:lang w:eastAsia="ja-JP"/>
        </w:rPr>
        <w:t xml:space="preserve"> (</w:t>
      </w:r>
      <w:r w:rsidR="00F95E49">
        <w:rPr>
          <w:lang w:eastAsia="ja-JP"/>
        </w:rPr>
        <w:t>Bohlander 2009, Morrisey &amp; Woods 2015</w:t>
      </w:r>
      <w:r w:rsidR="005D77E6">
        <w:rPr>
          <w:lang w:eastAsia="ja-JP"/>
        </w:rPr>
        <w:t>)</w:t>
      </w:r>
      <w:r w:rsidR="00F81ED4">
        <w:rPr>
          <w:lang w:eastAsia="ja-JP"/>
        </w:rPr>
        <w:t xml:space="preserve">. </w:t>
      </w:r>
      <w:r w:rsidR="00A21D61">
        <w:rPr>
          <w:lang w:eastAsia="ja-JP"/>
        </w:rPr>
        <w:t xml:space="preserve">These </w:t>
      </w:r>
      <w:r w:rsidR="00ED3B72">
        <w:rPr>
          <w:lang w:eastAsia="ja-JP"/>
        </w:rPr>
        <w:t>b</w:t>
      </w:r>
      <w:r w:rsidR="00A21D61" w:rsidRPr="00A21D61">
        <w:rPr>
          <w:lang w:eastAsia="ja-JP"/>
        </w:rPr>
        <w:t>rush carts are held against the hull by suction forces</w:t>
      </w:r>
      <w:r w:rsidR="00A21D61">
        <w:rPr>
          <w:lang w:eastAsia="ja-JP"/>
        </w:rPr>
        <w:t xml:space="preserve"> or by magnets</w:t>
      </w:r>
      <w:r w:rsidR="00A21D61" w:rsidRPr="00A21D61">
        <w:rPr>
          <w:lang w:eastAsia="ja-JP"/>
        </w:rPr>
        <w:t>.</w:t>
      </w:r>
      <w:r w:rsidR="00E56DB3">
        <w:rPr>
          <w:lang w:eastAsia="ja-JP"/>
        </w:rPr>
        <w:t xml:space="preserve"> </w:t>
      </w:r>
      <w:r w:rsidR="00AA035D">
        <w:rPr>
          <w:lang w:eastAsia="ja-JP"/>
        </w:rPr>
        <w:t>Globally, m</w:t>
      </w:r>
      <w:r w:rsidR="00F81ED4">
        <w:rPr>
          <w:lang w:eastAsia="ja-JP"/>
        </w:rPr>
        <w:t xml:space="preserve">ost </w:t>
      </w:r>
      <w:r w:rsidR="00AA035D">
        <w:rPr>
          <w:lang w:eastAsia="ja-JP"/>
        </w:rPr>
        <w:t xml:space="preserve">systems do not have the capability </w:t>
      </w:r>
      <w:r w:rsidR="00F81ED4">
        <w:rPr>
          <w:lang w:eastAsia="ja-JP"/>
        </w:rPr>
        <w:t>to contain and capture cleaning debris</w:t>
      </w:r>
      <w:r w:rsidR="00F95E49" w:rsidRPr="00F95E49">
        <w:rPr>
          <w:lang w:eastAsia="ja-JP"/>
        </w:rPr>
        <w:t xml:space="preserve"> </w:t>
      </w:r>
      <w:r w:rsidR="00F95E49">
        <w:rPr>
          <w:lang w:eastAsia="ja-JP"/>
        </w:rPr>
        <w:t>(Morrisey &amp; Woods 2015)</w:t>
      </w:r>
      <w:r w:rsidR="00567128">
        <w:rPr>
          <w:lang w:eastAsia="ja-JP"/>
        </w:rPr>
        <w:t xml:space="preserve">. However, some </w:t>
      </w:r>
      <w:r w:rsidR="00F81ED4">
        <w:rPr>
          <w:lang w:eastAsia="ja-JP"/>
        </w:rPr>
        <w:t xml:space="preserve">systems </w:t>
      </w:r>
      <w:r w:rsidR="00567128">
        <w:rPr>
          <w:lang w:eastAsia="ja-JP"/>
        </w:rPr>
        <w:t>able to do this are now operating or u</w:t>
      </w:r>
      <w:r w:rsidR="00F81ED4">
        <w:rPr>
          <w:lang w:eastAsia="ja-JP"/>
        </w:rPr>
        <w:t>nder development</w:t>
      </w:r>
      <w:r w:rsidR="005D77E6">
        <w:rPr>
          <w:lang w:eastAsia="ja-JP"/>
        </w:rPr>
        <w:t xml:space="preserve"> (</w:t>
      </w:r>
      <w:r w:rsidR="00F95E49">
        <w:rPr>
          <w:lang w:eastAsia="ja-JP"/>
        </w:rPr>
        <w:t xml:space="preserve">Lewis </w:t>
      </w:r>
      <w:r w:rsidR="00290009">
        <w:rPr>
          <w:lang w:eastAsia="ja-JP"/>
        </w:rPr>
        <w:t xml:space="preserve">2013, </w:t>
      </w:r>
      <w:r w:rsidR="00E202DA">
        <w:rPr>
          <w:lang w:eastAsia="ja-JP"/>
        </w:rPr>
        <w:t xml:space="preserve">Subsea World News 2019, The Maritime Executive 2019, </w:t>
      </w:r>
      <w:r w:rsidR="00290009">
        <w:rPr>
          <w:lang w:eastAsia="ja-JP"/>
        </w:rPr>
        <w:t>Tamburri et al. 2020</w:t>
      </w:r>
      <w:r w:rsidR="005D77E6">
        <w:rPr>
          <w:lang w:eastAsia="ja-JP"/>
        </w:rPr>
        <w:t>)</w:t>
      </w:r>
      <w:r w:rsidR="00F81ED4">
        <w:rPr>
          <w:lang w:eastAsia="ja-JP"/>
        </w:rPr>
        <w:t>.</w:t>
      </w:r>
    </w:p>
    <w:p w14:paraId="424478CC" w14:textId="77777777" w:rsidR="00221DD9" w:rsidRDefault="00F56B54" w:rsidP="00230C64">
      <w:pPr>
        <w:rPr>
          <w:lang w:eastAsia="ja-JP"/>
        </w:rPr>
      </w:pPr>
      <w:r>
        <w:t xml:space="preserve">Most brush carts are hydraulically powered and steered and controlled by a diver, </w:t>
      </w:r>
      <w:r w:rsidR="003F0473">
        <w:t xml:space="preserve">however </w:t>
      </w:r>
      <w:r w:rsidR="007436D8">
        <w:t>s</w:t>
      </w:r>
      <w:r>
        <w:rPr>
          <w:lang w:eastAsia="ja-JP"/>
        </w:rPr>
        <w:t xml:space="preserve">ome autonomous hull cleaning units have been developed and are now in operation. These are tethered units that are controlled from the surface through an umbilical. Untethered, remotely operated units are under development, primarily for hull grooming </w:t>
      </w:r>
      <w:r>
        <w:t>(</w:t>
      </w:r>
      <w:r w:rsidR="00CD5C65">
        <w:t>See Morrisey &amp; Woods 2015 for examples of these three</w:t>
      </w:r>
      <w:r>
        <w:t xml:space="preserve"> systems)</w:t>
      </w:r>
      <w:r>
        <w:rPr>
          <w:lang w:eastAsia="ja-JP"/>
        </w:rPr>
        <w:t>.</w:t>
      </w:r>
    </w:p>
    <w:p w14:paraId="57DB0E4A" w14:textId="77777777" w:rsidR="00D74B1C" w:rsidRDefault="00F56B54" w:rsidP="00862962">
      <w:pPr>
        <w:pStyle w:val="ListNumber2"/>
        <w:numPr>
          <w:ilvl w:val="1"/>
          <w:numId w:val="50"/>
        </w:numPr>
      </w:pPr>
      <w:r w:rsidRPr="006B4A37">
        <w:t>Non-</w:t>
      </w:r>
      <w:r w:rsidR="006B4A37">
        <w:t>c</w:t>
      </w:r>
      <w:r w:rsidRPr="006B4A37">
        <w:t>ontact</w:t>
      </w:r>
    </w:p>
    <w:p w14:paraId="09C0011B" w14:textId="77777777" w:rsidR="00827747" w:rsidRDefault="00F56B54" w:rsidP="00FC729B">
      <w:pPr>
        <w:ind w:left="425"/>
      </w:pPr>
      <w:r>
        <w:t xml:space="preserve">Non-contact rotary disc systems have blades, or brushes, that do not touch the hull surface. </w:t>
      </w:r>
      <w:r w:rsidR="008E0522">
        <w:t>The biofouling is removed by the water turbulence created by the spinning discs</w:t>
      </w:r>
      <w:r w:rsidR="005D77E6">
        <w:t xml:space="preserve"> (</w:t>
      </w:r>
      <w:r w:rsidR="00CD5C65">
        <w:t>Morrisey &amp; Woods 2015</w:t>
      </w:r>
      <w:r w:rsidR="005D77E6">
        <w:t>)</w:t>
      </w:r>
      <w:r w:rsidR="008E0522">
        <w:t>.</w:t>
      </w:r>
      <w:r>
        <w:t xml:space="preserve"> </w:t>
      </w:r>
      <w:r w:rsidR="008E0522">
        <w:t xml:space="preserve">High pressure water jetting systems also do not have </w:t>
      </w:r>
      <w:r w:rsidR="00567128">
        <w:t xml:space="preserve">direct </w:t>
      </w:r>
      <w:r w:rsidR="008E0522">
        <w:t>physical contact with the surface. F</w:t>
      </w:r>
      <w:r w:rsidR="00567128">
        <w:t>R</w:t>
      </w:r>
      <w:r w:rsidR="008E0522">
        <w:t xml:space="preserve"> coatings</w:t>
      </w:r>
      <w:proofErr w:type="gramStart"/>
      <w:r w:rsidR="008E0522">
        <w:t>, in particular, need</w:t>
      </w:r>
      <w:proofErr w:type="gramEnd"/>
      <w:r w:rsidR="008E0522">
        <w:t xml:space="preserve"> to be cleaned with non-contact methods </w:t>
      </w:r>
      <w:r w:rsidR="00567128">
        <w:t xml:space="preserve">due to the susceptibility of these </w:t>
      </w:r>
      <w:r w:rsidR="008E0522">
        <w:t>coatings to abrasion damage and scratching</w:t>
      </w:r>
      <w:r w:rsidR="005D77E6">
        <w:t xml:space="preserve"> (</w:t>
      </w:r>
      <w:r w:rsidR="00CD5C65">
        <w:t>Lewis 2013, Oliveira &amp; Granhag 2020</w:t>
      </w:r>
      <w:r w:rsidR="005D77E6">
        <w:t>)</w:t>
      </w:r>
      <w:r w:rsidR="008E0522">
        <w:t>.</w:t>
      </w:r>
    </w:p>
    <w:p w14:paraId="25F72295" w14:textId="77777777" w:rsidR="00D74B1C" w:rsidRDefault="00F56B54" w:rsidP="00FC729B">
      <w:pPr>
        <w:pStyle w:val="ListNumber2"/>
      </w:pPr>
      <w:r w:rsidRPr="006B4A37">
        <w:t>Non-</w:t>
      </w:r>
      <w:r w:rsidR="006B4A37">
        <w:t>a</w:t>
      </w:r>
      <w:r w:rsidRPr="006B4A37">
        <w:t>brasive</w:t>
      </w:r>
    </w:p>
    <w:p w14:paraId="14F66355" w14:textId="77777777" w:rsidR="00827747" w:rsidRDefault="00F56B54" w:rsidP="00FC729B">
      <w:pPr>
        <w:ind w:left="425"/>
      </w:pPr>
      <w:r>
        <w:lastRenderedPageBreak/>
        <w:t>Non-abrasive rotary disc systems use brushes with soft silicon polypropylene or nylon bristles</w:t>
      </w:r>
      <w:r w:rsidR="00567128">
        <w:t xml:space="preserve">. These </w:t>
      </w:r>
      <w:proofErr w:type="gramStart"/>
      <w:r>
        <w:t>are able to</w:t>
      </w:r>
      <w:proofErr w:type="gramEnd"/>
      <w:r>
        <w:t xml:space="preserve"> remove light fouling, macroalgae and slime</w:t>
      </w:r>
      <w:r w:rsidR="00567128">
        <w:t>, but not heavy, strongly adhere</w:t>
      </w:r>
      <w:r w:rsidR="00473F86">
        <w:t>d</w:t>
      </w:r>
      <w:r w:rsidR="00567128">
        <w:t xml:space="preserve"> growths of hard-shelled organisms, such as barnacles and oysters</w:t>
      </w:r>
      <w:r>
        <w:t>.</w:t>
      </w:r>
    </w:p>
    <w:p w14:paraId="4B4D6601" w14:textId="77777777" w:rsidR="00D74B1C" w:rsidRDefault="00F56B54" w:rsidP="00FC729B">
      <w:pPr>
        <w:pStyle w:val="ListNumber2"/>
      </w:pPr>
      <w:r w:rsidRPr="006B4A37">
        <w:t>Abrasive</w:t>
      </w:r>
    </w:p>
    <w:p w14:paraId="734F220E" w14:textId="77777777" w:rsidR="00827747" w:rsidRDefault="00F56B54" w:rsidP="00FC729B">
      <w:pPr>
        <w:ind w:left="425"/>
      </w:pPr>
      <w:r>
        <w:t xml:space="preserve">For the removal of medium to heavy fouling, for example </w:t>
      </w:r>
      <w:r w:rsidR="006828C0">
        <w:t>barnacles, tubeworms and mussels, brushes with wire or stainless</w:t>
      </w:r>
      <w:r w:rsidR="00183E96">
        <w:t>-</w:t>
      </w:r>
      <w:r w:rsidR="006828C0">
        <w:t>steel bristles are needed.</w:t>
      </w:r>
    </w:p>
    <w:p w14:paraId="3DDA704B" w14:textId="77777777" w:rsidR="00FC729B" w:rsidRDefault="00F56B54" w:rsidP="00FC729B">
      <w:pPr>
        <w:pStyle w:val="Heading3"/>
        <w:rPr>
          <w:lang w:eastAsia="ja-JP"/>
        </w:rPr>
      </w:pPr>
      <w:bookmarkStart w:id="43" w:name="_Toc50117668"/>
      <w:r>
        <w:rPr>
          <w:lang w:eastAsia="ja-JP"/>
        </w:rPr>
        <w:t>Cleaning contaminant levels</w:t>
      </w:r>
      <w:bookmarkEnd w:id="43"/>
    </w:p>
    <w:p w14:paraId="0012B4CF" w14:textId="77777777" w:rsidR="00FC729B" w:rsidRDefault="00F56B54" w:rsidP="00FC729B">
      <w:pPr>
        <w:pStyle w:val="Heading4"/>
        <w:rPr>
          <w:lang w:eastAsia="ja-JP"/>
        </w:rPr>
      </w:pPr>
      <w:r>
        <w:rPr>
          <w:lang w:eastAsia="ja-JP"/>
        </w:rPr>
        <w:t xml:space="preserve">Manual </w:t>
      </w:r>
      <w:r w:rsidR="00DD30B0">
        <w:rPr>
          <w:lang w:eastAsia="ja-JP"/>
        </w:rPr>
        <w:t>c</w:t>
      </w:r>
      <w:r>
        <w:rPr>
          <w:lang w:eastAsia="ja-JP"/>
        </w:rPr>
        <w:t>leaning</w:t>
      </w:r>
    </w:p>
    <w:p w14:paraId="68AF0838" w14:textId="77777777" w:rsidR="00827747" w:rsidRDefault="00F56B54" w:rsidP="007F5E21">
      <w:pPr>
        <w:pStyle w:val="Heading5"/>
        <w:numPr>
          <w:ilvl w:val="0"/>
          <w:numId w:val="52"/>
        </w:numPr>
        <w:ind w:hanging="720"/>
        <w:rPr>
          <w:lang w:eastAsia="ja-JP"/>
        </w:rPr>
      </w:pPr>
      <w:r>
        <w:rPr>
          <w:lang w:eastAsia="ja-JP"/>
        </w:rPr>
        <w:t>Hand scraping</w:t>
      </w:r>
    </w:p>
    <w:p w14:paraId="1DDB2DD4" w14:textId="77777777" w:rsidR="0053784D" w:rsidRDefault="00F56B54" w:rsidP="00567128">
      <w:pPr>
        <w:rPr>
          <w:lang w:eastAsia="ja-JP"/>
        </w:rPr>
      </w:pPr>
      <w:r>
        <w:rPr>
          <w:lang w:eastAsia="ja-JP"/>
        </w:rPr>
        <w:t xml:space="preserve">The use of hand scrapers </w:t>
      </w:r>
      <w:r w:rsidR="00813079">
        <w:rPr>
          <w:lang w:eastAsia="ja-JP"/>
        </w:rPr>
        <w:t xml:space="preserve">can </w:t>
      </w:r>
      <w:r>
        <w:rPr>
          <w:lang w:eastAsia="ja-JP"/>
        </w:rPr>
        <w:t>remove visible biofouling and possibl</w:t>
      </w:r>
      <w:r w:rsidR="00A654DB">
        <w:rPr>
          <w:lang w:eastAsia="ja-JP"/>
        </w:rPr>
        <w:t>y</w:t>
      </w:r>
      <w:r>
        <w:rPr>
          <w:lang w:eastAsia="ja-JP"/>
        </w:rPr>
        <w:t xml:space="preserve"> some of the coating surface. If areas of soft biofouling, such as patches of filamentous green algae, are removed by hand scraping, it is possible that some of the coating surface will be removed but, if the coating is in good condition, this is likely to be the leached layer and not the harder underlying coating.</w:t>
      </w:r>
      <w:r w:rsidR="00827747">
        <w:rPr>
          <w:lang w:eastAsia="ja-JP"/>
        </w:rPr>
        <w:t xml:space="preserve"> </w:t>
      </w:r>
      <w:r>
        <w:rPr>
          <w:lang w:eastAsia="ja-JP"/>
        </w:rPr>
        <w:t>Should the coating be breaking down, with the biofouling on or around areas of delaminated antifouling coating, hand scraping could dislodge flaking or lifting paint in the area being cleaned.</w:t>
      </w:r>
    </w:p>
    <w:p w14:paraId="7C79EB30" w14:textId="77777777" w:rsidR="005C2D3F" w:rsidRDefault="00F56B54" w:rsidP="00567128">
      <w:pPr>
        <w:rPr>
          <w:lang w:eastAsia="ja-JP"/>
        </w:rPr>
      </w:pPr>
      <w:r>
        <w:rPr>
          <w:lang w:eastAsia="ja-JP"/>
        </w:rPr>
        <w:t xml:space="preserve">Hard shelled biofouling organisms attached to hull surface are mostly strongly adherent, and often the adherent base </w:t>
      </w:r>
      <w:r w:rsidR="0053784D">
        <w:rPr>
          <w:lang w:eastAsia="ja-JP"/>
        </w:rPr>
        <w:t>cannot</w:t>
      </w:r>
      <w:r>
        <w:rPr>
          <w:lang w:eastAsia="ja-JP"/>
        </w:rPr>
        <w:t xml:space="preserve"> </w:t>
      </w:r>
      <w:r w:rsidR="0053784D">
        <w:rPr>
          <w:lang w:eastAsia="ja-JP"/>
        </w:rPr>
        <w:t xml:space="preserve">be </w:t>
      </w:r>
      <w:r>
        <w:rPr>
          <w:lang w:eastAsia="ja-JP"/>
        </w:rPr>
        <w:t>removed</w:t>
      </w:r>
      <w:r w:rsidR="0053784D">
        <w:rPr>
          <w:lang w:eastAsia="ja-JP"/>
        </w:rPr>
        <w:t xml:space="preserve"> (</w:t>
      </w:r>
      <w:r w:rsidR="00CD6889">
        <w:rPr>
          <w:lang w:eastAsia="ja-JP"/>
        </w:rPr>
        <w:t>personal observation</w:t>
      </w:r>
      <w:r w:rsidR="0053784D">
        <w:rPr>
          <w:lang w:eastAsia="ja-JP"/>
        </w:rPr>
        <w:t>)</w:t>
      </w:r>
      <w:r>
        <w:rPr>
          <w:lang w:eastAsia="ja-JP"/>
        </w:rPr>
        <w:t>. This is particularly the case for acorn barnacles with a calcareous baseplate and, on sound paint, the base persists</w:t>
      </w:r>
      <w:r w:rsidRPr="005C2D3F">
        <w:rPr>
          <w:lang w:eastAsia="ja-JP"/>
        </w:rPr>
        <w:t xml:space="preserve"> </w:t>
      </w:r>
      <w:r>
        <w:rPr>
          <w:lang w:eastAsia="ja-JP"/>
        </w:rPr>
        <w:t xml:space="preserve">after removal of the body and wall plates. The lower valve of oysters is similarly strongly adherent and difficult for divers to remove. A white calcareous scar often remains after tubeworms are removed, but this is </w:t>
      </w:r>
      <w:r w:rsidR="00803279">
        <w:rPr>
          <w:lang w:eastAsia="ja-JP"/>
        </w:rPr>
        <w:t xml:space="preserve">a light residue compared to </w:t>
      </w:r>
      <w:r>
        <w:rPr>
          <w:lang w:eastAsia="ja-JP"/>
        </w:rPr>
        <w:t>barnacles and oyster</w:t>
      </w:r>
      <w:r w:rsidR="0053784D">
        <w:rPr>
          <w:lang w:eastAsia="ja-JP"/>
        </w:rPr>
        <w:t xml:space="preserve"> </w:t>
      </w:r>
      <w:r w:rsidR="00803279">
        <w:rPr>
          <w:lang w:eastAsia="ja-JP"/>
        </w:rPr>
        <w:t>bases</w:t>
      </w:r>
      <w:r>
        <w:rPr>
          <w:lang w:eastAsia="ja-JP"/>
        </w:rPr>
        <w:t>.</w:t>
      </w:r>
    </w:p>
    <w:p w14:paraId="6C409416" w14:textId="77777777" w:rsidR="009528E5" w:rsidRDefault="00F56B54" w:rsidP="00566BE5">
      <w:pPr>
        <w:rPr>
          <w:lang w:eastAsia="ja-JP"/>
        </w:rPr>
      </w:pPr>
      <w:r>
        <w:rPr>
          <w:lang w:eastAsia="ja-JP"/>
        </w:rPr>
        <w:t xml:space="preserve">The entire shells of barnacles and oysters, including the base plates and lower valves, can be removed if the surface of the paint is not sound. This can happen if there is a </w:t>
      </w:r>
      <w:r w:rsidR="00607D59">
        <w:rPr>
          <w:lang w:eastAsia="ja-JP"/>
        </w:rPr>
        <w:t>well-developed</w:t>
      </w:r>
      <w:r>
        <w:rPr>
          <w:lang w:eastAsia="ja-JP"/>
        </w:rPr>
        <w:t xml:space="preserve"> leach layer, or if the coating system is defective or structurally weak and inter-coat or base coat delamination occurs. In the latter case, a flake of paint adhering to the barnacle or oyster may be removed. If dislodgement is due to a friable </w:t>
      </w:r>
      <w:r w:rsidR="0053784D">
        <w:rPr>
          <w:lang w:eastAsia="ja-JP"/>
        </w:rPr>
        <w:t>l</w:t>
      </w:r>
      <w:r>
        <w:rPr>
          <w:lang w:eastAsia="ja-JP"/>
        </w:rPr>
        <w:t>each layer, little coating is likely to detach</w:t>
      </w:r>
      <w:r w:rsidR="00566BE5">
        <w:rPr>
          <w:lang w:eastAsia="ja-JP"/>
        </w:rPr>
        <w:t>,</w:t>
      </w:r>
      <w:r>
        <w:rPr>
          <w:lang w:eastAsia="ja-JP"/>
        </w:rPr>
        <w:t xml:space="preserve"> and this </w:t>
      </w:r>
      <w:r w:rsidR="00566BE5">
        <w:rPr>
          <w:lang w:eastAsia="ja-JP"/>
        </w:rPr>
        <w:t xml:space="preserve">coating residue </w:t>
      </w:r>
      <w:r>
        <w:rPr>
          <w:lang w:eastAsia="ja-JP"/>
        </w:rPr>
        <w:t xml:space="preserve">would </w:t>
      </w:r>
      <w:r w:rsidR="00566BE5">
        <w:rPr>
          <w:lang w:eastAsia="ja-JP"/>
        </w:rPr>
        <w:t xml:space="preserve">most likely </w:t>
      </w:r>
      <w:r>
        <w:rPr>
          <w:lang w:eastAsia="ja-JP"/>
        </w:rPr>
        <w:t xml:space="preserve">be biocide depleted. Barnacles, </w:t>
      </w:r>
      <w:proofErr w:type="gramStart"/>
      <w:r>
        <w:rPr>
          <w:lang w:eastAsia="ja-JP"/>
        </w:rPr>
        <w:t>oysters</w:t>
      </w:r>
      <w:proofErr w:type="gramEnd"/>
      <w:r>
        <w:rPr>
          <w:lang w:eastAsia="ja-JP"/>
        </w:rPr>
        <w:t xml:space="preserve"> and other hard-shelled organisms should lift cleanly from a fouling release coating with no coating damage</w:t>
      </w:r>
      <w:r w:rsidR="0053784D">
        <w:rPr>
          <w:lang w:eastAsia="ja-JP"/>
        </w:rPr>
        <w:t xml:space="preserve"> (</w:t>
      </w:r>
      <w:r w:rsidR="00803279">
        <w:rPr>
          <w:lang w:eastAsia="ja-JP"/>
        </w:rPr>
        <w:t>Lejars et al. 2012</w:t>
      </w:r>
      <w:r w:rsidR="0053784D">
        <w:rPr>
          <w:lang w:eastAsia="ja-JP"/>
        </w:rPr>
        <w:t>)</w:t>
      </w:r>
      <w:r>
        <w:rPr>
          <w:lang w:eastAsia="ja-JP"/>
        </w:rPr>
        <w:t>.</w:t>
      </w:r>
    </w:p>
    <w:p w14:paraId="047DEF61" w14:textId="77777777" w:rsidR="00DD30B0" w:rsidRDefault="00F56B54" w:rsidP="00862962">
      <w:pPr>
        <w:pStyle w:val="Heading5"/>
        <w:rPr>
          <w:lang w:eastAsia="ja-JP"/>
        </w:rPr>
      </w:pPr>
      <w:r>
        <w:rPr>
          <w:lang w:eastAsia="ja-JP"/>
        </w:rPr>
        <w:t>Power</w:t>
      </w:r>
      <w:r w:rsidR="0053784D">
        <w:rPr>
          <w:lang w:eastAsia="ja-JP"/>
        </w:rPr>
        <w:t>ed</w:t>
      </w:r>
      <w:r>
        <w:rPr>
          <w:lang w:eastAsia="ja-JP"/>
        </w:rPr>
        <w:t xml:space="preserve"> hand tools</w:t>
      </w:r>
    </w:p>
    <w:p w14:paraId="6E55188E" w14:textId="77777777" w:rsidR="00DD30B0" w:rsidRDefault="00F56B54" w:rsidP="00566BE5">
      <w:pPr>
        <w:rPr>
          <w:lang w:eastAsia="ja-JP"/>
        </w:rPr>
      </w:pPr>
      <w:r>
        <w:rPr>
          <w:lang w:eastAsia="ja-JP"/>
        </w:rPr>
        <w:t>On painted surfaces, the degree of coating removal will depend on the aggressiveness of the clean</w:t>
      </w:r>
      <w:r w:rsidR="00803279">
        <w:rPr>
          <w:lang w:eastAsia="ja-JP"/>
        </w:rPr>
        <w:t>.</w:t>
      </w:r>
      <w:r>
        <w:rPr>
          <w:lang w:eastAsia="ja-JP"/>
        </w:rPr>
        <w:t xml:space="preserve"> This will be discussed below under mechanical cleaning.</w:t>
      </w:r>
    </w:p>
    <w:p w14:paraId="519BE1E4" w14:textId="77777777" w:rsidR="00DD30B0" w:rsidRDefault="00F56B54" w:rsidP="00566BE5">
      <w:pPr>
        <w:rPr>
          <w:lang w:eastAsia="ja-JP"/>
        </w:rPr>
      </w:pPr>
      <w:r>
        <w:rPr>
          <w:lang w:eastAsia="ja-JP"/>
        </w:rPr>
        <w:t xml:space="preserve">No contaminants are likely from the removal of biofouling from unpainted propellers. </w:t>
      </w:r>
      <w:r w:rsidR="00E02EEE">
        <w:rPr>
          <w:lang w:eastAsia="ja-JP"/>
        </w:rPr>
        <w:t>However, if the</w:t>
      </w:r>
      <w:r>
        <w:rPr>
          <w:lang w:eastAsia="ja-JP"/>
        </w:rPr>
        <w:t xml:space="preserve"> propeller roughness is due to corrosion pitting of the blade surfaces then</w:t>
      </w:r>
      <w:r w:rsidR="00566BE5">
        <w:rPr>
          <w:lang w:eastAsia="ja-JP"/>
        </w:rPr>
        <w:t>,</w:t>
      </w:r>
      <w:r>
        <w:rPr>
          <w:lang w:eastAsia="ja-JP"/>
        </w:rPr>
        <w:t xml:space="preserve"> </w:t>
      </w:r>
      <w:r w:rsidR="00AC497D">
        <w:rPr>
          <w:lang w:eastAsia="ja-JP"/>
        </w:rPr>
        <w:t xml:space="preserve">to </w:t>
      </w:r>
      <w:r w:rsidR="00E02EEE">
        <w:rPr>
          <w:lang w:eastAsia="ja-JP"/>
        </w:rPr>
        <w:t>achiev</w:t>
      </w:r>
      <w:r w:rsidR="00AC497D">
        <w:rPr>
          <w:lang w:eastAsia="ja-JP"/>
        </w:rPr>
        <w:t>e</w:t>
      </w:r>
      <w:r w:rsidR="00E02EEE">
        <w:rPr>
          <w:lang w:eastAsia="ja-JP"/>
        </w:rPr>
        <w:t xml:space="preserve"> a smooth surface</w:t>
      </w:r>
      <w:r w:rsidR="00566BE5">
        <w:rPr>
          <w:lang w:eastAsia="ja-JP"/>
        </w:rPr>
        <w:t>,</w:t>
      </w:r>
      <w:r w:rsidR="00E02EEE">
        <w:rPr>
          <w:lang w:eastAsia="ja-JP"/>
        </w:rPr>
        <w:t xml:space="preserve"> </w:t>
      </w:r>
      <w:r>
        <w:rPr>
          <w:lang w:eastAsia="ja-JP"/>
        </w:rPr>
        <w:t xml:space="preserve">the peaks of metal roughness </w:t>
      </w:r>
      <w:r w:rsidR="00E02EEE">
        <w:rPr>
          <w:lang w:eastAsia="ja-JP"/>
        </w:rPr>
        <w:t xml:space="preserve">need to </w:t>
      </w:r>
      <w:r>
        <w:rPr>
          <w:lang w:eastAsia="ja-JP"/>
        </w:rPr>
        <w:t>be removed</w:t>
      </w:r>
      <w:r w:rsidR="00566BE5">
        <w:rPr>
          <w:lang w:eastAsia="ja-JP"/>
        </w:rPr>
        <w:t xml:space="preserve"> which </w:t>
      </w:r>
      <w:r w:rsidR="004838C9">
        <w:rPr>
          <w:lang w:eastAsia="ja-JP"/>
        </w:rPr>
        <w:t>would</w:t>
      </w:r>
      <w:r w:rsidR="00E02EEE">
        <w:rPr>
          <w:lang w:eastAsia="ja-JP"/>
        </w:rPr>
        <w:t xml:space="preserve"> generate </w:t>
      </w:r>
      <w:r>
        <w:rPr>
          <w:lang w:eastAsia="ja-JP"/>
        </w:rPr>
        <w:t>metal particles.</w:t>
      </w:r>
      <w:r w:rsidR="00827747">
        <w:rPr>
          <w:lang w:eastAsia="ja-JP"/>
        </w:rPr>
        <w:t xml:space="preserve"> </w:t>
      </w:r>
      <w:r w:rsidR="004838C9">
        <w:rPr>
          <w:lang w:eastAsia="ja-JP"/>
        </w:rPr>
        <w:t>Metal particles are likely to sink to the seafloor where corrosion reactions would continue.</w:t>
      </w:r>
    </w:p>
    <w:p w14:paraId="6435CDA7" w14:textId="77777777" w:rsidR="00827747" w:rsidRDefault="00F56B54" w:rsidP="00DD30B0">
      <w:pPr>
        <w:pStyle w:val="Heading4"/>
        <w:rPr>
          <w:lang w:eastAsia="ja-JP"/>
        </w:rPr>
      </w:pPr>
      <w:r>
        <w:rPr>
          <w:lang w:eastAsia="ja-JP"/>
        </w:rPr>
        <w:t>High pressure wa</w:t>
      </w:r>
      <w:r w:rsidR="004838C9">
        <w:rPr>
          <w:lang w:eastAsia="ja-JP"/>
        </w:rPr>
        <w:t>ter jetting</w:t>
      </w:r>
    </w:p>
    <w:p w14:paraId="7F1F7A19" w14:textId="77777777" w:rsidR="004838C9" w:rsidRDefault="00F56B54" w:rsidP="004838C9">
      <w:pPr>
        <w:rPr>
          <w:lang w:eastAsia="ja-JP"/>
        </w:rPr>
      </w:pPr>
      <w:r>
        <w:rPr>
          <w:lang w:eastAsia="ja-JP"/>
        </w:rPr>
        <w:t>The effect of high</w:t>
      </w:r>
      <w:r w:rsidR="00183E96">
        <w:rPr>
          <w:lang w:eastAsia="ja-JP"/>
        </w:rPr>
        <w:t>-</w:t>
      </w:r>
      <w:r>
        <w:rPr>
          <w:lang w:eastAsia="ja-JP"/>
        </w:rPr>
        <w:t xml:space="preserve">pressure jetting on a surface </w:t>
      </w:r>
      <w:r w:rsidR="00566BE5">
        <w:rPr>
          <w:lang w:eastAsia="ja-JP"/>
        </w:rPr>
        <w:t xml:space="preserve">would </w:t>
      </w:r>
      <w:r>
        <w:rPr>
          <w:lang w:eastAsia="ja-JP"/>
        </w:rPr>
        <w:t xml:space="preserve">depend on the water pressure at the nozzle and the distance between the nozzle and the surface. </w:t>
      </w:r>
      <w:r w:rsidR="0053784D">
        <w:rPr>
          <w:lang w:eastAsia="ja-JP"/>
        </w:rPr>
        <w:t xml:space="preserve">Due to the resistance of the </w:t>
      </w:r>
      <w:proofErr w:type="gramStart"/>
      <w:r w:rsidR="0053784D">
        <w:rPr>
          <w:lang w:eastAsia="ja-JP"/>
        </w:rPr>
        <w:t>water</w:t>
      </w:r>
      <w:r w:rsidR="007B16E2">
        <w:rPr>
          <w:lang w:eastAsia="ja-JP"/>
        </w:rPr>
        <w:t xml:space="preserve">, </w:t>
      </w:r>
      <w:r w:rsidR="007436D8">
        <w:rPr>
          <w:lang w:eastAsia="ja-JP"/>
        </w:rPr>
        <w:lastRenderedPageBreak/>
        <w:t>when</w:t>
      </w:r>
      <w:proofErr w:type="gramEnd"/>
      <w:r w:rsidR="007436D8">
        <w:rPr>
          <w:lang w:eastAsia="ja-JP"/>
        </w:rPr>
        <w:t xml:space="preserve"> this is performed underwater </w:t>
      </w:r>
      <w:r w:rsidR="007B16E2">
        <w:rPr>
          <w:lang w:eastAsia="ja-JP"/>
        </w:rPr>
        <w:t>t</w:t>
      </w:r>
      <w:r>
        <w:rPr>
          <w:lang w:eastAsia="ja-JP"/>
        </w:rPr>
        <w:t xml:space="preserve">he drop </w:t>
      </w:r>
      <w:r w:rsidR="007B16E2">
        <w:rPr>
          <w:lang w:eastAsia="ja-JP"/>
        </w:rPr>
        <w:t xml:space="preserve">in </w:t>
      </w:r>
      <w:r>
        <w:rPr>
          <w:lang w:eastAsia="ja-JP"/>
        </w:rPr>
        <w:t xml:space="preserve">pressure </w:t>
      </w:r>
      <w:r w:rsidR="007B16E2">
        <w:rPr>
          <w:lang w:eastAsia="ja-JP"/>
        </w:rPr>
        <w:t xml:space="preserve">between the nozzle and the surface is greater than </w:t>
      </w:r>
      <w:r w:rsidR="00566BE5">
        <w:rPr>
          <w:lang w:eastAsia="ja-JP"/>
        </w:rPr>
        <w:t xml:space="preserve">in </w:t>
      </w:r>
      <w:r w:rsidR="007B16E2">
        <w:rPr>
          <w:lang w:eastAsia="ja-JP"/>
        </w:rPr>
        <w:t>air.</w:t>
      </w:r>
    </w:p>
    <w:p w14:paraId="759C09A4" w14:textId="77777777" w:rsidR="007B16E2" w:rsidRDefault="00F56B54" w:rsidP="004838C9">
      <w:pPr>
        <w:rPr>
          <w:lang w:eastAsia="ja-JP"/>
        </w:rPr>
      </w:pPr>
      <w:r>
        <w:rPr>
          <w:lang w:eastAsia="ja-JP"/>
        </w:rPr>
        <w:t>In dry-dock, high pressure water jetting is use</w:t>
      </w:r>
      <w:r w:rsidR="00EB5E00">
        <w:rPr>
          <w:lang w:eastAsia="ja-JP"/>
        </w:rPr>
        <w:t>d</w:t>
      </w:r>
      <w:r>
        <w:rPr>
          <w:lang w:eastAsia="ja-JP"/>
        </w:rPr>
        <w:t xml:space="preserve"> to remove light fouling, slime and other surface deposits, and the leached layer to reactivate the antifouling</w:t>
      </w:r>
      <w:r w:rsidR="00566BE5">
        <w:rPr>
          <w:lang w:eastAsia="ja-JP"/>
        </w:rPr>
        <w:t>,</w:t>
      </w:r>
      <w:r>
        <w:rPr>
          <w:lang w:eastAsia="ja-JP"/>
        </w:rPr>
        <w:t xml:space="preserve"> if it is not to be recoated, or as surface preparation to ensure good adhesion</w:t>
      </w:r>
      <w:r w:rsidR="00566BE5">
        <w:rPr>
          <w:lang w:eastAsia="ja-JP"/>
        </w:rPr>
        <w:t xml:space="preserve"> of new paint coats</w:t>
      </w:r>
      <w:r>
        <w:rPr>
          <w:lang w:eastAsia="ja-JP"/>
        </w:rPr>
        <w:t>. If the nozzle is held too close to the paint surface, directed directly at the surface, and</w:t>
      </w:r>
      <w:r w:rsidR="00566BE5">
        <w:rPr>
          <w:lang w:eastAsia="ja-JP"/>
        </w:rPr>
        <w:t>/or</w:t>
      </w:r>
      <w:r>
        <w:rPr>
          <w:lang w:eastAsia="ja-JP"/>
        </w:rPr>
        <w:t xml:space="preserve"> held in one position for too long, the water jet will cut </w:t>
      </w:r>
      <w:r w:rsidR="00A433F0">
        <w:rPr>
          <w:lang w:eastAsia="ja-JP"/>
        </w:rPr>
        <w:t xml:space="preserve">into the sound paint below the leached layer. This can still happen under water but, because of the resistance of the seawater, the risk is reduced. In the hands of a skilled </w:t>
      </w:r>
      <w:r w:rsidR="0053784D">
        <w:rPr>
          <w:lang w:eastAsia="ja-JP"/>
        </w:rPr>
        <w:t>operator</w:t>
      </w:r>
      <w:r w:rsidR="00A433F0">
        <w:rPr>
          <w:lang w:eastAsia="ja-JP"/>
        </w:rPr>
        <w:t xml:space="preserve">, </w:t>
      </w:r>
      <w:r w:rsidR="00114457">
        <w:rPr>
          <w:lang w:eastAsia="ja-JP"/>
        </w:rPr>
        <w:t xml:space="preserve">or for automated cart systems, </w:t>
      </w:r>
      <w:r w:rsidR="00A433F0">
        <w:rPr>
          <w:lang w:eastAsia="ja-JP"/>
        </w:rPr>
        <w:t xml:space="preserve">no more than the slime and leached layer </w:t>
      </w:r>
      <w:r w:rsidR="0053784D">
        <w:rPr>
          <w:lang w:eastAsia="ja-JP"/>
        </w:rPr>
        <w:t xml:space="preserve">is likely to </w:t>
      </w:r>
      <w:r w:rsidR="00A433F0">
        <w:rPr>
          <w:lang w:eastAsia="ja-JP"/>
        </w:rPr>
        <w:t>be removed.</w:t>
      </w:r>
    </w:p>
    <w:p w14:paraId="7E2ABC74" w14:textId="77777777" w:rsidR="00A433F0" w:rsidRDefault="00F56B54" w:rsidP="004838C9">
      <w:pPr>
        <w:rPr>
          <w:lang w:eastAsia="ja-JP"/>
        </w:rPr>
      </w:pPr>
      <w:r>
        <w:rPr>
          <w:lang w:eastAsia="ja-JP"/>
        </w:rPr>
        <w:t>As for all cleaning methods, if there are coating defects that have led to areas of flaking or lifting paint, water jetting will dislodge paint flakes from the surface.</w:t>
      </w:r>
    </w:p>
    <w:p w14:paraId="488CB34A" w14:textId="77777777" w:rsidR="00E02EEE" w:rsidRDefault="00F56B54" w:rsidP="00DD30B0">
      <w:pPr>
        <w:pStyle w:val="Heading4"/>
        <w:rPr>
          <w:lang w:eastAsia="ja-JP"/>
        </w:rPr>
      </w:pPr>
      <w:r>
        <w:rPr>
          <w:lang w:eastAsia="ja-JP"/>
        </w:rPr>
        <w:t>Mechanical cleaning</w:t>
      </w:r>
    </w:p>
    <w:p w14:paraId="58C6EF2E" w14:textId="77777777" w:rsidR="00FC729B" w:rsidRDefault="00F56B54" w:rsidP="007F5E21">
      <w:pPr>
        <w:pStyle w:val="Heading5"/>
        <w:numPr>
          <w:ilvl w:val="0"/>
          <w:numId w:val="53"/>
        </w:numPr>
        <w:ind w:hanging="720"/>
        <w:rPr>
          <w:lang w:eastAsia="ja-JP"/>
        </w:rPr>
      </w:pPr>
      <w:r>
        <w:rPr>
          <w:lang w:eastAsia="ja-JP"/>
        </w:rPr>
        <w:t xml:space="preserve"> </w:t>
      </w:r>
      <w:r w:rsidR="00A433F0">
        <w:rPr>
          <w:lang w:eastAsia="ja-JP"/>
        </w:rPr>
        <w:t>Non-contact</w:t>
      </w:r>
    </w:p>
    <w:p w14:paraId="62D2949F" w14:textId="77777777" w:rsidR="00A433F0" w:rsidRDefault="00F56B54" w:rsidP="00566BE5">
      <w:pPr>
        <w:rPr>
          <w:lang w:eastAsia="ja-JP"/>
        </w:rPr>
      </w:pPr>
      <w:r>
        <w:rPr>
          <w:lang w:eastAsia="ja-JP"/>
        </w:rPr>
        <w:t xml:space="preserve">Non-contact mechanical cleaning methods </w:t>
      </w:r>
      <w:r w:rsidR="00091F42">
        <w:rPr>
          <w:lang w:eastAsia="ja-JP"/>
        </w:rPr>
        <w:t xml:space="preserve">can </w:t>
      </w:r>
      <w:r>
        <w:rPr>
          <w:lang w:eastAsia="ja-JP"/>
        </w:rPr>
        <w:t xml:space="preserve">remove </w:t>
      </w:r>
      <w:r w:rsidR="007D2029">
        <w:rPr>
          <w:lang w:eastAsia="ja-JP"/>
        </w:rPr>
        <w:t xml:space="preserve">slime and </w:t>
      </w:r>
      <w:r>
        <w:rPr>
          <w:lang w:eastAsia="ja-JP"/>
        </w:rPr>
        <w:t>weakly attached macrofouling, both soft and hard. The leached layer of biocidal antifouling coatings would only be removed if this is loosely adherent.</w:t>
      </w:r>
      <w:r w:rsidR="007D2029">
        <w:rPr>
          <w:lang w:eastAsia="ja-JP"/>
        </w:rPr>
        <w:t xml:space="preserve"> Flakes of loose and lifting paint from defective areas of paint </w:t>
      </w:r>
      <w:r w:rsidR="00FB0FE5">
        <w:rPr>
          <w:lang w:eastAsia="ja-JP"/>
        </w:rPr>
        <w:t xml:space="preserve">are likely to </w:t>
      </w:r>
      <w:r w:rsidR="007D2029">
        <w:rPr>
          <w:lang w:eastAsia="ja-JP"/>
        </w:rPr>
        <w:t xml:space="preserve">be </w:t>
      </w:r>
      <w:r w:rsidR="00E142EB">
        <w:rPr>
          <w:lang w:eastAsia="ja-JP"/>
        </w:rPr>
        <w:t>dislodged.</w:t>
      </w:r>
    </w:p>
    <w:p w14:paraId="439C7A98" w14:textId="77777777" w:rsidR="00155DA6" w:rsidRDefault="00F56B54" w:rsidP="00862962">
      <w:pPr>
        <w:pStyle w:val="Heading5"/>
        <w:rPr>
          <w:lang w:eastAsia="ja-JP"/>
        </w:rPr>
      </w:pPr>
      <w:r>
        <w:rPr>
          <w:lang w:eastAsia="ja-JP"/>
        </w:rPr>
        <w:t>Non-abrasive</w:t>
      </w:r>
    </w:p>
    <w:p w14:paraId="6517E319" w14:textId="77777777" w:rsidR="00E142EB" w:rsidRDefault="00F56B54" w:rsidP="00566BE5">
      <w:pPr>
        <w:rPr>
          <w:lang w:eastAsia="ja-JP"/>
        </w:rPr>
      </w:pPr>
      <w:r>
        <w:rPr>
          <w:lang w:eastAsia="ja-JP"/>
        </w:rPr>
        <w:t xml:space="preserve">Non-abrasive cleaning, with soft brushes, </w:t>
      </w:r>
      <w:r w:rsidR="00091F42">
        <w:rPr>
          <w:lang w:eastAsia="ja-JP"/>
        </w:rPr>
        <w:t xml:space="preserve">can </w:t>
      </w:r>
      <w:r>
        <w:rPr>
          <w:lang w:eastAsia="ja-JP"/>
        </w:rPr>
        <w:t xml:space="preserve">remove </w:t>
      </w:r>
      <w:r w:rsidR="007D2029">
        <w:rPr>
          <w:lang w:eastAsia="ja-JP"/>
        </w:rPr>
        <w:t xml:space="preserve">slime, </w:t>
      </w:r>
      <w:r>
        <w:rPr>
          <w:lang w:eastAsia="ja-JP"/>
        </w:rPr>
        <w:t>weak to moderately strongly a</w:t>
      </w:r>
      <w:r w:rsidR="007D2029">
        <w:rPr>
          <w:lang w:eastAsia="ja-JP"/>
        </w:rPr>
        <w:t xml:space="preserve">ttached macrofouling, both soft and hard, and the leached layer. Strongly adherent biofouling, such as calcareous barnacle bases and lower valves oysters, are unlikely to be removed. </w:t>
      </w:r>
      <w:r w:rsidR="0039789B">
        <w:rPr>
          <w:lang w:eastAsia="ja-JP"/>
        </w:rPr>
        <w:t>Non-abrasive cleaning may not be able to completely remove t</w:t>
      </w:r>
      <w:r w:rsidR="007D2029">
        <w:rPr>
          <w:lang w:eastAsia="ja-JP"/>
        </w:rPr>
        <w:t>hick fouling growth, whether dense aggregations of barnacles or calcareous tubeworms, or complex aggregations of hard and soft fouling</w:t>
      </w:r>
      <w:r w:rsidR="0039789B">
        <w:rPr>
          <w:lang w:eastAsia="ja-JP"/>
        </w:rPr>
        <w:t xml:space="preserve">. Non-abrasive methods should not remove sound paint. Loose </w:t>
      </w:r>
      <w:r>
        <w:rPr>
          <w:lang w:eastAsia="ja-JP"/>
        </w:rPr>
        <w:t xml:space="preserve">and moderately adherent </w:t>
      </w:r>
      <w:r w:rsidR="0039789B">
        <w:rPr>
          <w:lang w:eastAsia="ja-JP"/>
        </w:rPr>
        <w:t xml:space="preserve">lifting </w:t>
      </w:r>
      <w:r>
        <w:rPr>
          <w:lang w:eastAsia="ja-JP"/>
        </w:rPr>
        <w:t xml:space="preserve">and delaminating </w:t>
      </w:r>
      <w:r w:rsidR="0039789B">
        <w:rPr>
          <w:lang w:eastAsia="ja-JP"/>
        </w:rPr>
        <w:t>pain</w:t>
      </w:r>
      <w:r>
        <w:rPr>
          <w:lang w:eastAsia="ja-JP"/>
        </w:rPr>
        <w:t xml:space="preserve">t flakes </w:t>
      </w:r>
      <w:r w:rsidR="00FB0FE5">
        <w:rPr>
          <w:lang w:eastAsia="ja-JP"/>
        </w:rPr>
        <w:t xml:space="preserve">are likely to </w:t>
      </w:r>
      <w:r>
        <w:rPr>
          <w:lang w:eastAsia="ja-JP"/>
        </w:rPr>
        <w:t>be dislodged.</w:t>
      </w:r>
    </w:p>
    <w:p w14:paraId="607013AA" w14:textId="77777777" w:rsidR="00E142EB" w:rsidRDefault="00F56B54" w:rsidP="00862962">
      <w:pPr>
        <w:pStyle w:val="Heading5"/>
        <w:rPr>
          <w:lang w:eastAsia="ja-JP"/>
        </w:rPr>
      </w:pPr>
      <w:r>
        <w:rPr>
          <w:lang w:eastAsia="ja-JP"/>
        </w:rPr>
        <w:t>Abrasive</w:t>
      </w:r>
    </w:p>
    <w:p w14:paraId="46AF5BF1" w14:textId="77777777" w:rsidR="00916C16" w:rsidRDefault="00F56B54" w:rsidP="00566BE5">
      <w:r>
        <w:rPr>
          <w:lang w:eastAsia="ja-JP"/>
        </w:rPr>
        <w:t xml:space="preserve">Abrasive </w:t>
      </w:r>
      <w:r w:rsidR="00566BE5">
        <w:rPr>
          <w:lang w:eastAsia="ja-JP"/>
        </w:rPr>
        <w:t>cleaning</w:t>
      </w:r>
      <w:r w:rsidR="00156E90">
        <w:rPr>
          <w:lang w:eastAsia="ja-JP"/>
        </w:rPr>
        <w:t xml:space="preserve"> </w:t>
      </w:r>
      <w:r w:rsidR="00091F42">
        <w:rPr>
          <w:lang w:eastAsia="ja-JP"/>
        </w:rPr>
        <w:t xml:space="preserve">can </w:t>
      </w:r>
      <w:r>
        <w:rPr>
          <w:lang w:eastAsia="ja-JP"/>
        </w:rPr>
        <w:t>remove all hard and soft growth</w:t>
      </w:r>
      <w:r w:rsidR="00CC2663">
        <w:rPr>
          <w:lang w:eastAsia="ja-JP"/>
        </w:rPr>
        <w:t xml:space="preserve">, slime, the leached layer and, most likely the </w:t>
      </w:r>
      <w:r w:rsidR="00566BE5">
        <w:rPr>
          <w:lang w:eastAsia="ja-JP"/>
        </w:rPr>
        <w:t xml:space="preserve">outer </w:t>
      </w:r>
      <w:r w:rsidR="00CC2663">
        <w:rPr>
          <w:lang w:eastAsia="ja-JP"/>
        </w:rPr>
        <w:t xml:space="preserve">surface of sound paint. </w:t>
      </w:r>
      <w:r w:rsidR="00566BE5">
        <w:rPr>
          <w:lang w:eastAsia="ja-JP"/>
        </w:rPr>
        <w:t>The depth of coating removal would depend on the hardness and density of the brush bristles</w:t>
      </w:r>
      <w:r w:rsidR="003255EA">
        <w:rPr>
          <w:lang w:eastAsia="ja-JP"/>
        </w:rPr>
        <w:t>, application pressure</w:t>
      </w:r>
      <w:r w:rsidR="00566BE5">
        <w:rPr>
          <w:lang w:eastAsia="ja-JP"/>
        </w:rPr>
        <w:t xml:space="preserve"> and the transit speed of the cart across the surface. </w:t>
      </w:r>
      <w:r w:rsidR="00CC2663">
        <w:rPr>
          <w:lang w:eastAsia="ja-JP"/>
        </w:rPr>
        <w:t xml:space="preserve">Delaminating </w:t>
      </w:r>
      <w:r w:rsidR="003C09B1">
        <w:rPr>
          <w:lang w:eastAsia="ja-JP"/>
        </w:rPr>
        <w:t xml:space="preserve">and blistering </w:t>
      </w:r>
      <w:r w:rsidR="00CC2663">
        <w:rPr>
          <w:lang w:eastAsia="ja-JP"/>
        </w:rPr>
        <w:t>paint would be removed, with the likelihood of flakes being dislodged out from the location of initial delamination.</w:t>
      </w:r>
      <w:r w:rsidR="00827747">
        <w:rPr>
          <w:lang w:eastAsia="ja-JP"/>
        </w:rPr>
        <w:t xml:space="preserve"> </w:t>
      </w:r>
      <w:r w:rsidR="006C2E7D">
        <w:t>Cleaning can also aggravate the spread of corrosion by rupturing blisters, if present, at the coating-steel interface</w:t>
      </w:r>
      <w:r w:rsidR="00473F86">
        <w:t>.</w:t>
      </w:r>
    </w:p>
    <w:p w14:paraId="5066F7B4" w14:textId="77777777" w:rsidR="00916C16" w:rsidRDefault="00F56B54" w:rsidP="00916C16">
      <w:pPr>
        <w:pStyle w:val="Heading3"/>
      </w:pPr>
      <w:bookmarkStart w:id="44" w:name="_Toc50117669"/>
      <w:r>
        <w:t xml:space="preserve">IWC </w:t>
      </w:r>
      <w:r w:rsidR="0031761D">
        <w:t>R</w:t>
      </w:r>
      <w:r>
        <w:t>ecommendations</w:t>
      </w:r>
      <w:bookmarkEnd w:id="44"/>
    </w:p>
    <w:p w14:paraId="1939955A" w14:textId="77777777" w:rsidR="00916C16" w:rsidRDefault="00F56B54" w:rsidP="00916C16">
      <w:proofErr w:type="gramStart"/>
      <w:r>
        <w:t>In regard to</w:t>
      </w:r>
      <w:proofErr w:type="gramEnd"/>
      <w:r>
        <w:t xml:space="preserve"> </w:t>
      </w:r>
      <w:r w:rsidR="00E74DC5">
        <w:t>cleaning scenarios</w:t>
      </w:r>
      <w:r>
        <w:t>, it is recommended that:</w:t>
      </w:r>
    </w:p>
    <w:p w14:paraId="512352D2" w14:textId="77777777" w:rsidR="00916C16" w:rsidRDefault="00F56B54" w:rsidP="00916C16">
      <w:r>
        <w:t>IWC should:</w:t>
      </w:r>
    </w:p>
    <w:p w14:paraId="532D13CF" w14:textId="77777777" w:rsidR="00E74DC5" w:rsidRDefault="00F56B54" w:rsidP="001F288E">
      <w:pPr>
        <w:pStyle w:val="ListBullet"/>
      </w:pPr>
      <w:r>
        <w:t>be restricted to areas on wetted surfaces where growth is</w:t>
      </w:r>
      <w:r w:rsidR="003255EA">
        <w:t xml:space="preserve"> considered</w:t>
      </w:r>
      <w:r>
        <w:t xml:space="preserve"> unacceptable </w:t>
      </w:r>
      <w:r w:rsidR="003255EA">
        <w:t xml:space="preserve">to vessel operators or for biosecurity compliance, </w:t>
      </w:r>
      <w:r>
        <w:t>and the least aggressive and most appropriate methods used to achieve the required result.</w:t>
      </w:r>
      <w:r w:rsidR="00827747">
        <w:t xml:space="preserve"> </w:t>
      </w:r>
      <w:r>
        <w:t>The cleaning method should be chosen to ensure the coating is not damaged. A combination of methods is likely to be required for the outcome of a ‘clean hull’, which includes all wetted surfaces</w:t>
      </w:r>
      <w:r w:rsidR="007F5E21">
        <w:t>.</w:t>
      </w:r>
    </w:p>
    <w:p w14:paraId="035DDE05" w14:textId="6764944F" w:rsidR="00155DA6" w:rsidRPr="00FC729B" w:rsidRDefault="00F56B54" w:rsidP="001F288E">
      <w:pPr>
        <w:rPr>
          <w:lang w:eastAsia="ja-JP"/>
        </w:rPr>
      </w:pPr>
      <w:r>
        <w:lastRenderedPageBreak/>
        <w:t xml:space="preserve">Less restrictive regulations for hull grooming would assist with </w:t>
      </w:r>
      <w:r w:rsidR="00A31303">
        <w:t>uptake</w:t>
      </w:r>
      <w:r>
        <w:t xml:space="preserve"> of this </w:t>
      </w:r>
      <w:r w:rsidR="00A31303">
        <w:t xml:space="preserve">approach </w:t>
      </w:r>
      <w:r>
        <w:t xml:space="preserve">to minimise the development of primary biofouling that can increase hull friction and consequent fuel consumption and harmful air emissions. A method is proposed for this in Section </w:t>
      </w:r>
      <w:r w:rsidR="009D623E">
        <w:fldChar w:fldCharType="begin"/>
      </w:r>
      <w:r w:rsidR="009D623E">
        <w:instrText xml:space="preserve"> REF _Ref50119430 \r \h </w:instrText>
      </w:r>
      <w:r w:rsidR="009D623E">
        <w:fldChar w:fldCharType="separate"/>
      </w:r>
      <w:r w:rsidR="001C040D">
        <w:t>7</w:t>
      </w:r>
      <w:r w:rsidR="009D623E">
        <w:fldChar w:fldCharType="end"/>
      </w:r>
      <w:r>
        <w:t>.</w:t>
      </w:r>
      <w:r w:rsidR="003255EA">
        <w:t xml:space="preserve"> Similarly, facilitating proactive IWC</w:t>
      </w:r>
      <w:r w:rsidR="00183E96">
        <w:t>,</w:t>
      </w:r>
      <w:r w:rsidR="003255EA">
        <w:t xml:space="preserve"> would minimise the need for reactive IWC.</w:t>
      </w:r>
    </w:p>
    <w:p w14:paraId="431B15EC" w14:textId="77777777" w:rsidR="00D74B1C" w:rsidRDefault="00F56B54" w:rsidP="00D74B1C">
      <w:pPr>
        <w:pStyle w:val="Heading2"/>
      </w:pPr>
      <w:bookmarkStart w:id="45" w:name="_Toc50117670"/>
      <w:r>
        <w:lastRenderedPageBreak/>
        <w:t xml:space="preserve">Cleaning &amp; </w:t>
      </w:r>
      <w:r w:rsidR="0031761D">
        <w:t>c</w:t>
      </w:r>
      <w:r>
        <w:t xml:space="preserve">apture </w:t>
      </w:r>
      <w:r w:rsidR="0031761D">
        <w:t>r</w:t>
      </w:r>
      <w:r>
        <w:t>equirements</w:t>
      </w:r>
      <w:bookmarkEnd w:id="45"/>
    </w:p>
    <w:p w14:paraId="0124C9BE" w14:textId="77777777" w:rsidR="00D74B1C" w:rsidRDefault="00F56B54" w:rsidP="00D74B1C">
      <w:pPr>
        <w:pStyle w:val="Heading3"/>
        <w:rPr>
          <w:lang w:eastAsia="ja-JP"/>
        </w:rPr>
      </w:pPr>
      <w:bookmarkStart w:id="46" w:name="_Toc50117671"/>
      <w:r>
        <w:rPr>
          <w:lang w:eastAsia="ja-JP"/>
        </w:rPr>
        <w:t xml:space="preserve">Effluent </w:t>
      </w:r>
      <w:r w:rsidR="0031761D">
        <w:rPr>
          <w:lang w:eastAsia="ja-JP"/>
        </w:rPr>
        <w:t>s</w:t>
      </w:r>
      <w:r>
        <w:rPr>
          <w:lang w:eastAsia="ja-JP"/>
        </w:rPr>
        <w:t>tandards</w:t>
      </w:r>
      <w:bookmarkEnd w:id="46"/>
    </w:p>
    <w:p w14:paraId="7B5C2AAD" w14:textId="77777777" w:rsidR="00CC2663" w:rsidRDefault="00F56B54" w:rsidP="00CC2663">
      <w:pPr>
        <w:rPr>
          <w:lang w:eastAsia="ja-JP"/>
        </w:rPr>
      </w:pPr>
      <w:r>
        <w:rPr>
          <w:lang w:eastAsia="ja-JP"/>
        </w:rPr>
        <w:t xml:space="preserve">The current </w:t>
      </w:r>
      <w:r w:rsidR="007F5E08">
        <w:rPr>
          <w:lang w:eastAsia="ja-JP"/>
        </w:rPr>
        <w:t>‘</w:t>
      </w:r>
      <w:r>
        <w:rPr>
          <w:lang w:eastAsia="ja-JP"/>
        </w:rPr>
        <w:t>Anti-Fouling and In-Water Cleaning Guidelines</w:t>
      </w:r>
      <w:r w:rsidR="00936055">
        <w:rPr>
          <w:lang w:eastAsia="ja-JP"/>
        </w:rPr>
        <w:t>’</w:t>
      </w:r>
      <w:r>
        <w:rPr>
          <w:lang w:eastAsia="ja-JP"/>
        </w:rPr>
        <w:t xml:space="preserve"> (DoA</w:t>
      </w:r>
      <w:r w:rsidR="007F5E08">
        <w:rPr>
          <w:lang w:eastAsia="ja-JP"/>
        </w:rPr>
        <w:t>/NZMPI</w:t>
      </w:r>
      <w:r>
        <w:rPr>
          <w:lang w:eastAsia="ja-JP"/>
        </w:rPr>
        <w:t xml:space="preserve"> </w:t>
      </w:r>
      <w:r w:rsidRPr="007F5E08">
        <w:t xml:space="preserve">2015) </w:t>
      </w:r>
      <w:r w:rsidR="007F5E08">
        <w:t>recommend that, f</w:t>
      </w:r>
      <w:r w:rsidR="007F5E08" w:rsidRPr="007F5E08">
        <w:t xml:space="preserve">or contaminant discharges, the “contaminant discharges must meet any local standards or requirements”. </w:t>
      </w:r>
      <w:r w:rsidR="008E19E3">
        <w:t xml:space="preserve"> </w:t>
      </w:r>
      <w:r w:rsidR="008E19E3" w:rsidRPr="008E19E3">
        <w:rPr>
          <w:lang w:eastAsia="ja-JP"/>
        </w:rPr>
        <w:t xml:space="preserve">However, Australian Government, State or Agency regulatory standards that are directly relevant to discharges from IWC systems </w:t>
      </w:r>
      <w:r w:rsidR="008E19E3">
        <w:rPr>
          <w:lang w:eastAsia="ja-JP"/>
        </w:rPr>
        <w:t>have not been</w:t>
      </w:r>
      <w:r w:rsidR="008E19E3" w:rsidRPr="008E19E3">
        <w:rPr>
          <w:lang w:eastAsia="ja-JP"/>
        </w:rPr>
        <w:t xml:space="preserve"> identified</w:t>
      </w:r>
      <w:r w:rsidR="008E19E3">
        <w:rPr>
          <w:lang w:eastAsia="ja-JP"/>
        </w:rPr>
        <w:t>.</w:t>
      </w:r>
    </w:p>
    <w:p w14:paraId="19DE38F2" w14:textId="77777777" w:rsidR="00936055" w:rsidRDefault="00F56B54" w:rsidP="00936055">
      <w:pPr>
        <w:rPr>
          <w:rFonts w:eastAsia="Arial" w:cstheme="minorHAnsi"/>
        </w:rPr>
      </w:pPr>
      <w:r>
        <w:t>Satisfying authorities that contaminant discharges from IWC are acceptable has proven to be difficult due to the absence of any clear standards or limits for contamination concentrations in discharges.</w:t>
      </w:r>
      <w:r w:rsidR="00827747">
        <w:t xml:space="preserve"> </w:t>
      </w:r>
      <w:r>
        <w:t xml:space="preserve">Comparisons have been drawn with trigger values in the Australian and New Zealand Guidelines for Marine and Freshwater Quality (ANZECC/ARMCANZ 2000), which </w:t>
      </w:r>
      <w:r w:rsidRPr="00CB43C7">
        <w:rPr>
          <w:rFonts w:eastAsia="Arial" w:cstheme="minorHAnsi"/>
        </w:rPr>
        <w:t xml:space="preserve">were calculated at four different </w:t>
      </w:r>
      <w:r>
        <w:rPr>
          <w:rFonts w:eastAsia="Arial" w:cstheme="minorHAnsi"/>
        </w:rPr>
        <w:t xml:space="preserve">species </w:t>
      </w:r>
      <w:r w:rsidRPr="00CB43C7">
        <w:rPr>
          <w:rFonts w:eastAsia="Arial" w:cstheme="minorHAnsi"/>
        </w:rPr>
        <w:t>protection levels, 80%, 90%, 95% and 99%</w:t>
      </w:r>
      <w:r>
        <w:rPr>
          <w:rFonts w:eastAsia="Arial" w:cstheme="minorHAnsi"/>
        </w:rPr>
        <w:t xml:space="preserve">. These percentages </w:t>
      </w:r>
      <w:r w:rsidRPr="00CB43C7">
        <w:rPr>
          <w:rFonts w:eastAsia="Arial" w:cstheme="minorHAnsi"/>
        </w:rPr>
        <w:t>signify the percentage of species expected to be protected</w:t>
      </w:r>
      <w:r>
        <w:rPr>
          <w:rFonts w:eastAsia="Arial" w:cstheme="minorHAnsi"/>
        </w:rPr>
        <w:t xml:space="preserve"> at each trigger value; the lowest level is applied to highly disturbed environments, such as harbours, the highest to high value conservation areas</w:t>
      </w:r>
      <w:r w:rsidRPr="00CB43C7">
        <w:rPr>
          <w:rFonts w:eastAsia="Arial" w:cstheme="minorHAnsi"/>
        </w:rPr>
        <w:t>.</w:t>
      </w:r>
      <w:r>
        <w:rPr>
          <w:rFonts w:eastAsia="Arial" w:cstheme="minorHAnsi"/>
        </w:rPr>
        <w:t xml:space="preserve"> However, these trigger values were developed with respect to concentrations in the environment, not in discharges or other inputs into the environment. Dilution of a discharge on release into a receiving water body would lower the contribution of the contaminant to the environmental concentration. The extent of dilution would depend on the volumes of both the discharge and the receiving environment.</w:t>
      </w:r>
    </w:p>
    <w:p w14:paraId="7D3B51EF" w14:textId="77777777" w:rsidR="00D74B1C" w:rsidRDefault="00F56B54" w:rsidP="00D74B1C">
      <w:pPr>
        <w:pStyle w:val="Heading3"/>
        <w:rPr>
          <w:lang w:eastAsia="ja-JP"/>
        </w:rPr>
      </w:pPr>
      <w:bookmarkStart w:id="47" w:name="_Passive_Leaching"/>
      <w:bookmarkStart w:id="48" w:name="_Toc50117672"/>
      <w:bookmarkEnd w:id="47"/>
      <w:r>
        <w:rPr>
          <w:lang w:eastAsia="ja-JP"/>
        </w:rPr>
        <w:t xml:space="preserve">Passive </w:t>
      </w:r>
      <w:r w:rsidR="0031761D">
        <w:rPr>
          <w:lang w:eastAsia="ja-JP"/>
        </w:rPr>
        <w:t>l</w:t>
      </w:r>
      <w:r>
        <w:rPr>
          <w:lang w:eastAsia="ja-JP"/>
        </w:rPr>
        <w:t>eaching</w:t>
      </w:r>
      <w:bookmarkEnd w:id="48"/>
    </w:p>
    <w:p w14:paraId="67C33C9A" w14:textId="77777777" w:rsidR="00AF2AAB" w:rsidRDefault="00F56B54" w:rsidP="00AF2AAB">
      <w:pPr>
        <w:pStyle w:val="Heading4"/>
        <w:rPr>
          <w:lang w:eastAsia="ja-JP"/>
        </w:rPr>
      </w:pPr>
      <w:r>
        <w:rPr>
          <w:lang w:eastAsia="ja-JP"/>
        </w:rPr>
        <w:t>Biocide release rates</w:t>
      </w:r>
    </w:p>
    <w:p w14:paraId="47F8C6AC" w14:textId="77777777" w:rsidR="00AF2AAB" w:rsidRDefault="00F56B54" w:rsidP="00AF2AAB">
      <w:pPr>
        <w:rPr>
          <w:lang w:eastAsia="zh-TW"/>
        </w:rPr>
      </w:pPr>
      <w:r>
        <w:t>For biocidal antifouling coatings to be effective, the biocide must be continuously released at the surface of the coating at a concentration that will prevent the settlement and/or survival of fouling organisms</w:t>
      </w:r>
      <w:r w:rsidR="00DA67B3">
        <w:t xml:space="preserve"> (</w:t>
      </w:r>
      <w:r w:rsidR="00FB0FE5">
        <w:t>Lewis 1998)</w:t>
      </w:r>
      <w:r>
        <w:t>. The rate at which antifouling biocide passes through the antifouling coating/seawater interface is termed the biocide leaching or release rate</w:t>
      </w:r>
      <w:r w:rsidR="003C09B1">
        <w:t xml:space="preserve">. This </w:t>
      </w:r>
      <w:r w:rsidR="000D3F5F">
        <w:t>i</w:t>
      </w:r>
      <w:r>
        <w:t>s generally expressed as the mass of biocide, in micrograms, released from a square centimetre of antifouling coating in one day (</w:t>
      </w:r>
      <w:r w:rsidRPr="00DE50C1">
        <w:rPr>
          <w:rFonts w:cs="Calibri"/>
        </w:rPr>
        <w:t>µ</w:t>
      </w:r>
      <w:r>
        <w:t>g biocide/cm</w:t>
      </w:r>
      <w:r>
        <w:rPr>
          <w:vertAlign w:val="superscript"/>
        </w:rPr>
        <w:t>2</w:t>
      </w:r>
      <w:r>
        <w:t xml:space="preserve">/day). Biocide release rates from antifouling coatings can vary with environmental variables (pH, temperature, salinity, water movement over the surface and copper concentration in the water) </w:t>
      </w:r>
      <w:r w:rsidR="00EC314E">
        <w:t xml:space="preserve">(Yebra et al. 2004) </w:t>
      </w:r>
      <w:r>
        <w:t xml:space="preserve">and also, during service, </w:t>
      </w:r>
      <w:r>
        <w:rPr>
          <w:lang w:eastAsia="zh-TW"/>
        </w:rPr>
        <w:t>over the life of the coating system, on the formulation and the environment, and on differences in berthing locations, operating schedules, vessel speed, length of service, and condition of paint film surface</w:t>
      </w:r>
      <w:r w:rsidR="00DA67B3">
        <w:rPr>
          <w:lang w:eastAsia="zh-TW"/>
        </w:rPr>
        <w:t xml:space="preserve"> (</w:t>
      </w:r>
      <w:r w:rsidR="00EC314E">
        <w:rPr>
          <w:lang w:eastAsia="zh-TW"/>
        </w:rPr>
        <w:t>Thomason 2010</w:t>
      </w:r>
      <w:r w:rsidR="00DA67B3">
        <w:rPr>
          <w:lang w:eastAsia="zh-TW"/>
        </w:rPr>
        <w:t>)</w:t>
      </w:r>
      <w:r>
        <w:rPr>
          <w:lang w:eastAsia="zh-TW"/>
        </w:rPr>
        <w:t>.</w:t>
      </w:r>
    </w:p>
    <w:p w14:paraId="2DEA8F73" w14:textId="77777777" w:rsidR="00827747" w:rsidRDefault="00F56B54" w:rsidP="00AF2AAB">
      <w:pPr>
        <w:rPr>
          <w:lang w:eastAsia="zh-TW"/>
        </w:rPr>
      </w:pPr>
      <w:r>
        <w:rPr>
          <w:lang w:eastAsia="zh-TW"/>
        </w:rPr>
        <w:t xml:space="preserve">Numerous methods have been used to attempt to quantify release rates and to determine the critical release rates for biofouling prevention (Morrisey et al. 2013). </w:t>
      </w:r>
      <w:r w:rsidR="00BB5461">
        <w:rPr>
          <w:lang w:eastAsia="zh-TW"/>
        </w:rPr>
        <w:t xml:space="preserve">Measuring the release on a hull </w:t>
      </w:r>
      <w:r w:rsidR="00BB5461">
        <w:rPr>
          <w:i/>
          <w:iCs/>
          <w:lang w:eastAsia="zh-TW"/>
        </w:rPr>
        <w:t xml:space="preserve">in situ </w:t>
      </w:r>
      <w:r w:rsidR="00BB5461">
        <w:rPr>
          <w:lang w:eastAsia="zh-TW"/>
        </w:rPr>
        <w:t xml:space="preserve">has only been </w:t>
      </w:r>
      <w:r w:rsidR="006E7071">
        <w:rPr>
          <w:lang w:eastAsia="zh-TW"/>
        </w:rPr>
        <w:t xml:space="preserve">successfully </w:t>
      </w:r>
      <w:r w:rsidR="00BB5461">
        <w:rPr>
          <w:lang w:eastAsia="zh-TW"/>
        </w:rPr>
        <w:t xml:space="preserve">achieved by the US Navy “dome method”, with other methods either in laboratory set ups, or destructive analysis of field panels. </w:t>
      </w:r>
      <w:r>
        <w:rPr>
          <w:lang w:eastAsia="zh-TW"/>
        </w:rPr>
        <w:t xml:space="preserve">For cuprous oxide, the conclusion that can be drawn from studies over the past 60+ years is that the minimal rate of copper release to prevent biofouling is 10 </w:t>
      </w:r>
      <w:r>
        <w:rPr>
          <w:rFonts w:ascii="Calibri" w:hAnsi="Calibri" w:cs="Calibri"/>
          <w:lang w:eastAsia="zh-TW"/>
        </w:rPr>
        <w:t>μ</w:t>
      </w:r>
      <w:r>
        <w:rPr>
          <w:lang w:eastAsia="zh-TW"/>
        </w:rPr>
        <w:t>g Cu/cm</w:t>
      </w:r>
      <w:r>
        <w:rPr>
          <w:vertAlign w:val="superscript"/>
          <w:lang w:eastAsia="zh-TW"/>
        </w:rPr>
        <w:t>2</w:t>
      </w:r>
      <w:r>
        <w:rPr>
          <w:lang w:eastAsia="zh-TW"/>
        </w:rPr>
        <w:t>/day, which is the rate required when a vessel is station</w:t>
      </w:r>
      <w:r w:rsidR="006E7071">
        <w:rPr>
          <w:lang w:eastAsia="zh-TW"/>
        </w:rPr>
        <w:t>a</w:t>
      </w:r>
      <w:r>
        <w:rPr>
          <w:lang w:eastAsia="zh-TW"/>
        </w:rPr>
        <w:t>ry in harbour</w:t>
      </w:r>
      <w:r w:rsidR="00DA67B3">
        <w:rPr>
          <w:lang w:eastAsia="zh-TW"/>
        </w:rPr>
        <w:t xml:space="preserve"> (</w:t>
      </w:r>
      <w:r w:rsidR="001E264F">
        <w:rPr>
          <w:lang w:eastAsia="zh-TW"/>
        </w:rPr>
        <w:t>Morrisey et al. 2013</w:t>
      </w:r>
      <w:r w:rsidR="00DA67B3">
        <w:rPr>
          <w:lang w:eastAsia="zh-TW"/>
        </w:rPr>
        <w:t>)</w:t>
      </w:r>
      <w:r>
        <w:rPr>
          <w:lang w:eastAsia="zh-TW"/>
        </w:rPr>
        <w:t>.</w:t>
      </w:r>
    </w:p>
    <w:p w14:paraId="1A8DF5E3" w14:textId="77777777" w:rsidR="003020DD" w:rsidRDefault="00F56B54" w:rsidP="003020DD">
      <w:r>
        <w:rPr>
          <w:lang w:eastAsia="zh-TW"/>
        </w:rPr>
        <w:t xml:space="preserve">The method for calculating biocide release rates that is now accepted by regulatory agencies, including the APVMA, is by mass-balance </w:t>
      </w:r>
      <w:r w:rsidR="00015B87">
        <w:rPr>
          <w:lang w:eastAsia="zh-TW"/>
        </w:rPr>
        <w:t>calculation</w:t>
      </w:r>
      <w:r w:rsidR="00DA67B3">
        <w:rPr>
          <w:lang w:eastAsia="zh-TW"/>
        </w:rPr>
        <w:t xml:space="preserve"> (ISO 2010)</w:t>
      </w:r>
      <w:r w:rsidR="00015B87">
        <w:rPr>
          <w:lang w:eastAsia="zh-TW"/>
        </w:rPr>
        <w:t xml:space="preserve">. </w:t>
      </w:r>
      <w:r w:rsidR="00015B87">
        <w:t>Th</w:t>
      </w:r>
      <w:r w:rsidR="00DA67B3">
        <w:t xml:space="preserve">is </w:t>
      </w:r>
      <w:r w:rsidR="00015B87">
        <w:t>method is based on a simplified generic empirical model of biocide release</w:t>
      </w:r>
      <w:r w:rsidR="006E7071">
        <w:t>. T</w:t>
      </w:r>
      <w:r w:rsidR="00015B87">
        <w:t xml:space="preserve">he inputs to the model are the specified </w:t>
      </w:r>
      <w:r w:rsidR="00015B87">
        <w:lastRenderedPageBreak/>
        <w:t>service lifetime of the paint (months), the amount of biocide in the coating formulation (% by weight), the weight fraction of the active ingredient in the biocide, the volume solids of the wet paint (%), the specific gravity of the wet paint, the dry film thickness of the specified paint applied for the specified lifetime (</w:t>
      </w:r>
      <w:r w:rsidR="00015B87" w:rsidRPr="00DE50C1">
        <w:rPr>
          <w:rFonts w:cs="Calibri"/>
        </w:rPr>
        <w:t>µ</w:t>
      </w:r>
      <w:r w:rsidR="00015B87">
        <w:t>m), and the fraction of active ingredient in the dry film released during the specified lifetime of the paint (Finnie 2006).</w:t>
      </w:r>
      <w:r>
        <w:t xml:space="preserve"> Finnie </w:t>
      </w:r>
      <w:r w:rsidR="006E7071">
        <w:t xml:space="preserve">recommended </w:t>
      </w:r>
      <w:r>
        <w:t xml:space="preserve">that, if copper release rates calculated by the mass-balance method are to be used for environmental risk assessment or regulatory purposes, the </w:t>
      </w:r>
      <w:r w:rsidR="006E7071">
        <w:t xml:space="preserve">calculated </w:t>
      </w:r>
      <w:r>
        <w:t xml:space="preserve">values </w:t>
      </w:r>
      <w:r w:rsidR="006E7071">
        <w:t xml:space="preserve">need to be </w:t>
      </w:r>
      <w:r>
        <w:t>divided by a correction factor</w:t>
      </w:r>
      <w:r w:rsidR="006E7071">
        <w:t xml:space="preserve"> of 2.9</w:t>
      </w:r>
      <w:r>
        <w:t>.</w:t>
      </w:r>
    </w:p>
    <w:p w14:paraId="531EC767" w14:textId="77777777" w:rsidR="00AF2AAB" w:rsidRDefault="00F56B54" w:rsidP="00AF2AAB">
      <w:pPr>
        <w:pStyle w:val="Heading4"/>
      </w:pPr>
      <w:r>
        <w:t>MAMPEC modelling</w:t>
      </w:r>
    </w:p>
    <w:p w14:paraId="5ED48E43" w14:textId="77777777" w:rsidR="00827747" w:rsidRDefault="00F56B54" w:rsidP="000C322D">
      <w:r>
        <w:t xml:space="preserve">MAMPEC (Marine Antifouling Model to Predict Environmental Concentrations) is an integrated hydrodynamic and chemical fate model, originally developed to predict environmental concentrations for the exposure assessment of antifouling substances </w:t>
      </w:r>
      <w:r>
        <w:rPr>
          <w:lang w:eastAsia="ja-JP"/>
        </w:rPr>
        <w:t>(van Hattum et al. 2017).</w:t>
      </w:r>
      <w:r>
        <w:t xml:space="preserve"> The model, adopted by the OECD, predicts concentrations of antifouling biocides in generalised “typical” marine environments, including harbours, marinas and the open sea, from the input of emission factors (e.g., biocide leaching rates, shipping intensities, residence times</w:t>
      </w:r>
      <w:r w:rsidR="003378D5">
        <w:t xml:space="preserve"> and</w:t>
      </w:r>
      <w:r>
        <w:t xml:space="preserve"> ship hull underwater surface areas), compound-related properties and processes, and hydrodynamics related to the specific environment. The model has been validated for a number of compounds and has been recognised by regulatory authorities in the EU, other OECD countries, the</w:t>
      </w:r>
      <w:r w:rsidRPr="00EA3B3E">
        <w:t xml:space="preserve"> </w:t>
      </w:r>
      <w:r>
        <w:t>USA, Japan, New Zealand and Australia</w:t>
      </w:r>
      <w:r w:rsidR="008976B5">
        <w:t xml:space="preserve"> (</w:t>
      </w:r>
      <w:r w:rsidR="001514A1">
        <w:t>Gadd et al. 2011, van Hattum et al. 2016, APVMA 2020b</w:t>
      </w:r>
      <w:r w:rsidR="008976B5">
        <w:t>)</w:t>
      </w:r>
      <w:r>
        <w:t>. In Australia, the APVMA accepts MAMPEC modelling for the environmental risk assessment of new antifouling products submitted for approval</w:t>
      </w:r>
      <w:r w:rsidR="008976B5">
        <w:t xml:space="preserve"> (</w:t>
      </w:r>
      <w:r w:rsidR="001514A1">
        <w:t>APVMA 2020b</w:t>
      </w:r>
      <w:r w:rsidR="008976B5">
        <w:t>)</w:t>
      </w:r>
      <w:r>
        <w:t>. Default values for 10 common antifouling biocides are included in the MAMPEC database.</w:t>
      </w:r>
    </w:p>
    <w:p w14:paraId="1B6283FF" w14:textId="42DB6E5B" w:rsidR="00827747" w:rsidRDefault="00F56B54" w:rsidP="00936055">
      <w:pPr>
        <w:rPr>
          <w:lang w:eastAsia="ja-JP"/>
        </w:rPr>
      </w:pPr>
      <w:r>
        <w:rPr>
          <w:lang w:eastAsia="ja-JP"/>
        </w:rPr>
        <w:t>For the approval of antifouling paints for boat hulls</w:t>
      </w:r>
      <w:r w:rsidR="008976B5">
        <w:rPr>
          <w:lang w:eastAsia="ja-JP"/>
        </w:rPr>
        <w:t xml:space="preserve"> in Australia</w:t>
      </w:r>
      <w:r>
        <w:rPr>
          <w:lang w:eastAsia="ja-JP"/>
        </w:rPr>
        <w:t xml:space="preserve">, guidance for environmental assessment </w:t>
      </w:r>
      <w:r w:rsidR="00B2504F">
        <w:rPr>
          <w:lang w:eastAsia="ja-JP"/>
        </w:rPr>
        <w:t>involves the comparison of the Predicted Environmental Concentration (PEC) for biocides released from a particular antifouling product with the Regu</w:t>
      </w:r>
      <w:r w:rsidR="00DB2DD5">
        <w:rPr>
          <w:lang w:eastAsia="ja-JP"/>
        </w:rPr>
        <w:t>la</w:t>
      </w:r>
      <w:r w:rsidR="00B2504F">
        <w:rPr>
          <w:lang w:eastAsia="ja-JP"/>
        </w:rPr>
        <w:t xml:space="preserve">tory Acceptable Concentration (RAC) (APVMA 2020b). The RAC is determined from </w:t>
      </w:r>
      <w:r w:rsidR="00A53C00">
        <w:rPr>
          <w:lang w:eastAsia="ja-JP"/>
        </w:rPr>
        <w:t>the active constituent’s toxicity to aquatic an</w:t>
      </w:r>
      <w:r w:rsidR="00A25141">
        <w:rPr>
          <w:lang w:eastAsia="ja-JP"/>
        </w:rPr>
        <w:t>d</w:t>
      </w:r>
      <w:r w:rsidR="00A53C00">
        <w:rPr>
          <w:lang w:eastAsia="ja-JP"/>
        </w:rPr>
        <w:t xml:space="preserve"> sediment dwelling species</w:t>
      </w:r>
      <w:r w:rsidR="00B07E3C">
        <w:rPr>
          <w:lang w:eastAsia="ja-JP"/>
        </w:rPr>
        <w:t xml:space="preserve"> </w:t>
      </w:r>
      <w:r w:rsidR="00B07E3C">
        <w:rPr>
          <w:lang w:eastAsia="ja-JP"/>
        </w:rPr>
        <w:fldChar w:fldCharType="begin"/>
      </w:r>
      <w:r w:rsidR="00B07E3C">
        <w:rPr>
          <w:lang w:eastAsia="ja-JP"/>
        </w:rPr>
        <w:instrText xml:space="preserve"> REF _Ref445985033 \h </w:instrText>
      </w:r>
      <w:r w:rsidR="00B07E3C">
        <w:rPr>
          <w:lang w:eastAsia="ja-JP"/>
        </w:rPr>
      </w:r>
      <w:r w:rsidR="00B07E3C">
        <w:rPr>
          <w:lang w:eastAsia="ja-JP"/>
        </w:rPr>
        <w:fldChar w:fldCharType="separate"/>
      </w:r>
      <w:r w:rsidR="001C040D">
        <w:t xml:space="preserve">Table </w:t>
      </w:r>
      <w:r w:rsidR="001C040D">
        <w:rPr>
          <w:noProof/>
        </w:rPr>
        <w:t>1</w:t>
      </w:r>
      <w:r w:rsidR="00B07E3C">
        <w:rPr>
          <w:lang w:eastAsia="ja-JP"/>
        </w:rPr>
        <w:fldChar w:fldCharType="end"/>
      </w:r>
      <w:r w:rsidR="00F737E8">
        <w:rPr>
          <w:lang w:eastAsia="ja-JP"/>
        </w:rPr>
        <w:t xml:space="preserve">. RACs for biocides </w:t>
      </w:r>
      <w:r w:rsidR="000C322D">
        <w:rPr>
          <w:lang w:eastAsia="ja-JP"/>
        </w:rPr>
        <w:t xml:space="preserve">with use </w:t>
      </w:r>
      <w:r w:rsidR="00F737E8">
        <w:rPr>
          <w:lang w:eastAsia="ja-JP"/>
        </w:rPr>
        <w:t>restricted to ships (DCOIT, Thiram) are not included.</w:t>
      </w:r>
    </w:p>
    <w:p w14:paraId="2D6E9771" w14:textId="21065F2C" w:rsidR="004A41D6" w:rsidRDefault="00F56B54" w:rsidP="004A41D6">
      <w:r>
        <w:t>In the EU and New Zealand, environmental acceptability is determined by comparing the predicted environmental concentration (PEC), determined using MAMPEC v3.1, to the predicted no-effect concentration (PNEC)</w:t>
      </w:r>
      <w:r w:rsidR="008976B5">
        <w:t xml:space="preserve"> (</w:t>
      </w:r>
      <w:r w:rsidR="00D64539">
        <w:t>EPA 2013a)</w:t>
      </w:r>
      <w:r>
        <w:t>. The latter is calculated using data from acute and chronic toxicological studies and application of an appropriate “safety” factor determined by consideration of uncertainty in the data</w:t>
      </w:r>
      <w:r w:rsidR="008976B5">
        <w:t xml:space="preserve"> (</w:t>
      </w:r>
      <w:r w:rsidR="00EB1DEE">
        <w:t>EPA 2013a</w:t>
      </w:r>
      <w:r w:rsidR="008976B5">
        <w:t>)</w:t>
      </w:r>
      <w:r>
        <w:t xml:space="preserve">. According to the risk characterisation process, if the ratio PEC/PNEC, or Risk Quotient (RQ), is less than </w:t>
      </w:r>
      <w:r w:rsidR="008976B5">
        <w:t>one</w:t>
      </w:r>
      <w:r>
        <w:t xml:space="preserve">, the concentration in the environment is likely to be lower than the critical threshold level and risk is considered </w:t>
      </w:r>
      <w:r w:rsidR="008976B5">
        <w:t>acceptable</w:t>
      </w:r>
      <w:r>
        <w:t xml:space="preserve">. PNEC values for antifouling biocides were identified in the NZ reassessment of antifouling paints (EPA 2013a, 2013b) and are reproduced in </w:t>
      </w:r>
      <w:r w:rsidR="00B07E3C">
        <w:fldChar w:fldCharType="begin"/>
      </w:r>
      <w:r w:rsidR="00B07E3C">
        <w:instrText xml:space="preserve"> REF _Ref445985033 \h </w:instrText>
      </w:r>
      <w:r w:rsidR="00B07E3C">
        <w:fldChar w:fldCharType="separate"/>
      </w:r>
      <w:r w:rsidR="001C040D">
        <w:t xml:space="preserve">Table </w:t>
      </w:r>
      <w:r w:rsidR="001C040D">
        <w:rPr>
          <w:noProof/>
        </w:rPr>
        <w:t>1</w:t>
      </w:r>
      <w:r w:rsidR="00B07E3C">
        <w:fldChar w:fldCharType="end"/>
      </w:r>
      <w:r w:rsidR="00B07E3C">
        <w:t xml:space="preserve"> </w:t>
      </w:r>
      <w:r w:rsidR="00B07E3C">
        <w:fldChar w:fldCharType="begin"/>
      </w:r>
      <w:r w:rsidR="00B07E3C">
        <w:instrText xml:space="preserve"> REF _Ref445985033 \h </w:instrText>
      </w:r>
      <w:r w:rsidR="00B07E3C">
        <w:fldChar w:fldCharType="separate"/>
      </w:r>
      <w:r w:rsidR="001C040D">
        <w:t xml:space="preserve">Table </w:t>
      </w:r>
      <w:r w:rsidR="001C040D">
        <w:rPr>
          <w:noProof/>
        </w:rPr>
        <w:t>1</w:t>
      </w:r>
      <w:r w:rsidR="00B07E3C">
        <w:fldChar w:fldCharType="end"/>
      </w:r>
      <w:r>
        <w:t>.</w:t>
      </w:r>
    </w:p>
    <w:p w14:paraId="06B4A0AC" w14:textId="31DD2458" w:rsidR="00DB7CD3" w:rsidRDefault="00F56B54" w:rsidP="00DB7CD3">
      <w:pPr>
        <w:pStyle w:val="Caption"/>
      </w:pPr>
      <w:bookmarkStart w:id="49" w:name="_Ref445985033"/>
      <w:bookmarkStart w:id="50" w:name="_Toc409769171"/>
      <w:bookmarkStart w:id="51" w:name="_Toc49868681"/>
      <w:bookmarkStart w:id="52" w:name="_Ref50114021"/>
      <w:bookmarkStart w:id="53" w:name="_Ref50114075"/>
      <w:r>
        <w:lastRenderedPageBreak/>
        <w:t xml:space="preserve">Table </w:t>
      </w:r>
      <w:r>
        <w:rPr>
          <w:noProof/>
        </w:rPr>
        <w:fldChar w:fldCharType="begin"/>
      </w:r>
      <w:r>
        <w:rPr>
          <w:noProof/>
        </w:rPr>
        <w:instrText xml:space="preserve"> SEQ Table \* ARABIC </w:instrText>
      </w:r>
      <w:r>
        <w:rPr>
          <w:noProof/>
        </w:rPr>
        <w:fldChar w:fldCharType="separate"/>
      </w:r>
      <w:r w:rsidR="001C040D">
        <w:rPr>
          <w:noProof/>
        </w:rPr>
        <w:t>1</w:t>
      </w:r>
      <w:r>
        <w:rPr>
          <w:noProof/>
        </w:rPr>
        <w:fldChar w:fldCharType="end"/>
      </w:r>
      <w:bookmarkEnd w:id="49"/>
      <w:r>
        <w:t xml:space="preserve"> </w:t>
      </w:r>
      <w:r w:rsidR="007A2DB9">
        <w:t xml:space="preserve">RAC and PNEC </w:t>
      </w:r>
      <w:r w:rsidR="00DB2DD5">
        <w:t xml:space="preserve">for </w:t>
      </w:r>
      <w:r w:rsidR="00A25141">
        <w:t>a</w:t>
      </w:r>
      <w:r w:rsidR="00DB2DD5">
        <w:t xml:space="preserve">ntifouling </w:t>
      </w:r>
      <w:r w:rsidR="00A25141">
        <w:t>b</w:t>
      </w:r>
      <w:r w:rsidR="00DB2DD5">
        <w:t>iocides</w:t>
      </w:r>
      <w:bookmarkEnd w:id="50"/>
      <w:bookmarkEnd w:id="51"/>
      <w:bookmarkEnd w:id="52"/>
      <w:bookmarkEnd w:id="53"/>
    </w:p>
    <w:tbl>
      <w:tblPr>
        <w:tblW w:w="4343"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4301"/>
        <w:gridCol w:w="1193"/>
        <w:gridCol w:w="1193"/>
        <w:gridCol w:w="1191"/>
      </w:tblGrid>
      <w:tr w:rsidR="004F6729" w14:paraId="5ABDE21B" w14:textId="77777777" w:rsidTr="003378D5">
        <w:trPr>
          <w:cantSplit/>
          <w:tblHeader/>
        </w:trPr>
        <w:tc>
          <w:tcPr>
            <w:tcW w:w="2730" w:type="pct"/>
            <w:tcBorders>
              <w:top w:val="single" w:sz="4" w:space="0" w:color="auto"/>
              <w:bottom w:val="single" w:sz="4" w:space="0" w:color="auto"/>
            </w:tcBorders>
            <w:tcMar>
              <w:left w:w="108" w:type="dxa"/>
              <w:right w:w="108" w:type="dxa"/>
            </w:tcMar>
          </w:tcPr>
          <w:p w14:paraId="5A84990F" w14:textId="77777777" w:rsidR="009600DA" w:rsidRDefault="00F56B54" w:rsidP="00A25141">
            <w:pPr>
              <w:pStyle w:val="TableHeading"/>
            </w:pPr>
            <w:r>
              <w:t>Biocide</w:t>
            </w:r>
          </w:p>
        </w:tc>
        <w:tc>
          <w:tcPr>
            <w:tcW w:w="757" w:type="pct"/>
            <w:tcBorders>
              <w:top w:val="single" w:sz="4" w:space="0" w:color="auto"/>
              <w:bottom w:val="single" w:sz="4" w:space="0" w:color="auto"/>
            </w:tcBorders>
          </w:tcPr>
          <w:p w14:paraId="2BF0C598" w14:textId="77777777" w:rsidR="009600DA" w:rsidRDefault="00F56B54" w:rsidP="00A25141">
            <w:pPr>
              <w:pStyle w:val="TableHeading"/>
            </w:pPr>
            <w:r>
              <w:t>RAC</w:t>
            </w:r>
          </w:p>
        </w:tc>
        <w:tc>
          <w:tcPr>
            <w:tcW w:w="757" w:type="pct"/>
            <w:tcBorders>
              <w:top w:val="single" w:sz="4" w:space="0" w:color="auto"/>
              <w:bottom w:val="single" w:sz="4" w:space="0" w:color="auto"/>
            </w:tcBorders>
          </w:tcPr>
          <w:p w14:paraId="4ED91655" w14:textId="77777777" w:rsidR="009600DA" w:rsidRPr="009E3965" w:rsidRDefault="00F56B54" w:rsidP="00A25141">
            <w:pPr>
              <w:pStyle w:val="TableHeading"/>
              <w:rPr>
                <w:vertAlign w:val="subscript"/>
              </w:rPr>
            </w:pPr>
            <w:r>
              <w:t>PNEC</w:t>
            </w:r>
            <w:r>
              <w:rPr>
                <w:vertAlign w:val="subscript"/>
              </w:rPr>
              <w:t>marine</w:t>
            </w:r>
          </w:p>
        </w:tc>
        <w:tc>
          <w:tcPr>
            <w:tcW w:w="757" w:type="pct"/>
            <w:tcBorders>
              <w:top w:val="single" w:sz="4" w:space="0" w:color="auto"/>
              <w:bottom w:val="single" w:sz="4" w:space="0" w:color="auto"/>
            </w:tcBorders>
            <w:tcMar>
              <w:left w:w="108" w:type="dxa"/>
              <w:right w:w="108" w:type="dxa"/>
            </w:tcMar>
          </w:tcPr>
          <w:p w14:paraId="793AAAF8" w14:textId="77777777" w:rsidR="009600DA" w:rsidRDefault="00F56B54" w:rsidP="00A25141">
            <w:pPr>
              <w:pStyle w:val="TableHeading"/>
            </w:pPr>
            <w:r>
              <w:t>Unit</w:t>
            </w:r>
          </w:p>
        </w:tc>
      </w:tr>
      <w:tr w:rsidR="004F6729" w14:paraId="50AFB367" w14:textId="77777777" w:rsidTr="003378D5">
        <w:trPr>
          <w:cantSplit/>
          <w:tblHeader/>
        </w:trPr>
        <w:tc>
          <w:tcPr>
            <w:tcW w:w="2730" w:type="pct"/>
            <w:tcBorders>
              <w:top w:val="single" w:sz="4" w:space="0" w:color="auto"/>
            </w:tcBorders>
            <w:tcMar>
              <w:left w:w="108" w:type="dxa"/>
              <w:right w:w="108" w:type="dxa"/>
            </w:tcMar>
          </w:tcPr>
          <w:p w14:paraId="419802F2" w14:textId="77777777" w:rsidR="009600DA" w:rsidRDefault="00F56B54" w:rsidP="00A25141">
            <w:pPr>
              <w:pStyle w:val="TableText"/>
            </w:pPr>
            <w:r>
              <w:t>Copper present as cuprous oxide</w:t>
            </w:r>
          </w:p>
        </w:tc>
        <w:tc>
          <w:tcPr>
            <w:tcW w:w="757" w:type="pct"/>
            <w:tcBorders>
              <w:top w:val="single" w:sz="4" w:space="0" w:color="auto"/>
            </w:tcBorders>
          </w:tcPr>
          <w:p w14:paraId="7FB5CF48" w14:textId="77777777" w:rsidR="009600DA" w:rsidRDefault="00F56B54" w:rsidP="00A25141">
            <w:pPr>
              <w:pStyle w:val="TableText"/>
              <w:rPr>
                <w:rFonts w:asciiTheme="minorHAnsi" w:hAnsiTheme="minorHAnsi" w:cstheme="minorHAnsi"/>
              </w:rPr>
            </w:pPr>
            <w:r>
              <w:t>5.2</w:t>
            </w:r>
          </w:p>
        </w:tc>
        <w:tc>
          <w:tcPr>
            <w:tcW w:w="757" w:type="pct"/>
            <w:tcBorders>
              <w:top w:val="single" w:sz="4" w:space="0" w:color="auto"/>
            </w:tcBorders>
          </w:tcPr>
          <w:p w14:paraId="7CDE0765" w14:textId="77777777" w:rsidR="009600DA" w:rsidRDefault="00F56B54" w:rsidP="00A25141">
            <w:pPr>
              <w:pStyle w:val="TableText"/>
              <w:rPr>
                <w:rFonts w:asciiTheme="minorHAnsi" w:hAnsiTheme="minorHAnsi" w:cstheme="minorHAnsi"/>
              </w:rPr>
            </w:pPr>
            <w:r>
              <w:rPr>
                <w:rFonts w:asciiTheme="minorHAnsi" w:hAnsiTheme="minorHAnsi" w:cstheme="minorHAnsi"/>
              </w:rPr>
              <w:t>5.2</w:t>
            </w:r>
          </w:p>
        </w:tc>
        <w:tc>
          <w:tcPr>
            <w:tcW w:w="757" w:type="pct"/>
            <w:tcBorders>
              <w:top w:val="single" w:sz="4" w:space="0" w:color="auto"/>
            </w:tcBorders>
            <w:tcMar>
              <w:left w:w="108" w:type="dxa"/>
              <w:right w:w="108" w:type="dxa"/>
            </w:tcMar>
          </w:tcPr>
          <w:p w14:paraId="6CCEB2D6" w14:textId="77777777" w:rsidR="009600DA" w:rsidRDefault="00F56B54" w:rsidP="00A25141">
            <w:pPr>
              <w:pStyle w:val="TableText"/>
            </w:pPr>
            <w:r>
              <w:rPr>
                <w:rFonts w:asciiTheme="minorHAnsi" w:hAnsiTheme="minorHAnsi" w:cstheme="minorHAnsi"/>
              </w:rPr>
              <w:t>μ</w:t>
            </w:r>
            <w:r>
              <w:t>g Cu/L</w:t>
            </w:r>
          </w:p>
        </w:tc>
      </w:tr>
      <w:tr w:rsidR="004F6729" w14:paraId="17A5B83B" w14:textId="77777777" w:rsidTr="003378D5">
        <w:trPr>
          <w:cantSplit/>
          <w:tblHeader/>
        </w:trPr>
        <w:tc>
          <w:tcPr>
            <w:tcW w:w="2730" w:type="pct"/>
            <w:tcMar>
              <w:left w:w="108" w:type="dxa"/>
              <w:right w:w="108" w:type="dxa"/>
            </w:tcMar>
          </w:tcPr>
          <w:p w14:paraId="7F825367" w14:textId="77777777" w:rsidR="009600DA" w:rsidRDefault="00F56B54" w:rsidP="00A25141">
            <w:pPr>
              <w:pStyle w:val="TableText"/>
            </w:pPr>
            <w:r>
              <w:t>Copper pyrithione</w:t>
            </w:r>
          </w:p>
        </w:tc>
        <w:tc>
          <w:tcPr>
            <w:tcW w:w="757" w:type="pct"/>
          </w:tcPr>
          <w:p w14:paraId="45C68037" w14:textId="77777777" w:rsidR="009600DA" w:rsidRDefault="00F56B54" w:rsidP="00A25141">
            <w:pPr>
              <w:pStyle w:val="TableText"/>
              <w:rPr>
                <w:rFonts w:asciiTheme="minorHAnsi" w:hAnsiTheme="minorHAnsi" w:cstheme="minorHAnsi"/>
              </w:rPr>
            </w:pPr>
            <w:r>
              <w:t>0.18</w:t>
            </w:r>
          </w:p>
        </w:tc>
        <w:tc>
          <w:tcPr>
            <w:tcW w:w="757" w:type="pct"/>
          </w:tcPr>
          <w:p w14:paraId="6B31AA1A" w14:textId="77777777" w:rsidR="009600DA" w:rsidRDefault="00F56B54" w:rsidP="00A25141">
            <w:pPr>
              <w:pStyle w:val="TableText"/>
              <w:rPr>
                <w:rFonts w:asciiTheme="minorHAnsi" w:hAnsiTheme="minorHAnsi" w:cstheme="minorHAnsi"/>
              </w:rPr>
            </w:pPr>
            <w:r>
              <w:rPr>
                <w:rFonts w:asciiTheme="minorHAnsi" w:hAnsiTheme="minorHAnsi" w:cstheme="minorHAnsi"/>
              </w:rPr>
              <w:t>0.046</w:t>
            </w:r>
          </w:p>
        </w:tc>
        <w:tc>
          <w:tcPr>
            <w:tcW w:w="757" w:type="pct"/>
            <w:tcMar>
              <w:left w:w="108" w:type="dxa"/>
              <w:right w:w="108" w:type="dxa"/>
            </w:tcMar>
          </w:tcPr>
          <w:p w14:paraId="6B578567" w14:textId="77777777" w:rsidR="009600DA" w:rsidRDefault="00F56B54" w:rsidP="00A25141">
            <w:pPr>
              <w:pStyle w:val="TableText"/>
            </w:pPr>
            <w:r>
              <w:rPr>
                <w:rFonts w:asciiTheme="minorHAnsi" w:hAnsiTheme="minorHAnsi" w:cstheme="minorHAnsi"/>
              </w:rPr>
              <w:t>μ</w:t>
            </w:r>
            <w:r>
              <w:t>g ac/L</w:t>
            </w:r>
          </w:p>
        </w:tc>
      </w:tr>
      <w:tr w:rsidR="004F6729" w14:paraId="20399E0E" w14:textId="77777777" w:rsidTr="003378D5">
        <w:trPr>
          <w:cantSplit/>
          <w:tblHeader/>
        </w:trPr>
        <w:tc>
          <w:tcPr>
            <w:tcW w:w="2730" w:type="pct"/>
            <w:tcMar>
              <w:left w:w="108" w:type="dxa"/>
              <w:right w:w="108" w:type="dxa"/>
            </w:tcMar>
          </w:tcPr>
          <w:p w14:paraId="4B9973FE" w14:textId="77777777" w:rsidR="009600DA" w:rsidRDefault="00F56B54" w:rsidP="00A25141">
            <w:pPr>
              <w:pStyle w:val="TableBullet1"/>
              <w:numPr>
                <w:ilvl w:val="0"/>
                <w:numId w:val="0"/>
              </w:numPr>
              <w:ind w:left="284" w:hanging="284"/>
            </w:pPr>
            <w:r>
              <w:t>Copper thiocyanate</w:t>
            </w:r>
          </w:p>
        </w:tc>
        <w:tc>
          <w:tcPr>
            <w:tcW w:w="757" w:type="pct"/>
          </w:tcPr>
          <w:p w14:paraId="5903B8D4" w14:textId="77777777" w:rsidR="009600DA" w:rsidRDefault="00F56B54" w:rsidP="00A25141">
            <w:pPr>
              <w:pStyle w:val="TableText"/>
              <w:rPr>
                <w:rFonts w:asciiTheme="minorHAnsi" w:hAnsiTheme="minorHAnsi" w:cstheme="minorHAnsi"/>
              </w:rPr>
            </w:pPr>
            <w:r>
              <w:t>2.0</w:t>
            </w:r>
          </w:p>
        </w:tc>
        <w:tc>
          <w:tcPr>
            <w:tcW w:w="757" w:type="pct"/>
          </w:tcPr>
          <w:p w14:paraId="7ED689E2" w14:textId="77777777" w:rsidR="009600DA" w:rsidRDefault="00F56B54" w:rsidP="00A25141">
            <w:pPr>
              <w:pStyle w:val="TableText"/>
              <w:rPr>
                <w:rFonts w:asciiTheme="minorHAnsi" w:hAnsiTheme="minorHAnsi" w:cstheme="minorHAnsi"/>
              </w:rPr>
            </w:pPr>
            <w:r>
              <w:rPr>
                <w:rFonts w:asciiTheme="minorHAnsi" w:hAnsiTheme="minorHAnsi" w:cstheme="minorHAnsi"/>
              </w:rPr>
              <w:t>5.2</w:t>
            </w:r>
          </w:p>
        </w:tc>
        <w:tc>
          <w:tcPr>
            <w:tcW w:w="757" w:type="pct"/>
            <w:tcMar>
              <w:left w:w="108" w:type="dxa"/>
              <w:right w:w="108" w:type="dxa"/>
            </w:tcMar>
          </w:tcPr>
          <w:p w14:paraId="0774A063" w14:textId="77777777" w:rsidR="009600DA" w:rsidRDefault="00F56B54" w:rsidP="00A25141">
            <w:pPr>
              <w:pStyle w:val="TableText"/>
            </w:pPr>
            <w:r>
              <w:rPr>
                <w:rFonts w:asciiTheme="minorHAnsi" w:hAnsiTheme="minorHAnsi" w:cstheme="minorHAnsi"/>
              </w:rPr>
              <w:t>μ</w:t>
            </w:r>
            <w:r>
              <w:t xml:space="preserve">g ac/L </w:t>
            </w:r>
          </w:p>
        </w:tc>
      </w:tr>
      <w:tr w:rsidR="004F6729" w14:paraId="6A4314D7" w14:textId="77777777" w:rsidTr="003378D5">
        <w:trPr>
          <w:cantSplit/>
          <w:tblHeader/>
        </w:trPr>
        <w:tc>
          <w:tcPr>
            <w:tcW w:w="2730" w:type="pct"/>
            <w:tcMar>
              <w:left w:w="108" w:type="dxa"/>
              <w:right w:w="108" w:type="dxa"/>
            </w:tcMar>
          </w:tcPr>
          <w:p w14:paraId="5D713961" w14:textId="77777777" w:rsidR="009600DA" w:rsidRDefault="00F56B54" w:rsidP="009E3965">
            <w:pPr>
              <w:pStyle w:val="TableBullet1"/>
              <w:numPr>
                <w:ilvl w:val="0"/>
                <w:numId w:val="0"/>
              </w:numPr>
              <w:ind w:left="284" w:hanging="284"/>
            </w:pPr>
            <w:r>
              <w:t>DCOIT</w:t>
            </w:r>
          </w:p>
        </w:tc>
        <w:tc>
          <w:tcPr>
            <w:tcW w:w="757" w:type="pct"/>
          </w:tcPr>
          <w:p w14:paraId="5BB32437" w14:textId="77777777" w:rsidR="009600DA" w:rsidRDefault="00F56B54" w:rsidP="009E3965">
            <w:pPr>
              <w:pStyle w:val="TableText"/>
            </w:pPr>
            <w:r>
              <w:t>-</w:t>
            </w:r>
          </w:p>
        </w:tc>
        <w:tc>
          <w:tcPr>
            <w:tcW w:w="757" w:type="pct"/>
          </w:tcPr>
          <w:p w14:paraId="028133FE" w14:textId="77777777" w:rsidR="009600DA" w:rsidRPr="007A2DB9" w:rsidRDefault="00F56B54" w:rsidP="009E3965">
            <w:pPr>
              <w:pStyle w:val="TableText"/>
              <w:rPr>
                <w:rFonts w:asciiTheme="minorHAnsi" w:hAnsiTheme="minorHAnsi" w:cstheme="minorHAnsi"/>
                <w:vertAlign w:val="superscript"/>
              </w:rPr>
            </w:pPr>
            <w:r>
              <w:rPr>
                <w:rFonts w:asciiTheme="minorHAnsi" w:hAnsiTheme="minorHAnsi" w:cstheme="minorHAnsi"/>
              </w:rPr>
              <w:t>0.11</w:t>
            </w:r>
            <w:r>
              <w:rPr>
                <w:rFonts w:asciiTheme="minorHAnsi" w:hAnsiTheme="minorHAnsi" w:cstheme="minorHAnsi"/>
                <w:vertAlign w:val="superscript"/>
              </w:rPr>
              <w:t>b</w:t>
            </w:r>
          </w:p>
        </w:tc>
        <w:tc>
          <w:tcPr>
            <w:tcW w:w="757" w:type="pct"/>
            <w:tcMar>
              <w:left w:w="108" w:type="dxa"/>
              <w:right w:w="108" w:type="dxa"/>
            </w:tcMar>
          </w:tcPr>
          <w:p w14:paraId="31B43ADE" w14:textId="77777777" w:rsidR="009600DA" w:rsidRDefault="00F56B54" w:rsidP="009E3965">
            <w:pPr>
              <w:pStyle w:val="TableText"/>
              <w:rPr>
                <w:rFonts w:asciiTheme="minorHAnsi" w:hAnsiTheme="minorHAnsi" w:cstheme="minorHAnsi"/>
              </w:rPr>
            </w:pPr>
            <w:r>
              <w:rPr>
                <w:rFonts w:asciiTheme="minorHAnsi" w:hAnsiTheme="minorHAnsi" w:cstheme="minorHAnsi"/>
              </w:rPr>
              <w:t>μ</w:t>
            </w:r>
            <w:r>
              <w:t>g ac/L</w:t>
            </w:r>
          </w:p>
        </w:tc>
      </w:tr>
      <w:tr w:rsidR="004F6729" w14:paraId="5E9D7A88" w14:textId="77777777" w:rsidTr="003378D5">
        <w:trPr>
          <w:cantSplit/>
          <w:tblHeader/>
        </w:trPr>
        <w:tc>
          <w:tcPr>
            <w:tcW w:w="2730" w:type="pct"/>
            <w:tcMar>
              <w:left w:w="108" w:type="dxa"/>
              <w:right w:w="108" w:type="dxa"/>
            </w:tcMar>
          </w:tcPr>
          <w:p w14:paraId="2A8363CF" w14:textId="77777777" w:rsidR="009600DA" w:rsidRPr="007A2DB9" w:rsidRDefault="00F56B54" w:rsidP="009E3965">
            <w:pPr>
              <w:pStyle w:val="TableText"/>
              <w:rPr>
                <w:vertAlign w:val="superscript"/>
              </w:rPr>
            </w:pPr>
            <w:r>
              <w:t>Dichlofluanid</w:t>
            </w:r>
            <w:r>
              <w:rPr>
                <w:vertAlign w:val="superscript"/>
              </w:rPr>
              <w:t>a</w:t>
            </w:r>
          </w:p>
        </w:tc>
        <w:tc>
          <w:tcPr>
            <w:tcW w:w="757" w:type="pct"/>
          </w:tcPr>
          <w:p w14:paraId="0D98BEAA" w14:textId="77777777" w:rsidR="009600DA" w:rsidRDefault="00F56B54" w:rsidP="009E3965">
            <w:pPr>
              <w:pStyle w:val="TableText"/>
            </w:pPr>
            <w:r>
              <w:t>0.64</w:t>
            </w:r>
          </w:p>
        </w:tc>
        <w:tc>
          <w:tcPr>
            <w:tcW w:w="757" w:type="pct"/>
          </w:tcPr>
          <w:p w14:paraId="37D737A8" w14:textId="77777777" w:rsidR="009600DA" w:rsidRDefault="00F56B54" w:rsidP="009E3965">
            <w:pPr>
              <w:pStyle w:val="TableText"/>
            </w:pPr>
            <w:r>
              <w:t>0.0265</w:t>
            </w:r>
          </w:p>
        </w:tc>
        <w:tc>
          <w:tcPr>
            <w:tcW w:w="757" w:type="pct"/>
            <w:tcMar>
              <w:left w:w="108" w:type="dxa"/>
              <w:right w:w="108" w:type="dxa"/>
            </w:tcMar>
          </w:tcPr>
          <w:p w14:paraId="567EEED6" w14:textId="77777777" w:rsidR="009600DA" w:rsidRDefault="00F56B54" w:rsidP="009E3965">
            <w:pPr>
              <w:pStyle w:val="TableText"/>
            </w:pPr>
            <w:r>
              <w:rPr>
                <w:rFonts w:asciiTheme="minorHAnsi" w:hAnsiTheme="minorHAnsi" w:cstheme="minorHAnsi"/>
              </w:rPr>
              <w:t>μ</w:t>
            </w:r>
            <w:r>
              <w:t>g ac/L</w:t>
            </w:r>
          </w:p>
        </w:tc>
      </w:tr>
      <w:tr w:rsidR="004F6729" w14:paraId="5E069FA9" w14:textId="77777777" w:rsidTr="003378D5">
        <w:trPr>
          <w:cantSplit/>
          <w:tblHeader/>
        </w:trPr>
        <w:tc>
          <w:tcPr>
            <w:tcW w:w="2730" w:type="pct"/>
            <w:tcMar>
              <w:left w:w="108" w:type="dxa"/>
              <w:right w:w="108" w:type="dxa"/>
            </w:tcMar>
          </w:tcPr>
          <w:p w14:paraId="5A7297BC" w14:textId="77777777" w:rsidR="009600DA" w:rsidRDefault="00F56B54" w:rsidP="009E3965">
            <w:pPr>
              <w:pStyle w:val="TableBullet1"/>
              <w:numPr>
                <w:ilvl w:val="0"/>
                <w:numId w:val="0"/>
              </w:numPr>
              <w:ind w:left="284" w:hanging="284"/>
            </w:pPr>
            <w:r>
              <w:t>Diuron</w:t>
            </w:r>
          </w:p>
        </w:tc>
        <w:tc>
          <w:tcPr>
            <w:tcW w:w="757" w:type="pct"/>
          </w:tcPr>
          <w:p w14:paraId="7933E973" w14:textId="77777777" w:rsidR="009600DA" w:rsidRDefault="00F56B54" w:rsidP="009E3965">
            <w:pPr>
              <w:pStyle w:val="TableText"/>
            </w:pPr>
            <w:r>
              <w:t>1.6</w:t>
            </w:r>
          </w:p>
        </w:tc>
        <w:tc>
          <w:tcPr>
            <w:tcW w:w="757" w:type="pct"/>
          </w:tcPr>
          <w:p w14:paraId="578FDF08" w14:textId="77777777" w:rsidR="009600DA" w:rsidRDefault="00F56B54" w:rsidP="009E3965">
            <w:pPr>
              <w:pStyle w:val="TableText"/>
            </w:pPr>
            <w:r>
              <w:t>0.032</w:t>
            </w:r>
          </w:p>
        </w:tc>
        <w:tc>
          <w:tcPr>
            <w:tcW w:w="757" w:type="pct"/>
            <w:tcMar>
              <w:left w:w="108" w:type="dxa"/>
              <w:right w:w="108" w:type="dxa"/>
            </w:tcMar>
          </w:tcPr>
          <w:p w14:paraId="456C124B" w14:textId="77777777" w:rsidR="009600DA" w:rsidRDefault="00F56B54" w:rsidP="009E3965">
            <w:pPr>
              <w:pStyle w:val="TableText"/>
            </w:pPr>
            <w:r>
              <w:rPr>
                <w:rFonts w:asciiTheme="minorHAnsi" w:hAnsiTheme="minorHAnsi" w:cstheme="minorHAnsi"/>
              </w:rPr>
              <w:t>μ</w:t>
            </w:r>
            <w:r>
              <w:t>g ac/L</w:t>
            </w:r>
          </w:p>
        </w:tc>
      </w:tr>
      <w:tr w:rsidR="004F6729" w14:paraId="7B2B2704" w14:textId="77777777" w:rsidTr="003378D5">
        <w:trPr>
          <w:cantSplit/>
          <w:tblHeader/>
        </w:trPr>
        <w:tc>
          <w:tcPr>
            <w:tcW w:w="2730" w:type="pct"/>
            <w:tcMar>
              <w:left w:w="108" w:type="dxa"/>
              <w:right w:w="108" w:type="dxa"/>
            </w:tcMar>
          </w:tcPr>
          <w:p w14:paraId="3F27FD1F" w14:textId="77777777" w:rsidR="009600DA" w:rsidRDefault="00F56B54" w:rsidP="009E3965">
            <w:pPr>
              <w:pStyle w:val="TableBullet1"/>
              <w:numPr>
                <w:ilvl w:val="0"/>
                <w:numId w:val="0"/>
              </w:numPr>
              <w:ind w:left="284" w:hanging="284"/>
            </w:pPr>
            <w:r>
              <w:t>Thiram</w:t>
            </w:r>
          </w:p>
        </w:tc>
        <w:tc>
          <w:tcPr>
            <w:tcW w:w="757" w:type="pct"/>
          </w:tcPr>
          <w:p w14:paraId="7C266939" w14:textId="77777777" w:rsidR="009600DA" w:rsidRDefault="00F56B54" w:rsidP="009E3965">
            <w:pPr>
              <w:pStyle w:val="TableText"/>
            </w:pPr>
            <w:r>
              <w:t>-</w:t>
            </w:r>
          </w:p>
        </w:tc>
        <w:tc>
          <w:tcPr>
            <w:tcW w:w="757" w:type="pct"/>
          </w:tcPr>
          <w:p w14:paraId="689F9D2D" w14:textId="77777777" w:rsidR="009600DA" w:rsidRDefault="00F56B54" w:rsidP="009E3965">
            <w:pPr>
              <w:pStyle w:val="TableText"/>
            </w:pPr>
            <w:r>
              <w:t>1.0</w:t>
            </w:r>
          </w:p>
        </w:tc>
        <w:tc>
          <w:tcPr>
            <w:tcW w:w="757" w:type="pct"/>
            <w:tcMar>
              <w:left w:w="108" w:type="dxa"/>
              <w:right w:w="108" w:type="dxa"/>
            </w:tcMar>
          </w:tcPr>
          <w:p w14:paraId="4E5DAFB9" w14:textId="77777777" w:rsidR="009600DA" w:rsidRDefault="00F56B54" w:rsidP="009E3965">
            <w:pPr>
              <w:pStyle w:val="TableText"/>
              <w:rPr>
                <w:rFonts w:asciiTheme="minorHAnsi" w:hAnsiTheme="minorHAnsi" w:cstheme="minorHAnsi"/>
              </w:rPr>
            </w:pPr>
            <w:r>
              <w:rPr>
                <w:rFonts w:asciiTheme="minorHAnsi" w:hAnsiTheme="minorHAnsi" w:cstheme="minorHAnsi"/>
              </w:rPr>
              <w:t>μ</w:t>
            </w:r>
            <w:r>
              <w:t>g ac/L</w:t>
            </w:r>
          </w:p>
        </w:tc>
      </w:tr>
      <w:tr w:rsidR="004F6729" w14:paraId="2CE4B41A" w14:textId="77777777" w:rsidTr="003378D5">
        <w:trPr>
          <w:cantSplit/>
          <w:tblHeader/>
        </w:trPr>
        <w:tc>
          <w:tcPr>
            <w:tcW w:w="2730" w:type="pct"/>
            <w:tcMar>
              <w:left w:w="108" w:type="dxa"/>
              <w:right w:w="108" w:type="dxa"/>
            </w:tcMar>
          </w:tcPr>
          <w:p w14:paraId="4184CA5A" w14:textId="77777777" w:rsidR="009600DA" w:rsidRDefault="00F56B54" w:rsidP="009E3965">
            <w:pPr>
              <w:pStyle w:val="TableBullet1"/>
              <w:numPr>
                <w:ilvl w:val="0"/>
                <w:numId w:val="0"/>
              </w:numPr>
              <w:ind w:left="284" w:hanging="284"/>
            </w:pPr>
            <w:r>
              <w:t>Zinc pyrithione</w:t>
            </w:r>
          </w:p>
        </w:tc>
        <w:tc>
          <w:tcPr>
            <w:tcW w:w="757" w:type="pct"/>
          </w:tcPr>
          <w:p w14:paraId="1E53A8F4" w14:textId="77777777" w:rsidR="009600DA" w:rsidRDefault="00F56B54" w:rsidP="009E3965">
            <w:pPr>
              <w:pStyle w:val="TableText"/>
            </w:pPr>
            <w:r>
              <w:t>1.2</w:t>
            </w:r>
          </w:p>
        </w:tc>
        <w:tc>
          <w:tcPr>
            <w:tcW w:w="757" w:type="pct"/>
          </w:tcPr>
          <w:p w14:paraId="0A854C58" w14:textId="77777777" w:rsidR="009600DA" w:rsidRDefault="00F56B54" w:rsidP="009E3965">
            <w:pPr>
              <w:pStyle w:val="TableText"/>
            </w:pPr>
            <w:r>
              <w:t>0.046</w:t>
            </w:r>
          </w:p>
        </w:tc>
        <w:tc>
          <w:tcPr>
            <w:tcW w:w="757" w:type="pct"/>
            <w:tcMar>
              <w:left w:w="108" w:type="dxa"/>
              <w:right w:w="108" w:type="dxa"/>
            </w:tcMar>
          </w:tcPr>
          <w:p w14:paraId="36CE8C2F" w14:textId="77777777" w:rsidR="009600DA" w:rsidRDefault="00F56B54" w:rsidP="009E3965">
            <w:pPr>
              <w:pStyle w:val="TableText"/>
            </w:pPr>
            <w:r>
              <w:rPr>
                <w:rFonts w:asciiTheme="minorHAnsi" w:hAnsiTheme="minorHAnsi" w:cstheme="minorHAnsi"/>
              </w:rPr>
              <w:t>μ</w:t>
            </w:r>
            <w:r>
              <w:t>g ac/L</w:t>
            </w:r>
          </w:p>
        </w:tc>
      </w:tr>
      <w:tr w:rsidR="004F6729" w14:paraId="178BB4A4" w14:textId="77777777" w:rsidTr="003378D5">
        <w:trPr>
          <w:cantSplit/>
          <w:tblHeader/>
        </w:trPr>
        <w:tc>
          <w:tcPr>
            <w:tcW w:w="2730" w:type="pct"/>
            <w:tcMar>
              <w:left w:w="108" w:type="dxa"/>
              <w:right w:w="108" w:type="dxa"/>
            </w:tcMar>
          </w:tcPr>
          <w:p w14:paraId="5CDE18CB" w14:textId="77777777" w:rsidR="009600DA" w:rsidRDefault="00F56B54" w:rsidP="009E3965">
            <w:pPr>
              <w:pStyle w:val="TableText"/>
            </w:pPr>
            <w:r>
              <w:t>Zineb</w:t>
            </w:r>
          </w:p>
        </w:tc>
        <w:tc>
          <w:tcPr>
            <w:tcW w:w="757" w:type="pct"/>
          </w:tcPr>
          <w:p w14:paraId="4F6A0B4C" w14:textId="77777777" w:rsidR="009600DA" w:rsidRDefault="00F56B54" w:rsidP="009E3965">
            <w:pPr>
              <w:pStyle w:val="TableText"/>
            </w:pPr>
            <w:r>
              <w:t>2.2</w:t>
            </w:r>
          </w:p>
        </w:tc>
        <w:tc>
          <w:tcPr>
            <w:tcW w:w="757" w:type="pct"/>
          </w:tcPr>
          <w:p w14:paraId="32403D80" w14:textId="77777777" w:rsidR="009600DA" w:rsidRDefault="00F56B54" w:rsidP="009E3965">
            <w:pPr>
              <w:pStyle w:val="TableText"/>
            </w:pPr>
            <w:r>
              <w:t>0.044</w:t>
            </w:r>
          </w:p>
        </w:tc>
        <w:tc>
          <w:tcPr>
            <w:tcW w:w="757" w:type="pct"/>
            <w:tcMar>
              <w:left w:w="108" w:type="dxa"/>
              <w:right w:w="108" w:type="dxa"/>
            </w:tcMar>
          </w:tcPr>
          <w:p w14:paraId="658417A3" w14:textId="77777777" w:rsidR="009600DA" w:rsidRDefault="00F56B54" w:rsidP="009E3965">
            <w:pPr>
              <w:pStyle w:val="TableText"/>
            </w:pPr>
            <w:r>
              <w:rPr>
                <w:rFonts w:asciiTheme="minorHAnsi" w:hAnsiTheme="minorHAnsi" w:cstheme="minorHAnsi"/>
              </w:rPr>
              <w:t>μ</w:t>
            </w:r>
            <w:r>
              <w:t>g ac/L</w:t>
            </w:r>
          </w:p>
        </w:tc>
      </w:tr>
    </w:tbl>
    <w:p w14:paraId="659DA4AF" w14:textId="77777777" w:rsidR="00CE7A96" w:rsidRPr="00827747" w:rsidRDefault="00F56B54" w:rsidP="00CE7A96">
      <w:pPr>
        <w:pStyle w:val="FigureTableNoteSource"/>
      </w:pPr>
      <w:r>
        <w:t xml:space="preserve">Note: </w:t>
      </w:r>
      <w:r w:rsidR="001967C4" w:rsidRPr="001F288E">
        <w:rPr>
          <w:rStyle w:val="Strong"/>
        </w:rPr>
        <w:t>A</w:t>
      </w:r>
      <w:r>
        <w:t xml:space="preserve"> </w:t>
      </w:r>
      <w:r w:rsidRPr="00827747">
        <w:t>Not in any currently approved antifouling products</w:t>
      </w:r>
      <w:r>
        <w:t xml:space="preserve">. </w:t>
      </w:r>
      <w:r w:rsidRPr="001F288E">
        <w:rPr>
          <w:rStyle w:val="Strong"/>
        </w:rPr>
        <w:t>b</w:t>
      </w:r>
      <w:r>
        <w:t xml:space="preserve"> </w:t>
      </w:r>
      <w:r w:rsidRPr="006161C3">
        <w:t>EPA 2013b</w:t>
      </w:r>
      <w:r>
        <w:t>.</w:t>
      </w:r>
    </w:p>
    <w:p w14:paraId="6BC3B4C0" w14:textId="77777777" w:rsidR="007A2DB9" w:rsidRPr="001F288E" w:rsidRDefault="00F56B54" w:rsidP="00827747">
      <w:pPr>
        <w:pStyle w:val="FigureTableNoteSource"/>
      </w:pPr>
      <w:r w:rsidRPr="001F288E">
        <w:t>Sources: RACs, APVMA 2020b; PNECs, EPA 2013a</w:t>
      </w:r>
      <w:r w:rsidR="00CE7A96">
        <w:t>.</w:t>
      </w:r>
    </w:p>
    <w:p w14:paraId="4DFA0829" w14:textId="77777777" w:rsidR="000C322D" w:rsidRDefault="00F56B54" w:rsidP="000C322D">
      <w:r>
        <w:t>The NZ EPA commissioned a study to evaluate the OECD Emission Scenario Document, which included running MAMPEC for a range of ports and marinas (Gadd et al. 2011). Predictions were run for 11 ports and 13 marinas in New Zealand, which were compared to the OECD default scenarios. Differences between outcomes for New Zealand locations and the OECD defaults led to a recommendation that New Zealand ports and marinas be used in assessments. The recommended port was Lyttelton, and the recommended marinas Half Moon Bay (marine) and Kinloch (freshwater). The APVMA in Australia accepts MAMPEC modelling using these New Zealand locations to assess the environmental risk of new antifouling products submitted for APVMA approval (</w:t>
      </w:r>
      <w:r w:rsidR="00EB1DEE">
        <w:t>APVMA 2020d</w:t>
      </w:r>
      <w:r>
        <w:t>).</w:t>
      </w:r>
    </w:p>
    <w:p w14:paraId="0C17E1A4" w14:textId="77777777" w:rsidR="00D74B1C" w:rsidRDefault="00F56B54" w:rsidP="00D74B1C">
      <w:pPr>
        <w:pStyle w:val="Heading3"/>
        <w:rPr>
          <w:lang w:eastAsia="ja-JP"/>
        </w:rPr>
      </w:pPr>
      <w:bookmarkStart w:id="54" w:name="_Toc50117673"/>
      <w:bookmarkStart w:id="55" w:name="_Toc50117674"/>
      <w:bookmarkEnd w:id="54"/>
      <w:r>
        <w:rPr>
          <w:lang w:eastAsia="ja-JP"/>
        </w:rPr>
        <w:t xml:space="preserve">Discharge </w:t>
      </w:r>
      <w:r w:rsidR="0031761D">
        <w:rPr>
          <w:lang w:eastAsia="ja-JP"/>
        </w:rPr>
        <w:t>m</w:t>
      </w:r>
      <w:r>
        <w:rPr>
          <w:lang w:eastAsia="ja-JP"/>
        </w:rPr>
        <w:t>odelling</w:t>
      </w:r>
      <w:bookmarkEnd w:id="55"/>
    </w:p>
    <w:p w14:paraId="0B3814C4" w14:textId="77777777" w:rsidR="003020DD" w:rsidRDefault="00F56B54" w:rsidP="003020DD">
      <w:r>
        <w:t>MAMPEC for ballast water, MAMPEC-BW, was developed for the IMO to enable exposure assessment of chemicals in ballast water</w:t>
      </w:r>
      <w:r w:rsidR="00027DEC">
        <w:t xml:space="preserve"> (</w:t>
      </w:r>
      <w:r w:rsidR="00ED460F">
        <w:t>van Hattum et al. 2018</w:t>
      </w:r>
      <w:r w:rsidR="00027DEC">
        <w:t>)</w:t>
      </w:r>
      <w:r>
        <w:t xml:space="preserve">. The model is used as part of the evaluation methodology for basic and final approval of ballast water treatment systems by the MEPC </w:t>
      </w:r>
      <w:r w:rsidR="00280A6F">
        <w:t>at</w:t>
      </w:r>
      <w:r>
        <w:t xml:space="preserve"> </w:t>
      </w:r>
      <w:r w:rsidR="00280A6F">
        <w:t xml:space="preserve">the </w:t>
      </w:r>
      <w:r>
        <w:t>IMO. The emission values for compounds are calculated from the specification of the ballast water discharge rate (in m</w:t>
      </w:r>
      <w:r>
        <w:rPr>
          <w:vertAlign w:val="superscript"/>
        </w:rPr>
        <w:t>3</w:t>
      </w:r>
      <w:r>
        <w:t xml:space="preserve">/day) and the concentration of the target compound in the discharge (in mg/L). The database includes more than 40 compounds that could be used in ballast water treatment systems. </w:t>
      </w:r>
      <w:r w:rsidR="00256CFA">
        <w:t>Although antifouling biocides are not included in the MAMPEC-BW database, details of these compounds are in the MAMPEC 3.1 database, and the relevant details can be entered and saved in MAMPEC-BW.</w:t>
      </w:r>
    </w:p>
    <w:p w14:paraId="018161EC" w14:textId="77777777" w:rsidR="005003A1" w:rsidRDefault="00F56B54" w:rsidP="003020DD">
      <w:r>
        <w:t xml:space="preserve">The utility of </w:t>
      </w:r>
      <w:r w:rsidR="0063582E">
        <w:t xml:space="preserve">MAMPEC-BW </w:t>
      </w:r>
      <w:r>
        <w:t>for assessing contamination from</w:t>
      </w:r>
      <w:r w:rsidR="00BF38D8">
        <w:t xml:space="preserve"> IWC</w:t>
      </w:r>
      <w:r>
        <w:t xml:space="preserve"> treatment systems </w:t>
      </w:r>
      <w:r w:rsidR="0063582E">
        <w:t xml:space="preserve">has been </w:t>
      </w:r>
      <w:r>
        <w:t>tested using measurements of treatment system discharge rates and copper concent</w:t>
      </w:r>
      <w:r w:rsidR="00194924">
        <w:t>r</w:t>
      </w:r>
      <w:r>
        <w:t>ations in the effluent from the treatment system in ship trials of the CleanSubSea Envirocart</w:t>
      </w:r>
      <w:r w:rsidR="00F533F4">
        <w:t xml:space="preserve"> (</w:t>
      </w:r>
      <w:r w:rsidR="002A1A9E">
        <w:t>Appendix B)</w:t>
      </w:r>
      <w:r>
        <w:t xml:space="preserve">. </w:t>
      </w:r>
      <w:r w:rsidR="0063582E">
        <w:t>PECs and RQs</w:t>
      </w:r>
      <w:r>
        <w:t xml:space="preserve"> were calculated, using Lytt</w:t>
      </w:r>
      <w:r w:rsidR="00194924">
        <w:t>e</w:t>
      </w:r>
      <w:r>
        <w:t>lton Harbour as the example port,</w:t>
      </w:r>
      <w:r w:rsidR="0063582E">
        <w:t xml:space="preserve"> </w:t>
      </w:r>
      <w:r>
        <w:t>and results were also compared to Australian water quality guideline trigger values</w:t>
      </w:r>
      <w:r w:rsidR="00F533F4">
        <w:t xml:space="preserve">. </w:t>
      </w:r>
      <w:r>
        <w:t>For this trial, the calculated PECs were approximately 2 orders of magnitude below the ANZECC / ARMCANZ trigger values.</w:t>
      </w:r>
    </w:p>
    <w:p w14:paraId="5B964F7C" w14:textId="77777777" w:rsidR="00827747" w:rsidRDefault="00F56B54" w:rsidP="003020DD">
      <w:r>
        <w:t xml:space="preserve">Using the estimated treatment system discharge volume during a standard working day as an input to MAMPEC-BW, and trial and error, the discharge concentrations that would result in critical PECs were calculated. </w:t>
      </w:r>
      <w:r w:rsidR="00F533F4">
        <w:t xml:space="preserve">A copper concentration trigger value for shut down of a clean </w:t>
      </w:r>
      <w:r>
        <w:t xml:space="preserve">of 0.5 </w:t>
      </w:r>
      <w:r w:rsidR="00F9791F">
        <w:t xml:space="preserve">mg Cu/L </w:t>
      </w:r>
      <w:r w:rsidR="00F533F4">
        <w:t>was recommended from this work</w:t>
      </w:r>
      <w:r w:rsidR="00F9791F">
        <w:t xml:space="preserve">, based the calculation of 0.7 mg Cu/L as the </w:t>
      </w:r>
      <w:r w:rsidR="00F9791F">
        <w:lastRenderedPageBreak/>
        <w:t>discharge concentration that would result in</w:t>
      </w:r>
      <w:r w:rsidR="00866554">
        <w:t xml:space="preserve"> the 99% </w:t>
      </w:r>
      <w:r w:rsidR="006375E6">
        <w:t>Species Protection Level [</w:t>
      </w:r>
      <w:r w:rsidR="00866554">
        <w:t>SPL</w:t>
      </w:r>
      <w:r w:rsidR="006375E6">
        <w:t>]</w:t>
      </w:r>
      <w:r w:rsidR="00866554">
        <w:t>, the highest level of protection. This shut down value is specific to the Envirocart system, and would vary on different capture/filtration systems</w:t>
      </w:r>
    </w:p>
    <w:p w14:paraId="30741D18" w14:textId="77777777" w:rsidR="00606BF1" w:rsidRDefault="00F56B54" w:rsidP="00606BF1">
      <w:pPr>
        <w:pStyle w:val="Heading3"/>
      </w:pPr>
      <w:bookmarkStart w:id="56" w:name="_Toc50117675"/>
      <w:r>
        <w:t>Contaminant release from in</w:t>
      </w:r>
      <w:r w:rsidR="00667D29">
        <w:t>-</w:t>
      </w:r>
      <w:r>
        <w:t>water cleaning</w:t>
      </w:r>
      <w:bookmarkEnd w:id="56"/>
    </w:p>
    <w:p w14:paraId="718CE6E0" w14:textId="77777777" w:rsidR="006C2E7D" w:rsidRDefault="00F56B54" w:rsidP="006C2E7D">
      <w:pPr>
        <w:pStyle w:val="Heading4"/>
      </w:pPr>
      <w:r>
        <w:t>Copper</w:t>
      </w:r>
    </w:p>
    <w:p w14:paraId="45821251" w14:textId="513C6F89" w:rsidR="001B10D7" w:rsidRDefault="00F56B54" w:rsidP="001B10D7">
      <w:r>
        <w:t>Available information on the copper content and quantity of copper in the biofilm, leached layer, sound paint and p</w:t>
      </w:r>
      <w:r w:rsidR="00971805">
        <w:t xml:space="preserve">aint flakes </w:t>
      </w:r>
      <w:r>
        <w:t xml:space="preserve">was reviewed by Morrisey et </w:t>
      </w:r>
      <w:r w:rsidR="00971805">
        <w:t>al. (2013) and, from this, best estimates calculated for use in MAMPEC modelling (</w:t>
      </w:r>
      <w:r w:rsidR="00B07E3C">
        <w:fldChar w:fldCharType="begin"/>
      </w:r>
      <w:r w:rsidR="00B07E3C">
        <w:instrText xml:space="preserve"> REF _Ref50114178 \h </w:instrText>
      </w:r>
      <w:r w:rsidR="00B07E3C">
        <w:fldChar w:fldCharType="separate"/>
      </w:r>
      <w:r w:rsidR="001C040D">
        <w:t xml:space="preserve">Table </w:t>
      </w:r>
      <w:r w:rsidR="001C040D">
        <w:rPr>
          <w:noProof/>
        </w:rPr>
        <w:t>2</w:t>
      </w:r>
      <w:r w:rsidR="00B07E3C">
        <w:fldChar w:fldCharType="end"/>
      </w:r>
      <w:r w:rsidR="00971805">
        <w:t>).</w:t>
      </w:r>
    </w:p>
    <w:p w14:paraId="2A05797B" w14:textId="76ECBE68" w:rsidR="00971805" w:rsidRDefault="00F56B54" w:rsidP="00E31633">
      <w:pPr>
        <w:pStyle w:val="Caption"/>
      </w:pPr>
      <w:bookmarkStart w:id="57" w:name="_Ref50114178"/>
      <w:bookmarkStart w:id="58" w:name="_Toc49868682"/>
      <w:r>
        <w:t xml:space="preserve">Table </w:t>
      </w:r>
      <w:r w:rsidR="00F031EE">
        <w:rPr>
          <w:noProof/>
        </w:rPr>
        <w:fldChar w:fldCharType="begin"/>
      </w:r>
      <w:r w:rsidR="00F031EE">
        <w:rPr>
          <w:noProof/>
        </w:rPr>
        <w:instrText xml:space="preserve"> SEQ Table \* ARABIC </w:instrText>
      </w:r>
      <w:r w:rsidR="00F031EE">
        <w:rPr>
          <w:noProof/>
        </w:rPr>
        <w:fldChar w:fldCharType="separate"/>
      </w:r>
      <w:r w:rsidR="001C040D">
        <w:rPr>
          <w:noProof/>
        </w:rPr>
        <w:t>2</w:t>
      </w:r>
      <w:r w:rsidR="00F031EE">
        <w:rPr>
          <w:noProof/>
        </w:rPr>
        <w:fldChar w:fldCharType="end"/>
      </w:r>
      <w:bookmarkEnd w:id="57"/>
      <w:r>
        <w:t xml:space="preserve"> </w:t>
      </w:r>
      <w:r w:rsidR="000908AC">
        <w:t>Copper content of different surfaces removed during in-water cleaning</w:t>
      </w:r>
      <w:bookmarkEnd w:id="58"/>
    </w:p>
    <w:tbl>
      <w:tblPr>
        <w:tblW w:w="5000" w:type="pct"/>
        <w:tblLook w:val="00A0" w:firstRow="1" w:lastRow="0" w:firstColumn="1" w:lastColumn="0" w:noHBand="0" w:noVBand="0"/>
      </w:tblPr>
      <w:tblGrid>
        <w:gridCol w:w="1741"/>
        <w:gridCol w:w="992"/>
        <w:gridCol w:w="992"/>
        <w:gridCol w:w="994"/>
        <w:gridCol w:w="992"/>
        <w:gridCol w:w="994"/>
        <w:gridCol w:w="2365"/>
      </w:tblGrid>
      <w:tr w:rsidR="004F6729" w14:paraId="7E88082B" w14:textId="77777777" w:rsidTr="00827747">
        <w:trPr>
          <w:trHeight w:val="495"/>
        </w:trPr>
        <w:tc>
          <w:tcPr>
            <w:tcW w:w="959" w:type="pct"/>
            <w:vMerge w:val="restart"/>
            <w:tcBorders>
              <w:top w:val="single" w:sz="4" w:space="0" w:color="auto"/>
              <w:left w:val="nil"/>
              <w:right w:val="nil"/>
            </w:tcBorders>
            <w:vAlign w:val="center"/>
          </w:tcPr>
          <w:p w14:paraId="2F12252C" w14:textId="77777777" w:rsidR="00827747" w:rsidRDefault="00F56B54" w:rsidP="000908AC">
            <w:pPr>
              <w:pStyle w:val="TableHeading"/>
            </w:pPr>
            <w:r w:rsidRPr="00C457E5">
              <w:t>Layer</w:t>
            </w:r>
          </w:p>
        </w:tc>
        <w:tc>
          <w:tcPr>
            <w:tcW w:w="1642" w:type="pct"/>
            <w:gridSpan w:val="3"/>
            <w:tcBorders>
              <w:top w:val="single" w:sz="4" w:space="0" w:color="auto"/>
              <w:left w:val="nil"/>
              <w:right w:val="nil"/>
            </w:tcBorders>
            <w:vAlign w:val="center"/>
          </w:tcPr>
          <w:p w14:paraId="6628D961" w14:textId="77777777" w:rsidR="00827747" w:rsidRPr="00C457E5" w:rsidRDefault="00F56B54" w:rsidP="000908AC">
            <w:pPr>
              <w:pStyle w:val="TableHeading"/>
            </w:pPr>
            <w:r w:rsidRPr="00C457E5">
              <w:t>Recreational vessels</w:t>
            </w:r>
          </w:p>
        </w:tc>
        <w:tc>
          <w:tcPr>
            <w:tcW w:w="1095" w:type="pct"/>
            <w:gridSpan w:val="2"/>
            <w:tcBorders>
              <w:top w:val="single" w:sz="4" w:space="0" w:color="auto"/>
              <w:left w:val="nil"/>
              <w:right w:val="nil"/>
            </w:tcBorders>
            <w:vAlign w:val="center"/>
          </w:tcPr>
          <w:p w14:paraId="48285A9E" w14:textId="77777777" w:rsidR="00827747" w:rsidRDefault="00F56B54" w:rsidP="000908AC">
            <w:pPr>
              <w:pStyle w:val="TableHeading"/>
              <w:rPr>
                <w:szCs w:val="24"/>
              </w:rPr>
            </w:pPr>
            <w:r w:rsidRPr="00C457E5">
              <w:t>Commercial vessels</w:t>
            </w:r>
          </w:p>
        </w:tc>
        <w:tc>
          <w:tcPr>
            <w:tcW w:w="1305" w:type="pct"/>
            <w:vMerge w:val="restart"/>
            <w:tcBorders>
              <w:top w:val="single" w:sz="4" w:space="0" w:color="auto"/>
              <w:left w:val="nil"/>
              <w:right w:val="nil"/>
            </w:tcBorders>
            <w:vAlign w:val="center"/>
          </w:tcPr>
          <w:p w14:paraId="4F294D51" w14:textId="77777777" w:rsidR="00827747" w:rsidRDefault="00F56B54" w:rsidP="000908AC">
            <w:pPr>
              <w:pStyle w:val="TableHeading"/>
            </w:pPr>
            <w:r w:rsidRPr="00C457E5">
              <w:t>Comments</w:t>
            </w:r>
          </w:p>
        </w:tc>
      </w:tr>
      <w:tr w:rsidR="004F6729" w14:paraId="4CC94F06" w14:textId="77777777" w:rsidTr="00827747">
        <w:trPr>
          <w:trHeight w:val="495"/>
        </w:trPr>
        <w:tc>
          <w:tcPr>
            <w:tcW w:w="959" w:type="pct"/>
            <w:vMerge/>
            <w:tcBorders>
              <w:left w:val="nil"/>
              <w:bottom w:val="single" w:sz="4" w:space="0" w:color="auto"/>
              <w:right w:val="nil"/>
            </w:tcBorders>
            <w:vAlign w:val="center"/>
          </w:tcPr>
          <w:p w14:paraId="43AE6177" w14:textId="77777777" w:rsidR="00827747" w:rsidRDefault="00827747" w:rsidP="000908AC">
            <w:pPr>
              <w:pStyle w:val="TableHeading"/>
              <w:rPr>
                <w:szCs w:val="24"/>
              </w:rPr>
            </w:pPr>
          </w:p>
        </w:tc>
        <w:tc>
          <w:tcPr>
            <w:tcW w:w="547" w:type="pct"/>
            <w:tcBorders>
              <w:left w:val="nil"/>
              <w:bottom w:val="single" w:sz="4" w:space="0" w:color="auto"/>
              <w:right w:val="nil"/>
            </w:tcBorders>
            <w:vAlign w:val="center"/>
          </w:tcPr>
          <w:p w14:paraId="13DDF836" w14:textId="77777777" w:rsidR="00827747" w:rsidRPr="00C457E5" w:rsidRDefault="00F56B54" w:rsidP="000908AC">
            <w:pPr>
              <w:pStyle w:val="TableHeading"/>
            </w:pPr>
            <w:r w:rsidRPr="00C457E5">
              <w:t>SPC</w:t>
            </w:r>
          </w:p>
        </w:tc>
        <w:tc>
          <w:tcPr>
            <w:tcW w:w="547" w:type="pct"/>
            <w:tcBorders>
              <w:left w:val="nil"/>
              <w:bottom w:val="single" w:sz="4" w:space="0" w:color="auto"/>
              <w:right w:val="nil"/>
            </w:tcBorders>
            <w:vAlign w:val="center"/>
          </w:tcPr>
          <w:p w14:paraId="4587EB43" w14:textId="77777777" w:rsidR="00827747" w:rsidRPr="00C457E5" w:rsidRDefault="00F56B54" w:rsidP="000908AC">
            <w:pPr>
              <w:pStyle w:val="TableHeading"/>
            </w:pPr>
            <w:r w:rsidRPr="00C457E5">
              <w:t>Ablative</w:t>
            </w:r>
          </w:p>
        </w:tc>
        <w:tc>
          <w:tcPr>
            <w:tcW w:w="548" w:type="pct"/>
            <w:tcBorders>
              <w:left w:val="nil"/>
              <w:bottom w:val="single" w:sz="4" w:space="0" w:color="auto"/>
              <w:right w:val="nil"/>
            </w:tcBorders>
            <w:vAlign w:val="center"/>
          </w:tcPr>
          <w:p w14:paraId="0A59334C" w14:textId="77777777" w:rsidR="00827747" w:rsidRPr="00C457E5" w:rsidRDefault="00F56B54" w:rsidP="000908AC">
            <w:pPr>
              <w:pStyle w:val="TableHeading"/>
            </w:pPr>
            <w:r w:rsidRPr="00C457E5">
              <w:t>Hard</w:t>
            </w:r>
          </w:p>
        </w:tc>
        <w:tc>
          <w:tcPr>
            <w:tcW w:w="547" w:type="pct"/>
            <w:tcBorders>
              <w:left w:val="nil"/>
              <w:bottom w:val="single" w:sz="4" w:space="0" w:color="auto"/>
              <w:right w:val="nil"/>
            </w:tcBorders>
            <w:vAlign w:val="center"/>
          </w:tcPr>
          <w:p w14:paraId="1B11A8CD" w14:textId="77777777" w:rsidR="00827747" w:rsidRDefault="00F56B54" w:rsidP="000908AC">
            <w:pPr>
              <w:pStyle w:val="TableHeading"/>
            </w:pPr>
            <w:r w:rsidRPr="00C457E5">
              <w:t>SPC</w:t>
            </w:r>
          </w:p>
        </w:tc>
        <w:tc>
          <w:tcPr>
            <w:tcW w:w="548" w:type="pct"/>
            <w:tcBorders>
              <w:left w:val="nil"/>
              <w:bottom w:val="single" w:sz="4" w:space="0" w:color="auto"/>
              <w:right w:val="nil"/>
            </w:tcBorders>
            <w:vAlign w:val="center"/>
          </w:tcPr>
          <w:p w14:paraId="0F85912C" w14:textId="77777777" w:rsidR="00827747" w:rsidRDefault="00F56B54" w:rsidP="000908AC">
            <w:pPr>
              <w:pStyle w:val="TableHeading"/>
            </w:pPr>
            <w:r w:rsidRPr="00C457E5">
              <w:t>Ablative</w:t>
            </w:r>
          </w:p>
        </w:tc>
        <w:tc>
          <w:tcPr>
            <w:tcW w:w="1305" w:type="pct"/>
            <w:vMerge/>
            <w:tcBorders>
              <w:left w:val="nil"/>
              <w:bottom w:val="single" w:sz="4" w:space="0" w:color="auto"/>
              <w:right w:val="nil"/>
            </w:tcBorders>
            <w:vAlign w:val="center"/>
          </w:tcPr>
          <w:p w14:paraId="121F1084" w14:textId="77777777" w:rsidR="00827747" w:rsidRDefault="00827747" w:rsidP="000908AC">
            <w:pPr>
              <w:pStyle w:val="TableHeading"/>
              <w:rPr>
                <w:szCs w:val="24"/>
              </w:rPr>
            </w:pPr>
          </w:p>
        </w:tc>
      </w:tr>
      <w:tr w:rsidR="004F6729" w14:paraId="2EAA570D" w14:textId="77777777" w:rsidTr="00827747">
        <w:trPr>
          <w:trHeight w:val="315"/>
        </w:trPr>
        <w:tc>
          <w:tcPr>
            <w:tcW w:w="959" w:type="pct"/>
            <w:tcBorders>
              <w:top w:val="nil"/>
              <w:left w:val="nil"/>
              <w:right w:val="nil"/>
            </w:tcBorders>
            <w:vAlign w:val="center"/>
          </w:tcPr>
          <w:p w14:paraId="61E9866C" w14:textId="77777777" w:rsidR="000908AC" w:rsidRDefault="00F56B54" w:rsidP="000908AC">
            <w:pPr>
              <w:pStyle w:val="TableText"/>
              <w:rPr>
                <w:szCs w:val="24"/>
              </w:rPr>
            </w:pPr>
            <w:r w:rsidRPr="00E02E8F">
              <w:t>Sound paint (µg/cm</w:t>
            </w:r>
            <w:r w:rsidRPr="0020779E">
              <w:rPr>
                <w:vertAlign w:val="superscript"/>
              </w:rPr>
              <w:t>2</w:t>
            </w:r>
            <w:r w:rsidR="007A5C5E">
              <w:t xml:space="preserve">/1 </w:t>
            </w:r>
            <w:r w:rsidR="007A5C5E">
              <w:rPr>
                <w:rFonts w:asciiTheme="minorHAnsi" w:hAnsiTheme="minorHAnsi" w:cstheme="minorHAnsi"/>
              </w:rPr>
              <w:t>μ</w:t>
            </w:r>
            <w:r w:rsidR="007A5C5E">
              <w:t>m thickness</w:t>
            </w:r>
            <w:r w:rsidRPr="00E02E8F">
              <w:t>)</w:t>
            </w:r>
          </w:p>
        </w:tc>
        <w:tc>
          <w:tcPr>
            <w:tcW w:w="547" w:type="pct"/>
            <w:tcBorders>
              <w:top w:val="nil"/>
              <w:left w:val="nil"/>
              <w:right w:val="nil"/>
            </w:tcBorders>
            <w:vAlign w:val="center"/>
          </w:tcPr>
          <w:p w14:paraId="56D6D6FE" w14:textId="77777777" w:rsidR="000908AC" w:rsidRPr="00E02E8F" w:rsidRDefault="00F56B54" w:rsidP="000908AC">
            <w:pPr>
              <w:pStyle w:val="TableText"/>
            </w:pPr>
            <w:r w:rsidRPr="00E02E8F">
              <w:t>120</w:t>
            </w:r>
          </w:p>
        </w:tc>
        <w:tc>
          <w:tcPr>
            <w:tcW w:w="547" w:type="pct"/>
            <w:tcBorders>
              <w:top w:val="nil"/>
              <w:left w:val="nil"/>
              <w:right w:val="nil"/>
            </w:tcBorders>
            <w:vAlign w:val="center"/>
          </w:tcPr>
          <w:p w14:paraId="0B02AE7C" w14:textId="77777777" w:rsidR="000908AC" w:rsidRPr="00E02E8F" w:rsidRDefault="00F56B54" w:rsidP="000908AC">
            <w:pPr>
              <w:pStyle w:val="TableText"/>
            </w:pPr>
            <w:r w:rsidRPr="00E02E8F">
              <w:t>120</w:t>
            </w:r>
          </w:p>
        </w:tc>
        <w:tc>
          <w:tcPr>
            <w:tcW w:w="548" w:type="pct"/>
            <w:tcBorders>
              <w:top w:val="nil"/>
              <w:left w:val="nil"/>
              <w:right w:val="nil"/>
            </w:tcBorders>
            <w:vAlign w:val="center"/>
          </w:tcPr>
          <w:p w14:paraId="00EC8738" w14:textId="77777777" w:rsidR="000908AC" w:rsidRPr="00E02E8F" w:rsidRDefault="00F56B54" w:rsidP="000908AC">
            <w:pPr>
              <w:pStyle w:val="TableText"/>
            </w:pPr>
            <w:r w:rsidRPr="00E02E8F">
              <w:t>120</w:t>
            </w:r>
          </w:p>
        </w:tc>
        <w:tc>
          <w:tcPr>
            <w:tcW w:w="547" w:type="pct"/>
            <w:tcBorders>
              <w:top w:val="nil"/>
              <w:left w:val="nil"/>
              <w:right w:val="nil"/>
            </w:tcBorders>
            <w:noWrap/>
            <w:vAlign w:val="center"/>
          </w:tcPr>
          <w:p w14:paraId="0D0C1D5A" w14:textId="77777777" w:rsidR="000908AC" w:rsidRDefault="00F56B54" w:rsidP="000908AC">
            <w:pPr>
              <w:pStyle w:val="TableText"/>
            </w:pPr>
            <w:r w:rsidRPr="00E02E8F">
              <w:t>120</w:t>
            </w:r>
          </w:p>
        </w:tc>
        <w:tc>
          <w:tcPr>
            <w:tcW w:w="548" w:type="pct"/>
            <w:tcBorders>
              <w:top w:val="nil"/>
              <w:left w:val="nil"/>
              <w:right w:val="nil"/>
            </w:tcBorders>
            <w:vAlign w:val="center"/>
          </w:tcPr>
          <w:p w14:paraId="24CECD68" w14:textId="77777777" w:rsidR="000908AC" w:rsidRDefault="00F56B54" w:rsidP="000908AC">
            <w:pPr>
              <w:pStyle w:val="TableText"/>
            </w:pPr>
            <w:r w:rsidRPr="00E02E8F">
              <w:t>120</w:t>
            </w:r>
          </w:p>
        </w:tc>
        <w:tc>
          <w:tcPr>
            <w:tcW w:w="1305" w:type="pct"/>
            <w:tcBorders>
              <w:top w:val="nil"/>
              <w:left w:val="nil"/>
              <w:right w:val="nil"/>
            </w:tcBorders>
            <w:vAlign w:val="center"/>
          </w:tcPr>
          <w:p w14:paraId="2CAAC73E" w14:textId="77777777" w:rsidR="000908AC" w:rsidRDefault="00F56B54" w:rsidP="000908AC">
            <w:pPr>
              <w:pStyle w:val="TableText"/>
            </w:pPr>
            <w:r w:rsidRPr="00E02E8F">
              <w:t xml:space="preserve">Fairly certain; </w:t>
            </w:r>
            <w:r>
              <w:t>d</w:t>
            </w:r>
            <w:r w:rsidRPr="00E02E8F">
              <w:t>ata too variable to distinguish between paint types</w:t>
            </w:r>
          </w:p>
        </w:tc>
      </w:tr>
      <w:tr w:rsidR="004F6729" w14:paraId="5F3CAC94" w14:textId="77777777" w:rsidTr="00827747">
        <w:trPr>
          <w:trHeight w:val="315"/>
        </w:trPr>
        <w:tc>
          <w:tcPr>
            <w:tcW w:w="959" w:type="pct"/>
            <w:tcBorders>
              <w:top w:val="nil"/>
              <w:left w:val="nil"/>
              <w:bottom w:val="nil"/>
              <w:right w:val="nil"/>
            </w:tcBorders>
            <w:vAlign w:val="center"/>
          </w:tcPr>
          <w:p w14:paraId="57DA4E6C" w14:textId="77777777" w:rsidR="000908AC" w:rsidRDefault="00F56B54" w:rsidP="000908AC">
            <w:pPr>
              <w:pStyle w:val="TableText"/>
            </w:pPr>
            <w:r w:rsidRPr="00E02E8F">
              <w:t>Leached layer (µg/</w:t>
            </w:r>
            <w:r w:rsidRPr="007A5C5E">
              <w:t>cm</w:t>
            </w:r>
            <w:r w:rsidRPr="00027E87">
              <w:rPr>
                <w:vertAlign w:val="superscript"/>
              </w:rPr>
              <w:t>2</w:t>
            </w:r>
            <w:r w:rsidR="00027E87">
              <w:t>/</w:t>
            </w:r>
            <w:r w:rsidR="007A5C5E" w:rsidRPr="007A5C5E">
              <w:t>1</w:t>
            </w:r>
            <w:r w:rsidR="007A5C5E">
              <w:t xml:space="preserve"> </w:t>
            </w:r>
            <w:r w:rsidR="007A5C5E">
              <w:rPr>
                <w:rFonts w:asciiTheme="minorHAnsi" w:hAnsiTheme="minorHAnsi" w:cstheme="minorHAnsi"/>
              </w:rPr>
              <w:t>μ</w:t>
            </w:r>
            <w:r w:rsidR="007A5C5E">
              <w:t>m thickness</w:t>
            </w:r>
            <w:r w:rsidRPr="00E02E8F">
              <w:t>)</w:t>
            </w:r>
          </w:p>
        </w:tc>
        <w:tc>
          <w:tcPr>
            <w:tcW w:w="547" w:type="pct"/>
            <w:tcBorders>
              <w:top w:val="nil"/>
              <w:left w:val="nil"/>
              <w:bottom w:val="nil"/>
              <w:right w:val="nil"/>
            </w:tcBorders>
            <w:vAlign w:val="center"/>
          </w:tcPr>
          <w:p w14:paraId="6CFF6C5F" w14:textId="77777777" w:rsidR="000908AC" w:rsidRPr="00E02E8F" w:rsidRDefault="00F56B54" w:rsidP="000908AC">
            <w:pPr>
              <w:pStyle w:val="TableText"/>
            </w:pPr>
            <w:r w:rsidRPr="00E02E8F">
              <w:t>2.4</w:t>
            </w:r>
            <w:r>
              <w:t>-</w:t>
            </w:r>
            <w:r w:rsidRPr="00E02E8F">
              <w:t>24</w:t>
            </w:r>
          </w:p>
        </w:tc>
        <w:tc>
          <w:tcPr>
            <w:tcW w:w="547" w:type="pct"/>
            <w:tcBorders>
              <w:top w:val="nil"/>
              <w:left w:val="nil"/>
              <w:bottom w:val="nil"/>
              <w:right w:val="nil"/>
            </w:tcBorders>
            <w:vAlign w:val="center"/>
          </w:tcPr>
          <w:p w14:paraId="1DED66A9" w14:textId="77777777" w:rsidR="000908AC" w:rsidRPr="00E02E8F" w:rsidRDefault="00F56B54" w:rsidP="000908AC">
            <w:pPr>
              <w:pStyle w:val="TableText"/>
            </w:pPr>
            <w:r w:rsidRPr="00E02E8F">
              <w:t>2.4</w:t>
            </w:r>
            <w:r>
              <w:t>-</w:t>
            </w:r>
            <w:r w:rsidRPr="00E02E8F">
              <w:t>24</w:t>
            </w:r>
          </w:p>
        </w:tc>
        <w:tc>
          <w:tcPr>
            <w:tcW w:w="548" w:type="pct"/>
            <w:tcBorders>
              <w:top w:val="nil"/>
              <w:left w:val="nil"/>
              <w:bottom w:val="nil"/>
              <w:right w:val="nil"/>
            </w:tcBorders>
            <w:vAlign w:val="center"/>
          </w:tcPr>
          <w:p w14:paraId="37881578" w14:textId="77777777" w:rsidR="000908AC" w:rsidRPr="00E02E8F" w:rsidRDefault="00F56B54" w:rsidP="000908AC">
            <w:pPr>
              <w:pStyle w:val="TableText"/>
            </w:pPr>
            <w:r w:rsidRPr="00E02E8F">
              <w:t>2.4</w:t>
            </w:r>
            <w:r>
              <w:t>-</w:t>
            </w:r>
            <w:r w:rsidRPr="00E02E8F">
              <w:t>24</w:t>
            </w:r>
          </w:p>
        </w:tc>
        <w:tc>
          <w:tcPr>
            <w:tcW w:w="547" w:type="pct"/>
            <w:tcBorders>
              <w:top w:val="nil"/>
              <w:left w:val="nil"/>
              <w:bottom w:val="nil"/>
              <w:right w:val="nil"/>
            </w:tcBorders>
            <w:noWrap/>
            <w:vAlign w:val="center"/>
          </w:tcPr>
          <w:p w14:paraId="7AAC7FA5" w14:textId="77777777" w:rsidR="000908AC" w:rsidRDefault="00F56B54" w:rsidP="000908AC">
            <w:pPr>
              <w:pStyle w:val="TableText"/>
            </w:pPr>
            <w:r w:rsidRPr="00E02E8F">
              <w:t>2.4</w:t>
            </w:r>
            <w:r>
              <w:t>-</w:t>
            </w:r>
            <w:r w:rsidRPr="00E02E8F">
              <w:t>24</w:t>
            </w:r>
          </w:p>
        </w:tc>
        <w:tc>
          <w:tcPr>
            <w:tcW w:w="548" w:type="pct"/>
            <w:tcBorders>
              <w:top w:val="nil"/>
              <w:left w:val="nil"/>
              <w:bottom w:val="nil"/>
              <w:right w:val="nil"/>
            </w:tcBorders>
            <w:vAlign w:val="center"/>
          </w:tcPr>
          <w:p w14:paraId="46A9E217" w14:textId="77777777" w:rsidR="000908AC" w:rsidRDefault="00F56B54" w:rsidP="000908AC">
            <w:pPr>
              <w:pStyle w:val="TableText"/>
            </w:pPr>
            <w:r w:rsidRPr="00E02E8F">
              <w:t>2.4</w:t>
            </w:r>
            <w:r>
              <w:t>-</w:t>
            </w:r>
            <w:r w:rsidRPr="00E02E8F">
              <w:t>24</w:t>
            </w:r>
          </w:p>
        </w:tc>
        <w:tc>
          <w:tcPr>
            <w:tcW w:w="1305" w:type="pct"/>
            <w:tcBorders>
              <w:top w:val="nil"/>
              <w:left w:val="nil"/>
              <w:bottom w:val="nil"/>
              <w:right w:val="nil"/>
            </w:tcBorders>
            <w:vAlign w:val="center"/>
          </w:tcPr>
          <w:p w14:paraId="7E535DA6" w14:textId="77777777" w:rsidR="000908AC" w:rsidRDefault="00F56B54" w:rsidP="000908AC">
            <w:pPr>
              <w:pStyle w:val="TableText"/>
            </w:pPr>
            <w:r w:rsidRPr="00E02E8F">
              <w:t xml:space="preserve">Very uncertain; </w:t>
            </w:r>
            <w:r>
              <w:t xml:space="preserve">assumed to be </w:t>
            </w:r>
            <w:r w:rsidRPr="00E02E8F">
              <w:t>2-20% of sound paint content</w:t>
            </w:r>
          </w:p>
        </w:tc>
      </w:tr>
      <w:tr w:rsidR="004F6729" w14:paraId="039046CA" w14:textId="77777777" w:rsidTr="00827747">
        <w:trPr>
          <w:trHeight w:val="315"/>
        </w:trPr>
        <w:tc>
          <w:tcPr>
            <w:tcW w:w="959" w:type="pct"/>
            <w:tcBorders>
              <w:top w:val="nil"/>
              <w:left w:val="nil"/>
              <w:bottom w:val="single" w:sz="4" w:space="0" w:color="auto"/>
              <w:right w:val="nil"/>
            </w:tcBorders>
            <w:vAlign w:val="center"/>
          </w:tcPr>
          <w:p w14:paraId="35B58C99" w14:textId="77777777" w:rsidR="000908AC" w:rsidRPr="00E02E8F" w:rsidRDefault="00F56B54" w:rsidP="000908AC">
            <w:pPr>
              <w:pStyle w:val="TableText"/>
            </w:pPr>
            <w:r w:rsidRPr="00E02E8F">
              <w:t>Biofilm (µg/cm</w:t>
            </w:r>
            <w:r w:rsidRPr="0020779E">
              <w:rPr>
                <w:vertAlign w:val="superscript"/>
              </w:rPr>
              <w:t>2</w:t>
            </w:r>
            <w:r w:rsidRPr="00E02E8F">
              <w:t>/event)</w:t>
            </w:r>
          </w:p>
        </w:tc>
        <w:tc>
          <w:tcPr>
            <w:tcW w:w="547" w:type="pct"/>
            <w:tcBorders>
              <w:top w:val="nil"/>
              <w:left w:val="nil"/>
              <w:bottom w:val="single" w:sz="4" w:space="0" w:color="auto"/>
              <w:right w:val="nil"/>
            </w:tcBorders>
            <w:vAlign w:val="center"/>
          </w:tcPr>
          <w:p w14:paraId="10DF9377" w14:textId="77777777" w:rsidR="000908AC" w:rsidRPr="00E02E8F" w:rsidRDefault="00F56B54" w:rsidP="000908AC">
            <w:pPr>
              <w:pStyle w:val="TableText"/>
            </w:pPr>
            <w:r w:rsidRPr="00E02E8F">
              <w:t>50</w:t>
            </w:r>
          </w:p>
        </w:tc>
        <w:tc>
          <w:tcPr>
            <w:tcW w:w="547" w:type="pct"/>
            <w:tcBorders>
              <w:top w:val="nil"/>
              <w:left w:val="nil"/>
              <w:bottom w:val="single" w:sz="4" w:space="0" w:color="auto"/>
              <w:right w:val="nil"/>
            </w:tcBorders>
            <w:vAlign w:val="center"/>
          </w:tcPr>
          <w:p w14:paraId="6C28F373" w14:textId="77777777" w:rsidR="000908AC" w:rsidRPr="00E02E8F" w:rsidRDefault="00F56B54" w:rsidP="000908AC">
            <w:pPr>
              <w:pStyle w:val="TableText"/>
            </w:pPr>
            <w:r w:rsidRPr="00E02E8F">
              <w:t>100</w:t>
            </w:r>
          </w:p>
        </w:tc>
        <w:tc>
          <w:tcPr>
            <w:tcW w:w="548" w:type="pct"/>
            <w:tcBorders>
              <w:top w:val="nil"/>
              <w:left w:val="nil"/>
              <w:bottom w:val="single" w:sz="4" w:space="0" w:color="auto"/>
              <w:right w:val="nil"/>
            </w:tcBorders>
            <w:vAlign w:val="center"/>
          </w:tcPr>
          <w:p w14:paraId="7A107DF5" w14:textId="77777777" w:rsidR="000908AC" w:rsidRPr="00E02E8F" w:rsidRDefault="00F56B54" w:rsidP="000908AC">
            <w:pPr>
              <w:pStyle w:val="TableText"/>
            </w:pPr>
            <w:r w:rsidRPr="00E02E8F">
              <w:t>75</w:t>
            </w:r>
          </w:p>
        </w:tc>
        <w:tc>
          <w:tcPr>
            <w:tcW w:w="547" w:type="pct"/>
            <w:tcBorders>
              <w:top w:val="nil"/>
              <w:left w:val="nil"/>
              <w:bottom w:val="single" w:sz="4" w:space="0" w:color="auto"/>
              <w:right w:val="nil"/>
            </w:tcBorders>
            <w:noWrap/>
            <w:vAlign w:val="center"/>
          </w:tcPr>
          <w:p w14:paraId="65BD1185" w14:textId="77777777" w:rsidR="000908AC" w:rsidRPr="00E02E8F" w:rsidRDefault="00F56B54" w:rsidP="000908AC">
            <w:pPr>
              <w:pStyle w:val="TableText"/>
            </w:pPr>
            <w:r w:rsidRPr="00E02E8F">
              <w:t>25</w:t>
            </w:r>
          </w:p>
        </w:tc>
        <w:tc>
          <w:tcPr>
            <w:tcW w:w="548" w:type="pct"/>
            <w:tcBorders>
              <w:top w:val="nil"/>
              <w:left w:val="nil"/>
              <w:bottom w:val="single" w:sz="4" w:space="0" w:color="auto"/>
              <w:right w:val="nil"/>
            </w:tcBorders>
            <w:vAlign w:val="center"/>
          </w:tcPr>
          <w:p w14:paraId="2155FC5A" w14:textId="77777777" w:rsidR="000908AC" w:rsidRPr="00E02E8F" w:rsidRDefault="00F56B54" w:rsidP="000908AC">
            <w:pPr>
              <w:pStyle w:val="TableText"/>
            </w:pPr>
            <w:r w:rsidRPr="00E02E8F">
              <w:t>50</w:t>
            </w:r>
          </w:p>
        </w:tc>
        <w:tc>
          <w:tcPr>
            <w:tcW w:w="1305" w:type="pct"/>
            <w:tcBorders>
              <w:top w:val="nil"/>
              <w:left w:val="nil"/>
              <w:bottom w:val="single" w:sz="4" w:space="0" w:color="auto"/>
              <w:right w:val="nil"/>
            </w:tcBorders>
            <w:vAlign w:val="center"/>
          </w:tcPr>
          <w:p w14:paraId="7ABEC4C9" w14:textId="77777777" w:rsidR="000908AC" w:rsidRPr="00E02E8F" w:rsidRDefault="00F56B54" w:rsidP="000908AC">
            <w:pPr>
              <w:pStyle w:val="TableText"/>
            </w:pPr>
            <w:r w:rsidRPr="00E02E8F">
              <w:t>Fairly uncertain</w:t>
            </w:r>
          </w:p>
        </w:tc>
      </w:tr>
    </w:tbl>
    <w:p w14:paraId="50F858EC" w14:textId="77777777" w:rsidR="007E38C8" w:rsidRDefault="00F56B54" w:rsidP="000B7607">
      <w:pPr>
        <w:pStyle w:val="FigureTableNoteSource"/>
      </w:pPr>
      <w:r>
        <w:t>Source: Morrisey et al. 2013</w:t>
      </w:r>
      <w:r w:rsidR="00562185">
        <w:t>, Table 5.2</w:t>
      </w:r>
    </w:p>
    <w:p w14:paraId="62782FA6" w14:textId="755ABF90" w:rsidR="007A5C5E" w:rsidRPr="007A5C5E" w:rsidRDefault="00F56B54" w:rsidP="007A5C5E">
      <w:r>
        <w:t xml:space="preserve">To </w:t>
      </w:r>
      <w:r w:rsidR="00B874F0">
        <w:t>estimate the quantity of copper likely to be released during light and aggressive cleaning, available information was used to estimate the depth of leached layer and sound paint that could be removed by the two methods (Morrisey et al. 2013) (</w:t>
      </w:r>
      <w:r w:rsidR="00B07E3C">
        <w:fldChar w:fldCharType="begin"/>
      </w:r>
      <w:r w:rsidR="00B07E3C">
        <w:instrText xml:space="preserve"> REF _Ref50114190 \h </w:instrText>
      </w:r>
      <w:r w:rsidR="00B07E3C">
        <w:fldChar w:fldCharType="separate"/>
      </w:r>
      <w:r w:rsidR="001C040D">
        <w:t xml:space="preserve">Table </w:t>
      </w:r>
      <w:r w:rsidR="001C040D">
        <w:rPr>
          <w:noProof/>
        </w:rPr>
        <w:t>3</w:t>
      </w:r>
      <w:r w:rsidR="00B07E3C">
        <w:fldChar w:fldCharType="end"/>
      </w:r>
      <w:r w:rsidR="00B874F0">
        <w:t>). The entire layer of biofilm was expected to be removed by both methods.</w:t>
      </w:r>
    </w:p>
    <w:p w14:paraId="37C8CBF2" w14:textId="506CB514" w:rsidR="007A5C5E" w:rsidRDefault="00F56B54" w:rsidP="00B874F0">
      <w:pPr>
        <w:pStyle w:val="Caption"/>
      </w:pPr>
      <w:bookmarkStart w:id="59" w:name="_Ref50114190"/>
      <w:bookmarkStart w:id="60" w:name="_Toc49868683"/>
      <w:r>
        <w:t xml:space="preserve">Table </w:t>
      </w:r>
      <w:r w:rsidR="00F031EE">
        <w:rPr>
          <w:b w:val="0"/>
          <w:bCs w:val="0"/>
          <w:noProof/>
        </w:rPr>
        <w:fldChar w:fldCharType="begin"/>
      </w:r>
      <w:r w:rsidR="00F031EE">
        <w:rPr>
          <w:noProof/>
        </w:rPr>
        <w:instrText xml:space="preserve"> SEQ Table \* ARABIC </w:instrText>
      </w:r>
      <w:r w:rsidR="00F031EE">
        <w:rPr>
          <w:b w:val="0"/>
          <w:bCs w:val="0"/>
          <w:noProof/>
        </w:rPr>
        <w:fldChar w:fldCharType="separate"/>
      </w:r>
      <w:r w:rsidR="001C040D">
        <w:rPr>
          <w:noProof/>
        </w:rPr>
        <w:t>3</w:t>
      </w:r>
      <w:r w:rsidR="00F031EE">
        <w:rPr>
          <w:b w:val="0"/>
          <w:bCs w:val="0"/>
          <w:noProof/>
        </w:rPr>
        <w:fldChar w:fldCharType="end"/>
      </w:r>
      <w:bookmarkEnd w:id="59"/>
      <w:r w:rsidRPr="00B874F0">
        <w:t xml:space="preserve"> Layer thickness and removal depth during in-water cleaning</w:t>
      </w:r>
      <w:bookmarkEnd w:id="60"/>
    </w:p>
    <w:tbl>
      <w:tblPr>
        <w:tblW w:w="5011" w:type="pct"/>
        <w:tblLayout w:type="fixed"/>
        <w:tblLook w:val="00A0" w:firstRow="1" w:lastRow="0" w:firstColumn="1" w:lastColumn="0" w:noHBand="0" w:noVBand="0"/>
      </w:tblPr>
      <w:tblGrid>
        <w:gridCol w:w="2870"/>
        <w:gridCol w:w="964"/>
        <w:gridCol w:w="971"/>
        <w:gridCol w:w="838"/>
        <w:gridCol w:w="969"/>
        <w:gridCol w:w="976"/>
        <w:gridCol w:w="1502"/>
      </w:tblGrid>
      <w:tr w:rsidR="004F6729" w14:paraId="46AADDC1" w14:textId="77777777" w:rsidTr="009C73A6">
        <w:trPr>
          <w:cantSplit/>
          <w:trHeight w:val="495"/>
          <w:tblHeader/>
        </w:trPr>
        <w:tc>
          <w:tcPr>
            <w:tcW w:w="1579" w:type="pct"/>
            <w:vMerge w:val="restart"/>
            <w:tcBorders>
              <w:top w:val="single" w:sz="4" w:space="0" w:color="auto"/>
              <w:left w:val="nil"/>
              <w:right w:val="nil"/>
            </w:tcBorders>
            <w:vAlign w:val="center"/>
          </w:tcPr>
          <w:p w14:paraId="2D44D82F" w14:textId="77777777" w:rsidR="007F5E21" w:rsidRPr="00C457E5" w:rsidRDefault="00F56B54" w:rsidP="009C73A6">
            <w:pPr>
              <w:pStyle w:val="TableHeading"/>
            </w:pPr>
            <w:r w:rsidRPr="00C457E5">
              <w:t>Layer</w:t>
            </w:r>
            <w:r>
              <w:t xml:space="preserve"> </w:t>
            </w:r>
            <w:r w:rsidRPr="00B874F0">
              <w:t>(μm)</w:t>
            </w:r>
          </w:p>
        </w:tc>
        <w:tc>
          <w:tcPr>
            <w:tcW w:w="1525" w:type="pct"/>
            <w:gridSpan w:val="3"/>
            <w:tcBorders>
              <w:top w:val="single" w:sz="4" w:space="0" w:color="auto"/>
              <w:left w:val="nil"/>
              <w:right w:val="nil"/>
            </w:tcBorders>
            <w:vAlign w:val="center"/>
          </w:tcPr>
          <w:p w14:paraId="452651AD" w14:textId="77777777" w:rsidR="007F5E21" w:rsidRPr="00C457E5" w:rsidRDefault="00F56B54" w:rsidP="009C73A6">
            <w:pPr>
              <w:pStyle w:val="TableHeading"/>
            </w:pPr>
            <w:r w:rsidRPr="00C457E5">
              <w:t>Recreational vessels</w:t>
            </w:r>
          </w:p>
        </w:tc>
        <w:tc>
          <w:tcPr>
            <w:tcW w:w="1070" w:type="pct"/>
            <w:gridSpan w:val="2"/>
            <w:tcBorders>
              <w:top w:val="single" w:sz="4" w:space="0" w:color="auto"/>
              <w:left w:val="nil"/>
              <w:right w:val="nil"/>
            </w:tcBorders>
            <w:vAlign w:val="center"/>
          </w:tcPr>
          <w:p w14:paraId="6A182214" w14:textId="77777777" w:rsidR="007F5E21" w:rsidRPr="00C457E5" w:rsidRDefault="00F56B54" w:rsidP="009C73A6">
            <w:pPr>
              <w:pStyle w:val="TableHeading"/>
            </w:pPr>
            <w:r w:rsidRPr="00C457E5">
              <w:t>Commercial vessels</w:t>
            </w:r>
          </w:p>
        </w:tc>
        <w:tc>
          <w:tcPr>
            <w:tcW w:w="826" w:type="pct"/>
            <w:vMerge w:val="restart"/>
            <w:tcBorders>
              <w:top w:val="single" w:sz="4" w:space="0" w:color="auto"/>
              <w:left w:val="nil"/>
              <w:right w:val="nil"/>
            </w:tcBorders>
            <w:vAlign w:val="center"/>
          </w:tcPr>
          <w:p w14:paraId="3AE03700" w14:textId="77777777" w:rsidR="007F5E21" w:rsidRPr="00C457E5" w:rsidRDefault="00F56B54" w:rsidP="009C73A6">
            <w:pPr>
              <w:pStyle w:val="TableHeading"/>
            </w:pPr>
            <w:r w:rsidRPr="00C457E5">
              <w:t>Comments</w:t>
            </w:r>
          </w:p>
        </w:tc>
      </w:tr>
      <w:tr w:rsidR="004F6729" w14:paraId="5DFDD9A7" w14:textId="77777777" w:rsidTr="009C73A6">
        <w:trPr>
          <w:cantSplit/>
          <w:trHeight w:val="495"/>
          <w:tblHeader/>
        </w:trPr>
        <w:tc>
          <w:tcPr>
            <w:tcW w:w="1579" w:type="pct"/>
            <w:vMerge/>
            <w:tcBorders>
              <w:left w:val="nil"/>
              <w:bottom w:val="single" w:sz="4" w:space="0" w:color="auto"/>
              <w:right w:val="nil"/>
            </w:tcBorders>
            <w:vAlign w:val="center"/>
          </w:tcPr>
          <w:p w14:paraId="240A1E64" w14:textId="77777777" w:rsidR="007F5E21" w:rsidRPr="00C457E5" w:rsidRDefault="007F5E21" w:rsidP="009C73A6">
            <w:pPr>
              <w:pStyle w:val="TableHeading"/>
            </w:pPr>
          </w:p>
        </w:tc>
        <w:tc>
          <w:tcPr>
            <w:tcW w:w="530" w:type="pct"/>
            <w:tcBorders>
              <w:left w:val="nil"/>
              <w:bottom w:val="single" w:sz="4" w:space="0" w:color="auto"/>
              <w:right w:val="nil"/>
            </w:tcBorders>
            <w:vAlign w:val="center"/>
          </w:tcPr>
          <w:p w14:paraId="333C9DAC" w14:textId="77777777" w:rsidR="007F5E21" w:rsidRPr="00C457E5" w:rsidRDefault="00F56B54" w:rsidP="009C73A6">
            <w:pPr>
              <w:pStyle w:val="TableHeading"/>
            </w:pPr>
            <w:r w:rsidRPr="00C457E5">
              <w:t>SPC</w:t>
            </w:r>
          </w:p>
        </w:tc>
        <w:tc>
          <w:tcPr>
            <w:tcW w:w="534" w:type="pct"/>
            <w:tcBorders>
              <w:left w:val="nil"/>
              <w:bottom w:val="single" w:sz="4" w:space="0" w:color="auto"/>
              <w:right w:val="nil"/>
            </w:tcBorders>
            <w:vAlign w:val="center"/>
          </w:tcPr>
          <w:p w14:paraId="3779A3EE" w14:textId="77777777" w:rsidR="007F5E21" w:rsidRPr="00C457E5" w:rsidRDefault="00F56B54" w:rsidP="009C73A6">
            <w:pPr>
              <w:pStyle w:val="TableHeading"/>
            </w:pPr>
            <w:r w:rsidRPr="00C457E5">
              <w:t>Ablative</w:t>
            </w:r>
          </w:p>
        </w:tc>
        <w:tc>
          <w:tcPr>
            <w:tcW w:w="461" w:type="pct"/>
            <w:tcBorders>
              <w:left w:val="nil"/>
              <w:bottom w:val="single" w:sz="4" w:space="0" w:color="auto"/>
              <w:right w:val="nil"/>
            </w:tcBorders>
            <w:vAlign w:val="center"/>
          </w:tcPr>
          <w:p w14:paraId="5092B023" w14:textId="77777777" w:rsidR="007F5E21" w:rsidRPr="00C457E5" w:rsidRDefault="00F56B54" w:rsidP="009C73A6">
            <w:pPr>
              <w:pStyle w:val="TableHeading"/>
            </w:pPr>
            <w:r w:rsidRPr="00C457E5">
              <w:t>Hard</w:t>
            </w:r>
          </w:p>
        </w:tc>
        <w:tc>
          <w:tcPr>
            <w:tcW w:w="533" w:type="pct"/>
            <w:tcBorders>
              <w:left w:val="nil"/>
              <w:bottom w:val="single" w:sz="4" w:space="0" w:color="auto"/>
              <w:right w:val="nil"/>
            </w:tcBorders>
            <w:vAlign w:val="center"/>
          </w:tcPr>
          <w:p w14:paraId="267BFDEA" w14:textId="77777777" w:rsidR="007F5E21" w:rsidRPr="00C457E5" w:rsidRDefault="00F56B54" w:rsidP="009C73A6">
            <w:pPr>
              <w:pStyle w:val="TableHeading"/>
            </w:pPr>
            <w:r w:rsidRPr="00C457E5">
              <w:t>SPC</w:t>
            </w:r>
          </w:p>
        </w:tc>
        <w:tc>
          <w:tcPr>
            <w:tcW w:w="537" w:type="pct"/>
            <w:tcBorders>
              <w:left w:val="nil"/>
              <w:bottom w:val="single" w:sz="4" w:space="0" w:color="auto"/>
              <w:right w:val="nil"/>
            </w:tcBorders>
            <w:vAlign w:val="center"/>
          </w:tcPr>
          <w:p w14:paraId="7DC8D39E" w14:textId="77777777" w:rsidR="007F5E21" w:rsidRPr="00C457E5" w:rsidRDefault="00F56B54" w:rsidP="009C73A6">
            <w:pPr>
              <w:pStyle w:val="TableHeading"/>
            </w:pPr>
            <w:r w:rsidRPr="00C457E5">
              <w:t>Ablative</w:t>
            </w:r>
          </w:p>
        </w:tc>
        <w:tc>
          <w:tcPr>
            <w:tcW w:w="826" w:type="pct"/>
            <w:vMerge/>
            <w:tcBorders>
              <w:left w:val="nil"/>
              <w:bottom w:val="single" w:sz="4" w:space="0" w:color="auto"/>
              <w:right w:val="nil"/>
            </w:tcBorders>
            <w:vAlign w:val="center"/>
          </w:tcPr>
          <w:p w14:paraId="1C6B5DE5" w14:textId="77777777" w:rsidR="007F5E21" w:rsidRPr="00C457E5" w:rsidRDefault="007F5E21" w:rsidP="009C73A6">
            <w:pPr>
              <w:pStyle w:val="TableHeading"/>
            </w:pPr>
          </w:p>
        </w:tc>
      </w:tr>
      <w:tr w:rsidR="004F6729" w14:paraId="681A4786" w14:textId="77777777" w:rsidTr="009C73A6">
        <w:trPr>
          <w:cantSplit/>
          <w:trHeight w:val="315"/>
          <w:tblHeader/>
        </w:trPr>
        <w:tc>
          <w:tcPr>
            <w:tcW w:w="1579" w:type="pct"/>
            <w:tcBorders>
              <w:top w:val="nil"/>
              <w:left w:val="nil"/>
              <w:right w:val="nil"/>
            </w:tcBorders>
            <w:vAlign w:val="center"/>
          </w:tcPr>
          <w:p w14:paraId="6E93D619" w14:textId="77777777" w:rsidR="00B874F0" w:rsidRPr="00E02E8F" w:rsidRDefault="00F56B54" w:rsidP="009C73A6">
            <w:pPr>
              <w:pStyle w:val="TableText"/>
            </w:pPr>
            <w:r w:rsidRPr="00E02E8F">
              <w:t>Leached layer thickness</w:t>
            </w:r>
          </w:p>
        </w:tc>
        <w:tc>
          <w:tcPr>
            <w:tcW w:w="530" w:type="pct"/>
            <w:tcBorders>
              <w:top w:val="nil"/>
              <w:left w:val="nil"/>
              <w:right w:val="nil"/>
            </w:tcBorders>
            <w:vAlign w:val="center"/>
          </w:tcPr>
          <w:p w14:paraId="388975A4" w14:textId="77777777" w:rsidR="00B874F0" w:rsidRPr="00E02E8F" w:rsidRDefault="00F56B54" w:rsidP="009C73A6">
            <w:pPr>
              <w:pStyle w:val="TableText"/>
            </w:pPr>
            <w:r w:rsidRPr="00E02E8F">
              <w:t>50</w:t>
            </w:r>
          </w:p>
        </w:tc>
        <w:tc>
          <w:tcPr>
            <w:tcW w:w="534" w:type="pct"/>
            <w:tcBorders>
              <w:top w:val="nil"/>
              <w:left w:val="nil"/>
              <w:right w:val="nil"/>
            </w:tcBorders>
            <w:vAlign w:val="center"/>
          </w:tcPr>
          <w:p w14:paraId="0C72F876" w14:textId="77777777" w:rsidR="00B874F0" w:rsidRPr="00E02E8F" w:rsidRDefault="00F56B54" w:rsidP="009C73A6">
            <w:pPr>
              <w:pStyle w:val="TableText"/>
            </w:pPr>
            <w:r w:rsidRPr="00E02E8F">
              <w:t>60</w:t>
            </w:r>
          </w:p>
        </w:tc>
        <w:tc>
          <w:tcPr>
            <w:tcW w:w="461" w:type="pct"/>
            <w:tcBorders>
              <w:top w:val="nil"/>
              <w:left w:val="nil"/>
              <w:right w:val="nil"/>
            </w:tcBorders>
            <w:vAlign w:val="center"/>
          </w:tcPr>
          <w:p w14:paraId="31B27F37" w14:textId="77777777" w:rsidR="00B874F0" w:rsidRPr="00E02E8F" w:rsidRDefault="00F56B54" w:rsidP="009C73A6">
            <w:pPr>
              <w:pStyle w:val="TableText"/>
            </w:pPr>
            <w:r w:rsidRPr="00E02E8F">
              <w:t>75</w:t>
            </w:r>
          </w:p>
        </w:tc>
        <w:tc>
          <w:tcPr>
            <w:tcW w:w="533" w:type="pct"/>
            <w:tcBorders>
              <w:top w:val="nil"/>
              <w:left w:val="nil"/>
              <w:right w:val="nil"/>
            </w:tcBorders>
            <w:noWrap/>
            <w:vAlign w:val="center"/>
          </w:tcPr>
          <w:p w14:paraId="27C72B3C" w14:textId="77777777" w:rsidR="00B874F0" w:rsidRPr="00E02E8F" w:rsidRDefault="00F56B54" w:rsidP="009C73A6">
            <w:pPr>
              <w:pStyle w:val="TableText"/>
            </w:pPr>
            <w:r w:rsidRPr="00E02E8F">
              <w:t>50</w:t>
            </w:r>
          </w:p>
        </w:tc>
        <w:tc>
          <w:tcPr>
            <w:tcW w:w="537" w:type="pct"/>
            <w:tcBorders>
              <w:top w:val="nil"/>
              <w:left w:val="nil"/>
              <w:right w:val="nil"/>
            </w:tcBorders>
            <w:vAlign w:val="center"/>
          </w:tcPr>
          <w:p w14:paraId="1ED276DD" w14:textId="77777777" w:rsidR="00B874F0" w:rsidRPr="00E02E8F" w:rsidRDefault="00F56B54" w:rsidP="009C73A6">
            <w:pPr>
              <w:pStyle w:val="TableText"/>
            </w:pPr>
            <w:r w:rsidRPr="00E02E8F">
              <w:t>60</w:t>
            </w:r>
          </w:p>
        </w:tc>
        <w:tc>
          <w:tcPr>
            <w:tcW w:w="826" w:type="pct"/>
            <w:tcBorders>
              <w:top w:val="nil"/>
              <w:left w:val="nil"/>
              <w:right w:val="nil"/>
            </w:tcBorders>
            <w:vAlign w:val="center"/>
          </w:tcPr>
          <w:p w14:paraId="0B26BC81" w14:textId="77777777" w:rsidR="00B874F0" w:rsidRPr="00E02E8F" w:rsidRDefault="00F56B54" w:rsidP="009C73A6">
            <w:pPr>
              <w:pStyle w:val="TableText"/>
            </w:pPr>
            <w:r w:rsidRPr="00E02E8F">
              <w:t>Fairly certain</w:t>
            </w:r>
          </w:p>
        </w:tc>
      </w:tr>
      <w:tr w:rsidR="004F6729" w14:paraId="39958F15" w14:textId="77777777" w:rsidTr="009C73A6">
        <w:trPr>
          <w:cantSplit/>
          <w:trHeight w:val="315"/>
          <w:tblHeader/>
        </w:trPr>
        <w:tc>
          <w:tcPr>
            <w:tcW w:w="1579" w:type="pct"/>
            <w:tcBorders>
              <w:top w:val="dotted" w:sz="4" w:space="0" w:color="auto"/>
              <w:left w:val="nil"/>
              <w:bottom w:val="nil"/>
              <w:right w:val="nil"/>
            </w:tcBorders>
            <w:vAlign w:val="center"/>
          </w:tcPr>
          <w:p w14:paraId="5336D564" w14:textId="77777777" w:rsidR="00B874F0" w:rsidRPr="00E02E8F" w:rsidRDefault="00F56B54" w:rsidP="009C73A6">
            <w:pPr>
              <w:pStyle w:val="TableText"/>
            </w:pPr>
            <w:r w:rsidRPr="00E02E8F">
              <w:t xml:space="preserve">Light cleaning total removal depth </w:t>
            </w:r>
          </w:p>
        </w:tc>
        <w:tc>
          <w:tcPr>
            <w:tcW w:w="530" w:type="pct"/>
            <w:tcBorders>
              <w:top w:val="dotted" w:sz="4" w:space="0" w:color="auto"/>
              <w:left w:val="nil"/>
              <w:bottom w:val="nil"/>
              <w:right w:val="nil"/>
            </w:tcBorders>
            <w:vAlign w:val="center"/>
          </w:tcPr>
          <w:p w14:paraId="79A544E0" w14:textId="77777777" w:rsidR="00B874F0" w:rsidRPr="00E02E8F" w:rsidRDefault="00F56B54" w:rsidP="009C73A6">
            <w:pPr>
              <w:pStyle w:val="TableText"/>
            </w:pPr>
            <w:r w:rsidRPr="00E02E8F">
              <w:t>25</w:t>
            </w:r>
          </w:p>
        </w:tc>
        <w:tc>
          <w:tcPr>
            <w:tcW w:w="534" w:type="pct"/>
            <w:tcBorders>
              <w:top w:val="dotted" w:sz="4" w:space="0" w:color="auto"/>
              <w:left w:val="nil"/>
              <w:bottom w:val="nil"/>
              <w:right w:val="nil"/>
            </w:tcBorders>
            <w:vAlign w:val="center"/>
          </w:tcPr>
          <w:p w14:paraId="545046A0" w14:textId="77777777" w:rsidR="00B874F0" w:rsidRPr="00E02E8F" w:rsidRDefault="00F56B54" w:rsidP="009C73A6">
            <w:pPr>
              <w:pStyle w:val="TableText"/>
            </w:pPr>
            <w:r w:rsidRPr="00E02E8F">
              <w:t>25</w:t>
            </w:r>
          </w:p>
        </w:tc>
        <w:tc>
          <w:tcPr>
            <w:tcW w:w="461" w:type="pct"/>
            <w:tcBorders>
              <w:top w:val="dotted" w:sz="4" w:space="0" w:color="auto"/>
              <w:left w:val="nil"/>
              <w:bottom w:val="nil"/>
              <w:right w:val="nil"/>
            </w:tcBorders>
            <w:vAlign w:val="center"/>
          </w:tcPr>
          <w:p w14:paraId="26B24EB4" w14:textId="77777777" w:rsidR="00B874F0" w:rsidRPr="00E02E8F" w:rsidRDefault="00F56B54" w:rsidP="009C73A6">
            <w:pPr>
              <w:pStyle w:val="TableText"/>
            </w:pPr>
            <w:r w:rsidRPr="00E02E8F">
              <w:t>25</w:t>
            </w:r>
          </w:p>
        </w:tc>
        <w:tc>
          <w:tcPr>
            <w:tcW w:w="533" w:type="pct"/>
            <w:tcBorders>
              <w:top w:val="dotted" w:sz="4" w:space="0" w:color="auto"/>
              <w:left w:val="nil"/>
              <w:bottom w:val="nil"/>
              <w:right w:val="nil"/>
            </w:tcBorders>
            <w:noWrap/>
            <w:vAlign w:val="center"/>
          </w:tcPr>
          <w:p w14:paraId="21821C6B" w14:textId="77777777" w:rsidR="00B874F0" w:rsidRPr="00E02E8F" w:rsidRDefault="00F56B54" w:rsidP="009C73A6">
            <w:pPr>
              <w:pStyle w:val="TableText"/>
            </w:pPr>
            <w:r w:rsidRPr="00E02E8F">
              <w:t>25</w:t>
            </w:r>
          </w:p>
        </w:tc>
        <w:tc>
          <w:tcPr>
            <w:tcW w:w="537" w:type="pct"/>
            <w:tcBorders>
              <w:top w:val="dotted" w:sz="4" w:space="0" w:color="auto"/>
              <w:left w:val="nil"/>
              <w:bottom w:val="nil"/>
              <w:right w:val="nil"/>
            </w:tcBorders>
            <w:vAlign w:val="center"/>
          </w:tcPr>
          <w:p w14:paraId="17890439" w14:textId="77777777" w:rsidR="00B874F0" w:rsidRPr="00E02E8F" w:rsidRDefault="00F56B54" w:rsidP="009C73A6">
            <w:pPr>
              <w:pStyle w:val="TableText"/>
            </w:pPr>
            <w:r w:rsidRPr="00E02E8F">
              <w:t>25</w:t>
            </w:r>
          </w:p>
        </w:tc>
        <w:tc>
          <w:tcPr>
            <w:tcW w:w="826" w:type="pct"/>
            <w:tcBorders>
              <w:top w:val="dotted" w:sz="4" w:space="0" w:color="auto"/>
              <w:left w:val="nil"/>
              <w:bottom w:val="nil"/>
              <w:right w:val="nil"/>
            </w:tcBorders>
            <w:vAlign w:val="center"/>
          </w:tcPr>
          <w:p w14:paraId="7E73BFE4" w14:textId="77777777" w:rsidR="00B874F0" w:rsidRPr="00E02E8F" w:rsidRDefault="00F56B54" w:rsidP="009C73A6">
            <w:pPr>
              <w:pStyle w:val="TableText"/>
            </w:pPr>
            <w:r w:rsidRPr="00E02E8F">
              <w:t>Fairly uncertain</w:t>
            </w:r>
          </w:p>
        </w:tc>
      </w:tr>
      <w:tr w:rsidR="004F6729" w14:paraId="4DDC159F" w14:textId="77777777" w:rsidTr="009C73A6">
        <w:trPr>
          <w:cantSplit/>
          <w:trHeight w:val="315"/>
          <w:tblHeader/>
        </w:trPr>
        <w:tc>
          <w:tcPr>
            <w:tcW w:w="1579" w:type="pct"/>
            <w:tcBorders>
              <w:top w:val="nil"/>
              <w:left w:val="nil"/>
              <w:bottom w:val="nil"/>
              <w:right w:val="nil"/>
            </w:tcBorders>
            <w:vAlign w:val="center"/>
          </w:tcPr>
          <w:p w14:paraId="399ED8D8" w14:textId="77777777" w:rsidR="00B874F0" w:rsidRPr="00E02E8F" w:rsidRDefault="00F56B54" w:rsidP="009C73A6">
            <w:pPr>
              <w:pStyle w:val="TableText"/>
            </w:pPr>
            <w:r w:rsidRPr="00E02E8F">
              <w:t>Light cleaning leached layer removal depth</w:t>
            </w:r>
          </w:p>
        </w:tc>
        <w:tc>
          <w:tcPr>
            <w:tcW w:w="530" w:type="pct"/>
            <w:tcBorders>
              <w:top w:val="nil"/>
              <w:left w:val="nil"/>
              <w:bottom w:val="nil"/>
              <w:right w:val="nil"/>
            </w:tcBorders>
            <w:vAlign w:val="center"/>
          </w:tcPr>
          <w:p w14:paraId="1DF1A37F" w14:textId="77777777" w:rsidR="00B874F0" w:rsidRPr="00E02E8F" w:rsidRDefault="00F56B54" w:rsidP="009C73A6">
            <w:pPr>
              <w:pStyle w:val="TableText"/>
            </w:pPr>
            <w:r w:rsidRPr="00E02E8F">
              <w:t>25</w:t>
            </w:r>
          </w:p>
        </w:tc>
        <w:tc>
          <w:tcPr>
            <w:tcW w:w="534" w:type="pct"/>
            <w:tcBorders>
              <w:top w:val="nil"/>
              <w:left w:val="nil"/>
              <w:bottom w:val="nil"/>
              <w:right w:val="nil"/>
            </w:tcBorders>
            <w:vAlign w:val="center"/>
          </w:tcPr>
          <w:p w14:paraId="5A1A0E7C" w14:textId="77777777" w:rsidR="00B874F0" w:rsidRPr="00E02E8F" w:rsidRDefault="00F56B54" w:rsidP="009C73A6">
            <w:pPr>
              <w:pStyle w:val="TableText"/>
            </w:pPr>
            <w:r w:rsidRPr="00E02E8F">
              <w:t>25</w:t>
            </w:r>
          </w:p>
        </w:tc>
        <w:tc>
          <w:tcPr>
            <w:tcW w:w="461" w:type="pct"/>
            <w:tcBorders>
              <w:top w:val="nil"/>
              <w:left w:val="nil"/>
              <w:bottom w:val="nil"/>
              <w:right w:val="nil"/>
            </w:tcBorders>
            <w:vAlign w:val="center"/>
          </w:tcPr>
          <w:p w14:paraId="34AA9299" w14:textId="77777777" w:rsidR="00B874F0" w:rsidRPr="00E02E8F" w:rsidRDefault="00F56B54" w:rsidP="009C73A6">
            <w:pPr>
              <w:pStyle w:val="TableText"/>
            </w:pPr>
            <w:r w:rsidRPr="00E02E8F">
              <w:t>25</w:t>
            </w:r>
          </w:p>
        </w:tc>
        <w:tc>
          <w:tcPr>
            <w:tcW w:w="533" w:type="pct"/>
            <w:tcBorders>
              <w:top w:val="nil"/>
              <w:left w:val="nil"/>
              <w:bottom w:val="nil"/>
              <w:right w:val="nil"/>
            </w:tcBorders>
            <w:noWrap/>
            <w:vAlign w:val="center"/>
          </w:tcPr>
          <w:p w14:paraId="0EC6D279" w14:textId="77777777" w:rsidR="00B874F0" w:rsidRPr="00E02E8F" w:rsidRDefault="00F56B54" w:rsidP="009C73A6">
            <w:pPr>
              <w:pStyle w:val="TableText"/>
            </w:pPr>
            <w:r w:rsidRPr="00E02E8F">
              <w:t>25</w:t>
            </w:r>
          </w:p>
        </w:tc>
        <w:tc>
          <w:tcPr>
            <w:tcW w:w="537" w:type="pct"/>
            <w:tcBorders>
              <w:top w:val="nil"/>
              <w:left w:val="nil"/>
              <w:bottom w:val="nil"/>
              <w:right w:val="nil"/>
            </w:tcBorders>
            <w:vAlign w:val="center"/>
          </w:tcPr>
          <w:p w14:paraId="7C852C18" w14:textId="77777777" w:rsidR="00B874F0" w:rsidRPr="00E02E8F" w:rsidRDefault="00F56B54" w:rsidP="009C73A6">
            <w:pPr>
              <w:pStyle w:val="TableText"/>
            </w:pPr>
            <w:r w:rsidRPr="00E02E8F">
              <w:t>25</w:t>
            </w:r>
          </w:p>
        </w:tc>
        <w:tc>
          <w:tcPr>
            <w:tcW w:w="826" w:type="pct"/>
            <w:tcBorders>
              <w:top w:val="nil"/>
              <w:left w:val="nil"/>
              <w:bottom w:val="nil"/>
              <w:right w:val="nil"/>
            </w:tcBorders>
            <w:vAlign w:val="center"/>
          </w:tcPr>
          <w:p w14:paraId="1BF98124" w14:textId="77777777" w:rsidR="00B874F0" w:rsidRPr="00E02E8F" w:rsidRDefault="00F56B54" w:rsidP="009C73A6">
            <w:pPr>
              <w:pStyle w:val="TableText"/>
            </w:pPr>
            <w:r w:rsidRPr="00E02E8F">
              <w:t>Fairly uncertain</w:t>
            </w:r>
          </w:p>
        </w:tc>
      </w:tr>
      <w:tr w:rsidR="004F6729" w14:paraId="48411425" w14:textId="77777777" w:rsidTr="009C73A6">
        <w:trPr>
          <w:cantSplit/>
          <w:trHeight w:val="315"/>
          <w:tblHeader/>
        </w:trPr>
        <w:tc>
          <w:tcPr>
            <w:tcW w:w="1579" w:type="pct"/>
            <w:tcBorders>
              <w:top w:val="nil"/>
              <w:left w:val="nil"/>
              <w:bottom w:val="dotted" w:sz="4" w:space="0" w:color="auto"/>
              <w:right w:val="nil"/>
            </w:tcBorders>
            <w:vAlign w:val="center"/>
          </w:tcPr>
          <w:p w14:paraId="0F3662E9" w14:textId="77777777" w:rsidR="00B874F0" w:rsidRPr="00E02E8F" w:rsidRDefault="00F56B54" w:rsidP="009C73A6">
            <w:pPr>
              <w:pStyle w:val="TableText"/>
            </w:pPr>
            <w:r w:rsidRPr="00E02E8F">
              <w:t>Light cleaning sound paint removal depth</w:t>
            </w:r>
          </w:p>
        </w:tc>
        <w:tc>
          <w:tcPr>
            <w:tcW w:w="530" w:type="pct"/>
            <w:tcBorders>
              <w:top w:val="nil"/>
              <w:left w:val="nil"/>
              <w:bottom w:val="dotted" w:sz="4" w:space="0" w:color="auto"/>
              <w:right w:val="nil"/>
            </w:tcBorders>
            <w:vAlign w:val="center"/>
          </w:tcPr>
          <w:p w14:paraId="347D3892" w14:textId="77777777" w:rsidR="00B874F0" w:rsidRPr="00E02E8F" w:rsidRDefault="00F56B54" w:rsidP="009C73A6">
            <w:pPr>
              <w:pStyle w:val="TableText"/>
            </w:pPr>
            <w:r w:rsidRPr="00E02E8F">
              <w:t>0</w:t>
            </w:r>
          </w:p>
        </w:tc>
        <w:tc>
          <w:tcPr>
            <w:tcW w:w="534" w:type="pct"/>
            <w:tcBorders>
              <w:top w:val="nil"/>
              <w:left w:val="nil"/>
              <w:bottom w:val="dotted" w:sz="4" w:space="0" w:color="auto"/>
              <w:right w:val="nil"/>
            </w:tcBorders>
            <w:vAlign w:val="center"/>
          </w:tcPr>
          <w:p w14:paraId="42F00E28" w14:textId="77777777" w:rsidR="00B874F0" w:rsidRPr="00E02E8F" w:rsidRDefault="00F56B54" w:rsidP="009C73A6">
            <w:pPr>
              <w:pStyle w:val="TableText"/>
            </w:pPr>
            <w:r w:rsidRPr="00E02E8F">
              <w:t>0</w:t>
            </w:r>
          </w:p>
        </w:tc>
        <w:tc>
          <w:tcPr>
            <w:tcW w:w="461" w:type="pct"/>
            <w:tcBorders>
              <w:top w:val="nil"/>
              <w:left w:val="nil"/>
              <w:bottom w:val="dotted" w:sz="4" w:space="0" w:color="auto"/>
              <w:right w:val="nil"/>
            </w:tcBorders>
            <w:vAlign w:val="center"/>
          </w:tcPr>
          <w:p w14:paraId="0E5BFB90" w14:textId="77777777" w:rsidR="00B874F0" w:rsidRPr="00E02E8F" w:rsidRDefault="00F56B54" w:rsidP="009C73A6">
            <w:pPr>
              <w:pStyle w:val="TableText"/>
            </w:pPr>
            <w:r w:rsidRPr="00E02E8F">
              <w:t>0</w:t>
            </w:r>
          </w:p>
        </w:tc>
        <w:tc>
          <w:tcPr>
            <w:tcW w:w="533" w:type="pct"/>
            <w:tcBorders>
              <w:top w:val="nil"/>
              <w:left w:val="nil"/>
              <w:bottom w:val="dotted" w:sz="4" w:space="0" w:color="auto"/>
              <w:right w:val="nil"/>
            </w:tcBorders>
            <w:noWrap/>
            <w:vAlign w:val="center"/>
          </w:tcPr>
          <w:p w14:paraId="79CE6D6B" w14:textId="77777777" w:rsidR="00B874F0" w:rsidRPr="00E02E8F" w:rsidRDefault="00F56B54" w:rsidP="009C73A6">
            <w:pPr>
              <w:pStyle w:val="TableText"/>
            </w:pPr>
            <w:r w:rsidRPr="00E02E8F">
              <w:t>0</w:t>
            </w:r>
          </w:p>
        </w:tc>
        <w:tc>
          <w:tcPr>
            <w:tcW w:w="537" w:type="pct"/>
            <w:tcBorders>
              <w:top w:val="nil"/>
              <w:left w:val="nil"/>
              <w:bottom w:val="dotted" w:sz="4" w:space="0" w:color="auto"/>
              <w:right w:val="nil"/>
            </w:tcBorders>
            <w:vAlign w:val="center"/>
          </w:tcPr>
          <w:p w14:paraId="7F48A538" w14:textId="77777777" w:rsidR="00B874F0" w:rsidRPr="00E02E8F" w:rsidRDefault="00F56B54" w:rsidP="009C73A6">
            <w:pPr>
              <w:pStyle w:val="TableText"/>
            </w:pPr>
            <w:r w:rsidRPr="00E02E8F">
              <w:t>0</w:t>
            </w:r>
          </w:p>
        </w:tc>
        <w:tc>
          <w:tcPr>
            <w:tcW w:w="826" w:type="pct"/>
            <w:tcBorders>
              <w:top w:val="nil"/>
              <w:left w:val="nil"/>
              <w:bottom w:val="dotted" w:sz="4" w:space="0" w:color="auto"/>
              <w:right w:val="nil"/>
            </w:tcBorders>
            <w:vAlign w:val="center"/>
          </w:tcPr>
          <w:p w14:paraId="20F73F38" w14:textId="77777777" w:rsidR="00B874F0" w:rsidRPr="00E02E8F" w:rsidRDefault="00F56B54" w:rsidP="009C73A6">
            <w:pPr>
              <w:pStyle w:val="TableText"/>
            </w:pPr>
            <w:r w:rsidRPr="00E02E8F">
              <w:t>Fairly certain</w:t>
            </w:r>
          </w:p>
        </w:tc>
      </w:tr>
      <w:tr w:rsidR="004F6729" w14:paraId="6FC5D440" w14:textId="77777777" w:rsidTr="009C73A6">
        <w:trPr>
          <w:cantSplit/>
          <w:trHeight w:val="315"/>
          <w:tblHeader/>
        </w:trPr>
        <w:tc>
          <w:tcPr>
            <w:tcW w:w="1579" w:type="pct"/>
            <w:tcBorders>
              <w:top w:val="dotted" w:sz="4" w:space="0" w:color="auto"/>
              <w:left w:val="nil"/>
              <w:right w:val="nil"/>
            </w:tcBorders>
            <w:vAlign w:val="center"/>
          </w:tcPr>
          <w:p w14:paraId="03AEB041" w14:textId="77777777" w:rsidR="00B874F0" w:rsidRPr="00E02E8F" w:rsidRDefault="00F56B54" w:rsidP="009C73A6">
            <w:pPr>
              <w:pStyle w:val="TableText"/>
            </w:pPr>
            <w:r w:rsidRPr="00E02E8F">
              <w:t xml:space="preserve">Aggressive cleaning total removal depth </w:t>
            </w:r>
          </w:p>
        </w:tc>
        <w:tc>
          <w:tcPr>
            <w:tcW w:w="530" w:type="pct"/>
            <w:tcBorders>
              <w:top w:val="dotted" w:sz="4" w:space="0" w:color="auto"/>
              <w:left w:val="nil"/>
              <w:right w:val="nil"/>
            </w:tcBorders>
            <w:vAlign w:val="center"/>
          </w:tcPr>
          <w:p w14:paraId="5FAC54CD" w14:textId="77777777" w:rsidR="00B874F0" w:rsidRPr="00E02E8F" w:rsidRDefault="00F56B54" w:rsidP="009C73A6">
            <w:pPr>
              <w:pStyle w:val="TableText"/>
            </w:pPr>
            <w:r w:rsidRPr="00E02E8F">
              <w:t>75</w:t>
            </w:r>
          </w:p>
        </w:tc>
        <w:tc>
          <w:tcPr>
            <w:tcW w:w="534" w:type="pct"/>
            <w:tcBorders>
              <w:top w:val="dotted" w:sz="4" w:space="0" w:color="auto"/>
              <w:left w:val="nil"/>
              <w:right w:val="nil"/>
            </w:tcBorders>
            <w:vAlign w:val="center"/>
          </w:tcPr>
          <w:p w14:paraId="713E163C" w14:textId="77777777" w:rsidR="00B874F0" w:rsidRPr="00E02E8F" w:rsidRDefault="00F56B54" w:rsidP="009C73A6">
            <w:pPr>
              <w:pStyle w:val="TableText"/>
            </w:pPr>
            <w:r w:rsidRPr="00E02E8F">
              <w:t>75</w:t>
            </w:r>
          </w:p>
        </w:tc>
        <w:tc>
          <w:tcPr>
            <w:tcW w:w="461" w:type="pct"/>
            <w:tcBorders>
              <w:top w:val="dotted" w:sz="4" w:space="0" w:color="auto"/>
              <w:left w:val="nil"/>
              <w:right w:val="nil"/>
            </w:tcBorders>
            <w:vAlign w:val="center"/>
          </w:tcPr>
          <w:p w14:paraId="75E7ECDC" w14:textId="77777777" w:rsidR="00B874F0" w:rsidRPr="00E02E8F" w:rsidRDefault="00F56B54" w:rsidP="009C73A6">
            <w:pPr>
              <w:pStyle w:val="TableText"/>
            </w:pPr>
            <w:r w:rsidRPr="00E02E8F">
              <w:t>75</w:t>
            </w:r>
          </w:p>
        </w:tc>
        <w:tc>
          <w:tcPr>
            <w:tcW w:w="533" w:type="pct"/>
            <w:tcBorders>
              <w:top w:val="dotted" w:sz="4" w:space="0" w:color="auto"/>
              <w:left w:val="nil"/>
              <w:right w:val="nil"/>
            </w:tcBorders>
            <w:noWrap/>
            <w:vAlign w:val="center"/>
          </w:tcPr>
          <w:p w14:paraId="5D76B7DE" w14:textId="77777777" w:rsidR="00B874F0" w:rsidRPr="00E02E8F" w:rsidRDefault="00F56B54" w:rsidP="009C73A6">
            <w:pPr>
              <w:pStyle w:val="TableText"/>
            </w:pPr>
            <w:r w:rsidRPr="00E02E8F">
              <w:t>75</w:t>
            </w:r>
          </w:p>
        </w:tc>
        <w:tc>
          <w:tcPr>
            <w:tcW w:w="537" w:type="pct"/>
            <w:tcBorders>
              <w:top w:val="dotted" w:sz="4" w:space="0" w:color="auto"/>
              <w:left w:val="nil"/>
              <w:right w:val="nil"/>
            </w:tcBorders>
            <w:vAlign w:val="center"/>
          </w:tcPr>
          <w:p w14:paraId="2E78BAE8" w14:textId="77777777" w:rsidR="00B874F0" w:rsidRPr="00E02E8F" w:rsidRDefault="00F56B54" w:rsidP="009C73A6">
            <w:pPr>
              <w:pStyle w:val="TableText"/>
            </w:pPr>
            <w:r w:rsidRPr="00E02E8F">
              <w:t>75</w:t>
            </w:r>
          </w:p>
        </w:tc>
        <w:tc>
          <w:tcPr>
            <w:tcW w:w="826" w:type="pct"/>
            <w:tcBorders>
              <w:top w:val="dotted" w:sz="4" w:space="0" w:color="auto"/>
              <w:left w:val="nil"/>
              <w:right w:val="nil"/>
            </w:tcBorders>
            <w:vAlign w:val="center"/>
          </w:tcPr>
          <w:p w14:paraId="68A72867" w14:textId="77777777" w:rsidR="00B874F0" w:rsidRPr="00E02E8F" w:rsidRDefault="00F56B54" w:rsidP="009C73A6">
            <w:pPr>
              <w:pStyle w:val="TableText"/>
            </w:pPr>
            <w:r w:rsidRPr="00E02E8F">
              <w:t>Fairly uncertain</w:t>
            </w:r>
          </w:p>
        </w:tc>
      </w:tr>
      <w:tr w:rsidR="004F6729" w14:paraId="24A55707" w14:textId="77777777" w:rsidTr="009C73A6">
        <w:trPr>
          <w:cantSplit/>
          <w:trHeight w:val="315"/>
          <w:tblHeader/>
        </w:trPr>
        <w:tc>
          <w:tcPr>
            <w:tcW w:w="1579" w:type="pct"/>
            <w:tcBorders>
              <w:left w:val="nil"/>
              <w:right w:val="nil"/>
            </w:tcBorders>
            <w:vAlign w:val="center"/>
          </w:tcPr>
          <w:p w14:paraId="136C9D7A" w14:textId="77777777" w:rsidR="00B874F0" w:rsidRPr="00E02E8F" w:rsidRDefault="00F56B54" w:rsidP="009C73A6">
            <w:pPr>
              <w:pStyle w:val="TableText"/>
            </w:pPr>
            <w:r w:rsidRPr="00E02E8F">
              <w:t>Aggressive cleaning leached layer removal depth</w:t>
            </w:r>
          </w:p>
        </w:tc>
        <w:tc>
          <w:tcPr>
            <w:tcW w:w="530" w:type="pct"/>
            <w:tcBorders>
              <w:left w:val="nil"/>
              <w:right w:val="nil"/>
            </w:tcBorders>
            <w:vAlign w:val="center"/>
          </w:tcPr>
          <w:p w14:paraId="48E21F78" w14:textId="77777777" w:rsidR="00B874F0" w:rsidRPr="00E02E8F" w:rsidRDefault="00F56B54" w:rsidP="009C73A6">
            <w:pPr>
              <w:pStyle w:val="TableText"/>
            </w:pPr>
            <w:r w:rsidRPr="00E02E8F">
              <w:t>50</w:t>
            </w:r>
          </w:p>
        </w:tc>
        <w:tc>
          <w:tcPr>
            <w:tcW w:w="534" w:type="pct"/>
            <w:tcBorders>
              <w:left w:val="nil"/>
              <w:right w:val="nil"/>
            </w:tcBorders>
            <w:vAlign w:val="center"/>
          </w:tcPr>
          <w:p w14:paraId="25DE29BE" w14:textId="77777777" w:rsidR="00B874F0" w:rsidRPr="00E02E8F" w:rsidRDefault="00F56B54" w:rsidP="009C73A6">
            <w:pPr>
              <w:pStyle w:val="TableText"/>
            </w:pPr>
            <w:r w:rsidRPr="00E02E8F">
              <w:t>60</w:t>
            </w:r>
          </w:p>
        </w:tc>
        <w:tc>
          <w:tcPr>
            <w:tcW w:w="461" w:type="pct"/>
            <w:tcBorders>
              <w:left w:val="nil"/>
              <w:right w:val="nil"/>
            </w:tcBorders>
            <w:vAlign w:val="center"/>
          </w:tcPr>
          <w:p w14:paraId="56F42E1F" w14:textId="77777777" w:rsidR="00B874F0" w:rsidRPr="00E02E8F" w:rsidRDefault="00F56B54" w:rsidP="009C73A6">
            <w:pPr>
              <w:pStyle w:val="TableText"/>
            </w:pPr>
            <w:r w:rsidRPr="00E02E8F">
              <w:t>75</w:t>
            </w:r>
          </w:p>
        </w:tc>
        <w:tc>
          <w:tcPr>
            <w:tcW w:w="533" w:type="pct"/>
            <w:tcBorders>
              <w:left w:val="nil"/>
              <w:right w:val="nil"/>
            </w:tcBorders>
            <w:noWrap/>
            <w:vAlign w:val="center"/>
          </w:tcPr>
          <w:p w14:paraId="709A3BC4" w14:textId="77777777" w:rsidR="00B874F0" w:rsidRPr="00E02E8F" w:rsidRDefault="00F56B54" w:rsidP="009C73A6">
            <w:pPr>
              <w:pStyle w:val="TableText"/>
            </w:pPr>
            <w:r w:rsidRPr="00E02E8F">
              <w:t>50</w:t>
            </w:r>
          </w:p>
        </w:tc>
        <w:tc>
          <w:tcPr>
            <w:tcW w:w="537" w:type="pct"/>
            <w:tcBorders>
              <w:left w:val="nil"/>
              <w:right w:val="nil"/>
            </w:tcBorders>
            <w:vAlign w:val="center"/>
          </w:tcPr>
          <w:p w14:paraId="67F3CC9B" w14:textId="77777777" w:rsidR="00B874F0" w:rsidRPr="00E02E8F" w:rsidRDefault="00F56B54" w:rsidP="009C73A6">
            <w:pPr>
              <w:pStyle w:val="TableText"/>
            </w:pPr>
            <w:r w:rsidRPr="00E02E8F">
              <w:t>60</w:t>
            </w:r>
          </w:p>
        </w:tc>
        <w:tc>
          <w:tcPr>
            <w:tcW w:w="826" w:type="pct"/>
            <w:tcBorders>
              <w:left w:val="nil"/>
              <w:right w:val="nil"/>
            </w:tcBorders>
            <w:vAlign w:val="center"/>
          </w:tcPr>
          <w:p w14:paraId="0EFD40A3" w14:textId="77777777" w:rsidR="00B874F0" w:rsidRPr="00E02E8F" w:rsidRDefault="00F56B54" w:rsidP="009C73A6">
            <w:pPr>
              <w:pStyle w:val="TableText"/>
            </w:pPr>
            <w:r w:rsidRPr="00E02E8F">
              <w:t>Fairly uncertain</w:t>
            </w:r>
          </w:p>
        </w:tc>
      </w:tr>
      <w:tr w:rsidR="004F6729" w14:paraId="495B1FD2" w14:textId="77777777" w:rsidTr="009C73A6">
        <w:trPr>
          <w:cantSplit/>
          <w:trHeight w:val="315"/>
          <w:tblHeader/>
        </w:trPr>
        <w:tc>
          <w:tcPr>
            <w:tcW w:w="1579" w:type="pct"/>
            <w:tcBorders>
              <w:left w:val="nil"/>
              <w:bottom w:val="single" w:sz="4" w:space="0" w:color="auto"/>
              <w:right w:val="nil"/>
            </w:tcBorders>
            <w:vAlign w:val="center"/>
          </w:tcPr>
          <w:p w14:paraId="760868A7" w14:textId="77777777" w:rsidR="00B874F0" w:rsidRPr="00E02E8F" w:rsidRDefault="00F56B54" w:rsidP="009C73A6">
            <w:pPr>
              <w:pStyle w:val="TableText"/>
            </w:pPr>
            <w:r w:rsidRPr="00E02E8F">
              <w:t>Aggressive cleaning sound paint removal depth</w:t>
            </w:r>
          </w:p>
        </w:tc>
        <w:tc>
          <w:tcPr>
            <w:tcW w:w="530" w:type="pct"/>
            <w:tcBorders>
              <w:left w:val="nil"/>
              <w:bottom w:val="single" w:sz="4" w:space="0" w:color="auto"/>
              <w:right w:val="nil"/>
            </w:tcBorders>
            <w:vAlign w:val="center"/>
          </w:tcPr>
          <w:p w14:paraId="3BA3C8F4" w14:textId="77777777" w:rsidR="00B874F0" w:rsidRPr="00E02E8F" w:rsidRDefault="00F56B54" w:rsidP="009C73A6">
            <w:pPr>
              <w:pStyle w:val="TableText"/>
            </w:pPr>
            <w:r w:rsidRPr="00E02E8F">
              <w:t>25</w:t>
            </w:r>
          </w:p>
        </w:tc>
        <w:tc>
          <w:tcPr>
            <w:tcW w:w="534" w:type="pct"/>
            <w:tcBorders>
              <w:left w:val="nil"/>
              <w:bottom w:val="single" w:sz="4" w:space="0" w:color="auto"/>
              <w:right w:val="nil"/>
            </w:tcBorders>
            <w:vAlign w:val="center"/>
          </w:tcPr>
          <w:p w14:paraId="1560FCE7" w14:textId="77777777" w:rsidR="00B874F0" w:rsidRPr="00E02E8F" w:rsidRDefault="00F56B54" w:rsidP="009C73A6">
            <w:pPr>
              <w:pStyle w:val="TableText"/>
            </w:pPr>
            <w:r w:rsidRPr="00E02E8F">
              <w:t>15</w:t>
            </w:r>
          </w:p>
        </w:tc>
        <w:tc>
          <w:tcPr>
            <w:tcW w:w="461" w:type="pct"/>
            <w:tcBorders>
              <w:left w:val="nil"/>
              <w:bottom w:val="single" w:sz="4" w:space="0" w:color="auto"/>
              <w:right w:val="nil"/>
            </w:tcBorders>
            <w:vAlign w:val="center"/>
          </w:tcPr>
          <w:p w14:paraId="44D2EF9A" w14:textId="77777777" w:rsidR="00B874F0" w:rsidRPr="00E02E8F" w:rsidRDefault="00F56B54" w:rsidP="009C73A6">
            <w:pPr>
              <w:pStyle w:val="TableText"/>
            </w:pPr>
            <w:r w:rsidRPr="00E02E8F">
              <w:t>0</w:t>
            </w:r>
          </w:p>
        </w:tc>
        <w:tc>
          <w:tcPr>
            <w:tcW w:w="533" w:type="pct"/>
            <w:tcBorders>
              <w:left w:val="nil"/>
              <w:bottom w:val="single" w:sz="4" w:space="0" w:color="auto"/>
              <w:right w:val="nil"/>
            </w:tcBorders>
            <w:noWrap/>
            <w:vAlign w:val="center"/>
          </w:tcPr>
          <w:p w14:paraId="6B3EBDEF" w14:textId="77777777" w:rsidR="00B874F0" w:rsidRPr="00E02E8F" w:rsidRDefault="00F56B54" w:rsidP="009C73A6">
            <w:pPr>
              <w:pStyle w:val="TableText"/>
            </w:pPr>
            <w:r w:rsidRPr="00E02E8F">
              <w:t>25</w:t>
            </w:r>
          </w:p>
        </w:tc>
        <w:tc>
          <w:tcPr>
            <w:tcW w:w="537" w:type="pct"/>
            <w:tcBorders>
              <w:left w:val="nil"/>
              <w:bottom w:val="single" w:sz="4" w:space="0" w:color="auto"/>
              <w:right w:val="nil"/>
            </w:tcBorders>
            <w:vAlign w:val="center"/>
          </w:tcPr>
          <w:p w14:paraId="6109759B" w14:textId="77777777" w:rsidR="00B874F0" w:rsidRPr="00E02E8F" w:rsidRDefault="00F56B54" w:rsidP="009C73A6">
            <w:pPr>
              <w:pStyle w:val="TableText"/>
            </w:pPr>
            <w:r w:rsidRPr="00E02E8F">
              <w:t>15</w:t>
            </w:r>
          </w:p>
        </w:tc>
        <w:tc>
          <w:tcPr>
            <w:tcW w:w="826" w:type="pct"/>
            <w:tcBorders>
              <w:left w:val="nil"/>
              <w:bottom w:val="single" w:sz="4" w:space="0" w:color="auto"/>
              <w:right w:val="nil"/>
            </w:tcBorders>
            <w:vAlign w:val="center"/>
          </w:tcPr>
          <w:p w14:paraId="42F197D8" w14:textId="77777777" w:rsidR="00B874F0" w:rsidRPr="00E02E8F" w:rsidRDefault="00F56B54" w:rsidP="009C73A6">
            <w:pPr>
              <w:pStyle w:val="TableText"/>
            </w:pPr>
            <w:r w:rsidRPr="00E02E8F">
              <w:t>Fairly uncertain</w:t>
            </w:r>
          </w:p>
        </w:tc>
      </w:tr>
    </w:tbl>
    <w:p w14:paraId="47E099C6" w14:textId="77777777" w:rsidR="00B874F0" w:rsidRDefault="00F56B54" w:rsidP="00562185">
      <w:pPr>
        <w:pStyle w:val="FigureTableNoteSource"/>
      </w:pPr>
      <w:r>
        <w:t>Source: Morrisey et al. 2013, Table 5.3</w:t>
      </w:r>
    </w:p>
    <w:p w14:paraId="0E781CA5" w14:textId="77777777" w:rsidR="006C2E7D" w:rsidRDefault="00F56B54" w:rsidP="006C2E7D">
      <w:pPr>
        <w:pStyle w:val="Heading4"/>
      </w:pPr>
      <w:r>
        <w:lastRenderedPageBreak/>
        <w:t>Other biocides</w:t>
      </w:r>
    </w:p>
    <w:p w14:paraId="30EFA602" w14:textId="77777777" w:rsidR="00B874F0" w:rsidRDefault="00F56B54" w:rsidP="00183E96">
      <w:r>
        <w:t xml:space="preserve">The same methodology could be applied to antifouling biocides apart from copper, with the proviso that less, if any, data are </w:t>
      </w:r>
      <w:r w:rsidR="00BF38D8">
        <w:t xml:space="preserve">likely to be </w:t>
      </w:r>
      <w:r>
        <w:t>available on their concentrations in the biofilm and leached layers. Only the concentration in sound paint could be calculated with reasonable certainty.</w:t>
      </w:r>
    </w:p>
    <w:p w14:paraId="74C059D0" w14:textId="77777777" w:rsidR="00606BF1" w:rsidRDefault="00F56B54" w:rsidP="00606BF1">
      <w:pPr>
        <w:pStyle w:val="Heading4"/>
      </w:pPr>
      <w:r>
        <w:t xml:space="preserve">In-water cleaning with no waste capture, </w:t>
      </w:r>
      <w:proofErr w:type="gramStart"/>
      <w:r>
        <w:t>containment</w:t>
      </w:r>
      <w:proofErr w:type="gramEnd"/>
      <w:r>
        <w:t xml:space="preserve"> or treatment</w:t>
      </w:r>
    </w:p>
    <w:p w14:paraId="12427E85" w14:textId="7B5C41BB" w:rsidR="00827747" w:rsidRDefault="00F56B54" w:rsidP="00971805">
      <w:r>
        <w:t xml:space="preserve">The aim of modelling undertaken by Morrisey et al. (2013) was to estimate the copper release from </w:t>
      </w:r>
      <w:r w:rsidR="00E25259">
        <w:t>IWC</w:t>
      </w:r>
      <w:r>
        <w:t xml:space="preserve"> without waste capture, </w:t>
      </w:r>
      <w:proofErr w:type="gramStart"/>
      <w:r>
        <w:t>containment</w:t>
      </w:r>
      <w:proofErr w:type="gramEnd"/>
      <w:r>
        <w:t xml:space="preserve"> or treatment. For this, the release of copper per unit area for the three different coating types and the two cleaning intensities </w:t>
      </w:r>
      <w:r w:rsidR="00C91990">
        <w:t>(</w:t>
      </w:r>
      <w:r w:rsidR="00B07E3C">
        <w:fldChar w:fldCharType="begin"/>
      </w:r>
      <w:r w:rsidR="00B07E3C">
        <w:instrText xml:space="preserve"> REF _Ref50114246 \h </w:instrText>
      </w:r>
      <w:r w:rsidR="00B07E3C">
        <w:fldChar w:fldCharType="separate"/>
      </w:r>
      <w:r w:rsidR="001C040D">
        <w:t xml:space="preserve">Table </w:t>
      </w:r>
      <w:r w:rsidR="001C040D">
        <w:rPr>
          <w:noProof/>
        </w:rPr>
        <w:t>4</w:t>
      </w:r>
      <w:r w:rsidR="00B07E3C">
        <w:fldChar w:fldCharType="end"/>
      </w:r>
      <w:r w:rsidR="00C91990">
        <w:t>)</w:t>
      </w:r>
      <w:r>
        <w:t>, was calculated from copper content of the surface layers (</w:t>
      </w:r>
      <w:r w:rsidR="00B07E3C">
        <w:fldChar w:fldCharType="begin"/>
      </w:r>
      <w:r w:rsidR="00B07E3C">
        <w:instrText xml:space="preserve"> REF _Ref50114178 \h </w:instrText>
      </w:r>
      <w:r w:rsidR="00B07E3C">
        <w:fldChar w:fldCharType="separate"/>
      </w:r>
      <w:r w:rsidR="001C040D">
        <w:t xml:space="preserve">Table </w:t>
      </w:r>
      <w:r w:rsidR="001C040D">
        <w:rPr>
          <w:noProof/>
        </w:rPr>
        <w:t>2</w:t>
      </w:r>
      <w:r w:rsidR="00B07E3C">
        <w:fldChar w:fldCharType="end"/>
      </w:r>
      <w:r>
        <w:t>) and the thickness of layers removed (</w:t>
      </w:r>
      <w:r w:rsidR="00B07E3C">
        <w:fldChar w:fldCharType="begin"/>
      </w:r>
      <w:r w:rsidR="00B07E3C">
        <w:instrText xml:space="preserve"> REF _Ref50114190 \h </w:instrText>
      </w:r>
      <w:r w:rsidR="00B07E3C">
        <w:fldChar w:fldCharType="separate"/>
      </w:r>
      <w:r w:rsidR="001C040D">
        <w:t xml:space="preserve">Table </w:t>
      </w:r>
      <w:r w:rsidR="001C040D">
        <w:rPr>
          <w:noProof/>
        </w:rPr>
        <w:t>3</w:t>
      </w:r>
      <w:r w:rsidR="00B07E3C">
        <w:fldChar w:fldCharType="end"/>
      </w:r>
      <w:r w:rsidR="00B07E3C">
        <w:fldChar w:fldCharType="begin"/>
      </w:r>
      <w:r w:rsidR="00B07E3C">
        <w:instrText xml:space="preserve"> REF _Ref50114190 \h </w:instrText>
      </w:r>
      <w:r w:rsidR="00B07E3C">
        <w:fldChar w:fldCharType="separate"/>
      </w:r>
      <w:r w:rsidR="001C040D">
        <w:t xml:space="preserve">Table </w:t>
      </w:r>
      <w:r w:rsidR="001C040D">
        <w:rPr>
          <w:noProof/>
        </w:rPr>
        <w:t>3</w:t>
      </w:r>
      <w:r w:rsidR="00B07E3C">
        <w:fldChar w:fldCharType="end"/>
      </w:r>
      <w:r>
        <w:t>).</w:t>
      </w:r>
    </w:p>
    <w:p w14:paraId="1BFC74D5" w14:textId="17299392" w:rsidR="00C91990" w:rsidRDefault="00F56B54" w:rsidP="00C91990">
      <w:pPr>
        <w:pStyle w:val="Caption"/>
      </w:pPr>
      <w:bookmarkStart w:id="61" w:name="_Ref50114246"/>
      <w:bookmarkStart w:id="62" w:name="_Toc49868684"/>
      <w:r>
        <w:t xml:space="preserve">Table </w:t>
      </w:r>
      <w:r w:rsidR="00F031EE">
        <w:rPr>
          <w:noProof/>
        </w:rPr>
        <w:fldChar w:fldCharType="begin"/>
      </w:r>
      <w:r w:rsidR="00F031EE">
        <w:rPr>
          <w:noProof/>
        </w:rPr>
        <w:instrText xml:space="preserve"> SEQ Table \* ARABIC </w:instrText>
      </w:r>
      <w:r w:rsidR="00F031EE">
        <w:rPr>
          <w:noProof/>
        </w:rPr>
        <w:fldChar w:fldCharType="separate"/>
      </w:r>
      <w:r w:rsidR="001C040D">
        <w:rPr>
          <w:noProof/>
        </w:rPr>
        <w:t>4</w:t>
      </w:r>
      <w:r w:rsidR="00F031EE">
        <w:rPr>
          <w:noProof/>
        </w:rPr>
        <w:fldChar w:fldCharType="end"/>
      </w:r>
      <w:bookmarkEnd w:id="61"/>
      <w:r>
        <w:t xml:space="preserve"> Copper release rates for recreational and commercial vessels</w:t>
      </w:r>
      <w:bookmarkEnd w:id="62"/>
    </w:p>
    <w:tbl>
      <w:tblPr>
        <w:tblW w:w="5000" w:type="pct"/>
        <w:tblLook w:val="00A0" w:firstRow="1" w:lastRow="0" w:firstColumn="1" w:lastColumn="0" w:noHBand="0" w:noVBand="0"/>
      </w:tblPr>
      <w:tblGrid>
        <w:gridCol w:w="4352"/>
        <w:gridCol w:w="2262"/>
        <w:gridCol w:w="2456"/>
      </w:tblGrid>
      <w:tr w:rsidR="004F6729" w14:paraId="6F5A1AA2" w14:textId="77777777" w:rsidTr="00C91990">
        <w:trPr>
          <w:trHeight w:val="495"/>
        </w:trPr>
        <w:tc>
          <w:tcPr>
            <w:tcW w:w="2399" w:type="pct"/>
            <w:tcBorders>
              <w:top w:val="single" w:sz="4" w:space="0" w:color="auto"/>
              <w:left w:val="nil"/>
              <w:bottom w:val="single" w:sz="4" w:space="0" w:color="auto"/>
              <w:right w:val="nil"/>
            </w:tcBorders>
            <w:vAlign w:val="center"/>
          </w:tcPr>
          <w:p w14:paraId="3F1AD1EA" w14:textId="77777777" w:rsidR="00C91990" w:rsidRPr="00C457E5" w:rsidRDefault="00F56B54" w:rsidP="00C91990">
            <w:pPr>
              <w:pStyle w:val="TableHeading"/>
            </w:pPr>
            <w:r>
              <w:t>Cleaning method and Coating Type</w:t>
            </w:r>
          </w:p>
        </w:tc>
        <w:tc>
          <w:tcPr>
            <w:tcW w:w="1247" w:type="pct"/>
            <w:tcBorders>
              <w:top w:val="single" w:sz="4" w:space="0" w:color="auto"/>
              <w:left w:val="nil"/>
              <w:bottom w:val="single" w:sz="4" w:space="0" w:color="auto"/>
              <w:right w:val="nil"/>
            </w:tcBorders>
            <w:vAlign w:val="center"/>
          </w:tcPr>
          <w:p w14:paraId="02F3E33D" w14:textId="77777777" w:rsidR="00C91990" w:rsidRPr="00C457E5" w:rsidRDefault="00F56B54" w:rsidP="00C91990">
            <w:pPr>
              <w:pStyle w:val="TableHeading"/>
            </w:pPr>
            <w:r w:rsidRPr="00C457E5">
              <w:t>Recreational vessel</w:t>
            </w:r>
          </w:p>
        </w:tc>
        <w:tc>
          <w:tcPr>
            <w:tcW w:w="1354" w:type="pct"/>
            <w:tcBorders>
              <w:top w:val="single" w:sz="4" w:space="0" w:color="auto"/>
              <w:left w:val="nil"/>
              <w:bottom w:val="single" w:sz="4" w:space="0" w:color="auto"/>
              <w:right w:val="nil"/>
            </w:tcBorders>
            <w:vAlign w:val="center"/>
          </w:tcPr>
          <w:p w14:paraId="61615DD8" w14:textId="77777777" w:rsidR="00C91990" w:rsidRPr="00C457E5" w:rsidRDefault="00F56B54" w:rsidP="00C91990">
            <w:pPr>
              <w:pStyle w:val="TableHeading"/>
            </w:pPr>
            <w:r w:rsidRPr="00C457E5">
              <w:t>Commercial vessel</w:t>
            </w:r>
          </w:p>
        </w:tc>
      </w:tr>
      <w:tr w:rsidR="004F6729" w14:paraId="57D22E51" w14:textId="77777777" w:rsidTr="009600DA">
        <w:trPr>
          <w:trHeight w:val="315"/>
        </w:trPr>
        <w:tc>
          <w:tcPr>
            <w:tcW w:w="5000" w:type="pct"/>
            <w:gridSpan w:val="3"/>
            <w:tcBorders>
              <w:top w:val="nil"/>
              <w:left w:val="nil"/>
              <w:right w:val="nil"/>
            </w:tcBorders>
            <w:vAlign w:val="center"/>
          </w:tcPr>
          <w:p w14:paraId="6EBCB0A9" w14:textId="77777777" w:rsidR="009600DA" w:rsidRPr="00E02E8F" w:rsidRDefault="00F56B54" w:rsidP="00C91990">
            <w:pPr>
              <w:pStyle w:val="TableText"/>
            </w:pPr>
            <w:r w:rsidRPr="00E02E8F">
              <w:t>Copper release from light cleaning (µg/cm</w:t>
            </w:r>
            <w:r w:rsidRPr="0020779E">
              <w:rPr>
                <w:vertAlign w:val="superscript"/>
              </w:rPr>
              <w:t>2</w:t>
            </w:r>
            <w:r w:rsidRPr="00E02E8F">
              <w:t>)</w:t>
            </w:r>
          </w:p>
        </w:tc>
      </w:tr>
      <w:tr w:rsidR="004F6729" w14:paraId="2CAD7104" w14:textId="77777777" w:rsidTr="00C91990">
        <w:trPr>
          <w:trHeight w:val="315"/>
        </w:trPr>
        <w:tc>
          <w:tcPr>
            <w:tcW w:w="2399" w:type="pct"/>
            <w:tcBorders>
              <w:top w:val="nil"/>
              <w:left w:val="nil"/>
              <w:right w:val="nil"/>
            </w:tcBorders>
            <w:vAlign w:val="center"/>
          </w:tcPr>
          <w:p w14:paraId="3547BB0F" w14:textId="77777777" w:rsidR="00C91990" w:rsidRPr="00E02E8F" w:rsidRDefault="00F56B54" w:rsidP="00C76458">
            <w:pPr>
              <w:pStyle w:val="TableText"/>
            </w:pPr>
            <w:r w:rsidRPr="00E02E8F">
              <w:t>SPC</w:t>
            </w:r>
          </w:p>
        </w:tc>
        <w:tc>
          <w:tcPr>
            <w:tcW w:w="1247" w:type="pct"/>
            <w:tcBorders>
              <w:top w:val="nil"/>
              <w:left w:val="nil"/>
              <w:right w:val="nil"/>
            </w:tcBorders>
            <w:vAlign w:val="bottom"/>
          </w:tcPr>
          <w:p w14:paraId="1BDFFBED" w14:textId="77777777" w:rsidR="00C91990" w:rsidRPr="00E02E8F" w:rsidRDefault="00F56B54" w:rsidP="00C91990">
            <w:pPr>
              <w:pStyle w:val="TableText"/>
            </w:pPr>
            <w:r w:rsidRPr="00E02E8F">
              <w:t>110</w:t>
            </w:r>
            <w:r>
              <w:t xml:space="preserve"> - </w:t>
            </w:r>
            <w:r w:rsidRPr="00E02E8F">
              <w:t>650</w:t>
            </w:r>
          </w:p>
        </w:tc>
        <w:tc>
          <w:tcPr>
            <w:tcW w:w="1354" w:type="pct"/>
            <w:tcBorders>
              <w:top w:val="nil"/>
              <w:left w:val="nil"/>
              <w:right w:val="nil"/>
            </w:tcBorders>
            <w:noWrap/>
            <w:vAlign w:val="bottom"/>
          </w:tcPr>
          <w:p w14:paraId="7AD085E4" w14:textId="77777777" w:rsidR="00C91990" w:rsidRPr="00E02E8F" w:rsidRDefault="00F56B54" w:rsidP="00C91990">
            <w:pPr>
              <w:pStyle w:val="TableText"/>
            </w:pPr>
            <w:r w:rsidRPr="00E02E8F">
              <w:t>85</w:t>
            </w:r>
            <w:r>
              <w:t xml:space="preserve"> - </w:t>
            </w:r>
            <w:r w:rsidRPr="00E02E8F">
              <w:t>625</w:t>
            </w:r>
          </w:p>
        </w:tc>
      </w:tr>
      <w:tr w:rsidR="004F6729" w14:paraId="5D821DFC" w14:textId="77777777" w:rsidTr="00C91990">
        <w:trPr>
          <w:trHeight w:val="315"/>
        </w:trPr>
        <w:tc>
          <w:tcPr>
            <w:tcW w:w="2399" w:type="pct"/>
            <w:tcBorders>
              <w:top w:val="nil"/>
              <w:left w:val="nil"/>
              <w:right w:val="nil"/>
            </w:tcBorders>
            <w:vAlign w:val="center"/>
          </w:tcPr>
          <w:p w14:paraId="14D58398" w14:textId="77777777" w:rsidR="00C91990" w:rsidRPr="00E02E8F" w:rsidRDefault="00F56B54" w:rsidP="00C76458">
            <w:pPr>
              <w:pStyle w:val="TableText"/>
            </w:pPr>
            <w:r w:rsidRPr="00E02E8F">
              <w:t>Ablative</w:t>
            </w:r>
          </w:p>
        </w:tc>
        <w:tc>
          <w:tcPr>
            <w:tcW w:w="1247" w:type="pct"/>
            <w:tcBorders>
              <w:top w:val="nil"/>
              <w:left w:val="nil"/>
              <w:right w:val="nil"/>
            </w:tcBorders>
            <w:vAlign w:val="bottom"/>
          </w:tcPr>
          <w:p w14:paraId="5E26093A" w14:textId="77777777" w:rsidR="00C91990" w:rsidRPr="00E02E8F" w:rsidRDefault="00F56B54" w:rsidP="00C91990">
            <w:pPr>
              <w:pStyle w:val="TableText"/>
            </w:pPr>
            <w:r w:rsidRPr="00E02E8F">
              <w:t>160</w:t>
            </w:r>
            <w:r>
              <w:t xml:space="preserve"> - </w:t>
            </w:r>
            <w:r w:rsidRPr="00E02E8F">
              <w:t>700</w:t>
            </w:r>
          </w:p>
        </w:tc>
        <w:tc>
          <w:tcPr>
            <w:tcW w:w="1354" w:type="pct"/>
            <w:tcBorders>
              <w:top w:val="nil"/>
              <w:left w:val="nil"/>
              <w:right w:val="nil"/>
            </w:tcBorders>
            <w:noWrap/>
            <w:vAlign w:val="bottom"/>
          </w:tcPr>
          <w:p w14:paraId="743CD9F2" w14:textId="77777777" w:rsidR="00C91990" w:rsidRPr="00E02E8F" w:rsidRDefault="00F56B54" w:rsidP="00C91990">
            <w:pPr>
              <w:pStyle w:val="TableText"/>
            </w:pPr>
            <w:r w:rsidRPr="00E02E8F">
              <w:t>110</w:t>
            </w:r>
            <w:r>
              <w:t xml:space="preserve"> - </w:t>
            </w:r>
            <w:r w:rsidRPr="00E02E8F">
              <w:t>650</w:t>
            </w:r>
          </w:p>
        </w:tc>
      </w:tr>
      <w:tr w:rsidR="004F6729" w14:paraId="013C912E" w14:textId="77777777" w:rsidTr="00C91990">
        <w:trPr>
          <w:trHeight w:val="315"/>
        </w:trPr>
        <w:tc>
          <w:tcPr>
            <w:tcW w:w="2399" w:type="pct"/>
            <w:tcBorders>
              <w:top w:val="nil"/>
              <w:left w:val="nil"/>
              <w:right w:val="nil"/>
            </w:tcBorders>
            <w:vAlign w:val="center"/>
          </w:tcPr>
          <w:p w14:paraId="63C53D2A" w14:textId="77777777" w:rsidR="00C91990" w:rsidRPr="00E02E8F" w:rsidRDefault="00F56B54" w:rsidP="00C76458">
            <w:pPr>
              <w:pStyle w:val="TableText"/>
            </w:pPr>
            <w:r w:rsidRPr="00E02E8F">
              <w:t>Hard</w:t>
            </w:r>
          </w:p>
        </w:tc>
        <w:tc>
          <w:tcPr>
            <w:tcW w:w="1247" w:type="pct"/>
            <w:tcBorders>
              <w:top w:val="nil"/>
              <w:left w:val="nil"/>
              <w:right w:val="nil"/>
            </w:tcBorders>
            <w:vAlign w:val="bottom"/>
          </w:tcPr>
          <w:p w14:paraId="20C84E53" w14:textId="77777777" w:rsidR="00C91990" w:rsidRPr="00E02E8F" w:rsidRDefault="00F56B54" w:rsidP="00C91990">
            <w:pPr>
              <w:pStyle w:val="TableText"/>
            </w:pPr>
            <w:r w:rsidRPr="00E02E8F">
              <w:t>135</w:t>
            </w:r>
            <w:r>
              <w:t xml:space="preserve"> - </w:t>
            </w:r>
            <w:r w:rsidRPr="00E02E8F">
              <w:t>675</w:t>
            </w:r>
          </w:p>
        </w:tc>
        <w:tc>
          <w:tcPr>
            <w:tcW w:w="1354" w:type="pct"/>
            <w:tcBorders>
              <w:top w:val="nil"/>
              <w:left w:val="nil"/>
              <w:right w:val="nil"/>
            </w:tcBorders>
            <w:noWrap/>
            <w:vAlign w:val="bottom"/>
          </w:tcPr>
          <w:p w14:paraId="3F71865E" w14:textId="77777777" w:rsidR="00C91990" w:rsidRPr="00E02E8F" w:rsidRDefault="00F56B54" w:rsidP="00C91990">
            <w:pPr>
              <w:pStyle w:val="TableText"/>
            </w:pPr>
            <w:r w:rsidRPr="00E02E8F">
              <w:t>N/A</w:t>
            </w:r>
          </w:p>
        </w:tc>
      </w:tr>
      <w:tr w:rsidR="004F6729" w14:paraId="36CAA638" w14:textId="77777777" w:rsidTr="009600DA">
        <w:trPr>
          <w:trHeight w:val="315"/>
        </w:trPr>
        <w:tc>
          <w:tcPr>
            <w:tcW w:w="5000" w:type="pct"/>
            <w:gridSpan w:val="3"/>
            <w:tcBorders>
              <w:top w:val="nil"/>
              <w:left w:val="nil"/>
              <w:right w:val="nil"/>
            </w:tcBorders>
            <w:vAlign w:val="center"/>
          </w:tcPr>
          <w:p w14:paraId="0B9A3AB3" w14:textId="77777777" w:rsidR="009600DA" w:rsidRPr="00E02E8F" w:rsidRDefault="00F56B54" w:rsidP="00C91990">
            <w:pPr>
              <w:pStyle w:val="TableText"/>
            </w:pPr>
            <w:r w:rsidRPr="00E02E8F">
              <w:t>Copper release from aggressive cleaning (µg/cm</w:t>
            </w:r>
            <w:r w:rsidRPr="0020779E">
              <w:rPr>
                <w:vertAlign w:val="superscript"/>
              </w:rPr>
              <w:t>2</w:t>
            </w:r>
            <w:r w:rsidRPr="00E02E8F">
              <w:t>)</w:t>
            </w:r>
          </w:p>
        </w:tc>
      </w:tr>
      <w:tr w:rsidR="004F6729" w14:paraId="7615F79C" w14:textId="77777777" w:rsidTr="00C91990">
        <w:trPr>
          <w:trHeight w:val="315"/>
        </w:trPr>
        <w:tc>
          <w:tcPr>
            <w:tcW w:w="2399" w:type="pct"/>
            <w:tcBorders>
              <w:top w:val="nil"/>
              <w:left w:val="nil"/>
              <w:right w:val="nil"/>
            </w:tcBorders>
            <w:vAlign w:val="center"/>
          </w:tcPr>
          <w:p w14:paraId="1757725F" w14:textId="77777777" w:rsidR="00C91990" w:rsidRPr="00E02E8F" w:rsidRDefault="00F56B54" w:rsidP="00C76458">
            <w:pPr>
              <w:pStyle w:val="TableText"/>
            </w:pPr>
            <w:r w:rsidRPr="00E02E8F">
              <w:t>SPC</w:t>
            </w:r>
          </w:p>
        </w:tc>
        <w:tc>
          <w:tcPr>
            <w:tcW w:w="1247" w:type="pct"/>
            <w:tcBorders>
              <w:top w:val="nil"/>
              <w:left w:val="nil"/>
              <w:right w:val="nil"/>
            </w:tcBorders>
            <w:vAlign w:val="bottom"/>
          </w:tcPr>
          <w:p w14:paraId="10CB7557" w14:textId="77777777" w:rsidR="00C91990" w:rsidRPr="00E02E8F" w:rsidRDefault="00F56B54" w:rsidP="00C91990">
            <w:pPr>
              <w:pStyle w:val="TableText"/>
            </w:pPr>
            <w:r w:rsidRPr="00E02E8F">
              <w:t>N/A</w:t>
            </w:r>
          </w:p>
        </w:tc>
        <w:tc>
          <w:tcPr>
            <w:tcW w:w="1354" w:type="pct"/>
            <w:tcBorders>
              <w:top w:val="nil"/>
              <w:left w:val="nil"/>
              <w:right w:val="nil"/>
            </w:tcBorders>
            <w:noWrap/>
            <w:vAlign w:val="bottom"/>
          </w:tcPr>
          <w:p w14:paraId="68614160" w14:textId="77777777" w:rsidR="00C91990" w:rsidRPr="00E02E8F" w:rsidRDefault="00F56B54" w:rsidP="00C91990">
            <w:pPr>
              <w:pStyle w:val="TableText"/>
            </w:pPr>
            <w:r w:rsidRPr="00E02E8F">
              <w:t>3145</w:t>
            </w:r>
            <w:r>
              <w:t xml:space="preserve"> - </w:t>
            </w:r>
            <w:r w:rsidRPr="00E02E8F">
              <w:t>4225</w:t>
            </w:r>
          </w:p>
        </w:tc>
      </w:tr>
      <w:tr w:rsidR="004F6729" w14:paraId="5019C438" w14:textId="77777777" w:rsidTr="00C91990">
        <w:trPr>
          <w:trHeight w:val="315"/>
        </w:trPr>
        <w:tc>
          <w:tcPr>
            <w:tcW w:w="2399" w:type="pct"/>
            <w:tcBorders>
              <w:top w:val="nil"/>
              <w:left w:val="nil"/>
              <w:right w:val="nil"/>
            </w:tcBorders>
            <w:vAlign w:val="center"/>
          </w:tcPr>
          <w:p w14:paraId="43C8FF8D" w14:textId="77777777" w:rsidR="00C91990" w:rsidRPr="00E02E8F" w:rsidRDefault="00F56B54" w:rsidP="00C76458">
            <w:pPr>
              <w:pStyle w:val="TableText"/>
            </w:pPr>
            <w:r w:rsidRPr="00E02E8F">
              <w:t>Ablative</w:t>
            </w:r>
          </w:p>
        </w:tc>
        <w:tc>
          <w:tcPr>
            <w:tcW w:w="1247" w:type="pct"/>
            <w:tcBorders>
              <w:top w:val="nil"/>
              <w:left w:val="nil"/>
              <w:right w:val="nil"/>
            </w:tcBorders>
            <w:vAlign w:val="bottom"/>
          </w:tcPr>
          <w:p w14:paraId="1100A303" w14:textId="77777777" w:rsidR="00C91990" w:rsidRPr="00E02E8F" w:rsidRDefault="00F56B54" w:rsidP="00C91990">
            <w:pPr>
              <w:pStyle w:val="TableText"/>
            </w:pPr>
            <w:r w:rsidRPr="00E02E8F">
              <w:t>N/A</w:t>
            </w:r>
          </w:p>
        </w:tc>
        <w:tc>
          <w:tcPr>
            <w:tcW w:w="1354" w:type="pct"/>
            <w:tcBorders>
              <w:top w:val="nil"/>
              <w:left w:val="nil"/>
              <w:right w:val="nil"/>
            </w:tcBorders>
            <w:noWrap/>
            <w:vAlign w:val="bottom"/>
          </w:tcPr>
          <w:p w14:paraId="607A54F2" w14:textId="77777777" w:rsidR="00C91990" w:rsidRPr="00E02E8F" w:rsidRDefault="00F56B54" w:rsidP="00C91990">
            <w:pPr>
              <w:pStyle w:val="TableText"/>
            </w:pPr>
            <w:r w:rsidRPr="00E02E8F">
              <w:t>1994</w:t>
            </w:r>
            <w:r>
              <w:t xml:space="preserve"> - </w:t>
            </w:r>
            <w:r w:rsidRPr="00E02E8F">
              <w:t>3290</w:t>
            </w:r>
          </w:p>
        </w:tc>
      </w:tr>
      <w:tr w:rsidR="004F6729" w14:paraId="6EF90200" w14:textId="77777777" w:rsidTr="00C91990">
        <w:trPr>
          <w:trHeight w:val="315"/>
        </w:trPr>
        <w:tc>
          <w:tcPr>
            <w:tcW w:w="2399" w:type="pct"/>
            <w:tcBorders>
              <w:top w:val="nil"/>
              <w:left w:val="nil"/>
              <w:bottom w:val="single" w:sz="4" w:space="0" w:color="auto"/>
              <w:right w:val="nil"/>
            </w:tcBorders>
            <w:vAlign w:val="center"/>
          </w:tcPr>
          <w:p w14:paraId="07897F4D" w14:textId="77777777" w:rsidR="00C91990" w:rsidRPr="00E02E8F" w:rsidRDefault="00F56B54" w:rsidP="00C76458">
            <w:pPr>
              <w:pStyle w:val="TableText"/>
            </w:pPr>
            <w:r w:rsidRPr="00E02E8F">
              <w:t>Hard</w:t>
            </w:r>
          </w:p>
        </w:tc>
        <w:tc>
          <w:tcPr>
            <w:tcW w:w="1247" w:type="pct"/>
            <w:tcBorders>
              <w:top w:val="nil"/>
              <w:left w:val="nil"/>
              <w:bottom w:val="single" w:sz="4" w:space="0" w:color="auto"/>
              <w:right w:val="nil"/>
            </w:tcBorders>
            <w:vAlign w:val="bottom"/>
          </w:tcPr>
          <w:p w14:paraId="40E5501D" w14:textId="77777777" w:rsidR="00C91990" w:rsidRPr="00E02E8F" w:rsidRDefault="00F56B54" w:rsidP="00C91990">
            <w:pPr>
              <w:pStyle w:val="TableText"/>
            </w:pPr>
            <w:r w:rsidRPr="00E02E8F">
              <w:t>N/A</w:t>
            </w:r>
          </w:p>
        </w:tc>
        <w:tc>
          <w:tcPr>
            <w:tcW w:w="1354" w:type="pct"/>
            <w:tcBorders>
              <w:top w:val="nil"/>
              <w:left w:val="nil"/>
              <w:bottom w:val="single" w:sz="4" w:space="0" w:color="auto"/>
              <w:right w:val="nil"/>
            </w:tcBorders>
            <w:noWrap/>
            <w:vAlign w:val="bottom"/>
          </w:tcPr>
          <w:p w14:paraId="383F49A5" w14:textId="77777777" w:rsidR="00C91990" w:rsidRPr="00E02E8F" w:rsidRDefault="00F56B54" w:rsidP="00C91990">
            <w:pPr>
              <w:pStyle w:val="TableText"/>
            </w:pPr>
            <w:r w:rsidRPr="00E02E8F">
              <w:t>N/A</w:t>
            </w:r>
          </w:p>
        </w:tc>
      </w:tr>
    </w:tbl>
    <w:p w14:paraId="61CEA9A4" w14:textId="77777777" w:rsidR="00C91990" w:rsidRPr="00B874F0" w:rsidRDefault="00F56B54" w:rsidP="00C91990">
      <w:pPr>
        <w:pStyle w:val="FigureTableNoteSource"/>
      </w:pPr>
      <w:r>
        <w:t>Source: Morrisey et al. 2013, Table 5.5</w:t>
      </w:r>
    </w:p>
    <w:p w14:paraId="504EEB4B" w14:textId="77777777" w:rsidR="00827747" w:rsidRDefault="00F56B54" w:rsidP="00C91990">
      <w:r>
        <w:t xml:space="preserve">PECs were determined by </w:t>
      </w:r>
      <w:r w:rsidR="00C91990">
        <w:t>MAMPEC modelling for the cleaning of different numbers of recreational and commercial per day, for different sized vessels</w:t>
      </w:r>
      <w:r>
        <w:t>, for cleaning the full hull, or only the vertical sides or boot-tops, and for two New Zealand marinas (Half Moon Bay, Westhaven) and two harbours (Lyttelton, Auckland). The PECs for total and dissolved copper for the different scenarios wer</w:t>
      </w:r>
      <w:r w:rsidR="009B34C3">
        <w:t>e</w:t>
      </w:r>
      <w:r>
        <w:t xml:space="preserve"> compared to the ANZECC</w:t>
      </w:r>
      <w:r w:rsidR="00F653D4">
        <w:t>/</w:t>
      </w:r>
      <w:r>
        <w:t xml:space="preserve">ARMCANZ </w:t>
      </w:r>
      <w:r w:rsidR="00F653D4">
        <w:t xml:space="preserve">(2000) </w:t>
      </w:r>
      <w:r>
        <w:t>90% and 95% protection trigger concentrations for copper, and the US EPA (1995) acute criteria for copper.</w:t>
      </w:r>
    </w:p>
    <w:p w14:paraId="7EA5799A" w14:textId="77777777" w:rsidR="00F653D4" w:rsidRDefault="00F56B54" w:rsidP="00C91990">
      <w:r>
        <w:t xml:space="preserve">The conclusions on the </w:t>
      </w:r>
      <w:r w:rsidR="009B34C3">
        <w:t>copper</w:t>
      </w:r>
      <w:r>
        <w:t xml:space="preserve"> contamination risks drawn from this study </w:t>
      </w:r>
      <w:r w:rsidR="009B34C3">
        <w:t xml:space="preserve">in relation to commercial ships </w:t>
      </w:r>
      <w:r>
        <w:t>were summarised as follows</w:t>
      </w:r>
      <w:r w:rsidR="00CB6867">
        <w:t xml:space="preserve"> (Section 5.8; Morrisey et al. 2013)</w:t>
      </w:r>
      <w:r>
        <w:t>:</w:t>
      </w:r>
    </w:p>
    <w:p w14:paraId="2D371596" w14:textId="77777777" w:rsidR="009B34C3" w:rsidRDefault="00F56B54" w:rsidP="00862962">
      <w:pPr>
        <w:pStyle w:val="ListBullet"/>
      </w:pPr>
      <w:r>
        <w:t xml:space="preserve">Estimated emission rates indicate that </w:t>
      </w:r>
      <w:r w:rsidR="0096529C">
        <w:t xml:space="preserve">uncontained </w:t>
      </w:r>
      <w:r w:rsidR="00E25259">
        <w:t>IWC</w:t>
      </w:r>
      <w:r w:rsidRPr="003F5BAD">
        <w:t xml:space="preserve"> </w:t>
      </w:r>
      <w:r>
        <w:t xml:space="preserve">may </w:t>
      </w:r>
      <w:r w:rsidRPr="003F5BAD">
        <w:t xml:space="preserve">result in the release of large </w:t>
      </w:r>
      <w:r>
        <w:t>amounts</w:t>
      </w:r>
      <w:r w:rsidRPr="003F5BAD">
        <w:t xml:space="preserve"> of </w:t>
      </w:r>
      <w:r>
        <w:t xml:space="preserve">total </w:t>
      </w:r>
      <w:r w:rsidRPr="003F5BAD">
        <w:t xml:space="preserve">copper. </w:t>
      </w:r>
      <w:r>
        <w:t>On</w:t>
      </w:r>
      <w:r w:rsidRPr="003F5BAD">
        <w:t xml:space="preserve"> commercial vessels, this could be up to 68 kg for soft cleaning methods and 300 kg for aggressive cleaning methods.</w:t>
      </w:r>
      <w:r>
        <w:t xml:space="preserve"> The potential impacts of copper are based on its form (total versus dissolved), and discharges/emissions are rapidly reduced by dilution and binding to dissolved organic carbon. As a result, these estimates may not have the environmental impact that could be expected based on mass alone</w:t>
      </w:r>
    </w:p>
    <w:p w14:paraId="3543F316" w14:textId="77777777" w:rsidR="00462370" w:rsidRPr="00A352EE" w:rsidRDefault="00F56B54" w:rsidP="00862962">
      <w:pPr>
        <w:pStyle w:val="ListBullet"/>
        <w:rPr>
          <w:lang w:eastAsia="ja-JP"/>
        </w:rPr>
      </w:pPr>
      <w:r>
        <w:rPr>
          <w:lang w:eastAsia="zh-TW"/>
        </w:rPr>
        <w:t xml:space="preserve">For comparison, the amount of copper passively released from one ship in harbour could be between 0.1 and 1.5 kg per day, depending on the size of the </w:t>
      </w:r>
      <w:r w:rsidR="00831CD4">
        <w:rPr>
          <w:lang w:eastAsia="zh-TW"/>
        </w:rPr>
        <w:t>vessel</w:t>
      </w:r>
      <w:r w:rsidR="00CB6867">
        <w:rPr>
          <w:lang w:eastAsia="zh-TW"/>
        </w:rPr>
        <w:t xml:space="preserve"> (Table 5.28; Morrisey et al. 2013)</w:t>
      </w:r>
    </w:p>
    <w:p w14:paraId="0AD1536F" w14:textId="77777777" w:rsidR="009B34C3" w:rsidRDefault="00F56B54" w:rsidP="00862962">
      <w:pPr>
        <w:pStyle w:val="ListBullet"/>
      </w:pPr>
      <w:r>
        <w:lastRenderedPageBreak/>
        <w:t xml:space="preserve">For </w:t>
      </w:r>
      <w:r w:rsidR="00E25259">
        <w:t xml:space="preserve">IWC </w:t>
      </w:r>
      <w:r>
        <w:t>of commercial vessels using soft cleaning methods</w:t>
      </w:r>
      <w:r w:rsidR="007414A8">
        <w:t xml:space="preserve"> and the upper copper release estimate</w:t>
      </w:r>
      <w:r>
        <w:t>, most scenarios indicate</w:t>
      </w:r>
      <w:r w:rsidR="007414A8">
        <w:t>d</w:t>
      </w:r>
      <w:r>
        <w:t xml:space="preserve"> a low risk based on </w:t>
      </w:r>
      <w:r w:rsidRPr="00C03CD2">
        <w:t xml:space="preserve">mixing within </w:t>
      </w:r>
      <w:r>
        <w:t>the Port of Auckland, but there was a</w:t>
      </w:r>
      <w:r w:rsidRPr="00C03CD2">
        <w:t xml:space="preserve"> </w:t>
      </w:r>
      <w:r>
        <w:t xml:space="preserve">greater likelihood of guideline exceedance within Lyttelton Port, particularly for vessels larger than 100 m. This was attributed to the low flushing associated with this port. The likelihood of exceedance </w:t>
      </w:r>
      <w:r w:rsidR="007414A8">
        <w:t>wa</w:t>
      </w:r>
      <w:r>
        <w:t xml:space="preserve">s increased for </w:t>
      </w:r>
      <w:r w:rsidR="00BF38D8">
        <w:t>IWC</w:t>
      </w:r>
      <w:r>
        <w:t xml:space="preserve"> using aggressive cleaning methods and </w:t>
      </w:r>
      <w:r w:rsidRPr="00C03CD2">
        <w:t>the upper copper release estimate</w:t>
      </w:r>
      <w:r w:rsidR="007414A8">
        <w:t>, and there was a</w:t>
      </w:r>
      <w:r>
        <w:t xml:space="preserve"> medium or high risk for </w:t>
      </w:r>
      <w:proofErr w:type="gramStart"/>
      <w:r>
        <w:t>the majority of</w:t>
      </w:r>
      <w:proofErr w:type="gramEnd"/>
      <w:r>
        <w:t xml:space="preserve"> aggressive cleaning scenarios within Lyttelton Port</w:t>
      </w:r>
    </w:p>
    <w:p w14:paraId="1B7A84E5" w14:textId="77777777" w:rsidR="007414A8" w:rsidRDefault="00F56B54" w:rsidP="00862962">
      <w:pPr>
        <w:pStyle w:val="ListBullet"/>
      </w:pPr>
      <w:r>
        <w:t xml:space="preserve">The number of medium and high-risk scenarios in each port was reduced if the modelling was based on lower copper release estimates. For soft cleaning, all scenarios indicated a low risk in Port of Auckland </w:t>
      </w:r>
      <w:r w:rsidR="00462370">
        <w:t>and</w:t>
      </w:r>
      <w:r>
        <w:t xml:space="preserve">, in Lyttelton Port, </w:t>
      </w:r>
      <w:r w:rsidR="00462370">
        <w:t xml:space="preserve">cleaning </w:t>
      </w:r>
      <w:r w:rsidR="00F47680">
        <w:t xml:space="preserve">more than one </w:t>
      </w:r>
      <w:r w:rsidR="00462370">
        <w:t xml:space="preserve">vessel of length greater than 200 m </w:t>
      </w:r>
      <w:r w:rsidR="00CB6867">
        <w:t xml:space="preserve">per </w:t>
      </w:r>
      <w:r w:rsidR="00F47680">
        <w:t xml:space="preserve">fortnight </w:t>
      </w:r>
      <w:r>
        <w:t>indicate</w:t>
      </w:r>
      <w:r w:rsidR="00462370">
        <w:t>d</w:t>
      </w:r>
      <w:r>
        <w:t xml:space="preserve"> a medium or high risk. However, for aggressive cleaning, many combinations of vessel numbers and sizes indicate</w:t>
      </w:r>
      <w:r w:rsidR="00462370">
        <w:t>d</w:t>
      </w:r>
      <w:r>
        <w:t xml:space="preserve"> a high risk in both ports</w:t>
      </w:r>
    </w:p>
    <w:p w14:paraId="4649082D" w14:textId="77777777" w:rsidR="009B34C3" w:rsidRDefault="00F56B54" w:rsidP="00862962">
      <w:pPr>
        <w:pStyle w:val="ListBullet"/>
      </w:pPr>
      <w:r w:rsidRPr="00084CC0">
        <w:rPr>
          <w:szCs w:val="24"/>
        </w:rPr>
        <w:t xml:space="preserve">The volume of copper released in the above scenarios </w:t>
      </w:r>
      <w:r>
        <w:rPr>
          <w:szCs w:val="24"/>
        </w:rPr>
        <w:t>wa</w:t>
      </w:r>
      <w:r w:rsidRPr="00084CC0">
        <w:rPr>
          <w:szCs w:val="24"/>
        </w:rPr>
        <w:t xml:space="preserve">s related to total wetted area of the vessel hull. However, for operational reasons it </w:t>
      </w:r>
      <w:r>
        <w:rPr>
          <w:szCs w:val="24"/>
        </w:rPr>
        <w:t xml:space="preserve">was considered </w:t>
      </w:r>
      <w:r w:rsidRPr="00084CC0">
        <w:rPr>
          <w:szCs w:val="24"/>
        </w:rPr>
        <w:t xml:space="preserve">likely that in-water cleaning carried out as routine maintenance </w:t>
      </w:r>
      <w:r w:rsidR="00E25259">
        <w:rPr>
          <w:szCs w:val="24"/>
        </w:rPr>
        <w:t xml:space="preserve">could </w:t>
      </w:r>
      <w:r w:rsidRPr="00084CC0">
        <w:rPr>
          <w:szCs w:val="24"/>
        </w:rPr>
        <w:t xml:space="preserve">focus on </w:t>
      </w:r>
      <w:r w:rsidR="00E25259">
        <w:rPr>
          <w:szCs w:val="24"/>
        </w:rPr>
        <w:t xml:space="preserve">only a ship’s vertical </w:t>
      </w:r>
      <w:r w:rsidRPr="00084CC0">
        <w:rPr>
          <w:szCs w:val="24"/>
        </w:rPr>
        <w:t>sides or boot-top</w:t>
      </w:r>
      <w:r>
        <w:rPr>
          <w:szCs w:val="24"/>
        </w:rPr>
        <w:t>,</w:t>
      </w:r>
      <w:r w:rsidRPr="00084CC0">
        <w:rPr>
          <w:szCs w:val="24"/>
        </w:rPr>
        <w:t xml:space="preserve"> as th</w:t>
      </w:r>
      <w:r>
        <w:rPr>
          <w:szCs w:val="24"/>
        </w:rPr>
        <w:t>ese</w:t>
      </w:r>
      <w:r w:rsidRPr="00084CC0">
        <w:rPr>
          <w:szCs w:val="24"/>
        </w:rPr>
        <w:t xml:space="preserve"> location</w:t>
      </w:r>
      <w:r>
        <w:rPr>
          <w:szCs w:val="24"/>
        </w:rPr>
        <w:t>s</w:t>
      </w:r>
      <w:r w:rsidRPr="00084CC0">
        <w:rPr>
          <w:szCs w:val="24"/>
        </w:rPr>
        <w:t xml:space="preserve"> </w:t>
      </w:r>
      <w:r>
        <w:rPr>
          <w:szCs w:val="24"/>
        </w:rPr>
        <w:t xml:space="preserve">are </w:t>
      </w:r>
      <w:r w:rsidR="00E25259">
        <w:rPr>
          <w:szCs w:val="24"/>
        </w:rPr>
        <w:t xml:space="preserve">prone </w:t>
      </w:r>
      <w:r w:rsidRPr="00084CC0">
        <w:rPr>
          <w:szCs w:val="24"/>
        </w:rPr>
        <w:t>to fouling</w:t>
      </w:r>
      <w:r w:rsidR="00E25259">
        <w:rPr>
          <w:szCs w:val="24"/>
        </w:rPr>
        <w:t>,</w:t>
      </w:r>
      <w:r>
        <w:rPr>
          <w:szCs w:val="24"/>
        </w:rPr>
        <w:t xml:space="preserve"> and are easily accessible</w:t>
      </w:r>
      <w:r w:rsidRPr="00084CC0">
        <w:rPr>
          <w:szCs w:val="24"/>
        </w:rPr>
        <w:t xml:space="preserve">. </w:t>
      </w:r>
      <w:r w:rsidRPr="00933925">
        <w:rPr>
          <w:szCs w:val="24"/>
        </w:rPr>
        <w:t xml:space="preserve">As expected, the cleaning of only vessel sides or boot-tops reduced the number of medium and </w:t>
      </w:r>
      <w:r w:rsidR="001967C4" w:rsidRPr="00933925">
        <w:rPr>
          <w:szCs w:val="24"/>
        </w:rPr>
        <w:t>high-risk</w:t>
      </w:r>
      <w:r w:rsidRPr="00933925">
        <w:rPr>
          <w:szCs w:val="24"/>
        </w:rPr>
        <w:t xml:space="preserve"> scenarios. For example, all scenarios for </w:t>
      </w:r>
      <w:r w:rsidR="00462370">
        <w:rPr>
          <w:szCs w:val="24"/>
        </w:rPr>
        <w:t xml:space="preserve">aggressively </w:t>
      </w:r>
      <w:r w:rsidRPr="00933925">
        <w:rPr>
          <w:szCs w:val="24"/>
        </w:rPr>
        <w:t xml:space="preserve">cleaning only boot-tops </w:t>
      </w:r>
      <w:r>
        <w:rPr>
          <w:szCs w:val="24"/>
        </w:rPr>
        <w:t>indicate</w:t>
      </w:r>
      <w:r w:rsidR="00E25259">
        <w:rPr>
          <w:szCs w:val="24"/>
        </w:rPr>
        <w:t>d</w:t>
      </w:r>
      <w:r>
        <w:rPr>
          <w:szCs w:val="24"/>
        </w:rPr>
        <w:t xml:space="preserve"> a</w:t>
      </w:r>
      <w:r w:rsidRPr="00933925">
        <w:rPr>
          <w:szCs w:val="24"/>
        </w:rPr>
        <w:t xml:space="preserve"> low risk in </w:t>
      </w:r>
      <w:r>
        <w:rPr>
          <w:szCs w:val="24"/>
        </w:rPr>
        <w:t xml:space="preserve">the </w:t>
      </w:r>
      <w:r w:rsidRPr="00933925">
        <w:rPr>
          <w:szCs w:val="24"/>
        </w:rPr>
        <w:t>Port of Auckland</w:t>
      </w:r>
      <w:r w:rsidR="00462370">
        <w:rPr>
          <w:szCs w:val="24"/>
        </w:rPr>
        <w:t xml:space="preserve"> and, in</w:t>
      </w:r>
      <w:r>
        <w:rPr>
          <w:szCs w:val="24"/>
        </w:rPr>
        <w:t xml:space="preserve"> </w:t>
      </w:r>
      <w:r w:rsidRPr="00933925">
        <w:rPr>
          <w:szCs w:val="24"/>
        </w:rPr>
        <w:t xml:space="preserve">Lyttelton Port, only higher cleaning frequencies of larger vessels </w:t>
      </w:r>
      <w:r>
        <w:rPr>
          <w:szCs w:val="24"/>
        </w:rPr>
        <w:t>indicate</w:t>
      </w:r>
      <w:r w:rsidR="00462370">
        <w:rPr>
          <w:szCs w:val="24"/>
        </w:rPr>
        <w:t>d</w:t>
      </w:r>
      <w:r w:rsidRPr="00933925">
        <w:rPr>
          <w:szCs w:val="24"/>
        </w:rPr>
        <w:t xml:space="preserve"> medium or high risks</w:t>
      </w:r>
      <w:r w:rsidR="00CB6867">
        <w:rPr>
          <w:szCs w:val="24"/>
        </w:rPr>
        <w:t>.</w:t>
      </w:r>
    </w:p>
    <w:p w14:paraId="7ACB8F05" w14:textId="77777777" w:rsidR="00A362A5" w:rsidRDefault="00F56B54" w:rsidP="00C91990">
      <w:r>
        <w:t>These conclusion</w:t>
      </w:r>
      <w:r w:rsidR="00825045">
        <w:t>s</w:t>
      </w:r>
      <w:r>
        <w:t xml:space="preserve"> could be further summarised to recommend that, without waste capture, aggressive cleaning of entire underwater hulls should not be permitted within ports, particularly those with low flushing rates.</w:t>
      </w:r>
      <w:r w:rsidR="00E25259">
        <w:t xml:space="preserve"> However, a</w:t>
      </w:r>
      <w:r>
        <w:t>ggressive cleaning of only boot-tops could be permitted. Light cleaning of entire hulls, to remove only the biofilm and leached layer, could mostly be permitted, except on vessels longer than 100 m in low flushing environments.</w:t>
      </w:r>
    </w:p>
    <w:p w14:paraId="6E3AA980" w14:textId="77777777" w:rsidR="00A65AF6" w:rsidRPr="00261927" w:rsidRDefault="00F56B54" w:rsidP="00606BF1">
      <w:r>
        <w:t xml:space="preserve">For paint flakes, using the calculated copper content of sound paint of 120 </w:t>
      </w:r>
      <w:r>
        <w:rPr>
          <w:rFonts w:ascii="Calibri" w:hAnsi="Calibri" w:cs="Calibri"/>
        </w:rPr>
        <w:t>μ</w:t>
      </w:r>
      <w:r>
        <w:t>g Cu/cm</w:t>
      </w:r>
      <w:r>
        <w:rPr>
          <w:vertAlign w:val="superscript"/>
        </w:rPr>
        <w:t>2</w:t>
      </w:r>
      <w:r>
        <w:t xml:space="preserve">/1 </w:t>
      </w:r>
      <w:r>
        <w:rPr>
          <w:rFonts w:ascii="Calibri" w:hAnsi="Calibri" w:cs="Calibri"/>
        </w:rPr>
        <w:t>μ</w:t>
      </w:r>
      <w:r>
        <w:t xml:space="preserve">m of coating thickness, and a dry film coating thickness of </w:t>
      </w:r>
      <w:r w:rsidR="00261927">
        <w:t>2</w:t>
      </w:r>
      <w:r>
        <w:t xml:space="preserve">00 </w:t>
      </w:r>
      <w:r w:rsidR="00261927">
        <w:rPr>
          <w:rFonts w:ascii="Calibri" w:hAnsi="Calibri" w:cs="Calibri"/>
        </w:rPr>
        <w:t>μ</w:t>
      </w:r>
      <w:r w:rsidR="00261927">
        <w:t>m (2 coats @ 100</w:t>
      </w:r>
      <w:r w:rsidR="00261927" w:rsidRPr="00261927">
        <w:rPr>
          <w:rFonts w:ascii="Calibri" w:hAnsi="Calibri" w:cs="Calibri"/>
        </w:rPr>
        <w:t xml:space="preserve"> </w:t>
      </w:r>
      <w:r w:rsidR="00261927">
        <w:rPr>
          <w:rFonts w:ascii="Calibri" w:hAnsi="Calibri" w:cs="Calibri"/>
        </w:rPr>
        <w:t>μ</w:t>
      </w:r>
      <w:r w:rsidR="00261927">
        <w:t>m) , a flake of 1 cm</w:t>
      </w:r>
      <w:r w:rsidR="00261927">
        <w:rPr>
          <w:vertAlign w:val="superscript"/>
        </w:rPr>
        <w:t>2</w:t>
      </w:r>
      <w:r w:rsidR="00261927">
        <w:t xml:space="preserve"> would contain 24 mg Cu</w:t>
      </w:r>
      <w:r w:rsidR="00CB6867">
        <w:t xml:space="preserve"> (Morrisey et al. 2013)</w:t>
      </w:r>
      <w:r w:rsidR="00261927">
        <w:t>. Three of these flakes in 1 kg of sediment would raise the sediment copper concentration above the ISQG trigger value in the National Assessment Guidelines for Dredging (</w:t>
      </w:r>
      <w:r w:rsidR="00E3560C">
        <w:t>C</w:t>
      </w:r>
      <w:r w:rsidR="00261927">
        <w:t xml:space="preserve">oA 2009). </w:t>
      </w:r>
      <w:r>
        <w:t xml:space="preserve">The release of paint flakes during cleaning would therefore be best avoided in harbours </w:t>
      </w:r>
      <w:r w:rsidR="00013D63">
        <w:t xml:space="preserve">and marinas </w:t>
      </w:r>
      <w:r>
        <w:t>if there is no waste containment.</w:t>
      </w:r>
    </w:p>
    <w:p w14:paraId="5B8588E9" w14:textId="77777777" w:rsidR="00606BF1" w:rsidRDefault="00F56B54" w:rsidP="00606BF1">
      <w:pPr>
        <w:pStyle w:val="Heading4"/>
      </w:pPr>
      <w:r>
        <w:t>In-water cleaning with waste capture and containment, but no treatment</w:t>
      </w:r>
    </w:p>
    <w:p w14:paraId="2CE244C3" w14:textId="77777777" w:rsidR="00DE7C5D" w:rsidRDefault="00F56B54" w:rsidP="00606BF1">
      <w:proofErr w:type="gramStart"/>
      <w:r>
        <w:t>With the exception of</w:t>
      </w:r>
      <w:proofErr w:type="gramEnd"/>
      <w:r>
        <w:t xml:space="preserve"> paint flakes, capture and containment of waste by filtration, with the seawater filtrate discharged without treatment, would not be expected to significantly reduce the concentration of biocide </w:t>
      </w:r>
      <w:r w:rsidR="00A24D1D">
        <w:t xml:space="preserve">from that in the </w:t>
      </w:r>
      <w:r w:rsidR="00E25259">
        <w:t>up</w:t>
      </w:r>
      <w:r w:rsidR="00A24D1D">
        <w:t>take</w:t>
      </w:r>
      <w:r>
        <w:t xml:space="preserve"> </w:t>
      </w:r>
      <w:r w:rsidR="00E25259">
        <w:t xml:space="preserve">stream. Both </w:t>
      </w:r>
      <w:r>
        <w:t xml:space="preserve">dissolved and </w:t>
      </w:r>
      <w:r w:rsidR="00831CD4">
        <w:t>some particulate</w:t>
      </w:r>
      <w:r>
        <w:t xml:space="preserve"> biocides are likely to pass through mesh filtration systems. Biocide associated with slime may be retained on the sieves if associated with macro-biological waste.</w:t>
      </w:r>
    </w:p>
    <w:p w14:paraId="7F74B8D0" w14:textId="77777777" w:rsidR="00827747" w:rsidRDefault="00F56B54" w:rsidP="00606BF1">
      <w:r>
        <w:t>Mesh f</w:t>
      </w:r>
      <w:r w:rsidR="00DE7C5D">
        <w:t xml:space="preserve">iltration is considered a key step in removing </w:t>
      </w:r>
      <w:r w:rsidR="00013D63">
        <w:t xml:space="preserve">larger </w:t>
      </w:r>
      <w:r w:rsidR="00DE7C5D">
        <w:t xml:space="preserve">paint flakes </w:t>
      </w:r>
      <w:r>
        <w:t xml:space="preserve">from </w:t>
      </w:r>
      <w:r w:rsidR="00DE7C5D">
        <w:t>the waste stream.</w:t>
      </w:r>
    </w:p>
    <w:p w14:paraId="3BE30ACF" w14:textId="77777777" w:rsidR="00971805" w:rsidRDefault="00F56B54" w:rsidP="00971805">
      <w:pPr>
        <w:pStyle w:val="Heading4"/>
      </w:pPr>
      <w:r>
        <w:t>In-water cleaning with waste capture, containment, and treatment</w:t>
      </w:r>
    </w:p>
    <w:p w14:paraId="10227BCC" w14:textId="77777777" w:rsidR="00827747" w:rsidRDefault="00F56B54" w:rsidP="00606BF1">
      <w:r>
        <w:t xml:space="preserve">Treatment of the filtrate </w:t>
      </w:r>
      <w:r w:rsidR="00E13EAF">
        <w:t xml:space="preserve">by cartridge filtration </w:t>
      </w:r>
      <w:r>
        <w:t xml:space="preserve">after mesh filtration has been demonstrated to significantly reduce the </w:t>
      </w:r>
      <w:r w:rsidR="000B4CBE">
        <w:t xml:space="preserve">copper </w:t>
      </w:r>
      <w:r>
        <w:t xml:space="preserve">concentration in the waste stream. </w:t>
      </w:r>
      <w:r w:rsidR="000B4CBE">
        <w:t xml:space="preserve">Reductions of 80% for </w:t>
      </w:r>
      <w:r w:rsidR="000B4CBE">
        <w:lastRenderedPageBreak/>
        <w:t>dissolved</w:t>
      </w:r>
      <w:r w:rsidR="00E25259">
        <w:t>,</w:t>
      </w:r>
      <w:r w:rsidR="000B4CBE">
        <w:t xml:space="preserve"> and 90% for particulate copper</w:t>
      </w:r>
      <w:r w:rsidR="00E25259">
        <w:t>,</w:t>
      </w:r>
      <w:r w:rsidR="000B4CBE">
        <w:t xml:space="preserve"> have been measured </w:t>
      </w:r>
      <w:r w:rsidR="00E25259">
        <w:t xml:space="preserve">during </w:t>
      </w:r>
      <w:r w:rsidR="000B4CBE">
        <w:t xml:space="preserve">trials of the CleanSubSea system </w:t>
      </w:r>
      <w:r w:rsidR="00A5797E">
        <w:t xml:space="preserve">that passes the waste stream through high flow microfiltration cartridges after mesh filtration </w:t>
      </w:r>
      <w:r w:rsidR="000B4CBE">
        <w:t>(</w:t>
      </w:r>
      <w:r w:rsidR="00F47680">
        <w:t>GRD Franmarine Holdings Ltd, unpublished data</w:t>
      </w:r>
      <w:r w:rsidR="000B4CBE">
        <w:t>).</w:t>
      </w:r>
    </w:p>
    <w:p w14:paraId="15F3F75C" w14:textId="77777777" w:rsidR="00FC7CAA" w:rsidRDefault="00F56B54" w:rsidP="00606BF1">
      <w:r>
        <w:t>Various t</w:t>
      </w:r>
      <w:r w:rsidR="005A0A1A">
        <w:t xml:space="preserve">echniques </w:t>
      </w:r>
      <w:r>
        <w:t>can be used</w:t>
      </w:r>
      <w:r w:rsidR="002A53E7">
        <w:t xml:space="preserve"> to remove copper from a waste stream</w:t>
      </w:r>
      <w:r>
        <w:t xml:space="preserve">, </w:t>
      </w:r>
      <w:r w:rsidR="005A0A1A">
        <w:t>includ</w:t>
      </w:r>
      <w:r>
        <w:t>ing</w:t>
      </w:r>
      <w:r w:rsidR="005A0A1A">
        <w:t xml:space="preserve"> adsorption, </w:t>
      </w:r>
      <w:r w:rsidR="002A53E7">
        <w:t xml:space="preserve">cementation, </w:t>
      </w:r>
      <w:r w:rsidR="005A0A1A">
        <w:t>membrane filtration, electrochemical methods</w:t>
      </w:r>
      <w:r>
        <w:t xml:space="preserve"> and photocatalysis (Al-Saydeh et al. 2017).</w:t>
      </w:r>
      <w:r w:rsidR="00681305">
        <w:t xml:space="preserve"> </w:t>
      </w:r>
      <w:r>
        <w:t>The advantages of a</w:t>
      </w:r>
      <w:r w:rsidR="002A53E7">
        <w:t>dsorption using low-cost adsorbents (e.g. zeolites</w:t>
      </w:r>
      <w:r>
        <w:t>,</w:t>
      </w:r>
      <w:r w:rsidR="002A53E7">
        <w:t xml:space="preserve"> clay-polymer composites</w:t>
      </w:r>
      <w:r>
        <w:t xml:space="preserve">, modified biopolymers) are the low initial cost and simple design which makes them suited to IWC treatment systems. </w:t>
      </w:r>
      <w:r w:rsidR="00F7619C">
        <w:t xml:space="preserve">More than 95% of copper can be removed (Chouyyok et al. 2010, Khulbe &amp; Matsuura 2018). Organo-clay absorption has been proposed for post-filtration treatment of IWC waste streams in California (California Water Boards 2013). </w:t>
      </w:r>
      <w:r>
        <w:t>Membrane filtration systems are compact, so also suitable, but have the disadvantage of high operating costs</w:t>
      </w:r>
      <w:r w:rsidR="00F7619C">
        <w:t xml:space="preserve"> (Al-Saydeh et al. 2017)</w:t>
      </w:r>
      <w:r>
        <w:t>.</w:t>
      </w:r>
    </w:p>
    <w:p w14:paraId="4B654B61" w14:textId="77777777" w:rsidR="00D74B1C" w:rsidRDefault="00F56B54" w:rsidP="00D74B1C">
      <w:pPr>
        <w:rPr>
          <w:lang w:eastAsia="ja-JP"/>
        </w:rPr>
      </w:pPr>
      <w:r>
        <w:t xml:space="preserve">MAMPEC-BW modelling has shown that PECs can be calculated from measurements taken during in-water cleaning trials with waste capture, </w:t>
      </w:r>
      <w:proofErr w:type="gramStart"/>
      <w:r>
        <w:t>containment</w:t>
      </w:r>
      <w:proofErr w:type="gramEnd"/>
      <w:r>
        <w:t xml:space="preserve"> and treatment, and that these are well below environmental guidelines </w:t>
      </w:r>
      <w:r w:rsidR="0043076E">
        <w:t>(</w:t>
      </w:r>
      <w:r w:rsidR="00F47680">
        <w:t>Appendix B</w:t>
      </w:r>
      <w:r w:rsidR="00C76458">
        <w:t>).</w:t>
      </w:r>
    </w:p>
    <w:p w14:paraId="0809A29B" w14:textId="77777777" w:rsidR="00D74B1C" w:rsidRDefault="00F56B54" w:rsidP="00626300">
      <w:pPr>
        <w:pStyle w:val="Heading2"/>
      </w:pPr>
      <w:bookmarkStart w:id="63" w:name="_Toc50117676"/>
      <w:r>
        <w:lastRenderedPageBreak/>
        <w:t xml:space="preserve">Coating </w:t>
      </w:r>
      <w:r w:rsidR="0031761D">
        <w:t>s</w:t>
      </w:r>
      <w:r>
        <w:t xml:space="preserve">uitability &amp; </w:t>
      </w:r>
      <w:r w:rsidR="0031761D">
        <w:t>a</w:t>
      </w:r>
      <w:r>
        <w:t xml:space="preserve">cceptability for </w:t>
      </w:r>
      <w:r w:rsidR="0031761D">
        <w:t>i</w:t>
      </w:r>
      <w:r w:rsidR="00E25259">
        <w:t>n-</w:t>
      </w:r>
      <w:r w:rsidR="0031761D">
        <w:t>w</w:t>
      </w:r>
      <w:r w:rsidR="00E25259">
        <w:t xml:space="preserve">ater </w:t>
      </w:r>
      <w:r w:rsidR="0031761D">
        <w:t>c</w:t>
      </w:r>
      <w:r w:rsidR="00E25259">
        <w:t>leaning</w:t>
      </w:r>
      <w:bookmarkEnd w:id="63"/>
    </w:p>
    <w:p w14:paraId="74AFCA07" w14:textId="77777777" w:rsidR="00D74B1C" w:rsidRDefault="00F56B54" w:rsidP="00D74B1C">
      <w:pPr>
        <w:pStyle w:val="Heading3"/>
        <w:rPr>
          <w:lang w:eastAsia="ja-JP"/>
        </w:rPr>
      </w:pPr>
      <w:bookmarkStart w:id="64" w:name="_Toc50117677"/>
      <w:r>
        <w:rPr>
          <w:lang w:eastAsia="ja-JP"/>
        </w:rPr>
        <w:t>Coating</w:t>
      </w:r>
      <w:bookmarkEnd w:id="64"/>
    </w:p>
    <w:p w14:paraId="16E677D0" w14:textId="77777777" w:rsidR="00D74B1C" w:rsidRDefault="00F56B54" w:rsidP="00D74B1C">
      <w:pPr>
        <w:pStyle w:val="Heading4"/>
        <w:rPr>
          <w:lang w:eastAsia="ja-JP"/>
        </w:rPr>
      </w:pPr>
      <w:r>
        <w:rPr>
          <w:lang w:eastAsia="ja-JP"/>
        </w:rPr>
        <w:t xml:space="preserve">Coating </w:t>
      </w:r>
      <w:r w:rsidR="0031761D">
        <w:rPr>
          <w:lang w:eastAsia="ja-JP"/>
        </w:rPr>
        <w:t>t</w:t>
      </w:r>
      <w:r>
        <w:rPr>
          <w:lang w:eastAsia="ja-JP"/>
        </w:rPr>
        <w:t>ype</w:t>
      </w:r>
    </w:p>
    <w:p w14:paraId="228F376A" w14:textId="77777777" w:rsidR="00495102" w:rsidRPr="00444EED" w:rsidRDefault="00F56B54" w:rsidP="007F5E21">
      <w:pPr>
        <w:pStyle w:val="Heading5"/>
        <w:numPr>
          <w:ilvl w:val="0"/>
          <w:numId w:val="56"/>
        </w:numPr>
        <w:ind w:hanging="720"/>
        <w:rPr>
          <w:lang w:eastAsia="ja-JP"/>
        </w:rPr>
      </w:pPr>
      <w:r w:rsidRPr="00444EED">
        <w:rPr>
          <w:lang w:eastAsia="ja-JP"/>
        </w:rPr>
        <w:t>Biocidal</w:t>
      </w:r>
    </w:p>
    <w:p w14:paraId="6B4D909B" w14:textId="77777777" w:rsidR="00FE1608" w:rsidRDefault="00F56B54" w:rsidP="00E25259">
      <w:pPr>
        <w:rPr>
          <w:lang w:eastAsia="ja-JP"/>
        </w:rPr>
      </w:pPr>
      <w:r>
        <w:rPr>
          <w:lang w:eastAsia="ja-JP"/>
        </w:rPr>
        <w:t xml:space="preserve">In-water cleaning of biocidal coatings will result in the removal of biocide along with biofouling growth, with the amount of </w:t>
      </w:r>
      <w:r w:rsidR="00CE58B2">
        <w:rPr>
          <w:lang w:eastAsia="ja-JP"/>
        </w:rPr>
        <w:t xml:space="preserve">biocide released </w:t>
      </w:r>
      <w:r w:rsidR="00747467">
        <w:rPr>
          <w:lang w:eastAsia="ja-JP"/>
        </w:rPr>
        <w:t>likely to depend</w:t>
      </w:r>
      <w:r w:rsidR="00CE58B2">
        <w:rPr>
          <w:lang w:eastAsia="ja-JP"/>
        </w:rPr>
        <w:t xml:space="preserve"> on the method of cleaning, the aggressiveness of the clean, the type of coating, the age of the coating, and the use and methods of waste treatment. The risk of this contaminant posing a risk to the marine environment depends both on the quantity of biocide </w:t>
      </w:r>
      <w:r w:rsidR="00E25259">
        <w:rPr>
          <w:lang w:eastAsia="ja-JP"/>
        </w:rPr>
        <w:t>discharged</w:t>
      </w:r>
      <w:r w:rsidR="00CE58B2">
        <w:rPr>
          <w:lang w:eastAsia="ja-JP"/>
        </w:rPr>
        <w:t xml:space="preserve">, and the physical and hydrodynamic characteristics of the receiving </w:t>
      </w:r>
      <w:r w:rsidR="00831CD4">
        <w:rPr>
          <w:lang w:eastAsia="ja-JP"/>
        </w:rPr>
        <w:t>environment,</w:t>
      </w:r>
      <w:r w:rsidR="00C1549F">
        <w:rPr>
          <w:lang w:eastAsia="ja-JP"/>
        </w:rPr>
        <w:t xml:space="preserve"> i.e. the volume of a harbour and water exchange rate.</w:t>
      </w:r>
    </w:p>
    <w:p w14:paraId="19B185DE" w14:textId="77777777" w:rsidR="00A9588F" w:rsidRDefault="00F56B54" w:rsidP="00E25259">
      <w:pPr>
        <w:rPr>
          <w:lang w:eastAsia="ja-JP"/>
        </w:rPr>
      </w:pPr>
      <w:r>
        <w:rPr>
          <w:lang w:eastAsia="ja-JP"/>
        </w:rPr>
        <w:t xml:space="preserve">The modelling of </w:t>
      </w:r>
      <w:r w:rsidR="008D3026">
        <w:rPr>
          <w:lang w:eastAsia="ja-JP"/>
        </w:rPr>
        <w:t xml:space="preserve">Morrisey et al. (2013) estimated </w:t>
      </w:r>
      <w:r>
        <w:rPr>
          <w:lang w:eastAsia="ja-JP"/>
        </w:rPr>
        <w:t>contamination levels for multiple scenarios combining vessel sizes, coating types, cleaning frequencies and cleaning aggressiveness, with no capture or treatment of waste</w:t>
      </w:r>
      <w:r w:rsidR="008D3026">
        <w:rPr>
          <w:lang w:eastAsia="ja-JP"/>
        </w:rPr>
        <w:t xml:space="preserve">. This research </w:t>
      </w:r>
      <w:r>
        <w:rPr>
          <w:lang w:eastAsia="ja-JP"/>
        </w:rPr>
        <w:t>concluded that</w:t>
      </w:r>
      <w:r w:rsidR="008D3026">
        <w:rPr>
          <w:lang w:eastAsia="ja-JP"/>
        </w:rPr>
        <w:t xml:space="preserve"> under some scenarios, </w:t>
      </w:r>
      <w:r>
        <w:rPr>
          <w:lang w:eastAsia="ja-JP"/>
        </w:rPr>
        <w:t xml:space="preserve">cleaning of biocidal coatings </w:t>
      </w:r>
      <w:r w:rsidR="008D3026">
        <w:rPr>
          <w:lang w:eastAsia="ja-JP"/>
        </w:rPr>
        <w:t xml:space="preserve">without capture </w:t>
      </w:r>
      <w:r>
        <w:rPr>
          <w:lang w:eastAsia="ja-JP"/>
        </w:rPr>
        <w:t>could be un</w:t>
      </w:r>
      <w:r w:rsidR="00E57BF2">
        <w:rPr>
          <w:lang w:eastAsia="ja-JP"/>
        </w:rPr>
        <w:t>d</w:t>
      </w:r>
      <w:r>
        <w:rPr>
          <w:lang w:eastAsia="ja-JP"/>
        </w:rPr>
        <w:t>ertaken without the biocide release exceeding environmental guidelines. The acceptable scenarios were those of light cleaning that removed only the biofilm and leached layer</w:t>
      </w:r>
      <w:r w:rsidR="00C1549F">
        <w:rPr>
          <w:lang w:eastAsia="ja-JP"/>
        </w:rPr>
        <w:t xml:space="preserve"> and</w:t>
      </w:r>
      <w:r w:rsidR="00E25259">
        <w:rPr>
          <w:lang w:eastAsia="ja-JP"/>
        </w:rPr>
        <w:t>,</w:t>
      </w:r>
      <w:r w:rsidR="00C1549F">
        <w:rPr>
          <w:lang w:eastAsia="ja-JP"/>
        </w:rPr>
        <w:t xml:space="preserve"> to limit any need for aggressive cleaning, if needed, to the </w:t>
      </w:r>
      <w:r w:rsidR="00831CD4">
        <w:rPr>
          <w:lang w:eastAsia="ja-JP"/>
        </w:rPr>
        <w:t>boot top</w:t>
      </w:r>
      <w:r w:rsidR="00C1549F">
        <w:rPr>
          <w:lang w:eastAsia="ja-JP"/>
        </w:rPr>
        <w:t>.</w:t>
      </w:r>
      <w:r w:rsidR="008D3026">
        <w:rPr>
          <w:lang w:eastAsia="ja-JP"/>
        </w:rPr>
        <w:t xml:space="preserve"> </w:t>
      </w:r>
      <w:r w:rsidR="008D421C">
        <w:rPr>
          <w:lang w:eastAsia="ja-JP"/>
        </w:rPr>
        <w:t>Hull grooming is considered to equate to light cleaning and to not pose an unacceptable contamination risk.</w:t>
      </w:r>
    </w:p>
    <w:p w14:paraId="4A695D5B" w14:textId="77777777" w:rsidR="00827747" w:rsidRDefault="00F56B54" w:rsidP="00E25259">
      <w:pPr>
        <w:rPr>
          <w:lang w:eastAsia="ja-JP"/>
        </w:rPr>
      </w:pPr>
      <w:r>
        <w:rPr>
          <w:lang w:eastAsia="ja-JP"/>
        </w:rPr>
        <w:t xml:space="preserve">The chemical contamination risks associated with cleaning biocidal coatings can be further minimised by treating </w:t>
      </w:r>
      <w:r w:rsidR="00C41066">
        <w:rPr>
          <w:lang w:eastAsia="ja-JP"/>
        </w:rPr>
        <w:t xml:space="preserve">water entrained in the waste capture and containment </w:t>
      </w:r>
      <w:r w:rsidR="00E25259">
        <w:rPr>
          <w:lang w:eastAsia="ja-JP"/>
        </w:rPr>
        <w:t xml:space="preserve">system </w:t>
      </w:r>
      <w:r>
        <w:rPr>
          <w:lang w:eastAsia="ja-JP"/>
        </w:rPr>
        <w:t>before</w:t>
      </w:r>
      <w:r w:rsidR="00C41066">
        <w:rPr>
          <w:lang w:eastAsia="ja-JP"/>
        </w:rPr>
        <w:t xml:space="preserve"> discharge. This can reduce the quantity </w:t>
      </w:r>
      <w:r w:rsidR="00E25259">
        <w:rPr>
          <w:lang w:eastAsia="ja-JP"/>
        </w:rPr>
        <w:t xml:space="preserve">and concentration </w:t>
      </w:r>
      <w:r w:rsidR="00C41066">
        <w:rPr>
          <w:lang w:eastAsia="ja-JP"/>
        </w:rPr>
        <w:t>of the biocide in the discharge to acceptable levels</w:t>
      </w:r>
      <w:r w:rsidR="008D3026">
        <w:rPr>
          <w:lang w:eastAsia="ja-JP"/>
        </w:rPr>
        <w:t xml:space="preserve"> (</w:t>
      </w:r>
      <w:r w:rsidR="00747467">
        <w:rPr>
          <w:lang w:eastAsia="ja-JP"/>
        </w:rPr>
        <w:t>Appendix B</w:t>
      </w:r>
      <w:r w:rsidR="008D3026">
        <w:rPr>
          <w:lang w:eastAsia="ja-JP"/>
        </w:rPr>
        <w:t>)</w:t>
      </w:r>
      <w:r w:rsidR="00C41066">
        <w:rPr>
          <w:lang w:eastAsia="ja-JP"/>
        </w:rPr>
        <w:t>.</w:t>
      </w:r>
    </w:p>
    <w:p w14:paraId="472F3F61" w14:textId="77777777" w:rsidR="00827747" w:rsidRDefault="00F56B54" w:rsidP="00120000">
      <w:pPr>
        <w:rPr>
          <w:lang w:eastAsia="ja-JP"/>
        </w:rPr>
      </w:pPr>
      <w:r>
        <w:rPr>
          <w:lang w:eastAsia="ja-JP"/>
        </w:rPr>
        <w:t>A pre-requisite to in-water cleaning needs to be the ship holding a valid AFS Certificate</w:t>
      </w:r>
      <w:r w:rsidR="00075106">
        <w:rPr>
          <w:lang w:eastAsia="ja-JP"/>
        </w:rPr>
        <w:t xml:space="preserve"> to verify that the coating is compliant with the </w:t>
      </w:r>
      <w:r w:rsidR="008D3026">
        <w:rPr>
          <w:lang w:eastAsia="ja-JP"/>
        </w:rPr>
        <w:t>AFS C</w:t>
      </w:r>
      <w:r w:rsidR="00075106">
        <w:rPr>
          <w:lang w:eastAsia="ja-JP"/>
        </w:rPr>
        <w:t>onvention</w:t>
      </w:r>
      <w:r w:rsidR="008D3026">
        <w:rPr>
          <w:lang w:eastAsia="ja-JP"/>
        </w:rPr>
        <w:t xml:space="preserve"> (</w:t>
      </w:r>
      <w:r w:rsidR="00AC7C3B">
        <w:rPr>
          <w:lang w:eastAsia="ja-JP"/>
        </w:rPr>
        <w:t>IMO 2005</w:t>
      </w:r>
      <w:r w:rsidR="008D3026">
        <w:rPr>
          <w:lang w:eastAsia="ja-JP"/>
        </w:rPr>
        <w:t>)</w:t>
      </w:r>
      <w:r>
        <w:rPr>
          <w:lang w:eastAsia="ja-JP"/>
        </w:rPr>
        <w:t>. As it is now 17 years since the application of organotin antifouling paints was banned, and at least 12 years since sealing of old organotin coatings was permit</w:t>
      </w:r>
      <w:r w:rsidR="00075106">
        <w:rPr>
          <w:lang w:eastAsia="ja-JP"/>
        </w:rPr>
        <w:t>t</w:t>
      </w:r>
      <w:r>
        <w:rPr>
          <w:lang w:eastAsia="ja-JP"/>
        </w:rPr>
        <w:t>e</w:t>
      </w:r>
      <w:r w:rsidR="00075106">
        <w:rPr>
          <w:lang w:eastAsia="ja-JP"/>
        </w:rPr>
        <w:t>d, the presence of organotin coatings is highly unlikely</w:t>
      </w:r>
      <w:r w:rsidR="00554044">
        <w:rPr>
          <w:lang w:eastAsia="ja-JP"/>
        </w:rPr>
        <w:t xml:space="preserve"> though possible, particularly in parts of the world where organotin coatings are still available</w:t>
      </w:r>
      <w:r w:rsidR="00075106">
        <w:rPr>
          <w:lang w:eastAsia="ja-JP"/>
        </w:rPr>
        <w:t xml:space="preserve">. </w:t>
      </w:r>
      <w:r w:rsidR="00774C45" w:rsidRPr="00774C45">
        <w:rPr>
          <w:lang w:eastAsia="ja-JP"/>
        </w:rPr>
        <w:t xml:space="preserve">For example, one US paint company continues to advertise tributyltin-containing antifouling paints as “Export – (Non-US)” (Sea Hawk 2020). </w:t>
      </w:r>
      <w:r w:rsidR="00075106">
        <w:rPr>
          <w:lang w:eastAsia="ja-JP"/>
        </w:rPr>
        <w:t xml:space="preserve">However, if a ship was built before 2003, the Record of AFS required by the </w:t>
      </w:r>
      <w:r w:rsidR="008D3026">
        <w:rPr>
          <w:lang w:eastAsia="ja-JP"/>
        </w:rPr>
        <w:t>C</w:t>
      </w:r>
      <w:r w:rsidR="00075106">
        <w:rPr>
          <w:lang w:eastAsia="ja-JP"/>
        </w:rPr>
        <w:t xml:space="preserve">onvention should be inspected to ensure that organotin coatings are not retained beneath a barrier coat. Most vessels of this age are likely to have had the hull fully blasted and a completely new </w:t>
      </w:r>
      <w:r w:rsidR="005553F3">
        <w:rPr>
          <w:lang w:eastAsia="ja-JP"/>
        </w:rPr>
        <w:t xml:space="preserve">underwater hull </w:t>
      </w:r>
      <w:r w:rsidR="00075106">
        <w:rPr>
          <w:lang w:eastAsia="ja-JP"/>
        </w:rPr>
        <w:t>coating system applied during the past 12 years.</w:t>
      </w:r>
    </w:p>
    <w:p w14:paraId="7A9F457A" w14:textId="77777777" w:rsidR="00C1549F" w:rsidRPr="00862962" w:rsidRDefault="00F56B54" w:rsidP="00862962">
      <w:pPr>
        <w:pStyle w:val="Heading5"/>
      </w:pPr>
      <w:r w:rsidRPr="00862962">
        <w:t>Non-biocidal</w:t>
      </w:r>
    </w:p>
    <w:p w14:paraId="4B393FF9" w14:textId="77777777" w:rsidR="00C1549F" w:rsidRDefault="00F56B54" w:rsidP="00120000">
      <w:pPr>
        <w:rPr>
          <w:lang w:eastAsia="ja-JP"/>
        </w:rPr>
      </w:pPr>
      <w:r>
        <w:rPr>
          <w:lang w:eastAsia="ja-JP"/>
        </w:rPr>
        <w:t xml:space="preserve">Although free of biocides, in-water cleaning has the potential to damage silicone </w:t>
      </w:r>
      <w:r w:rsidR="00120000">
        <w:rPr>
          <w:lang w:eastAsia="ja-JP"/>
        </w:rPr>
        <w:t>FR</w:t>
      </w:r>
      <w:r>
        <w:rPr>
          <w:lang w:eastAsia="ja-JP"/>
        </w:rPr>
        <w:t xml:space="preserve"> coatings due to their susceptibility to abrasion damage. </w:t>
      </w:r>
      <w:r w:rsidR="00C41066">
        <w:rPr>
          <w:lang w:eastAsia="ja-JP"/>
        </w:rPr>
        <w:t xml:space="preserve">The coatings should only be cleaned by non-contact or contact methods approved by the coating manufacturer. Water-jetting </w:t>
      </w:r>
      <w:r w:rsidR="008D3026">
        <w:rPr>
          <w:lang w:eastAsia="ja-JP"/>
        </w:rPr>
        <w:t xml:space="preserve">applied at the appropriate pressure by skilled operators </w:t>
      </w:r>
      <w:r w:rsidR="00C41066">
        <w:rPr>
          <w:lang w:eastAsia="ja-JP"/>
        </w:rPr>
        <w:t>should not damage these coatings.</w:t>
      </w:r>
    </w:p>
    <w:p w14:paraId="6E580799" w14:textId="77777777" w:rsidR="00C41066" w:rsidRPr="00495102" w:rsidRDefault="00F56B54" w:rsidP="00120000">
      <w:pPr>
        <w:rPr>
          <w:lang w:eastAsia="ja-JP"/>
        </w:rPr>
      </w:pPr>
      <w:r>
        <w:rPr>
          <w:lang w:eastAsia="ja-JP"/>
        </w:rPr>
        <w:lastRenderedPageBreak/>
        <w:t>Mechanically resistant coatings are not considered to pose any chemical contamination risk from in-water cleaning, irrespective of method.</w:t>
      </w:r>
    </w:p>
    <w:p w14:paraId="4228781C" w14:textId="77777777" w:rsidR="00D74B1C" w:rsidRDefault="00F56B54" w:rsidP="00D74B1C">
      <w:pPr>
        <w:pStyle w:val="Heading4"/>
        <w:rPr>
          <w:lang w:eastAsia="ja-JP"/>
        </w:rPr>
      </w:pPr>
      <w:r>
        <w:rPr>
          <w:lang w:eastAsia="ja-JP"/>
        </w:rPr>
        <w:t xml:space="preserve">Biocide </w:t>
      </w:r>
      <w:r w:rsidR="0031761D">
        <w:rPr>
          <w:lang w:eastAsia="ja-JP"/>
        </w:rPr>
        <w:t>t</w:t>
      </w:r>
      <w:r>
        <w:rPr>
          <w:lang w:eastAsia="ja-JP"/>
        </w:rPr>
        <w:t>ype</w:t>
      </w:r>
    </w:p>
    <w:p w14:paraId="2594AA02" w14:textId="77777777" w:rsidR="004B5E8D" w:rsidRDefault="00F56B54" w:rsidP="00C41066">
      <w:pPr>
        <w:rPr>
          <w:lang w:eastAsia="ja-JP"/>
        </w:rPr>
      </w:pPr>
      <w:r>
        <w:rPr>
          <w:lang w:eastAsia="ja-JP"/>
        </w:rPr>
        <w:t xml:space="preserve">Cuprous oxide continues as the most effective and </w:t>
      </w:r>
      <w:proofErr w:type="gramStart"/>
      <w:r>
        <w:rPr>
          <w:lang w:eastAsia="ja-JP"/>
        </w:rPr>
        <w:t>most commonly used</w:t>
      </w:r>
      <w:proofErr w:type="gramEnd"/>
      <w:r>
        <w:rPr>
          <w:lang w:eastAsia="ja-JP"/>
        </w:rPr>
        <w:t xml:space="preserve"> antifouling biocide and environmental effects are ameliorated by the reduction in bioavailability and toxicity almost immediately after release</w:t>
      </w:r>
      <w:r w:rsidR="00913AAC">
        <w:rPr>
          <w:lang w:eastAsia="ja-JP"/>
        </w:rPr>
        <w:t xml:space="preserve"> (</w:t>
      </w:r>
      <w:r w:rsidR="00AC7C3B">
        <w:rPr>
          <w:lang w:eastAsia="ja-JP"/>
        </w:rPr>
        <w:t>Brooks &amp; Waldock 2009</w:t>
      </w:r>
      <w:r w:rsidR="00913AAC">
        <w:rPr>
          <w:lang w:eastAsia="ja-JP"/>
        </w:rPr>
        <w:t>)</w:t>
      </w:r>
      <w:r>
        <w:rPr>
          <w:lang w:eastAsia="ja-JP"/>
        </w:rPr>
        <w:t>. Copper is, however, a contaminant of concern and subject to environmental regulation</w:t>
      </w:r>
      <w:r w:rsidR="00913AAC">
        <w:rPr>
          <w:lang w:eastAsia="ja-JP"/>
        </w:rPr>
        <w:t xml:space="preserve"> (</w:t>
      </w:r>
      <w:r w:rsidR="00AC7C3B">
        <w:rPr>
          <w:lang w:eastAsia="ja-JP"/>
        </w:rPr>
        <w:t>e.g. ANZECC/ARMCANZ 2000</w:t>
      </w:r>
      <w:r w:rsidR="00913AAC">
        <w:rPr>
          <w:lang w:eastAsia="ja-JP"/>
        </w:rPr>
        <w:t>)</w:t>
      </w:r>
      <w:r>
        <w:rPr>
          <w:lang w:eastAsia="ja-JP"/>
        </w:rPr>
        <w:t xml:space="preserve">. Management of copper releases to meet environmental </w:t>
      </w:r>
      <w:r w:rsidR="00B97ED1">
        <w:rPr>
          <w:lang w:eastAsia="ja-JP"/>
        </w:rPr>
        <w:t xml:space="preserve">regulations </w:t>
      </w:r>
      <w:r>
        <w:rPr>
          <w:lang w:eastAsia="ja-JP"/>
        </w:rPr>
        <w:t xml:space="preserve">can be achieved by controls on the type of cleaning </w:t>
      </w:r>
      <w:r w:rsidR="00913AAC">
        <w:rPr>
          <w:lang w:eastAsia="ja-JP"/>
        </w:rPr>
        <w:t xml:space="preserve">undertaken </w:t>
      </w:r>
      <w:r>
        <w:rPr>
          <w:lang w:eastAsia="ja-JP"/>
        </w:rPr>
        <w:t>and/or the use of treatment systems.</w:t>
      </w:r>
    </w:p>
    <w:p w14:paraId="534ACE6A" w14:textId="77777777" w:rsidR="00C41066" w:rsidRDefault="00F56B54" w:rsidP="00C41066">
      <w:pPr>
        <w:rPr>
          <w:lang w:eastAsia="ja-JP"/>
        </w:rPr>
      </w:pPr>
      <w:r>
        <w:rPr>
          <w:lang w:eastAsia="ja-JP"/>
        </w:rPr>
        <w:t xml:space="preserve">The newer generation of antifouling booster biocides (e.g. DCOIT, zinc pyrithione, copper pyrithione) </w:t>
      </w:r>
      <w:r w:rsidR="004B5E8D">
        <w:rPr>
          <w:lang w:eastAsia="ja-JP"/>
        </w:rPr>
        <w:t>have passed stringent regulatory reviews prior to approval, which included assessment of toxicology, degradation, and environmental fate</w:t>
      </w:r>
      <w:r w:rsidR="00913AAC">
        <w:rPr>
          <w:lang w:eastAsia="ja-JP"/>
        </w:rPr>
        <w:t xml:space="preserve"> (e.g., </w:t>
      </w:r>
      <w:r w:rsidR="00FF0246">
        <w:rPr>
          <w:lang w:eastAsia="ja-JP"/>
        </w:rPr>
        <w:t>NRA 20</w:t>
      </w:r>
      <w:r w:rsidR="00AC7C3B">
        <w:rPr>
          <w:lang w:eastAsia="ja-JP"/>
        </w:rPr>
        <w:t xml:space="preserve">01, </w:t>
      </w:r>
      <w:r w:rsidR="00FF0246">
        <w:rPr>
          <w:lang w:eastAsia="ja-JP"/>
        </w:rPr>
        <w:t xml:space="preserve">APVMA </w:t>
      </w:r>
      <w:r w:rsidR="00AC7C3B">
        <w:rPr>
          <w:lang w:eastAsia="ja-JP"/>
        </w:rPr>
        <w:t>20</w:t>
      </w:r>
      <w:r w:rsidR="00FF0246">
        <w:rPr>
          <w:lang w:eastAsia="ja-JP"/>
        </w:rPr>
        <w:t>05</w:t>
      </w:r>
      <w:r w:rsidR="00913AAC">
        <w:rPr>
          <w:lang w:eastAsia="ja-JP"/>
        </w:rPr>
        <w:t>)</w:t>
      </w:r>
      <w:r w:rsidR="004B5E8D">
        <w:rPr>
          <w:lang w:eastAsia="ja-JP"/>
        </w:rPr>
        <w:t>. The cleaning of coatings</w:t>
      </w:r>
      <w:r w:rsidR="00120000">
        <w:rPr>
          <w:lang w:eastAsia="ja-JP"/>
        </w:rPr>
        <w:t xml:space="preserve"> containing these biocides</w:t>
      </w:r>
      <w:r w:rsidR="004B5E8D">
        <w:rPr>
          <w:lang w:eastAsia="ja-JP"/>
        </w:rPr>
        <w:t xml:space="preserve"> is likely to be accept</w:t>
      </w:r>
      <w:r w:rsidR="00E57BF2">
        <w:rPr>
          <w:lang w:eastAsia="ja-JP"/>
        </w:rPr>
        <w:t>a</w:t>
      </w:r>
      <w:r w:rsidR="004B5E8D">
        <w:rPr>
          <w:lang w:eastAsia="ja-JP"/>
        </w:rPr>
        <w:t xml:space="preserve">ble with similar constraints to those for </w:t>
      </w:r>
      <w:r w:rsidR="00831CD4">
        <w:rPr>
          <w:lang w:eastAsia="ja-JP"/>
        </w:rPr>
        <w:t>copper-based</w:t>
      </w:r>
      <w:r w:rsidR="004B5E8D">
        <w:rPr>
          <w:lang w:eastAsia="ja-JP"/>
        </w:rPr>
        <w:t xml:space="preserve"> coatings. However, MAMPEC-BW modelling is needed to ensure this is the case.</w:t>
      </w:r>
    </w:p>
    <w:p w14:paraId="77DDA17B" w14:textId="77777777" w:rsidR="00344A7C" w:rsidRDefault="00F56B54" w:rsidP="00C41066">
      <w:pPr>
        <w:rPr>
          <w:lang w:eastAsia="ja-JP"/>
        </w:rPr>
      </w:pPr>
      <w:proofErr w:type="gramStart"/>
      <w:r>
        <w:rPr>
          <w:lang w:eastAsia="ja-JP"/>
        </w:rPr>
        <w:t>A number of</w:t>
      </w:r>
      <w:proofErr w:type="gramEnd"/>
      <w:r>
        <w:rPr>
          <w:lang w:eastAsia="ja-JP"/>
        </w:rPr>
        <w:t xml:space="preserve"> older biocides grandfathered into </w:t>
      </w:r>
      <w:r w:rsidR="00042738">
        <w:rPr>
          <w:lang w:eastAsia="ja-JP"/>
        </w:rPr>
        <w:t xml:space="preserve">the </w:t>
      </w:r>
      <w:r>
        <w:rPr>
          <w:lang w:eastAsia="ja-JP"/>
        </w:rPr>
        <w:t>Australian registration system, or used in coatings applied overseas, have been banned</w:t>
      </w:r>
      <w:r w:rsidR="00913AAC">
        <w:rPr>
          <w:lang w:eastAsia="ja-JP"/>
        </w:rPr>
        <w:t xml:space="preserve"> </w:t>
      </w:r>
      <w:r>
        <w:rPr>
          <w:lang w:eastAsia="ja-JP"/>
        </w:rPr>
        <w:t xml:space="preserve">or banning has been proposed by other countries because of environmental </w:t>
      </w:r>
      <w:r w:rsidR="00913AAC">
        <w:rPr>
          <w:lang w:eastAsia="ja-JP"/>
        </w:rPr>
        <w:t xml:space="preserve">or human health </w:t>
      </w:r>
      <w:r>
        <w:rPr>
          <w:lang w:eastAsia="ja-JP"/>
        </w:rPr>
        <w:t>concerns</w:t>
      </w:r>
      <w:r w:rsidR="00913AAC">
        <w:rPr>
          <w:lang w:eastAsia="ja-JP"/>
        </w:rPr>
        <w:t xml:space="preserve"> (</w:t>
      </w:r>
      <w:r w:rsidR="00AC7C3B">
        <w:rPr>
          <w:lang w:eastAsia="ja-JP"/>
        </w:rPr>
        <w:t>e.g., EPA 2013c</w:t>
      </w:r>
      <w:r w:rsidR="00913AAC">
        <w:rPr>
          <w:lang w:eastAsia="ja-JP"/>
        </w:rPr>
        <w:t>)</w:t>
      </w:r>
      <w:r>
        <w:rPr>
          <w:lang w:eastAsia="ja-JP"/>
        </w:rPr>
        <w:t xml:space="preserve">. These include diuron, cybutryne, ziram and chlorathonil. The release of these biocides into the environment during in-water cleaning conducted without waste capture and full containment could pose an unacceptable risk </w:t>
      </w:r>
      <w:r w:rsidR="006738FB">
        <w:rPr>
          <w:lang w:eastAsia="ja-JP"/>
        </w:rPr>
        <w:t>and would seem best avoided. Should there be a critical need to clean a coating containing these biocides, wastewater treatment and containment should be subject to detailed review and the disposal of the liquid waste at an approved waste facility possibly considered.</w:t>
      </w:r>
      <w:r w:rsidR="005553F3">
        <w:rPr>
          <w:lang w:eastAsia="ja-JP"/>
        </w:rPr>
        <w:t xml:space="preserve"> The review should consider</w:t>
      </w:r>
      <w:r w:rsidR="00D91708">
        <w:rPr>
          <w:lang w:eastAsia="ja-JP"/>
        </w:rPr>
        <w:t>, at least,</w:t>
      </w:r>
      <w:r w:rsidR="005553F3">
        <w:rPr>
          <w:lang w:eastAsia="ja-JP"/>
        </w:rPr>
        <w:t xml:space="preserve"> the demonstrated capacity of the treatment system to ensure any discharges are </w:t>
      </w:r>
      <w:r w:rsidR="00D91708">
        <w:rPr>
          <w:lang w:eastAsia="ja-JP"/>
        </w:rPr>
        <w:t xml:space="preserve">within </w:t>
      </w:r>
      <w:r w:rsidR="005553F3">
        <w:rPr>
          <w:lang w:eastAsia="ja-JP"/>
        </w:rPr>
        <w:t>an acceptable level</w:t>
      </w:r>
      <w:r w:rsidR="00D91708">
        <w:rPr>
          <w:lang w:eastAsia="ja-JP"/>
        </w:rPr>
        <w:t xml:space="preserve"> if there is one, and the condition of the paint system.</w:t>
      </w:r>
    </w:p>
    <w:p w14:paraId="0C88D7E2" w14:textId="77777777" w:rsidR="00D74B1C" w:rsidRDefault="00F56B54" w:rsidP="00D74B1C">
      <w:pPr>
        <w:pStyle w:val="Heading4"/>
        <w:rPr>
          <w:lang w:eastAsia="ja-JP"/>
        </w:rPr>
      </w:pPr>
      <w:r>
        <w:rPr>
          <w:lang w:eastAsia="ja-JP"/>
        </w:rPr>
        <w:t xml:space="preserve">Coating </w:t>
      </w:r>
      <w:r w:rsidR="0031761D">
        <w:rPr>
          <w:lang w:eastAsia="ja-JP"/>
        </w:rPr>
        <w:t>a</w:t>
      </w:r>
      <w:r>
        <w:rPr>
          <w:lang w:eastAsia="ja-JP"/>
        </w:rPr>
        <w:t>ge</w:t>
      </w:r>
    </w:p>
    <w:p w14:paraId="78CEB7AA" w14:textId="77777777" w:rsidR="00827747" w:rsidRDefault="00F56B54" w:rsidP="006738FB">
      <w:pPr>
        <w:rPr>
          <w:lang w:eastAsia="ja-JP"/>
        </w:rPr>
      </w:pPr>
      <w:r>
        <w:rPr>
          <w:lang w:eastAsia="ja-JP"/>
        </w:rPr>
        <w:t xml:space="preserve">When applied, the antifouling system is, or should be, specified for the planned service interval to the next dry-docking. Common service intervals are 24, 36, 60 and 90 months. The effective service life is achieved by the choice of antifouling coating and the thickness of coating </w:t>
      </w:r>
      <w:r w:rsidR="00831CD4">
        <w:rPr>
          <w:lang w:eastAsia="ja-JP"/>
        </w:rPr>
        <w:t>applied and</w:t>
      </w:r>
      <w:r w:rsidR="003D62C1">
        <w:rPr>
          <w:lang w:eastAsia="ja-JP"/>
        </w:rPr>
        <w:t xml:space="preserve"> presumes a specified level of operational activity.</w:t>
      </w:r>
      <w:r>
        <w:rPr>
          <w:lang w:eastAsia="ja-JP"/>
        </w:rPr>
        <w:t xml:space="preserve"> </w:t>
      </w:r>
      <w:r w:rsidR="003D62C1">
        <w:rPr>
          <w:lang w:eastAsia="ja-JP"/>
        </w:rPr>
        <w:t>The reliability of coatings in ensuring effective biofouling control through the required service interval varies with the type of coating (and often cost)</w:t>
      </w:r>
      <w:r w:rsidR="00913AAC">
        <w:rPr>
          <w:lang w:eastAsia="ja-JP"/>
        </w:rPr>
        <w:t xml:space="preserve"> (</w:t>
      </w:r>
      <w:r w:rsidR="00FC26F1">
        <w:rPr>
          <w:lang w:eastAsia="ja-JP"/>
        </w:rPr>
        <w:t>Thomason 2010</w:t>
      </w:r>
      <w:r w:rsidR="00913AAC">
        <w:rPr>
          <w:lang w:eastAsia="ja-JP"/>
        </w:rPr>
        <w:t>)</w:t>
      </w:r>
      <w:r w:rsidR="003D62C1">
        <w:rPr>
          <w:lang w:eastAsia="ja-JP"/>
        </w:rPr>
        <w:t>.</w:t>
      </w:r>
    </w:p>
    <w:p w14:paraId="2D68E84C" w14:textId="77777777" w:rsidR="008E03CE" w:rsidRDefault="00F56B54" w:rsidP="006738FB">
      <w:pPr>
        <w:rPr>
          <w:lang w:eastAsia="ja-JP"/>
        </w:rPr>
      </w:pPr>
      <w:r>
        <w:rPr>
          <w:lang w:eastAsia="ja-JP"/>
        </w:rPr>
        <w:t>The service life and reliability of insoluble matrix coatings are generally less than soluble matrix/ablative coatings which</w:t>
      </w:r>
      <w:r w:rsidR="00A11BF2">
        <w:rPr>
          <w:lang w:eastAsia="ja-JP"/>
        </w:rPr>
        <w:t>, in turn,</w:t>
      </w:r>
      <w:r>
        <w:rPr>
          <w:lang w:eastAsia="ja-JP"/>
        </w:rPr>
        <w:t xml:space="preserve"> are generally less than SPC coatings</w:t>
      </w:r>
      <w:r w:rsidR="00913AAC">
        <w:rPr>
          <w:lang w:eastAsia="ja-JP"/>
        </w:rPr>
        <w:t xml:space="preserve"> (</w:t>
      </w:r>
      <w:r w:rsidR="00FC26F1">
        <w:rPr>
          <w:lang w:eastAsia="ja-JP"/>
        </w:rPr>
        <w:t>Almeida et al. 2007, Lewis 2010</w:t>
      </w:r>
      <w:r w:rsidR="00913AAC">
        <w:rPr>
          <w:lang w:eastAsia="ja-JP"/>
        </w:rPr>
        <w:t>)</w:t>
      </w:r>
      <w:r>
        <w:rPr>
          <w:lang w:eastAsia="ja-JP"/>
        </w:rPr>
        <w:t xml:space="preserve">. If the antifouling is close to or has exceeded its specified service life, the presence of substantial macrofouling would be indicative of biocide depletion that warrants renewal of the system in dry-dock. </w:t>
      </w:r>
      <w:r w:rsidR="00A11BF2">
        <w:rPr>
          <w:lang w:eastAsia="ja-JP"/>
        </w:rPr>
        <w:t>I</w:t>
      </w:r>
      <w:r w:rsidR="00120000">
        <w:rPr>
          <w:lang w:eastAsia="ja-JP"/>
        </w:rPr>
        <w:t>WC</w:t>
      </w:r>
      <w:r w:rsidR="00A11BF2">
        <w:rPr>
          <w:lang w:eastAsia="ja-JP"/>
        </w:rPr>
        <w:t xml:space="preserve"> of a system near, at or over the specified service life should not </w:t>
      </w:r>
      <w:r w:rsidR="00831CD4">
        <w:rPr>
          <w:lang w:eastAsia="ja-JP"/>
        </w:rPr>
        <w:t>be</w:t>
      </w:r>
      <w:r w:rsidR="00A11BF2">
        <w:rPr>
          <w:lang w:eastAsia="ja-JP"/>
        </w:rPr>
        <w:t xml:space="preserve"> a means to postpone or delay a dry-docking, as the coating is likely to rapidly refoul</w:t>
      </w:r>
      <w:r w:rsidR="00913AAC">
        <w:rPr>
          <w:lang w:eastAsia="ja-JP"/>
        </w:rPr>
        <w:t xml:space="preserve"> (as per Guidelines)</w:t>
      </w:r>
      <w:r w:rsidR="00A11BF2">
        <w:rPr>
          <w:lang w:eastAsia="ja-JP"/>
        </w:rPr>
        <w:t>.</w:t>
      </w:r>
    </w:p>
    <w:p w14:paraId="2CA4890C" w14:textId="77777777" w:rsidR="00827747" w:rsidRDefault="00F56B54" w:rsidP="006738FB">
      <w:pPr>
        <w:rPr>
          <w:lang w:eastAsia="ja-JP"/>
        </w:rPr>
      </w:pPr>
      <w:r>
        <w:rPr>
          <w:lang w:eastAsia="ja-JP"/>
        </w:rPr>
        <w:t xml:space="preserve">If a ship has not operated as planned, for example by having an </w:t>
      </w:r>
      <w:r w:rsidR="00120000">
        <w:rPr>
          <w:lang w:eastAsia="ja-JP"/>
        </w:rPr>
        <w:t xml:space="preserve">unexpected, </w:t>
      </w:r>
      <w:r>
        <w:rPr>
          <w:lang w:eastAsia="ja-JP"/>
        </w:rPr>
        <w:t xml:space="preserve">extended lay-up, </w:t>
      </w:r>
      <w:r w:rsidR="00A11BF2">
        <w:rPr>
          <w:lang w:eastAsia="ja-JP"/>
        </w:rPr>
        <w:t xml:space="preserve">macrofouling may establish </w:t>
      </w:r>
      <w:proofErr w:type="gramStart"/>
      <w:r w:rsidR="00A11BF2">
        <w:rPr>
          <w:lang w:eastAsia="ja-JP"/>
        </w:rPr>
        <w:t>as a consequence of</w:t>
      </w:r>
      <w:proofErr w:type="gramEnd"/>
      <w:r w:rsidR="00A11BF2">
        <w:rPr>
          <w:lang w:eastAsia="ja-JP"/>
        </w:rPr>
        <w:t xml:space="preserve"> the ablation or polishing rate not enabling the </w:t>
      </w:r>
      <w:r w:rsidR="00A11BF2">
        <w:rPr>
          <w:lang w:eastAsia="ja-JP"/>
        </w:rPr>
        <w:lastRenderedPageBreak/>
        <w:t xml:space="preserve">critical biocide release rate. </w:t>
      </w:r>
      <w:r w:rsidR="00137FAA">
        <w:rPr>
          <w:lang w:eastAsia="ja-JP"/>
        </w:rPr>
        <w:t>Coatings can also fail due to the formation of insoluble compounds on the coating surface, for example</w:t>
      </w:r>
      <w:r w:rsidR="003D4029">
        <w:rPr>
          <w:lang w:eastAsia="ja-JP"/>
        </w:rPr>
        <w:t xml:space="preserve"> basic cupric carbonate (Ferry &amp; Ketchum 1952) or, </w:t>
      </w:r>
      <w:r w:rsidR="00137FAA">
        <w:rPr>
          <w:lang w:eastAsia="ja-JP"/>
        </w:rPr>
        <w:t xml:space="preserve">if the vessel has operated in highly </w:t>
      </w:r>
      <w:r w:rsidR="007A4771">
        <w:rPr>
          <w:lang w:eastAsia="ja-JP"/>
        </w:rPr>
        <w:t>sul</w:t>
      </w:r>
      <w:r w:rsidR="00913AAC">
        <w:rPr>
          <w:lang w:eastAsia="ja-JP"/>
        </w:rPr>
        <w:t>ph</w:t>
      </w:r>
      <w:r w:rsidR="00E57BF2">
        <w:rPr>
          <w:lang w:eastAsia="ja-JP"/>
        </w:rPr>
        <w:t>urous</w:t>
      </w:r>
      <w:r w:rsidR="00137FAA">
        <w:rPr>
          <w:lang w:eastAsia="ja-JP"/>
        </w:rPr>
        <w:t xml:space="preserve"> water</w:t>
      </w:r>
      <w:r w:rsidR="003D4029">
        <w:rPr>
          <w:lang w:eastAsia="ja-JP"/>
        </w:rPr>
        <w:t>, copper sulphide</w:t>
      </w:r>
      <w:r w:rsidR="00913AAC">
        <w:rPr>
          <w:lang w:eastAsia="ja-JP"/>
        </w:rPr>
        <w:t xml:space="preserve"> (</w:t>
      </w:r>
      <w:r w:rsidR="000203F1">
        <w:rPr>
          <w:lang w:eastAsia="ja-JP"/>
        </w:rPr>
        <w:t>Edyvean &amp; Silk 1988</w:t>
      </w:r>
      <w:r w:rsidR="00913AAC">
        <w:rPr>
          <w:lang w:eastAsia="ja-JP"/>
        </w:rPr>
        <w:t>)</w:t>
      </w:r>
      <w:r w:rsidR="00137FAA">
        <w:rPr>
          <w:lang w:eastAsia="ja-JP"/>
        </w:rPr>
        <w:t xml:space="preserve">. </w:t>
      </w:r>
      <w:r w:rsidR="00A11BF2">
        <w:rPr>
          <w:lang w:eastAsia="ja-JP"/>
        </w:rPr>
        <w:t xml:space="preserve">In these circumstances, </w:t>
      </w:r>
      <w:r w:rsidR="00913AAC">
        <w:rPr>
          <w:lang w:eastAsia="ja-JP"/>
        </w:rPr>
        <w:t xml:space="preserve">proactive </w:t>
      </w:r>
      <w:r w:rsidR="00120000">
        <w:rPr>
          <w:lang w:eastAsia="ja-JP"/>
        </w:rPr>
        <w:t>IWC</w:t>
      </w:r>
      <w:r w:rsidR="00A11BF2">
        <w:rPr>
          <w:lang w:eastAsia="ja-JP"/>
        </w:rPr>
        <w:t xml:space="preserve"> may rejuvenate and reactivate the coating through removal of the biof</w:t>
      </w:r>
      <w:r w:rsidR="00E57BF2">
        <w:rPr>
          <w:lang w:eastAsia="ja-JP"/>
        </w:rPr>
        <w:t>i</w:t>
      </w:r>
      <w:r w:rsidR="00A11BF2">
        <w:rPr>
          <w:lang w:eastAsia="ja-JP"/>
        </w:rPr>
        <w:t>lm, other surface deposits, and the leached layer.</w:t>
      </w:r>
    </w:p>
    <w:p w14:paraId="3F2A583E" w14:textId="77777777" w:rsidR="00D74B1C" w:rsidRDefault="00F56B54" w:rsidP="00D74B1C">
      <w:pPr>
        <w:pStyle w:val="Heading4"/>
        <w:rPr>
          <w:lang w:eastAsia="ja-JP"/>
        </w:rPr>
      </w:pPr>
      <w:r>
        <w:rPr>
          <w:lang w:eastAsia="ja-JP"/>
        </w:rPr>
        <w:t xml:space="preserve">Coating </w:t>
      </w:r>
      <w:r w:rsidR="0031761D">
        <w:rPr>
          <w:lang w:eastAsia="ja-JP"/>
        </w:rPr>
        <w:t>c</w:t>
      </w:r>
      <w:r>
        <w:rPr>
          <w:lang w:eastAsia="ja-JP"/>
        </w:rPr>
        <w:t>ondition</w:t>
      </w:r>
    </w:p>
    <w:p w14:paraId="568815EB" w14:textId="77777777" w:rsidR="00F315F5" w:rsidRDefault="00F56B54" w:rsidP="00F315F5">
      <w:pPr>
        <w:rPr>
          <w:lang w:eastAsia="ja-JP"/>
        </w:rPr>
      </w:pPr>
      <w:r>
        <w:rPr>
          <w:lang w:eastAsia="ja-JP"/>
        </w:rPr>
        <w:t xml:space="preserve">The condition of a coating can </w:t>
      </w:r>
      <w:proofErr w:type="gramStart"/>
      <w:r>
        <w:rPr>
          <w:lang w:eastAsia="ja-JP"/>
        </w:rPr>
        <w:t>deteriorate</w:t>
      </w:r>
      <w:proofErr w:type="gramEnd"/>
      <w:r>
        <w:rPr>
          <w:lang w:eastAsia="ja-JP"/>
        </w:rPr>
        <w:t xml:space="preserve"> within the planned service life as a consequence of poor surface preparation, poor paint application, environmental conditions at the time of application, incompatibility of coatings, defective product, or in-service damage. </w:t>
      </w:r>
      <w:r w:rsidR="00137FAA">
        <w:rPr>
          <w:lang w:eastAsia="ja-JP"/>
        </w:rPr>
        <w:t>The consequence can be delamination, lifting or blistering of the paint system that generates paint flakes. If the failure is at the hull plate/coating interface, cathodic protection systems and reactions can cause additional delamination radiating out from the initial point of failure</w:t>
      </w:r>
      <w:r w:rsidR="00885FAA">
        <w:rPr>
          <w:lang w:eastAsia="ja-JP"/>
        </w:rPr>
        <w:t xml:space="preserve"> (</w:t>
      </w:r>
      <w:r w:rsidR="003D4029">
        <w:rPr>
          <w:lang w:eastAsia="ja-JP"/>
        </w:rPr>
        <w:t>Fitzsimons 2011</w:t>
      </w:r>
      <w:r w:rsidR="00885FAA">
        <w:rPr>
          <w:lang w:eastAsia="ja-JP"/>
        </w:rPr>
        <w:t>)</w:t>
      </w:r>
      <w:r w:rsidR="00137FAA">
        <w:rPr>
          <w:lang w:eastAsia="ja-JP"/>
        </w:rPr>
        <w:t>. Should this damage be extensive, the ship would need to dry-dock for coating system repair.</w:t>
      </w:r>
    </w:p>
    <w:p w14:paraId="3DBDB894" w14:textId="77777777" w:rsidR="00827747" w:rsidRDefault="00F56B54" w:rsidP="00F315F5">
      <w:pPr>
        <w:rPr>
          <w:lang w:eastAsia="ja-JP"/>
        </w:rPr>
      </w:pPr>
      <w:r>
        <w:rPr>
          <w:lang w:eastAsia="ja-JP"/>
        </w:rPr>
        <w:t xml:space="preserve">Fortunately, major failures of the full </w:t>
      </w:r>
      <w:r w:rsidR="00D91708">
        <w:rPr>
          <w:lang w:eastAsia="ja-JP"/>
        </w:rPr>
        <w:t xml:space="preserve">underwater </w:t>
      </w:r>
      <w:r>
        <w:rPr>
          <w:lang w:eastAsia="ja-JP"/>
        </w:rPr>
        <w:t xml:space="preserve">coating systems are less common </w:t>
      </w:r>
      <w:r w:rsidR="001736F7">
        <w:rPr>
          <w:lang w:eastAsia="ja-JP"/>
        </w:rPr>
        <w:t>now than in th</w:t>
      </w:r>
      <w:r w:rsidR="002B624F">
        <w:rPr>
          <w:lang w:eastAsia="ja-JP"/>
        </w:rPr>
        <w:t>e</w:t>
      </w:r>
      <w:r w:rsidR="001736F7">
        <w:rPr>
          <w:lang w:eastAsia="ja-JP"/>
        </w:rPr>
        <w:t xml:space="preserve"> past, due to the </w:t>
      </w:r>
      <w:r w:rsidR="001967C4">
        <w:rPr>
          <w:lang w:eastAsia="ja-JP"/>
        </w:rPr>
        <w:t>high-performance</w:t>
      </w:r>
      <w:r w:rsidR="001736F7">
        <w:rPr>
          <w:lang w:eastAsia="ja-JP"/>
        </w:rPr>
        <w:t xml:space="preserve"> anticorrosive coatings in use. Inter-coat failures under or between antifouling coatings can still occur </w:t>
      </w:r>
      <w:r w:rsidR="00831CD4">
        <w:rPr>
          <w:lang w:eastAsia="ja-JP"/>
        </w:rPr>
        <w:t>because of</w:t>
      </w:r>
      <w:r w:rsidR="001736F7">
        <w:rPr>
          <w:lang w:eastAsia="ja-JP"/>
        </w:rPr>
        <w:t xml:space="preserve"> surface contamination at the time of application</w:t>
      </w:r>
      <w:r w:rsidR="00885FAA">
        <w:rPr>
          <w:lang w:eastAsia="ja-JP"/>
        </w:rPr>
        <w:t xml:space="preserve"> (</w:t>
      </w:r>
      <w:r w:rsidR="00511EA4">
        <w:rPr>
          <w:lang w:eastAsia="ja-JP"/>
        </w:rPr>
        <w:t>Fitzsimons 2011)</w:t>
      </w:r>
      <w:r w:rsidR="001736F7">
        <w:rPr>
          <w:lang w:eastAsia="ja-JP"/>
        </w:rPr>
        <w:t>.</w:t>
      </w:r>
    </w:p>
    <w:p w14:paraId="325EE84C" w14:textId="77777777" w:rsidR="001736F7" w:rsidRDefault="00F56B54" w:rsidP="00F315F5">
      <w:pPr>
        <w:rPr>
          <w:lang w:eastAsia="ja-JP"/>
        </w:rPr>
      </w:pPr>
      <w:r>
        <w:rPr>
          <w:lang w:eastAsia="ja-JP"/>
        </w:rPr>
        <w:t>In any IWC operation, the generation and release to the environment of paint flakes should be avoided. If flaking is extensive, or potentially extensive during the clean, then consideration should be given to either not proceeding with the clean, or to ensure capture and containment of dislodged flakes by mesh filtration.</w:t>
      </w:r>
    </w:p>
    <w:p w14:paraId="7E027FFA" w14:textId="77777777" w:rsidR="00D74B1C" w:rsidRDefault="00F56B54" w:rsidP="00D74B1C">
      <w:pPr>
        <w:pStyle w:val="Heading3"/>
        <w:rPr>
          <w:lang w:eastAsia="ja-JP"/>
        </w:rPr>
      </w:pPr>
      <w:bookmarkStart w:id="65" w:name="_Toc50117678"/>
      <w:r>
        <w:rPr>
          <w:lang w:eastAsia="ja-JP"/>
        </w:rPr>
        <w:t>Biofouling</w:t>
      </w:r>
      <w:bookmarkEnd w:id="65"/>
    </w:p>
    <w:p w14:paraId="40F487E4" w14:textId="77777777" w:rsidR="00D74B1C" w:rsidRDefault="00F56B54" w:rsidP="00D74B1C">
      <w:pPr>
        <w:pStyle w:val="Heading4"/>
        <w:rPr>
          <w:lang w:eastAsia="ja-JP"/>
        </w:rPr>
      </w:pPr>
      <w:r>
        <w:rPr>
          <w:lang w:eastAsia="ja-JP"/>
        </w:rPr>
        <w:t xml:space="preserve">Biofouling </w:t>
      </w:r>
      <w:r w:rsidR="0031761D">
        <w:rPr>
          <w:lang w:eastAsia="ja-JP"/>
        </w:rPr>
        <w:t>t</w:t>
      </w:r>
      <w:r>
        <w:rPr>
          <w:lang w:eastAsia="ja-JP"/>
        </w:rPr>
        <w:t>ype</w:t>
      </w:r>
    </w:p>
    <w:p w14:paraId="000E093A" w14:textId="77777777" w:rsidR="00FF6330" w:rsidRDefault="00F56B54" w:rsidP="001736F7">
      <w:pPr>
        <w:rPr>
          <w:lang w:eastAsia="ja-JP"/>
        </w:rPr>
      </w:pPr>
      <w:r>
        <w:rPr>
          <w:lang w:eastAsia="ja-JP"/>
        </w:rPr>
        <w:t>The presence of a biofilm on an antifouling coating is almost assured, although the composition, extent and thickness can vary with the type of antifouling, the biocide or biocides, age of the coating, and the location on the hull (e.g. highly lit vessel sides or flat bottom). Removal of biofilms by in-water hull grooming or cleaning is not considered to pose an unacceptable chemical contamination risk</w:t>
      </w:r>
      <w:r w:rsidR="00885FAA">
        <w:rPr>
          <w:lang w:eastAsia="ja-JP"/>
        </w:rPr>
        <w:t xml:space="preserve"> (</w:t>
      </w:r>
      <w:r w:rsidR="009E39B1">
        <w:rPr>
          <w:lang w:eastAsia="ja-JP"/>
        </w:rPr>
        <w:t>Morrisey et al. 2013</w:t>
      </w:r>
      <w:r w:rsidR="00885FAA">
        <w:rPr>
          <w:lang w:eastAsia="ja-JP"/>
        </w:rPr>
        <w:t>)</w:t>
      </w:r>
      <w:r>
        <w:rPr>
          <w:lang w:eastAsia="ja-JP"/>
        </w:rPr>
        <w:t>.</w:t>
      </w:r>
    </w:p>
    <w:p w14:paraId="3584AFEA" w14:textId="2FF630FD" w:rsidR="001736F7" w:rsidRPr="00626300" w:rsidRDefault="00F56B54" w:rsidP="001736F7">
      <w:pPr>
        <w:rPr>
          <w:lang w:eastAsia="ja-JP"/>
        </w:rPr>
      </w:pPr>
      <w:r>
        <w:rPr>
          <w:lang w:eastAsia="ja-JP"/>
        </w:rPr>
        <w:t xml:space="preserve">As discussed in </w:t>
      </w:r>
      <w:r w:rsidR="0093640D">
        <w:rPr>
          <w:lang w:eastAsia="ja-JP"/>
        </w:rPr>
        <w:t xml:space="preserve">Section </w:t>
      </w:r>
      <w:r w:rsidR="0093640D">
        <w:rPr>
          <w:lang w:eastAsia="ja-JP"/>
        </w:rPr>
        <w:fldChar w:fldCharType="begin"/>
      </w:r>
      <w:r w:rsidR="0093640D">
        <w:rPr>
          <w:lang w:eastAsia="ja-JP"/>
        </w:rPr>
        <w:instrText xml:space="preserve"> REF _Ref50122417 \r \h </w:instrText>
      </w:r>
      <w:r w:rsidR="0093640D">
        <w:rPr>
          <w:lang w:eastAsia="ja-JP"/>
        </w:rPr>
      </w:r>
      <w:r w:rsidR="0093640D">
        <w:rPr>
          <w:lang w:eastAsia="ja-JP"/>
        </w:rPr>
        <w:fldChar w:fldCharType="separate"/>
      </w:r>
      <w:r w:rsidR="001C040D">
        <w:rPr>
          <w:lang w:eastAsia="ja-JP"/>
        </w:rPr>
        <w:t>3.2</w:t>
      </w:r>
      <w:r w:rsidR="0093640D">
        <w:rPr>
          <w:lang w:eastAsia="ja-JP"/>
        </w:rPr>
        <w:fldChar w:fldCharType="end"/>
      </w:r>
      <w:r w:rsidR="0093640D">
        <w:rPr>
          <w:lang w:eastAsia="ja-JP"/>
        </w:rPr>
        <w:t xml:space="preserve"> </w:t>
      </w:r>
      <w:r>
        <w:rPr>
          <w:lang w:eastAsia="ja-JP"/>
        </w:rPr>
        <w:t>the presence of secondary</w:t>
      </w:r>
      <w:r w:rsidR="00FF6330">
        <w:rPr>
          <w:lang w:eastAsia="ja-JP"/>
        </w:rPr>
        <w:t xml:space="preserve"> biofouling is an indication that the biocide release has dropped below the critical level. The primary macroscopic colonisers are frequently </w:t>
      </w:r>
      <w:r w:rsidR="00246095">
        <w:rPr>
          <w:lang w:eastAsia="ja-JP"/>
        </w:rPr>
        <w:t xml:space="preserve">highly copper tolerant </w:t>
      </w:r>
      <w:r w:rsidR="00FF6330">
        <w:rPr>
          <w:lang w:eastAsia="ja-JP"/>
        </w:rPr>
        <w:t>species that have been selected and spread globally on ships since copper-based antifouling coatings were first applied</w:t>
      </w:r>
      <w:r w:rsidR="00885FAA">
        <w:rPr>
          <w:lang w:eastAsia="ja-JP"/>
        </w:rPr>
        <w:t xml:space="preserve"> (</w:t>
      </w:r>
      <w:r w:rsidR="009E39B1">
        <w:rPr>
          <w:lang w:eastAsia="ja-JP"/>
        </w:rPr>
        <w:t>Iron and Steel Institute 1944, Ayers &amp; Turner 1952, Wood &amp; Alle</w:t>
      </w:r>
      <w:r w:rsidR="00E33291">
        <w:rPr>
          <w:lang w:eastAsia="ja-JP"/>
        </w:rPr>
        <w:t>n 1958, Lewis 2002</w:t>
      </w:r>
      <w:r w:rsidR="00885FAA">
        <w:rPr>
          <w:lang w:eastAsia="ja-JP"/>
        </w:rPr>
        <w:t>)</w:t>
      </w:r>
      <w:r w:rsidR="00FF6330">
        <w:rPr>
          <w:lang w:eastAsia="ja-JP"/>
        </w:rPr>
        <w:t>. Foremost among these are the filamentous green algae (</w:t>
      </w:r>
      <w:r w:rsidR="00FF6330">
        <w:rPr>
          <w:i/>
          <w:iCs/>
          <w:lang w:eastAsia="ja-JP"/>
        </w:rPr>
        <w:t xml:space="preserve">Ulva </w:t>
      </w:r>
      <w:r w:rsidR="00FF6330">
        <w:rPr>
          <w:lang w:eastAsia="ja-JP"/>
        </w:rPr>
        <w:t xml:space="preserve">spp.) and the encrusting bryozoan </w:t>
      </w:r>
      <w:r w:rsidR="00FF6330">
        <w:rPr>
          <w:i/>
          <w:iCs/>
          <w:lang w:eastAsia="ja-JP"/>
        </w:rPr>
        <w:t>Watersipora</w:t>
      </w:r>
      <w:r w:rsidR="00FF6330">
        <w:rPr>
          <w:lang w:eastAsia="ja-JP"/>
        </w:rPr>
        <w:t>, followed by calcareous tubeworms (</w:t>
      </w:r>
      <w:r w:rsidR="00FF6330">
        <w:rPr>
          <w:i/>
          <w:iCs/>
          <w:lang w:eastAsia="ja-JP"/>
        </w:rPr>
        <w:t xml:space="preserve">Hydroides </w:t>
      </w:r>
      <w:r w:rsidR="00FF6330">
        <w:rPr>
          <w:lang w:eastAsia="ja-JP"/>
        </w:rPr>
        <w:t>spp.) and some acorn barnacles (</w:t>
      </w:r>
      <w:r w:rsidR="00626300">
        <w:rPr>
          <w:lang w:eastAsia="ja-JP"/>
        </w:rPr>
        <w:t xml:space="preserve">e.g. </w:t>
      </w:r>
      <w:r w:rsidR="00626300">
        <w:rPr>
          <w:i/>
          <w:iCs/>
          <w:lang w:eastAsia="ja-JP"/>
        </w:rPr>
        <w:t>Amphibalanus amphitrite</w:t>
      </w:r>
      <w:r w:rsidR="00626300">
        <w:rPr>
          <w:lang w:eastAsia="ja-JP"/>
        </w:rPr>
        <w:t>)</w:t>
      </w:r>
      <w:r w:rsidR="00885FAA">
        <w:rPr>
          <w:lang w:eastAsia="ja-JP"/>
        </w:rPr>
        <w:t xml:space="preserve"> (</w:t>
      </w:r>
      <w:r w:rsidR="00CF1C34">
        <w:rPr>
          <w:lang w:eastAsia="ja-JP"/>
        </w:rPr>
        <w:t xml:space="preserve">Wisely 1958, </w:t>
      </w:r>
      <w:r w:rsidR="009711A9">
        <w:rPr>
          <w:lang w:eastAsia="ja-JP"/>
        </w:rPr>
        <w:t xml:space="preserve">Callow 1990, </w:t>
      </w:r>
      <w:r w:rsidR="00CF1C34">
        <w:rPr>
          <w:lang w:eastAsia="ja-JP"/>
        </w:rPr>
        <w:t>Blossom et al. 2016)</w:t>
      </w:r>
      <w:r w:rsidR="00626300">
        <w:rPr>
          <w:lang w:eastAsia="ja-JP"/>
        </w:rPr>
        <w:t>. If these species are the only organisms present across a hull surface, and the hull is more than several months within its service life, then in-water cleaning may rejuvenate the coating and improve hull efficiency.</w:t>
      </w:r>
    </w:p>
    <w:p w14:paraId="3E5D868A" w14:textId="77777777" w:rsidR="00D74B1C" w:rsidRDefault="00F56B54" w:rsidP="00D74B1C">
      <w:pPr>
        <w:pStyle w:val="Heading4"/>
        <w:rPr>
          <w:lang w:eastAsia="ja-JP"/>
        </w:rPr>
      </w:pPr>
      <w:r>
        <w:rPr>
          <w:lang w:eastAsia="ja-JP"/>
        </w:rPr>
        <w:t xml:space="preserve">Biofouling </w:t>
      </w:r>
      <w:r w:rsidR="0031761D">
        <w:rPr>
          <w:lang w:eastAsia="ja-JP"/>
        </w:rPr>
        <w:t>l</w:t>
      </w:r>
      <w:r>
        <w:rPr>
          <w:lang w:eastAsia="ja-JP"/>
        </w:rPr>
        <w:t>evel</w:t>
      </w:r>
    </w:p>
    <w:p w14:paraId="24FF3E24" w14:textId="77164E62" w:rsidR="00827747" w:rsidRDefault="00F56B54" w:rsidP="00854CC8">
      <w:pPr>
        <w:rPr>
          <w:lang w:eastAsia="ja-JP"/>
        </w:rPr>
      </w:pPr>
      <w:r>
        <w:rPr>
          <w:lang w:eastAsia="ja-JP"/>
        </w:rPr>
        <w:t xml:space="preserve">Various systems to quantify the level and extent of biofouling </w:t>
      </w:r>
      <w:r w:rsidR="000624FF">
        <w:rPr>
          <w:lang w:eastAsia="ja-JP"/>
        </w:rPr>
        <w:t>over</w:t>
      </w:r>
      <w:r>
        <w:rPr>
          <w:lang w:eastAsia="ja-JP"/>
        </w:rPr>
        <w:t xml:space="preserve"> a hull have been developed</w:t>
      </w:r>
      <w:r w:rsidR="00644142">
        <w:rPr>
          <w:lang w:eastAsia="ja-JP"/>
        </w:rPr>
        <w:t xml:space="preserve"> (</w:t>
      </w:r>
      <w:r w:rsidR="007F7D00">
        <w:rPr>
          <w:lang w:eastAsia="ja-JP"/>
        </w:rPr>
        <w:fldChar w:fldCharType="begin"/>
      </w:r>
      <w:r w:rsidR="007F7D00">
        <w:rPr>
          <w:lang w:eastAsia="ja-JP"/>
        </w:rPr>
        <w:instrText xml:space="preserve"> REF _Ref50114472 \h </w:instrText>
      </w:r>
      <w:r w:rsidR="007F7D00">
        <w:rPr>
          <w:lang w:eastAsia="ja-JP"/>
        </w:rPr>
      </w:r>
      <w:r w:rsidR="007F7D00">
        <w:rPr>
          <w:lang w:eastAsia="ja-JP"/>
        </w:rPr>
        <w:fldChar w:fldCharType="separate"/>
      </w:r>
      <w:r w:rsidR="001C040D">
        <w:t xml:space="preserve">Table </w:t>
      </w:r>
      <w:r w:rsidR="001C040D">
        <w:rPr>
          <w:noProof/>
        </w:rPr>
        <w:t>5</w:t>
      </w:r>
      <w:r w:rsidR="007F7D00">
        <w:rPr>
          <w:lang w:eastAsia="ja-JP"/>
        </w:rPr>
        <w:fldChar w:fldCharType="end"/>
      </w:r>
      <w:r w:rsidR="000624FF">
        <w:rPr>
          <w:lang w:eastAsia="ja-JP"/>
        </w:rPr>
        <w:t xml:space="preserve">, </w:t>
      </w:r>
      <w:r w:rsidR="007F7D00">
        <w:rPr>
          <w:lang w:eastAsia="ja-JP"/>
        </w:rPr>
        <w:fldChar w:fldCharType="begin"/>
      </w:r>
      <w:r w:rsidR="007F7D00">
        <w:rPr>
          <w:lang w:eastAsia="ja-JP"/>
        </w:rPr>
        <w:instrText xml:space="preserve"> REF _Ref50114482 \h </w:instrText>
      </w:r>
      <w:r w:rsidR="007F7D00">
        <w:rPr>
          <w:lang w:eastAsia="ja-JP"/>
        </w:rPr>
      </w:r>
      <w:r w:rsidR="007F7D00">
        <w:rPr>
          <w:lang w:eastAsia="ja-JP"/>
        </w:rPr>
        <w:fldChar w:fldCharType="separate"/>
      </w:r>
      <w:r w:rsidR="001C040D">
        <w:t xml:space="preserve">Table </w:t>
      </w:r>
      <w:r w:rsidR="001C040D">
        <w:rPr>
          <w:noProof/>
        </w:rPr>
        <w:t>6</w:t>
      </w:r>
      <w:r w:rsidR="007F7D00">
        <w:rPr>
          <w:lang w:eastAsia="ja-JP"/>
        </w:rPr>
        <w:fldChar w:fldCharType="end"/>
      </w:r>
      <w:r w:rsidR="000624FF">
        <w:rPr>
          <w:lang w:eastAsia="ja-JP"/>
        </w:rPr>
        <w:t xml:space="preserve">). These do not consider the level of biofouling in niches, such as on dock block </w:t>
      </w:r>
      <w:r w:rsidR="000624FF">
        <w:rPr>
          <w:lang w:eastAsia="ja-JP"/>
        </w:rPr>
        <w:lastRenderedPageBreak/>
        <w:t>marks, around thrusters and propulsion units, inside sea chests etc., w</w:t>
      </w:r>
      <w:r w:rsidR="00246095">
        <w:rPr>
          <w:lang w:eastAsia="ja-JP"/>
        </w:rPr>
        <w:t>h</w:t>
      </w:r>
      <w:r w:rsidR="000624FF">
        <w:rPr>
          <w:lang w:eastAsia="ja-JP"/>
        </w:rPr>
        <w:t>ere localised aggregations of growth may establish.</w:t>
      </w:r>
    </w:p>
    <w:p w14:paraId="6EFFB508" w14:textId="77777777" w:rsidR="00AD3151" w:rsidRDefault="00F56B54" w:rsidP="00854CC8">
      <w:pPr>
        <w:rPr>
          <w:lang w:eastAsia="en-AU"/>
        </w:rPr>
      </w:pPr>
      <w:proofErr w:type="gramStart"/>
      <w:r>
        <w:rPr>
          <w:lang w:eastAsia="ja-JP"/>
        </w:rPr>
        <w:t>In regard to</w:t>
      </w:r>
      <w:proofErr w:type="gramEnd"/>
      <w:r>
        <w:rPr>
          <w:lang w:eastAsia="ja-JP"/>
        </w:rPr>
        <w:t xml:space="preserve"> in-water cleaning, the US Navy recommend</w:t>
      </w:r>
      <w:r w:rsidR="00F57649">
        <w:rPr>
          <w:lang w:eastAsia="ja-JP"/>
        </w:rPr>
        <w:t>ed</w:t>
      </w:r>
      <w:r>
        <w:rPr>
          <w:lang w:eastAsia="ja-JP"/>
        </w:rPr>
        <w:t xml:space="preserve"> that ships should be inspected regularly to determine if cleaning is necessary (NSSC 2006). Advice is given that </w:t>
      </w:r>
      <w:r w:rsidR="00854CC8">
        <w:rPr>
          <w:lang w:eastAsia="ja-JP"/>
        </w:rPr>
        <w:t>“</w:t>
      </w:r>
      <w:r w:rsidR="00854CC8">
        <w:rPr>
          <w:rFonts w:ascii="Times-Roman" w:eastAsia="Cambria" w:hAnsi="Times-Roman" w:cs="Times-Roman"/>
          <w:color w:val="231F20"/>
          <w:lang w:eastAsia="en-AU"/>
        </w:rPr>
        <w:t>d</w:t>
      </w:r>
      <w:r>
        <w:rPr>
          <w:rFonts w:ascii="Times-Roman" w:eastAsia="Cambria" w:hAnsi="Times-Roman" w:cs="Times-Roman"/>
          <w:color w:val="231F20"/>
          <w:lang w:eastAsia="en-AU"/>
        </w:rPr>
        <w:t>elaying full hull cleaning to the point where a significant amount of hard</w:t>
      </w:r>
      <w:r w:rsidR="00854CC8">
        <w:rPr>
          <w:rFonts w:ascii="Times-Roman" w:eastAsia="Cambria" w:hAnsi="Times-Roman" w:cs="Times-Roman"/>
          <w:color w:val="231F20"/>
          <w:lang w:eastAsia="en-AU"/>
        </w:rPr>
        <w:t xml:space="preserve"> </w:t>
      </w:r>
      <w:r>
        <w:rPr>
          <w:lang w:eastAsia="en-AU"/>
        </w:rPr>
        <w:t>fouling has formed (FR</w:t>
      </w:r>
      <w:r w:rsidR="00854CC8">
        <w:rPr>
          <w:lang w:eastAsia="en-AU"/>
        </w:rPr>
        <w:t>-</w:t>
      </w:r>
      <w:r>
        <w:rPr>
          <w:lang w:eastAsia="en-AU"/>
        </w:rPr>
        <w:t>50 and above for non-ablative anti-fouling paints; FR-40 for ablative and</w:t>
      </w:r>
      <w:r w:rsidR="00854CC8">
        <w:rPr>
          <w:lang w:eastAsia="en-AU"/>
        </w:rPr>
        <w:t xml:space="preserve"> </w:t>
      </w:r>
      <w:r>
        <w:rPr>
          <w:lang w:eastAsia="en-AU"/>
        </w:rPr>
        <w:t>self-polishing paints) can result in damage to the paint system</w:t>
      </w:r>
      <w:r w:rsidR="00854CC8">
        <w:rPr>
          <w:lang w:eastAsia="en-AU"/>
        </w:rPr>
        <w:t>”</w:t>
      </w:r>
      <w:r>
        <w:rPr>
          <w:lang w:eastAsia="en-AU"/>
        </w:rPr>
        <w:t>.</w:t>
      </w:r>
      <w:r w:rsidR="00854CC8">
        <w:rPr>
          <w:lang w:eastAsia="en-AU"/>
        </w:rPr>
        <w:t xml:space="preserve"> A corresponding LOF recommendation would be to not clean if the LOF is 4 or above.</w:t>
      </w:r>
      <w:r w:rsidR="00F57649">
        <w:rPr>
          <w:lang w:eastAsia="en-AU"/>
        </w:rPr>
        <w:t xml:space="preserve"> Removal of fouling at this rating would be considered as reactive, not proactive cleaning.</w:t>
      </w:r>
    </w:p>
    <w:p w14:paraId="62D0D875" w14:textId="0E79466D" w:rsidR="00D74B1C" w:rsidRDefault="00F56B54" w:rsidP="00644142">
      <w:pPr>
        <w:pStyle w:val="Caption"/>
        <w:rPr>
          <w:lang w:eastAsia="ja-JP"/>
        </w:rPr>
      </w:pPr>
      <w:bookmarkStart w:id="66" w:name="_Ref50114472"/>
      <w:bookmarkStart w:id="67" w:name="_Toc49868685"/>
      <w:r>
        <w:t xml:space="preserve">Table </w:t>
      </w:r>
      <w:r w:rsidR="00F031EE">
        <w:rPr>
          <w:noProof/>
        </w:rPr>
        <w:fldChar w:fldCharType="begin"/>
      </w:r>
      <w:r w:rsidR="00F031EE">
        <w:rPr>
          <w:noProof/>
        </w:rPr>
        <w:instrText xml:space="preserve"> SEQ Table \* ARABIC </w:instrText>
      </w:r>
      <w:r w:rsidR="00F031EE">
        <w:rPr>
          <w:noProof/>
        </w:rPr>
        <w:fldChar w:fldCharType="separate"/>
      </w:r>
      <w:r w:rsidR="001C040D">
        <w:rPr>
          <w:noProof/>
        </w:rPr>
        <w:t>5</w:t>
      </w:r>
      <w:r w:rsidR="00F031EE">
        <w:rPr>
          <w:noProof/>
        </w:rPr>
        <w:fldChar w:fldCharType="end"/>
      </w:r>
      <w:bookmarkEnd w:id="66"/>
      <w:r>
        <w:t xml:space="preserve"> </w:t>
      </w:r>
      <w:r w:rsidR="00AD3151">
        <w:rPr>
          <w:lang w:eastAsia="ja-JP"/>
        </w:rPr>
        <w:t xml:space="preserve">Level of </w:t>
      </w:r>
      <w:r w:rsidR="0031761D">
        <w:rPr>
          <w:lang w:eastAsia="ja-JP"/>
        </w:rPr>
        <w:t>F</w:t>
      </w:r>
      <w:r w:rsidR="00AD3151">
        <w:rPr>
          <w:lang w:eastAsia="ja-JP"/>
        </w:rPr>
        <w:t>ouling (LOF)</w:t>
      </w:r>
      <w:bookmarkEnd w:id="67"/>
      <w:r w:rsidR="00AD3151">
        <w:rPr>
          <w:lang w:eastAsia="ja-JP"/>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Level of Fouling Scale is an ordinal rank scale developed by Floerl et al (2005) which can be used to describe the type and amount of biofouling present on a vessel. The scale rates biofouling from Level of Fouling 1 to Level of Fouling 5. "/>
      </w:tblPr>
      <w:tblGrid>
        <w:gridCol w:w="4535"/>
        <w:gridCol w:w="4535"/>
      </w:tblGrid>
      <w:tr w:rsidR="004F6729" w14:paraId="2199191C" w14:textId="77777777" w:rsidTr="001F288E">
        <w:trPr>
          <w:cantSplit/>
          <w:tblHeader/>
        </w:trPr>
        <w:tc>
          <w:tcPr>
            <w:tcW w:w="2500" w:type="pct"/>
            <w:tcBorders>
              <w:top w:val="single" w:sz="4" w:space="0" w:color="auto"/>
              <w:bottom w:val="single" w:sz="4" w:space="0" w:color="auto"/>
            </w:tcBorders>
          </w:tcPr>
          <w:p w14:paraId="010CF7B8" w14:textId="77777777" w:rsidR="00644142" w:rsidRPr="00644142" w:rsidRDefault="00F56B54" w:rsidP="00644142">
            <w:pPr>
              <w:pStyle w:val="TableHeading"/>
              <w:rPr>
                <w:lang w:eastAsia="ja-JP"/>
              </w:rPr>
            </w:pPr>
            <w:r>
              <w:rPr>
                <w:lang w:eastAsia="ja-JP"/>
              </w:rPr>
              <w:t>Level of Fouling</w:t>
            </w:r>
          </w:p>
        </w:tc>
        <w:tc>
          <w:tcPr>
            <w:tcW w:w="2500" w:type="pct"/>
            <w:tcBorders>
              <w:top w:val="single" w:sz="4" w:space="0" w:color="auto"/>
              <w:bottom w:val="single" w:sz="4" w:space="0" w:color="auto"/>
            </w:tcBorders>
          </w:tcPr>
          <w:p w14:paraId="698800F1" w14:textId="77777777" w:rsidR="00644142" w:rsidRPr="00644142" w:rsidRDefault="00F56B54" w:rsidP="00644142">
            <w:pPr>
              <w:pStyle w:val="TableHeading"/>
              <w:rPr>
                <w:lang w:eastAsia="ja-JP"/>
              </w:rPr>
            </w:pPr>
            <w:r>
              <w:rPr>
                <w:lang w:eastAsia="ja-JP"/>
              </w:rPr>
              <w:t xml:space="preserve">Description </w:t>
            </w:r>
          </w:p>
        </w:tc>
      </w:tr>
      <w:tr w:rsidR="004F6729" w14:paraId="4B167512" w14:textId="77777777" w:rsidTr="00F008B9">
        <w:trPr>
          <w:tblHeader/>
        </w:trPr>
        <w:tc>
          <w:tcPr>
            <w:tcW w:w="2500" w:type="pct"/>
            <w:tcBorders>
              <w:top w:val="single" w:sz="4" w:space="0" w:color="auto"/>
            </w:tcBorders>
          </w:tcPr>
          <w:p w14:paraId="09651A45" w14:textId="77777777" w:rsidR="00644142" w:rsidRPr="00644142" w:rsidRDefault="00F56B54" w:rsidP="00644142">
            <w:pPr>
              <w:pStyle w:val="TableText"/>
              <w:rPr>
                <w:lang w:eastAsia="ja-JP"/>
              </w:rPr>
            </w:pPr>
            <w:r w:rsidRPr="00644142">
              <w:rPr>
                <w:lang w:eastAsia="ja-JP"/>
              </w:rPr>
              <w:t>LOF &lt; 2</w:t>
            </w:r>
          </w:p>
        </w:tc>
        <w:tc>
          <w:tcPr>
            <w:tcW w:w="2500" w:type="pct"/>
            <w:tcBorders>
              <w:top w:val="single" w:sz="4" w:space="0" w:color="auto"/>
            </w:tcBorders>
          </w:tcPr>
          <w:p w14:paraId="06AD8D68" w14:textId="77777777" w:rsidR="00644142" w:rsidRPr="00644142" w:rsidRDefault="00F56B54" w:rsidP="00644142">
            <w:pPr>
              <w:pStyle w:val="TableText"/>
              <w:rPr>
                <w:lang w:eastAsia="ja-JP"/>
              </w:rPr>
            </w:pPr>
            <w:r w:rsidRPr="00644142">
              <w:rPr>
                <w:lang w:eastAsia="ja-JP"/>
              </w:rPr>
              <w:t>clean hull or slime layer</w:t>
            </w:r>
          </w:p>
        </w:tc>
      </w:tr>
      <w:tr w:rsidR="004F6729" w14:paraId="13503335" w14:textId="77777777" w:rsidTr="00F008B9">
        <w:trPr>
          <w:tblHeader/>
        </w:trPr>
        <w:tc>
          <w:tcPr>
            <w:tcW w:w="2500" w:type="pct"/>
          </w:tcPr>
          <w:p w14:paraId="37960669" w14:textId="77777777" w:rsidR="00644142" w:rsidRPr="00644142" w:rsidRDefault="00F56B54" w:rsidP="00644142">
            <w:pPr>
              <w:pStyle w:val="TableText"/>
              <w:rPr>
                <w:lang w:eastAsia="ja-JP"/>
              </w:rPr>
            </w:pPr>
            <w:r w:rsidRPr="00644142">
              <w:rPr>
                <w:lang w:eastAsia="ja-JP"/>
              </w:rPr>
              <w:t xml:space="preserve">LOF 2 </w:t>
            </w:r>
          </w:p>
        </w:tc>
        <w:tc>
          <w:tcPr>
            <w:tcW w:w="2500" w:type="pct"/>
          </w:tcPr>
          <w:p w14:paraId="1180BFF1" w14:textId="77777777" w:rsidR="00644142" w:rsidRPr="00644142" w:rsidRDefault="00F56B54" w:rsidP="00644142">
            <w:pPr>
              <w:pStyle w:val="TableText"/>
              <w:rPr>
                <w:lang w:eastAsia="ja-JP"/>
              </w:rPr>
            </w:pPr>
            <w:r w:rsidRPr="00644142">
              <w:rPr>
                <w:lang w:eastAsia="ja-JP"/>
              </w:rPr>
              <w:t>1-5% cover of macrofouling</w:t>
            </w:r>
          </w:p>
        </w:tc>
      </w:tr>
      <w:tr w:rsidR="004F6729" w14:paraId="70E14581" w14:textId="77777777" w:rsidTr="00F008B9">
        <w:trPr>
          <w:tblHeader/>
        </w:trPr>
        <w:tc>
          <w:tcPr>
            <w:tcW w:w="2500" w:type="pct"/>
          </w:tcPr>
          <w:p w14:paraId="06C923A4" w14:textId="77777777" w:rsidR="00644142" w:rsidRPr="00644142" w:rsidRDefault="00F56B54" w:rsidP="00644142">
            <w:pPr>
              <w:pStyle w:val="TableText"/>
              <w:rPr>
                <w:lang w:eastAsia="ja-JP"/>
              </w:rPr>
            </w:pPr>
            <w:r w:rsidRPr="00644142">
              <w:rPr>
                <w:lang w:eastAsia="ja-JP"/>
              </w:rPr>
              <w:t>LOF 3</w:t>
            </w:r>
          </w:p>
        </w:tc>
        <w:tc>
          <w:tcPr>
            <w:tcW w:w="2500" w:type="pct"/>
          </w:tcPr>
          <w:p w14:paraId="6D690492" w14:textId="77777777" w:rsidR="00644142" w:rsidRPr="00644142" w:rsidRDefault="00F56B54" w:rsidP="00644142">
            <w:pPr>
              <w:pStyle w:val="TableText"/>
              <w:rPr>
                <w:lang w:eastAsia="ja-JP"/>
              </w:rPr>
            </w:pPr>
            <w:r w:rsidRPr="00644142">
              <w:rPr>
                <w:lang w:eastAsia="ja-JP"/>
              </w:rPr>
              <w:t>6-15% cover of macrofouling, patchy with only one or several taxa</w:t>
            </w:r>
          </w:p>
        </w:tc>
      </w:tr>
      <w:tr w:rsidR="004F6729" w14:paraId="78F5D4FD" w14:textId="77777777" w:rsidTr="00F008B9">
        <w:trPr>
          <w:tblHeader/>
        </w:trPr>
        <w:tc>
          <w:tcPr>
            <w:tcW w:w="2500" w:type="pct"/>
          </w:tcPr>
          <w:p w14:paraId="0D34586F" w14:textId="77777777" w:rsidR="00644142" w:rsidRPr="00644142" w:rsidRDefault="00F56B54" w:rsidP="00644142">
            <w:pPr>
              <w:pStyle w:val="TableText"/>
              <w:rPr>
                <w:lang w:eastAsia="ja-JP"/>
              </w:rPr>
            </w:pPr>
            <w:r w:rsidRPr="00644142">
              <w:rPr>
                <w:lang w:eastAsia="ja-JP"/>
              </w:rPr>
              <w:t>LOF 4</w:t>
            </w:r>
          </w:p>
        </w:tc>
        <w:tc>
          <w:tcPr>
            <w:tcW w:w="2500" w:type="pct"/>
          </w:tcPr>
          <w:p w14:paraId="2C314376" w14:textId="77777777" w:rsidR="00644142" w:rsidRPr="00644142" w:rsidRDefault="00F56B54" w:rsidP="00644142">
            <w:pPr>
              <w:pStyle w:val="TableText"/>
              <w:rPr>
                <w:lang w:eastAsia="ja-JP"/>
              </w:rPr>
            </w:pPr>
            <w:r w:rsidRPr="00644142">
              <w:rPr>
                <w:lang w:eastAsia="ja-JP"/>
              </w:rPr>
              <w:t>16-40%, extensive fouling, with abundant assemblages of multiple taxa</w:t>
            </w:r>
          </w:p>
        </w:tc>
      </w:tr>
      <w:tr w:rsidR="004F6729" w14:paraId="50511502" w14:textId="77777777" w:rsidTr="00F008B9">
        <w:trPr>
          <w:tblHeader/>
        </w:trPr>
        <w:tc>
          <w:tcPr>
            <w:tcW w:w="2500" w:type="pct"/>
            <w:tcBorders>
              <w:bottom w:val="single" w:sz="4" w:space="0" w:color="auto"/>
            </w:tcBorders>
          </w:tcPr>
          <w:p w14:paraId="09F8E6EC" w14:textId="77777777" w:rsidR="00644142" w:rsidRPr="00644142" w:rsidRDefault="00F56B54" w:rsidP="00644142">
            <w:pPr>
              <w:pStyle w:val="TableText"/>
              <w:rPr>
                <w:lang w:eastAsia="ja-JP"/>
              </w:rPr>
            </w:pPr>
            <w:r w:rsidRPr="00644142">
              <w:rPr>
                <w:lang w:eastAsia="ja-JP"/>
              </w:rPr>
              <w:t xml:space="preserve">LOF 5 </w:t>
            </w:r>
          </w:p>
        </w:tc>
        <w:tc>
          <w:tcPr>
            <w:tcW w:w="2500" w:type="pct"/>
            <w:tcBorders>
              <w:bottom w:val="single" w:sz="4" w:space="0" w:color="auto"/>
            </w:tcBorders>
          </w:tcPr>
          <w:p w14:paraId="2CBFACB3" w14:textId="77777777" w:rsidR="00644142" w:rsidRPr="00644142" w:rsidRDefault="00F56B54" w:rsidP="00644142">
            <w:pPr>
              <w:pStyle w:val="TableText"/>
              <w:rPr>
                <w:lang w:eastAsia="ja-JP"/>
              </w:rPr>
            </w:pPr>
            <w:r w:rsidRPr="00644142">
              <w:rPr>
                <w:lang w:eastAsia="ja-JP"/>
              </w:rPr>
              <w:t>41-100%, very heavy fouling, with diverse assemblages covering most of the hull</w:t>
            </w:r>
          </w:p>
        </w:tc>
      </w:tr>
    </w:tbl>
    <w:p w14:paraId="519FE097" w14:textId="77777777" w:rsidR="000624FF" w:rsidRPr="000624FF" w:rsidRDefault="00F56B54" w:rsidP="00854CC8">
      <w:pPr>
        <w:pStyle w:val="FigureTableNoteSource"/>
        <w:rPr>
          <w:lang w:eastAsia="ja-JP"/>
        </w:rPr>
      </w:pPr>
      <w:r>
        <w:rPr>
          <w:lang w:eastAsia="ja-JP"/>
        </w:rPr>
        <w:t>Source: Floer</w:t>
      </w:r>
      <w:r w:rsidR="003378D5">
        <w:rPr>
          <w:lang w:eastAsia="ja-JP"/>
        </w:rPr>
        <w:t>l</w:t>
      </w:r>
      <w:r>
        <w:rPr>
          <w:lang w:eastAsia="ja-JP"/>
        </w:rPr>
        <w:t xml:space="preserve"> et al. 2005</w:t>
      </w:r>
    </w:p>
    <w:p w14:paraId="7D77EC26" w14:textId="4510FE9B" w:rsidR="00644142" w:rsidRDefault="00F56B54" w:rsidP="00644142">
      <w:pPr>
        <w:pStyle w:val="Caption"/>
        <w:rPr>
          <w:lang w:eastAsia="ja-JP"/>
        </w:rPr>
      </w:pPr>
      <w:bookmarkStart w:id="68" w:name="_Ref50114482"/>
      <w:bookmarkStart w:id="69" w:name="_Toc49868686"/>
      <w:r>
        <w:t xml:space="preserve">Table </w:t>
      </w:r>
      <w:r w:rsidR="00F031EE">
        <w:rPr>
          <w:noProof/>
        </w:rPr>
        <w:fldChar w:fldCharType="begin"/>
      </w:r>
      <w:r w:rsidR="00F031EE">
        <w:rPr>
          <w:noProof/>
        </w:rPr>
        <w:instrText xml:space="preserve"> SEQ Table \* ARABIC </w:instrText>
      </w:r>
      <w:r w:rsidR="00F031EE">
        <w:rPr>
          <w:noProof/>
        </w:rPr>
        <w:fldChar w:fldCharType="separate"/>
      </w:r>
      <w:r w:rsidR="001C040D">
        <w:rPr>
          <w:noProof/>
        </w:rPr>
        <w:t>6</w:t>
      </w:r>
      <w:r w:rsidR="00F031EE">
        <w:rPr>
          <w:noProof/>
        </w:rPr>
        <w:fldChar w:fldCharType="end"/>
      </w:r>
      <w:bookmarkEnd w:id="68"/>
      <w:r>
        <w:t xml:space="preserve"> Fouling Ratings Scale</w:t>
      </w:r>
      <w:bookmarkEnd w:id="6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Fouling Ratings Scale"/>
        <w:tblDescription w:val="The Fouling Ratings Scale can be used to describe the type and amount of biofouling present on a vessel. It also includes some categorisation at the taxa level. The scale seperates fouling into three types, hard, soft and composite and also categorises fouling on a scale of 0 to 100. "/>
      </w:tblPr>
      <w:tblGrid>
        <w:gridCol w:w="1265"/>
        <w:gridCol w:w="1939"/>
        <w:gridCol w:w="5866"/>
      </w:tblGrid>
      <w:tr w:rsidR="004F6729" w14:paraId="1E18C6C2" w14:textId="77777777" w:rsidTr="001F288E">
        <w:trPr>
          <w:cantSplit/>
          <w:tblHeader/>
        </w:trPr>
        <w:tc>
          <w:tcPr>
            <w:tcW w:w="697" w:type="pct"/>
            <w:tcBorders>
              <w:top w:val="single" w:sz="4" w:space="0" w:color="auto"/>
              <w:bottom w:val="single" w:sz="4" w:space="0" w:color="auto"/>
            </w:tcBorders>
            <w:shd w:val="clear" w:color="auto" w:fill="auto"/>
          </w:tcPr>
          <w:p w14:paraId="7CAB7233" w14:textId="77777777" w:rsidR="00644142" w:rsidRPr="00BE5349" w:rsidRDefault="00F56B54" w:rsidP="00644142">
            <w:pPr>
              <w:pStyle w:val="TableHeading"/>
            </w:pPr>
            <w:r w:rsidRPr="00BE5349">
              <w:t>Type</w:t>
            </w:r>
          </w:p>
        </w:tc>
        <w:tc>
          <w:tcPr>
            <w:tcW w:w="1069" w:type="pct"/>
            <w:tcBorders>
              <w:top w:val="single" w:sz="4" w:space="0" w:color="auto"/>
              <w:bottom w:val="single" w:sz="4" w:space="0" w:color="auto"/>
            </w:tcBorders>
            <w:shd w:val="clear" w:color="auto" w:fill="auto"/>
          </w:tcPr>
          <w:p w14:paraId="58490D3B" w14:textId="77777777" w:rsidR="00644142" w:rsidRPr="00BE5349" w:rsidRDefault="00F56B54" w:rsidP="00644142">
            <w:pPr>
              <w:pStyle w:val="TableHeading"/>
            </w:pPr>
            <w:r w:rsidRPr="00BE5349">
              <w:t>Fouling rating (fr)</w:t>
            </w:r>
          </w:p>
        </w:tc>
        <w:tc>
          <w:tcPr>
            <w:tcW w:w="3234" w:type="pct"/>
            <w:tcBorders>
              <w:top w:val="single" w:sz="4" w:space="0" w:color="auto"/>
              <w:bottom w:val="single" w:sz="4" w:space="0" w:color="auto"/>
            </w:tcBorders>
            <w:shd w:val="clear" w:color="auto" w:fill="auto"/>
          </w:tcPr>
          <w:p w14:paraId="058D7045" w14:textId="77777777" w:rsidR="00644142" w:rsidRPr="00BE5349" w:rsidRDefault="00F56B54" w:rsidP="00644142">
            <w:pPr>
              <w:pStyle w:val="TableHeading"/>
            </w:pPr>
            <w:r w:rsidRPr="00BE5349">
              <w:t>Description</w:t>
            </w:r>
          </w:p>
        </w:tc>
      </w:tr>
      <w:tr w:rsidR="004F6729" w14:paraId="7CDBA852" w14:textId="77777777" w:rsidTr="00644142">
        <w:tc>
          <w:tcPr>
            <w:tcW w:w="697" w:type="pct"/>
            <w:tcBorders>
              <w:top w:val="single" w:sz="4" w:space="0" w:color="auto"/>
            </w:tcBorders>
          </w:tcPr>
          <w:p w14:paraId="378DC317" w14:textId="77777777" w:rsidR="00644142" w:rsidRPr="00BE5349" w:rsidRDefault="00F56B54" w:rsidP="00644142">
            <w:pPr>
              <w:pStyle w:val="TableText"/>
            </w:pPr>
            <w:r w:rsidRPr="00BE5349">
              <w:t>Soft</w:t>
            </w:r>
          </w:p>
        </w:tc>
        <w:tc>
          <w:tcPr>
            <w:tcW w:w="1069" w:type="pct"/>
            <w:tcBorders>
              <w:top w:val="single" w:sz="4" w:space="0" w:color="auto"/>
            </w:tcBorders>
          </w:tcPr>
          <w:p w14:paraId="54820F30" w14:textId="77777777" w:rsidR="00644142" w:rsidRPr="00BE5349" w:rsidRDefault="00F56B54" w:rsidP="00644142">
            <w:pPr>
              <w:pStyle w:val="TableText"/>
            </w:pPr>
            <w:r w:rsidRPr="00BE5349">
              <w:t>0</w:t>
            </w:r>
          </w:p>
        </w:tc>
        <w:tc>
          <w:tcPr>
            <w:tcW w:w="3234" w:type="pct"/>
            <w:tcBorders>
              <w:top w:val="single" w:sz="4" w:space="0" w:color="auto"/>
            </w:tcBorders>
          </w:tcPr>
          <w:p w14:paraId="1C8D895E" w14:textId="77777777" w:rsidR="00644142" w:rsidRPr="00BE5349" w:rsidRDefault="00F56B54" w:rsidP="00644142">
            <w:pPr>
              <w:pStyle w:val="TableText"/>
            </w:pPr>
            <w:r w:rsidRPr="00BE5349">
              <w:t>A clean, foul-free surface; red and/or black AF paint or bare metal surface.</w:t>
            </w:r>
          </w:p>
        </w:tc>
      </w:tr>
      <w:tr w:rsidR="004F6729" w14:paraId="59BD18C7" w14:textId="77777777" w:rsidTr="00644142">
        <w:tc>
          <w:tcPr>
            <w:tcW w:w="697" w:type="pct"/>
          </w:tcPr>
          <w:p w14:paraId="11D55571" w14:textId="77777777" w:rsidR="00644142" w:rsidRPr="00BE5349" w:rsidRDefault="00F56B54" w:rsidP="00644142">
            <w:pPr>
              <w:pStyle w:val="TableText"/>
            </w:pPr>
            <w:r w:rsidRPr="00BE5349">
              <w:t>Soft</w:t>
            </w:r>
          </w:p>
        </w:tc>
        <w:tc>
          <w:tcPr>
            <w:tcW w:w="1069" w:type="pct"/>
          </w:tcPr>
          <w:p w14:paraId="403B8912" w14:textId="77777777" w:rsidR="00644142" w:rsidRPr="00BE5349" w:rsidRDefault="00F56B54" w:rsidP="00644142">
            <w:pPr>
              <w:pStyle w:val="TableText"/>
            </w:pPr>
            <w:r w:rsidRPr="00BE5349">
              <w:t>10</w:t>
            </w:r>
          </w:p>
        </w:tc>
        <w:tc>
          <w:tcPr>
            <w:tcW w:w="3234" w:type="pct"/>
          </w:tcPr>
          <w:p w14:paraId="47065A25" w14:textId="77777777" w:rsidR="00644142" w:rsidRPr="00BE5349" w:rsidRDefault="00F56B54" w:rsidP="00644142">
            <w:pPr>
              <w:pStyle w:val="TableText"/>
            </w:pPr>
            <w:r w:rsidRPr="00BE5349">
              <w:t>Light shades of red and green (incipient slime). Bare metal and painted surfaces are visible beneath the fouling.</w:t>
            </w:r>
          </w:p>
        </w:tc>
      </w:tr>
      <w:tr w:rsidR="004F6729" w14:paraId="49A31BDC" w14:textId="77777777" w:rsidTr="00644142">
        <w:tc>
          <w:tcPr>
            <w:tcW w:w="697" w:type="pct"/>
          </w:tcPr>
          <w:p w14:paraId="466C743E" w14:textId="77777777" w:rsidR="00644142" w:rsidRPr="00BE5349" w:rsidRDefault="00F56B54" w:rsidP="00644142">
            <w:pPr>
              <w:pStyle w:val="TableText"/>
            </w:pPr>
            <w:r w:rsidRPr="00BE5349">
              <w:t>Soft</w:t>
            </w:r>
          </w:p>
        </w:tc>
        <w:tc>
          <w:tcPr>
            <w:tcW w:w="1069" w:type="pct"/>
          </w:tcPr>
          <w:p w14:paraId="49B44238" w14:textId="77777777" w:rsidR="00644142" w:rsidRPr="00BE5349" w:rsidRDefault="00F56B54" w:rsidP="00644142">
            <w:pPr>
              <w:pStyle w:val="TableText"/>
            </w:pPr>
            <w:r w:rsidRPr="00BE5349">
              <w:t>20</w:t>
            </w:r>
          </w:p>
        </w:tc>
        <w:tc>
          <w:tcPr>
            <w:tcW w:w="3234" w:type="pct"/>
          </w:tcPr>
          <w:p w14:paraId="235D3410" w14:textId="77777777" w:rsidR="00644142" w:rsidRPr="00BE5349" w:rsidRDefault="00F56B54" w:rsidP="00644142">
            <w:pPr>
              <w:pStyle w:val="TableText"/>
            </w:pPr>
            <w:r w:rsidRPr="00BE5349">
              <w:t>Slime as dark green patches with yellow or brown colored areas (advanced slime). Bare metal and painted surfaces may be obscured by the fouling.</w:t>
            </w:r>
          </w:p>
        </w:tc>
      </w:tr>
      <w:tr w:rsidR="004F6729" w14:paraId="20E51CAA" w14:textId="77777777" w:rsidTr="00644142">
        <w:tc>
          <w:tcPr>
            <w:tcW w:w="697" w:type="pct"/>
          </w:tcPr>
          <w:p w14:paraId="11709CCB" w14:textId="77777777" w:rsidR="00644142" w:rsidRPr="00BE5349" w:rsidRDefault="00F56B54" w:rsidP="00644142">
            <w:pPr>
              <w:pStyle w:val="TableText"/>
            </w:pPr>
            <w:r w:rsidRPr="00BE5349">
              <w:t>Soft</w:t>
            </w:r>
          </w:p>
        </w:tc>
        <w:tc>
          <w:tcPr>
            <w:tcW w:w="1069" w:type="pct"/>
          </w:tcPr>
          <w:p w14:paraId="283BD15E" w14:textId="77777777" w:rsidR="00644142" w:rsidRPr="00BE5349" w:rsidRDefault="00F56B54" w:rsidP="00644142">
            <w:pPr>
              <w:pStyle w:val="TableText"/>
            </w:pPr>
            <w:r w:rsidRPr="00BE5349">
              <w:t>30</w:t>
            </w:r>
          </w:p>
        </w:tc>
        <w:tc>
          <w:tcPr>
            <w:tcW w:w="3234" w:type="pct"/>
          </w:tcPr>
          <w:p w14:paraId="19DBD0C7" w14:textId="77777777" w:rsidR="00644142" w:rsidRPr="00BE5349" w:rsidRDefault="00F56B54" w:rsidP="00644142">
            <w:pPr>
              <w:pStyle w:val="TableText"/>
            </w:pPr>
            <w:r w:rsidRPr="00BE5349">
              <w:t>Grass filaments up to 3 inches (76 mm) in length, projections up to ¼ inch (6.4 mm) in height; or flat network of filaments, green, yellow, or brown in color, or soft non calcareous fouling such as sea cucumbers, sea grapes, or sea squirts projecting up to ¼ inch (6.4 mm) in height. The fouling cannot be easily wiped off by hand.</w:t>
            </w:r>
          </w:p>
        </w:tc>
      </w:tr>
      <w:tr w:rsidR="004F6729" w14:paraId="1C0ABD7B" w14:textId="77777777" w:rsidTr="00644142">
        <w:tc>
          <w:tcPr>
            <w:tcW w:w="697" w:type="pct"/>
          </w:tcPr>
          <w:p w14:paraId="10896C58" w14:textId="77777777" w:rsidR="00644142" w:rsidRPr="00BE5349" w:rsidRDefault="00F56B54" w:rsidP="00644142">
            <w:pPr>
              <w:pStyle w:val="TableText"/>
            </w:pPr>
            <w:r w:rsidRPr="00BE5349">
              <w:t>Hard</w:t>
            </w:r>
          </w:p>
        </w:tc>
        <w:tc>
          <w:tcPr>
            <w:tcW w:w="1069" w:type="pct"/>
          </w:tcPr>
          <w:p w14:paraId="030E237F" w14:textId="77777777" w:rsidR="00644142" w:rsidRPr="00BE5349" w:rsidRDefault="00F56B54" w:rsidP="00644142">
            <w:pPr>
              <w:pStyle w:val="TableText"/>
            </w:pPr>
            <w:r w:rsidRPr="00BE5349">
              <w:t>40</w:t>
            </w:r>
          </w:p>
        </w:tc>
        <w:tc>
          <w:tcPr>
            <w:tcW w:w="3234" w:type="pct"/>
          </w:tcPr>
          <w:p w14:paraId="5074631A" w14:textId="77777777" w:rsidR="00644142" w:rsidRPr="00BE5349" w:rsidRDefault="00F56B54" w:rsidP="00644142">
            <w:pPr>
              <w:pStyle w:val="TableText"/>
            </w:pPr>
            <w:r w:rsidRPr="00BE5349">
              <w:t>Calcareous fouling in the form of tube worms less than ¼ inch (6.4 mm) in diameter or height.</w:t>
            </w:r>
          </w:p>
        </w:tc>
      </w:tr>
      <w:tr w:rsidR="004F6729" w14:paraId="0ADF70F9" w14:textId="77777777" w:rsidTr="00644142">
        <w:tc>
          <w:tcPr>
            <w:tcW w:w="697" w:type="pct"/>
          </w:tcPr>
          <w:p w14:paraId="6313EAC7" w14:textId="77777777" w:rsidR="00644142" w:rsidRPr="00BE5349" w:rsidRDefault="00F56B54" w:rsidP="00644142">
            <w:pPr>
              <w:pStyle w:val="TableText"/>
            </w:pPr>
            <w:r w:rsidRPr="00BE5349">
              <w:t>Hard</w:t>
            </w:r>
          </w:p>
        </w:tc>
        <w:tc>
          <w:tcPr>
            <w:tcW w:w="1069" w:type="pct"/>
          </w:tcPr>
          <w:p w14:paraId="0E22BEFF" w14:textId="77777777" w:rsidR="00644142" w:rsidRPr="00BE5349" w:rsidRDefault="00F56B54" w:rsidP="00644142">
            <w:pPr>
              <w:pStyle w:val="TableText"/>
            </w:pPr>
            <w:r w:rsidRPr="00BE5349">
              <w:t>50</w:t>
            </w:r>
          </w:p>
        </w:tc>
        <w:tc>
          <w:tcPr>
            <w:tcW w:w="3234" w:type="pct"/>
          </w:tcPr>
          <w:p w14:paraId="6605E2EC" w14:textId="77777777" w:rsidR="00644142" w:rsidRPr="00BE5349" w:rsidRDefault="00F56B54" w:rsidP="00644142">
            <w:pPr>
              <w:pStyle w:val="TableText"/>
            </w:pPr>
            <w:r w:rsidRPr="00BE5349">
              <w:t>Calcareous fouling in the form of barnacles, less than ¼ inch (6.4 mm) in diameter or height.</w:t>
            </w:r>
          </w:p>
        </w:tc>
      </w:tr>
      <w:tr w:rsidR="004F6729" w14:paraId="77988C64" w14:textId="77777777" w:rsidTr="00644142">
        <w:tc>
          <w:tcPr>
            <w:tcW w:w="697" w:type="pct"/>
          </w:tcPr>
          <w:p w14:paraId="38FDAFE3" w14:textId="77777777" w:rsidR="00644142" w:rsidRPr="00BE5349" w:rsidRDefault="00F56B54" w:rsidP="00644142">
            <w:pPr>
              <w:pStyle w:val="TableText"/>
            </w:pPr>
            <w:r w:rsidRPr="00BE5349">
              <w:t>Hard</w:t>
            </w:r>
          </w:p>
        </w:tc>
        <w:tc>
          <w:tcPr>
            <w:tcW w:w="1069" w:type="pct"/>
          </w:tcPr>
          <w:p w14:paraId="7751707A" w14:textId="77777777" w:rsidR="00644142" w:rsidRPr="00BE5349" w:rsidRDefault="00F56B54" w:rsidP="00644142">
            <w:pPr>
              <w:pStyle w:val="TableText"/>
            </w:pPr>
            <w:r w:rsidRPr="00BE5349">
              <w:t>60</w:t>
            </w:r>
          </w:p>
        </w:tc>
        <w:tc>
          <w:tcPr>
            <w:tcW w:w="3234" w:type="pct"/>
          </w:tcPr>
          <w:p w14:paraId="0A54F06F" w14:textId="77777777" w:rsidR="00644142" w:rsidRPr="00BE5349" w:rsidRDefault="00F56B54" w:rsidP="00644142">
            <w:pPr>
              <w:pStyle w:val="TableText"/>
            </w:pPr>
            <w:r w:rsidRPr="00BE5349">
              <w:t>Combination of tubeworms and barnacles less than ¼ inch (6.4mm) in diameter or height.</w:t>
            </w:r>
          </w:p>
        </w:tc>
      </w:tr>
      <w:tr w:rsidR="004F6729" w14:paraId="1DA5E251" w14:textId="77777777" w:rsidTr="00644142">
        <w:tc>
          <w:tcPr>
            <w:tcW w:w="697" w:type="pct"/>
          </w:tcPr>
          <w:p w14:paraId="324ECFC4" w14:textId="77777777" w:rsidR="00644142" w:rsidRPr="00BE5349" w:rsidRDefault="00F56B54" w:rsidP="00644142">
            <w:pPr>
              <w:pStyle w:val="TableText"/>
            </w:pPr>
            <w:r w:rsidRPr="00BE5349">
              <w:t>Hard</w:t>
            </w:r>
          </w:p>
        </w:tc>
        <w:tc>
          <w:tcPr>
            <w:tcW w:w="1069" w:type="pct"/>
          </w:tcPr>
          <w:p w14:paraId="14855A5D" w14:textId="77777777" w:rsidR="00644142" w:rsidRPr="00BE5349" w:rsidRDefault="00F56B54" w:rsidP="00644142">
            <w:pPr>
              <w:pStyle w:val="TableText"/>
            </w:pPr>
            <w:r w:rsidRPr="00BE5349">
              <w:t>70</w:t>
            </w:r>
          </w:p>
        </w:tc>
        <w:tc>
          <w:tcPr>
            <w:tcW w:w="3234" w:type="pct"/>
          </w:tcPr>
          <w:p w14:paraId="5AE85230" w14:textId="77777777" w:rsidR="00644142" w:rsidRPr="00BE5349" w:rsidRDefault="00F56B54" w:rsidP="00644142">
            <w:pPr>
              <w:pStyle w:val="TableText"/>
            </w:pPr>
            <w:r w:rsidRPr="00BE5349">
              <w:t>Combination of tubeworms and barnacles greater than ¼ inch (6.4 mm) in diameter or height.</w:t>
            </w:r>
          </w:p>
        </w:tc>
      </w:tr>
      <w:tr w:rsidR="004F6729" w14:paraId="033C40BF" w14:textId="77777777" w:rsidTr="00644142">
        <w:tc>
          <w:tcPr>
            <w:tcW w:w="697" w:type="pct"/>
          </w:tcPr>
          <w:p w14:paraId="7FE7FFF5" w14:textId="77777777" w:rsidR="00644142" w:rsidRPr="00BE5349" w:rsidRDefault="00F56B54" w:rsidP="00644142">
            <w:pPr>
              <w:pStyle w:val="TableText"/>
            </w:pPr>
            <w:r w:rsidRPr="00BE5349">
              <w:t>Hard</w:t>
            </w:r>
          </w:p>
        </w:tc>
        <w:tc>
          <w:tcPr>
            <w:tcW w:w="1069" w:type="pct"/>
          </w:tcPr>
          <w:p w14:paraId="02536599" w14:textId="77777777" w:rsidR="00644142" w:rsidRPr="00BE5349" w:rsidRDefault="00F56B54" w:rsidP="00644142">
            <w:pPr>
              <w:pStyle w:val="TableText"/>
            </w:pPr>
            <w:r w:rsidRPr="00BE5349">
              <w:t>80</w:t>
            </w:r>
          </w:p>
        </w:tc>
        <w:tc>
          <w:tcPr>
            <w:tcW w:w="3234" w:type="pct"/>
          </w:tcPr>
          <w:p w14:paraId="546D6158" w14:textId="77777777" w:rsidR="00644142" w:rsidRPr="00BE5349" w:rsidRDefault="00F56B54" w:rsidP="00644142">
            <w:pPr>
              <w:pStyle w:val="TableText"/>
            </w:pPr>
            <w:r w:rsidRPr="00BE5349">
              <w:t>Tubeworms closely packed together and growing upright away from surface. Barnacles growing one on top of another, ¼ inch (6.4 mm) or less in height. Calcareous shells appear clean or white in color.</w:t>
            </w:r>
          </w:p>
        </w:tc>
      </w:tr>
      <w:tr w:rsidR="004F6729" w14:paraId="0D79E85B" w14:textId="77777777" w:rsidTr="00644142">
        <w:tc>
          <w:tcPr>
            <w:tcW w:w="697" w:type="pct"/>
          </w:tcPr>
          <w:p w14:paraId="398C865A" w14:textId="77777777" w:rsidR="00644142" w:rsidRPr="00BE5349" w:rsidRDefault="00F56B54" w:rsidP="00644142">
            <w:pPr>
              <w:pStyle w:val="TableText"/>
            </w:pPr>
            <w:r w:rsidRPr="00BE5349">
              <w:lastRenderedPageBreak/>
              <w:t>Hard</w:t>
            </w:r>
          </w:p>
        </w:tc>
        <w:tc>
          <w:tcPr>
            <w:tcW w:w="1069" w:type="pct"/>
          </w:tcPr>
          <w:p w14:paraId="5F0AEF8E" w14:textId="77777777" w:rsidR="00644142" w:rsidRPr="00BE5349" w:rsidRDefault="00F56B54" w:rsidP="00644142">
            <w:pPr>
              <w:pStyle w:val="TableText"/>
            </w:pPr>
            <w:r w:rsidRPr="00BE5349">
              <w:t>90</w:t>
            </w:r>
          </w:p>
        </w:tc>
        <w:tc>
          <w:tcPr>
            <w:tcW w:w="3234" w:type="pct"/>
          </w:tcPr>
          <w:p w14:paraId="419508A8" w14:textId="77777777" w:rsidR="00644142" w:rsidRPr="00BE5349" w:rsidRDefault="00F56B54" w:rsidP="00644142">
            <w:pPr>
              <w:pStyle w:val="TableText"/>
            </w:pPr>
            <w:r w:rsidRPr="00BE5349">
              <w:t>Dense growth of tubeworms with barnacles, ¼ inch (6.4 mm) or greater in height</w:t>
            </w:r>
            <w:r>
              <w:t>.</w:t>
            </w:r>
            <w:r w:rsidRPr="00BE5349">
              <w:t xml:space="preserve"> Calcareous shells brown in color (oysters and mussels); or with slime or grass overlay.</w:t>
            </w:r>
          </w:p>
        </w:tc>
      </w:tr>
      <w:tr w:rsidR="004F6729" w14:paraId="22B2DAA8" w14:textId="77777777" w:rsidTr="00644142">
        <w:tc>
          <w:tcPr>
            <w:tcW w:w="697" w:type="pct"/>
            <w:tcBorders>
              <w:bottom w:val="single" w:sz="4" w:space="0" w:color="auto"/>
            </w:tcBorders>
          </w:tcPr>
          <w:p w14:paraId="18D39DF0" w14:textId="77777777" w:rsidR="00644142" w:rsidRPr="00BE5349" w:rsidRDefault="00F56B54" w:rsidP="00644142">
            <w:pPr>
              <w:pStyle w:val="TableText"/>
            </w:pPr>
            <w:r w:rsidRPr="00BE5349">
              <w:t>Composite</w:t>
            </w:r>
          </w:p>
        </w:tc>
        <w:tc>
          <w:tcPr>
            <w:tcW w:w="1069" w:type="pct"/>
            <w:tcBorders>
              <w:bottom w:val="single" w:sz="4" w:space="0" w:color="auto"/>
            </w:tcBorders>
          </w:tcPr>
          <w:p w14:paraId="095EC07B" w14:textId="77777777" w:rsidR="00644142" w:rsidRPr="00BE5349" w:rsidRDefault="00F56B54" w:rsidP="00644142">
            <w:pPr>
              <w:pStyle w:val="TableText"/>
            </w:pPr>
            <w:r w:rsidRPr="00BE5349">
              <w:t>100</w:t>
            </w:r>
          </w:p>
        </w:tc>
        <w:tc>
          <w:tcPr>
            <w:tcW w:w="3234" w:type="pct"/>
            <w:tcBorders>
              <w:bottom w:val="single" w:sz="4" w:space="0" w:color="auto"/>
            </w:tcBorders>
          </w:tcPr>
          <w:p w14:paraId="130ADC51" w14:textId="77777777" w:rsidR="00644142" w:rsidRPr="00BE5349" w:rsidRDefault="00F56B54" w:rsidP="00644142">
            <w:pPr>
              <w:pStyle w:val="TableText"/>
            </w:pPr>
            <w:r w:rsidRPr="00BE5349">
              <w:t xml:space="preserve">All forms of fouling present, </w:t>
            </w:r>
            <w:r>
              <w:t>s</w:t>
            </w:r>
            <w:r w:rsidRPr="00BE5349">
              <w:t xml:space="preserve">oft and </w:t>
            </w:r>
            <w:r>
              <w:t>h</w:t>
            </w:r>
            <w:r w:rsidRPr="00BE5349">
              <w:t>ard, particularly soft sedentary animals without calcareous covering (tunicates) growing over various forms of hard growth.</w:t>
            </w:r>
          </w:p>
        </w:tc>
      </w:tr>
    </w:tbl>
    <w:p w14:paraId="427B2098" w14:textId="77777777" w:rsidR="009432E2" w:rsidRDefault="00F56B54" w:rsidP="001F288E">
      <w:pPr>
        <w:pStyle w:val="FigureTableNoteSource"/>
        <w:rPr>
          <w:color w:val="000000"/>
          <w:spacing w:val="5"/>
          <w:kern w:val="28"/>
          <w:sz w:val="72"/>
          <w:szCs w:val="28"/>
          <w:lang w:eastAsia="ja-JP"/>
        </w:rPr>
      </w:pPr>
      <w:r>
        <w:rPr>
          <w:lang w:eastAsia="ja-JP"/>
        </w:rPr>
        <w:t>Source: NSSC 2006</w:t>
      </w:r>
    </w:p>
    <w:p w14:paraId="089E3E97" w14:textId="77777777" w:rsidR="00246095" w:rsidRDefault="00F56B54" w:rsidP="00246095">
      <w:pPr>
        <w:pStyle w:val="Heading2"/>
      </w:pPr>
      <w:bookmarkStart w:id="70" w:name="_Toc50117679"/>
      <w:bookmarkStart w:id="71" w:name="_Ref50119430"/>
      <w:r>
        <w:lastRenderedPageBreak/>
        <w:t>Recommendations on IWC with respect to contamination</w:t>
      </w:r>
      <w:bookmarkEnd w:id="70"/>
      <w:bookmarkEnd w:id="71"/>
    </w:p>
    <w:p w14:paraId="39D3D264" w14:textId="77777777" w:rsidR="00246095" w:rsidRDefault="00F56B54" w:rsidP="00246095">
      <w:pPr>
        <w:pStyle w:val="Heading3"/>
      </w:pPr>
      <w:bookmarkStart w:id="72" w:name="_Toc50117680"/>
      <w:r>
        <w:t>What to clean</w:t>
      </w:r>
      <w:bookmarkEnd w:id="72"/>
    </w:p>
    <w:p w14:paraId="0E3B0E43" w14:textId="77777777" w:rsidR="00A4288B" w:rsidRDefault="00F56B54" w:rsidP="00A4288B">
      <w:r>
        <w:t>The removal of biofouling from the underwater hull and niches of a vessel is un</w:t>
      </w:r>
      <w:r w:rsidR="00280310">
        <w:t>d</w:t>
      </w:r>
      <w:r>
        <w:t xml:space="preserve">ertaken for two reasons: to </w:t>
      </w:r>
      <w:r w:rsidR="00280310">
        <w:t>restore or improve operational performance and/or to manage the risk of transferring invasive marine species</w:t>
      </w:r>
      <w:r w:rsidR="00DB0C57">
        <w:t xml:space="preserve"> (IMS)</w:t>
      </w:r>
      <w:r w:rsidR="00280310">
        <w:t>.</w:t>
      </w:r>
      <w:r>
        <w:t xml:space="preserve"> </w:t>
      </w:r>
      <w:r w:rsidR="00280310">
        <w:t xml:space="preserve">For the former, the priority is to remove biofouling from hull surfaces to reduce hull friction, </w:t>
      </w:r>
      <w:r w:rsidR="001B33A0">
        <w:t xml:space="preserve">propellers to restore propulsion efficiency, </w:t>
      </w:r>
      <w:r w:rsidR="00280310">
        <w:t xml:space="preserve">and from niches where the marine growth obstructs performance, such as on seawater intakes and hull sensors. For the latter, although a clean hull </w:t>
      </w:r>
      <w:r w:rsidR="009F566F">
        <w:t>is</w:t>
      </w:r>
      <w:r w:rsidR="00280310">
        <w:t xml:space="preserve"> important</w:t>
      </w:r>
      <w:r w:rsidR="001B33A0">
        <w:t xml:space="preserve">, </w:t>
      </w:r>
      <w:r w:rsidR="009D1AFD">
        <w:t xml:space="preserve">more often the aggregations of biofouling in </w:t>
      </w:r>
      <w:r w:rsidR="001B33A0">
        <w:t xml:space="preserve">protected niches such as sea chests and thruster tunnels, under anodes and rope guards, along bilge keels, etc., </w:t>
      </w:r>
      <w:r w:rsidR="009D1AFD">
        <w:t>are of greater concern</w:t>
      </w:r>
      <w:r w:rsidR="0015627D">
        <w:t xml:space="preserve"> </w:t>
      </w:r>
      <w:r w:rsidR="009F566F">
        <w:t>(</w:t>
      </w:r>
      <w:r w:rsidR="009711A9">
        <w:t>Davidson et al. 2016</w:t>
      </w:r>
      <w:r w:rsidR="009F566F">
        <w:t>)</w:t>
      </w:r>
      <w:r w:rsidR="001B33A0">
        <w:t>.</w:t>
      </w:r>
    </w:p>
    <w:p w14:paraId="0A9EE235" w14:textId="77777777" w:rsidR="00A4288B" w:rsidRDefault="00F56B54" w:rsidP="00A4288B">
      <w:pPr>
        <w:pStyle w:val="Heading3"/>
      </w:pPr>
      <w:bookmarkStart w:id="73" w:name="_Toc50117681"/>
      <w:r>
        <w:t>When to clean</w:t>
      </w:r>
      <w:bookmarkEnd w:id="73"/>
    </w:p>
    <w:p w14:paraId="0C58B1C5" w14:textId="77777777" w:rsidR="001B33A0" w:rsidRDefault="00F56B54" w:rsidP="001B33A0">
      <w:pPr>
        <w:pStyle w:val="Heading4"/>
      </w:pPr>
      <w:r>
        <w:t>Hull groomin</w:t>
      </w:r>
      <w:r w:rsidR="003576DB">
        <w:t>g</w:t>
      </w:r>
      <w:r>
        <w:t xml:space="preserve"> and proactive cleaning</w:t>
      </w:r>
    </w:p>
    <w:p w14:paraId="41A893FB" w14:textId="77777777" w:rsidR="00397C25" w:rsidRDefault="00F56B54" w:rsidP="00C90BE6">
      <w:r>
        <w:t>Hull grooming and p</w:t>
      </w:r>
      <w:r w:rsidR="00C90BE6">
        <w:t xml:space="preserve">roactive cleaning </w:t>
      </w:r>
      <w:r>
        <w:t xml:space="preserve">are </w:t>
      </w:r>
      <w:r w:rsidR="00C90BE6">
        <w:t xml:space="preserve">regular cleaning to remove early stage biofouling, the biofilm (primary biofouling / slime) and newly settled macrofouling, and, if performed regularly, propeller polishing. The optimum frequency for this cleaning has not been clearly established, and would vary with the coating type, the operational profile of the vessel, and the operational environment. A general recommendation </w:t>
      </w:r>
      <w:r w:rsidR="00831CD4">
        <w:t>is</w:t>
      </w:r>
      <w:r w:rsidR="00C90BE6">
        <w:t xml:space="preserve"> the more often the better.</w:t>
      </w:r>
      <w:r w:rsidR="003576DB">
        <w:t xml:space="preserve"> For commercial trading vessel, to maximise efficiency, a</w:t>
      </w:r>
      <w:r w:rsidR="00C90BE6">
        <w:t xml:space="preserve"> more specific suggestion </w:t>
      </w:r>
      <w:r w:rsidR="00831CD4">
        <w:t>is</w:t>
      </w:r>
      <w:r w:rsidR="00C90BE6">
        <w:t xml:space="preserve"> at least twice a year. </w:t>
      </w:r>
      <w:r w:rsidR="00DB0C57">
        <w:t>The earlier the cleaning is completed in the process of biofouling development, the less likely will be the requirement for biological waste capture.</w:t>
      </w:r>
    </w:p>
    <w:p w14:paraId="7B41CD9C" w14:textId="77777777" w:rsidR="00397C25" w:rsidRDefault="00F56B54" w:rsidP="00C90BE6">
      <w:r>
        <w:t xml:space="preserve">IWC of dock block marks immediately after a vessel has left dry-dock is also considered a proactive measure to reduce the likelihood of new biofouling settlement and development on </w:t>
      </w:r>
      <w:r w:rsidR="003576DB">
        <w:t xml:space="preserve">the </w:t>
      </w:r>
      <w:r>
        <w:t xml:space="preserve">biofouling </w:t>
      </w:r>
      <w:r w:rsidR="003576DB">
        <w:t>residues</w:t>
      </w:r>
      <w:r w:rsidR="00914497">
        <w:t xml:space="preserve"> </w:t>
      </w:r>
      <w:r>
        <w:t xml:space="preserve">unable to be removed </w:t>
      </w:r>
      <w:r w:rsidR="003576DB">
        <w:t xml:space="preserve">in the </w:t>
      </w:r>
      <w:r>
        <w:t>dry-dock</w:t>
      </w:r>
      <w:r w:rsidR="003576DB">
        <w:t xml:space="preserve"> because of block positions</w:t>
      </w:r>
      <w:r>
        <w:t>.</w:t>
      </w:r>
    </w:p>
    <w:p w14:paraId="2679DA2D" w14:textId="77777777" w:rsidR="00827747" w:rsidRDefault="00F56B54" w:rsidP="00C90BE6">
      <w:r>
        <w:t xml:space="preserve">Proactive cleaning is also consistent with the ‘clean before you </w:t>
      </w:r>
      <w:r w:rsidR="0015627D">
        <w:t>leave</w:t>
      </w:r>
      <w:r>
        <w:t>’ biofouling management strategy to minimise the risk of IMS translocation</w:t>
      </w:r>
      <w:r w:rsidR="009F566F">
        <w:t xml:space="preserve"> (</w:t>
      </w:r>
      <w:r w:rsidR="0015627D">
        <w:t>DoA/NZMPI 2015</w:t>
      </w:r>
      <w:r w:rsidR="005D6926">
        <w:t>, Georgiades et al. 2018</w:t>
      </w:r>
      <w:r w:rsidR="009F566F">
        <w:t>)</w:t>
      </w:r>
      <w:r>
        <w:t>.</w:t>
      </w:r>
    </w:p>
    <w:p w14:paraId="2BB3B79B" w14:textId="77777777" w:rsidR="001B33A0" w:rsidRDefault="00F56B54" w:rsidP="00DB0C57">
      <w:pPr>
        <w:pStyle w:val="Heading4"/>
      </w:pPr>
      <w:r>
        <w:t>Reactive cleaning</w:t>
      </w:r>
    </w:p>
    <w:p w14:paraId="2897852F" w14:textId="77777777" w:rsidR="00DB0C57" w:rsidRPr="00DB0C57" w:rsidRDefault="00F56B54" w:rsidP="00DB0C57">
      <w:r>
        <w:t>Reactive cleaning is cleaning to remove established macrofouling to restore hull efficiency and other operational functions, or to reduce IMS translocation risk. For the former, the recommendation is that cleaning should be undertaken when the level of fouling is no greater than LOF 3</w:t>
      </w:r>
      <w:r w:rsidR="009F566F">
        <w:t xml:space="preserve"> (Morrisey et al. 2013)</w:t>
      </w:r>
      <w:r>
        <w:t xml:space="preserve">, or </w:t>
      </w:r>
      <w:r w:rsidR="00885595">
        <w:t>a fouling rating of no more than FR 40.</w:t>
      </w:r>
      <w:r w:rsidR="00827747">
        <w:t xml:space="preserve"> </w:t>
      </w:r>
      <w:r w:rsidR="00885595">
        <w:t xml:space="preserve">For the latter, the general recommendation is ‘clean before you </w:t>
      </w:r>
      <w:r w:rsidR="005D6926">
        <w:t>leave</w:t>
      </w:r>
      <w:r w:rsidR="00885595">
        <w:t>’, but the more common practice is currently ‘clean when I have to’ to meet requirements or regulations in the destination port.</w:t>
      </w:r>
    </w:p>
    <w:p w14:paraId="57DD27AD" w14:textId="77777777" w:rsidR="00A4288B" w:rsidRDefault="00F56B54" w:rsidP="00A4288B">
      <w:pPr>
        <w:pStyle w:val="Heading3"/>
      </w:pPr>
      <w:bookmarkStart w:id="74" w:name="_Toc50117682"/>
      <w:r>
        <w:t>When not to clean</w:t>
      </w:r>
      <w:bookmarkEnd w:id="74"/>
    </w:p>
    <w:p w14:paraId="5A47FC40" w14:textId="77777777" w:rsidR="00397C25" w:rsidRPr="00397C25" w:rsidRDefault="00F56B54" w:rsidP="00397C25">
      <w:pPr>
        <w:pStyle w:val="Heading4"/>
      </w:pPr>
      <w:r>
        <w:t>AFS age</w:t>
      </w:r>
    </w:p>
    <w:p w14:paraId="16A50C61" w14:textId="77777777" w:rsidR="00885595" w:rsidRDefault="00F56B54" w:rsidP="00885595">
      <w:r>
        <w:t>IWC should not be undertaken to remove established</w:t>
      </w:r>
      <w:r w:rsidR="00397C25">
        <w:t xml:space="preserve">, extensive and </w:t>
      </w:r>
      <w:r w:rsidR="001967C4">
        <w:t>well-developed</w:t>
      </w:r>
      <w:r w:rsidR="00397C25">
        <w:t xml:space="preserve"> biofouling that has resulted from antifouling coating failure, or the system being close to, at, or beyond the service life specified at the time of application</w:t>
      </w:r>
      <w:r w:rsidR="00D2732B">
        <w:t xml:space="preserve"> (Guidelines)</w:t>
      </w:r>
      <w:r w:rsidR="00397C25">
        <w:t xml:space="preserve">. </w:t>
      </w:r>
      <w:r w:rsidR="009970EF">
        <w:t xml:space="preserve">Substantial biofouling, or near-end </w:t>
      </w:r>
      <w:r w:rsidR="009970EF">
        <w:lastRenderedPageBreak/>
        <w:t xml:space="preserve">of service life are </w:t>
      </w:r>
      <w:r w:rsidR="007E647D">
        <w:t xml:space="preserve">indicators that the AFS has failed or is depleted, and rapid refouling is both likely and possibly enhanced by further degradation of the coating by </w:t>
      </w:r>
      <w:r w:rsidR="00831CD4">
        <w:t>IWC.</w:t>
      </w:r>
      <w:r w:rsidR="007E647D">
        <w:t xml:space="preserve"> </w:t>
      </w:r>
      <w:r w:rsidR="00397C25">
        <w:t>For th</w:t>
      </w:r>
      <w:r w:rsidR="007E647D">
        <w:t>ese circumstances</w:t>
      </w:r>
      <w:r w:rsidR="00397C25">
        <w:t>, the vessel needs to be dry-docked for AFS replacement or renewal. IWC should not be undertaken to delay or postpone dry-docking beyond the planned date.</w:t>
      </w:r>
      <w:r w:rsidR="00AC2561">
        <w:t xml:space="preserve"> If evidence cannot be provided for specification of a longer service life, then the default time should be 24 months.</w:t>
      </w:r>
    </w:p>
    <w:p w14:paraId="54D892A5" w14:textId="77777777" w:rsidR="00827747" w:rsidRDefault="00F56B54" w:rsidP="00885595">
      <w:r>
        <w:t xml:space="preserve">The exception </w:t>
      </w:r>
      <w:r w:rsidR="005239C6">
        <w:t>would be if the biofouling is a confirmed biosecurity risk to the present or forward locations.</w:t>
      </w:r>
    </w:p>
    <w:p w14:paraId="137EA0A1" w14:textId="77777777" w:rsidR="005239C6" w:rsidRDefault="00F56B54" w:rsidP="005239C6">
      <w:pPr>
        <w:pStyle w:val="Heading4"/>
      </w:pPr>
      <w:r>
        <w:t>AFS formulation</w:t>
      </w:r>
    </w:p>
    <w:p w14:paraId="7BE50E69" w14:textId="77777777" w:rsidR="005239C6" w:rsidRDefault="00F56B54" w:rsidP="005239C6">
      <w:r>
        <w:t>IWC should not be undertaken on any vessel that may have organotin-based coatings. Their absence should be verified by inspection and confirmation of validity of the vessel’s AFS certificate. If a vessel was built before 2003, the Record of AFS should be examined to ensure no organotin coating remains sealed under a barrier coat.</w:t>
      </w:r>
    </w:p>
    <w:p w14:paraId="1D66CEC1" w14:textId="77777777" w:rsidR="005239C6" w:rsidRDefault="00F56B54" w:rsidP="005239C6">
      <w:r>
        <w:t xml:space="preserve">It is recommended that IWC not be undertaken if the AFS contains </w:t>
      </w:r>
      <w:r w:rsidR="00D06FBA">
        <w:t xml:space="preserve">any of the biocides </w:t>
      </w:r>
      <w:r>
        <w:t>cybutryne, diuron, chlor</w:t>
      </w:r>
      <w:r w:rsidR="00AC2561">
        <w:t>o</w:t>
      </w:r>
      <w:r>
        <w:t>th</w:t>
      </w:r>
      <w:r w:rsidR="00AC2561">
        <w:t>al</w:t>
      </w:r>
      <w:r>
        <w:t xml:space="preserve">onil, </w:t>
      </w:r>
      <w:r w:rsidR="00727CD3">
        <w:t>and</w:t>
      </w:r>
      <w:r>
        <w:t xml:space="preserve"> </w:t>
      </w:r>
      <w:r w:rsidR="00D06FBA">
        <w:t>ziram</w:t>
      </w:r>
      <w:r w:rsidR="00727CD3">
        <w:t>,</w:t>
      </w:r>
      <w:r w:rsidR="00D06FBA">
        <w:t xml:space="preserve"> which have been banned, o</w:t>
      </w:r>
      <w:r w:rsidR="00727CD3">
        <w:t>r are to be banned overseas. The Record of AFS identifies all biocides present in the vessel’s AFS.</w:t>
      </w:r>
      <w:r w:rsidR="00827747">
        <w:t xml:space="preserve"> </w:t>
      </w:r>
      <w:r w:rsidR="00727CD3">
        <w:t xml:space="preserve">Should cleaning of such coatings be imperative for emergency reasons, consideration should be given to </w:t>
      </w:r>
      <w:r w:rsidR="00CE6517">
        <w:t>undertaking the IWC in offshore waters</w:t>
      </w:r>
      <w:r w:rsidR="000207C7">
        <w:t>, with due attention to OH&amp;S risks,</w:t>
      </w:r>
      <w:r w:rsidR="00CE6517">
        <w:t xml:space="preserve"> or </w:t>
      </w:r>
      <w:r w:rsidR="00727CD3">
        <w:t>capturing all liquid waste for disposal at an appropriate waste facility.</w:t>
      </w:r>
    </w:p>
    <w:p w14:paraId="0C16784A" w14:textId="77777777" w:rsidR="00727CD3" w:rsidRDefault="00F56B54" w:rsidP="00727CD3">
      <w:pPr>
        <w:pStyle w:val="Heading3"/>
      </w:pPr>
      <w:bookmarkStart w:id="75" w:name="_Toc50117683"/>
      <w:r>
        <w:t>How to prepare for IWC</w:t>
      </w:r>
      <w:bookmarkEnd w:id="75"/>
    </w:p>
    <w:p w14:paraId="55116EDF" w14:textId="77777777" w:rsidR="00932672" w:rsidRDefault="00F56B54" w:rsidP="00727CD3">
      <w:r>
        <w:t xml:space="preserve">To prepare for cleaning, details of the AFS need to be confirmed, and a hull survey undertaken to determine the biofouling </w:t>
      </w:r>
      <w:r w:rsidR="00D2732B">
        <w:t xml:space="preserve">type, </w:t>
      </w:r>
      <w:r>
        <w:t>abundance and distribution, and the condition of the underwater coating system.</w:t>
      </w:r>
      <w:r w:rsidR="00820BFC">
        <w:t xml:space="preserve"> If only hull grooming is proposed, the survey could be by diver or ROV; for hull cleaning, a dive inspection is recommended.</w:t>
      </w:r>
    </w:p>
    <w:p w14:paraId="18D73F80" w14:textId="77777777" w:rsidR="00727CD3" w:rsidRDefault="00F56B54" w:rsidP="00727CD3">
      <w:r>
        <w:t>If contaminants will be discharged during the IWC, characteristics of the receiving water body should be understood to ensure contaminant discharges do not lead to exceedance of environmental protection standards. MAMPEC v3.1 or MAMPEC-BW modelling may assist by enabling PEC estimation.</w:t>
      </w:r>
    </w:p>
    <w:p w14:paraId="14ABC6DA" w14:textId="77777777" w:rsidR="00CE16F7" w:rsidRDefault="00F56B54" w:rsidP="00CE16F7">
      <w:pPr>
        <w:pStyle w:val="Heading3"/>
      </w:pPr>
      <w:bookmarkStart w:id="76" w:name="_Toc50117684"/>
      <w:r>
        <w:t>Risk assessment of the IWC</w:t>
      </w:r>
      <w:bookmarkEnd w:id="76"/>
    </w:p>
    <w:p w14:paraId="1CF85943" w14:textId="77777777" w:rsidR="00CE16F7" w:rsidRDefault="00F56B54" w:rsidP="00CE16F7">
      <w:r>
        <w:t xml:space="preserve">If surfaces coated with biocidal AFC are to be cleaned, a </w:t>
      </w:r>
      <w:r w:rsidR="00127CAE">
        <w:t xml:space="preserve">two-stage </w:t>
      </w:r>
      <w:r>
        <w:t xml:space="preserve">risk assessment </w:t>
      </w:r>
      <w:r w:rsidR="00127CAE">
        <w:t xml:space="preserve">is proposed </w:t>
      </w:r>
      <w:r>
        <w:t>to determine whether the chemical discharge from the clean is environmentally acceptable. The method proposed for this assessment is calculation of PECs using MAMPEC v3.1 and MAMPEC-BW.</w:t>
      </w:r>
    </w:p>
    <w:p w14:paraId="7E851E6D" w14:textId="77777777" w:rsidR="00127CAE" w:rsidRDefault="00F56B54" w:rsidP="00424F73">
      <w:pPr>
        <w:pStyle w:val="Heading4"/>
      </w:pPr>
      <w:bookmarkStart w:id="77" w:name="_Ref50120155"/>
      <w:r>
        <w:t xml:space="preserve">Stage 1 </w:t>
      </w:r>
      <w:r w:rsidR="0031761D">
        <w:t>R</w:t>
      </w:r>
      <w:r w:rsidR="009F3437">
        <w:t xml:space="preserve">isk </w:t>
      </w:r>
      <w:r w:rsidR="0031761D">
        <w:t>A</w:t>
      </w:r>
      <w:r w:rsidR="009F3437">
        <w:t>ssessment</w:t>
      </w:r>
      <w:r>
        <w:t xml:space="preserve">: </w:t>
      </w:r>
      <w:r w:rsidR="0031761D">
        <w:t>p</w:t>
      </w:r>
      <w:r>
        <w:t xml:space="preserve">re-emptive </w:t>
      </w:r>
      <w:r w:rsidR="003972A0">
        <w:t>acceptability of hull grooming</w:t>
      </w:r>
      <w:bookmarkEnd w:id="77"/>
    </w:p>
    <w:p w14:paraId="53ED398D" w14:textId="77777777" w:rsidR="00CE16F7" w:rsidRDefault="00F56B54" w:rsidP="00CE16F7">
      <w:r>
        <w:t>To determine if containment and treatment of the dislodged waste is needed</w:t>
      </w:r>
      <w:r w:rsidR="00127CAE">
        <w:t xml:space="preserve"> for </w:t>
      </w:r>
      <w:r w:rsidR="00EF70AB">
        <w:t>hull groom</w:t>
      </w:r>
      <w:r w:rsidR="004A6D71">
        <w:t>ing</w:t>
      </w:r>
      <w:r w:rsidR="00EF70AB">
        <w:t xml:space="preserve"> </w:t>
      </w:r>
      <w:r w:rsidR="00127CAE">
        <w:t>in a particular location</w:t>
      </w:r>
      <w:r>
        <w:t xml:space="preserve">, MAMPEC v3.1 should be used </w:t>
      </w:r>
      <w:r w:rsidR="00EF70AB">
        <w:t xml:space="preserve">to determine the limit, in terms of vessel size and/or number of vessels/day, of grooming that can be undertaken in that location without </w:t>
      </w:r>
      <w:r w:rsidR="00D2732B">
        <w:t>resulting in environmental harm</w:t>
      </w:r>
      <w:r w:rsidR="00EF70AB">
        <w:t xml:space="preserve">. For this, Morrisey et al. (2013) applied the </w:t>
      </w:r>
      <w:r>
        <w:t>following inputs:</w:t>
      </w:r>
    </w:p>
    <w:p w14:paraId="4EC5BD19" w14:textId="77777777" w:rsidR="003972A0" w:rsidRPr="00230C64" w:rsidRDefault="00F56B54" w:rsidP="00862962">
      <w:pPr>
        <w:pStyle w:val="ListBullet"/>
      </w:pPr>
      <w:r w:rsidRPr="00230C64">
        <w:t xml:space="preserve">For the range of vessels visiting the location, </w:t>
      </w:r>
      <w:proofErr w:type="gramStart"/>
      <w:r w:rsidRPr="00230C64">
        <w:t>lengths</w:t>
      </w:r>
      <w:proofErr w:type="gramEnd"/>
      <w:r w:rsidR="00EF70AB" w:rsidRPr="00230C64">
        <w:t xml:space="preserve"> and corresponding underwater s</w:t>
      </w:r>
      <w:r w:rsidR="00CE16F7" w:rsidRPr="00230C64">
        <w:t xml:space="preserve">urface area of the </w:t>
      </w:r>
      <w:r w:rsidRPr="00230C64">
        <w:t>vessels</w:t>
      </w:r>
    </w:p>
    <w:p w14:paraId="12F450FC" w14:textId="77777777" w:rsidR="00D93B6B" w:rsidRPr="00230C64" w:rsidRDefault="00F56B54" w:rsidP="00862962">
      <w:pPr>
        <w:pStyle w:val="ListBullet"/>
      </w:pPr>
      <w:r w:rsidRPr="00230C64">
        <w:lastRenderedPageBreak/>
        <w:t>Specification of soft cleaning only (slime + leached layer)</w:t>
      </w:r>
    </w:p>
    <w:p w14:paraId="41D39269" w14:textId="0449245F" w:rsidR="00D93B6B" w:rsidRPr="00230C64" w:rsidRDefault="00F56B54" w:rsidP="00862962">
      <w:pPr>
        <w:pStyle w:val="ListBullet"/>
      </w:pPr>
      <w:r w:rsidRPr="00230C64">
        <w:t xml:space="preserve">Marina / harbour parameters (use Lyttelton Port as the default harbour, and Half Moon Bay as the default </w:t>
      </w:r>
      <w:r w:rsidR="00B27E0A">
        <w:t>marina</w:t>
      </w:r>
      <w:r w:rsidRPr="00230C64">
        <w:t>, if parameters for the actual location for the IWC are not known</w:t>
      </w:r>
      <w:r w:rsidR="003972A0" w:rsidRPr="00230C64">
        <w:t>)</w:t>
      </w:r>
    </w:p>
    <w:p w14:paraId="6CA4AF31" w14:textId="77777777" w:rsidR="00D93B6B" w:rsidRPr="00230C64" w:rsidRDefault="00F56B54" w:rsidP="00862962">
      <w:pPr>
        <w:pStyle w:val="ListBullet"/>
      </w:pPr>
      <w:r w:rsidRPr="00230C64">
        <w:t>Best available estimates of the biocide content of the leached layer and slime should be used, with the values applied in Morrisey et al. (2013) used as defaults</w:t>
      </w:r>
      <w:r w:rsidR="00D2732B">
        <w:t>.</w:t>
      </w:r>
    </w:p>
    <w:p w14:paraId="04E1DDF8" w14:textId="77777777" w:rsidR="003972A0" w:rsidRDefault="00F56B54" w:rsidP="002B537C">
      <w:r>
        <w:t>The acceptable outcome to allow grooming to proceed without capture, containment and treatment of wastewater in a location is those vessel sizes or numbers of vessels per day that return a “low risk” outcome, defined as an average PEC below the ANZECC 90% protection guideline</w:t>
      </w:r>
      <w:r w:rsidR="00472136">
        <w:t xml:space="preserve"> (Morrisey et al. 2013)</w:t>
      </w:r>
      <w:r w:rsidR="000207C7">
        <w:t xml:space="preserve"> or </w:t>
      </w:r>
      <w:r w:rsidR="007948DB">
        <w:t>a PEC/PNEC ratio &lt;1</w:t>
      </w:r>
      <w:r>
        <w:t>.</w:t>
      </w:r>
    </w:p>
    <w:p w14:paraId="680D2D9C" w14:textId="77777777" w:rsidR="003972A0" w:rsidRDefault="00F56B54" w:rsidP="003972A0">
      <w:pPr>
        <w:pStyle w:val="Heading4"/>
      </w:pPr>
      <w:r>
        <w:t>Stage 2 R</w:t>
      </w:r>
      <w:r w:rsidR="009F3437">
        <w:t xml:space="preserve">isk </w:t>
      </w:r>
      <w:r>
        <w:t>A</w:t>
      </w:r>
      <w:r w:rsidR="009F3437">
        <w:t>ssessment</w:t>
      </w:r>
      <w:r>
        <w:t xml:space="preserve">: </w:t>
      </w:r>
      <w:r w:rsidR="00B636CD">
        <w:t xml:space="preserve">IWC </w:t>
      </w:r>
      <w:r w:rsidR="00D2732B">
        <w:t>acceptability</w:t>
      </w:r>
    </w:p>
    <w:p w14:paraId="5C9BB48E" w14:textId="77777777" w:rsidR="00472136" w:rsidRDefault="00F56B54" w:rsidP="002B537C">
      <w:r>
        <w:t xml:space="preserve">If </w:t>
      </w:r>
      <w:r w:rsidR="00B636CD">
        <w:t>the proposed grooming is not within the acceptance limits determined by the Stage 1 R</w:t>
      </w:r>
      <w:r w:rsidR="009F3437">
        <w:t xml:space="preserve">isk </w:t>
      </w:r>
      <w:r w:rsidR="00B636CD">
        <w:t>A</w:t>
      </w:r>
      <w:r w:rsidR="009F3437">
        <w:t>ssessment</w:t>
      </w:r>
      <w:r w:rsidR="00B636CD">
        <w:t xml:space="preserve"> (e.g. the vessels is larger than those accepted</w:t>
      </w:r>
      <w:r w:rsidR="003C3DAA">
        <w:t xml:space="preserve"> or cleaning frequency is exceeded</w:t>
      </w:r>
      <w:r w:rsidR="00B636CD">
        <w:t xml:space="preserve">), or if IWC is proposed to remove secondary biofouling in addition to slime, </w:t>
      </w:r>
      <w:r>
        <w:t xml:space="preserve">and </w:t>
      </w:r>
      <w:r w:rsidR="00B45944">
        <w:t xml:space="preserve">capture, containment and treatment of the wastewater is required </w:t>
      </w:r>
      <w:r w:rsidR="00B636CD">
        <w:t xml:space="preserve">with </w:t>
      </w:r>
      <w:r w:rsidR="00B45944">
        <w:t>treated water to be discharged back into the local environment, then the acceptability of the discharge should be assessed using MAMPEC-BW with the following inputs:</w:t>
      </w:r>
    </w:p>
    <w:p w14:paraId="5C6A813A" w14:textId="77777777" w:rsidR="00B45944" w:rsidRPr="00230C64" w:rsidRDefault="00F56B54" w:rsidP="00862962">
      <w:pPr>
        <w:pStyle w:val="ListBullet"/>
      </w:pPr>
      <w:r w:rsidRPr="000207C7">
        <w:t xml:space="preserve">Marina / harbour parameters (use Lyttelton Port as the default harbour, and Half Moon Bay as the default </w:t>
      </w:r>
      <w:r w:rsidR="000207C7">
        <w:t>marina</w:t>
      </w:r>
      <w:r w:rsidRPr="00230C64">
        <w:t>, if parameters for the actual location for the IWC are not known</w:t>
      </w:r>
      <w:r w:rsidR="00B636CD" w:rsidRPr="00230C64">
        <w:t>)</w:t>
      </w:r>
    </w:p>
    <w:p w14:paraId="7CEC7F82" w14:textId="77777777" w:rsidR="00B45944" w:rsidRPr="00230C64" w:rsidRDefault="00F56B54" w:rsidP="00862962">
      <w:pPr>
        <w:pStyle w:val="ListBullet"/>
      </w:pPr>
      <w:r w:rsidRPr="00230C64">
        <w:t>Data for biocides present in the AFC (if a biocide is not in the MAMPEC-BW database, data can be found in the MAMPEC v3.1 database)</w:t>
      </w:r>
    </w:p>
    <w:p w14:paraId="17E49E95" w14:textId="77777777" w:rsidR="00B45944" w:rsidRPr="000207C7" w:rsidRDefault="00F56B54" w:rsidP="00862962">
      <w:pPr>
        <w:pStyle w:val="ListBullet"/>
      </w:pPr>
      <w:r w:rsidRPr="00230C64">
        <w:t>Contaminant concentration in the treated discharge and volume of waste to be discharged per day</w:t>
      </w:r>
      <w:r w:rsidR="00B636CD" w:rsidRPr="00230C64">
        <w:t xml:space="preserve"> that are specific to the treatment system</w:t>
      </w:r>
      <w:r w:rsidRPr="00230C64">
        <w:t>, a</w:t>
      </w:r>
      <w:r w:rsidR="00B636CD" w:rsidRPr="00230C64">
        <w:t xml:space="preserve">nd </w:t>
      </w:r>
      <w:r w:rsidR="009C568F">
        <w:t xml:space="preserve">verified </w:t>
      </w:r>
      <w:r w:rsidRPr="009C568F">
        <w:t xml:space="preserve">in </w:t>
      </w:r>
      <w:r w:rsidR="00B636CD" w:rsidRPr="000207C7">
        <w:t xml:space="preserve">trials of that </w:t>
      </w:r>
      <w:r w:rsidRPr="000207C7">
        <w:t>system</w:t>
      </w:r>
    </w:p>
    <w:p w14:paraId="38A47373" w14:textId="110B50A9" w:rsidR="007948DB" w:rsidRPr="00CE16F7" w:rsidRDefault="00F56B54" w:rsidP="007948DB">
      <w:r>
        <w:t xml:space="preserve">The outcome to allow IWC to proceed without additional management (e.g. operational time limits, additional water treatment, disposal of liquid waste to an approved facility etc.) is also proposed </w:t>
      </w:r>
      <w:r w:rsidR="00831CD4">
        <w:t>as meeting</w:t>
      </w:r>
      <w:r w:rsidR="00B17FCB">
        <w:t xml:space="preserve"> the </w:t>
      </w:r>
      <w:r>
        <w:t xml:space="preserve">“low risk” </w:t>
      </w:r>
      <w:r w:rsidR="00B17FCB">
        <w:t xml:space="preserve">criterion </w:t>
      </w:r>
      <w:r>
        <w:t>as defined above</w:t>
      </w:r>
      <w:r w:rsidR="003C3DAA">
        <w:t xml:space="preserve"> (section </w:t>
      </w:r>
      <w:r w:rsidR="002974C3">
        <w:fldChar w:fldCharType="begin"/>
      </w:r>
      <w:r w:rsidR="002974C3">
        <w:instrText xml:space="preserve"> REF _Ref50120155 \r \h </w:instrText>
      </w:r>
      <w:r w:rsidR="002974C3">
        <w:fldChar w:fldCharType="separate"/>
      </w:r>
      <w:r w:rsidR="001C040D">
        <w:t>7.5.1</w:t>
      </w:r>
      <w:r w:rsidR="002974C3">
        <w:fldChar w:fldCharType="end"/>
      </w:r>
      <w:r w:rsidR="00B27E0A">
        <w:t>).</w:t>
      </w:r>
    </w:p>
    <w:p w14:paraId="17EDDAE5" w14:textId="77777777" w:rsidR="00246095" w:rsidRDefault="00F56B54" w:rsidP="00246095">
      <w:pPr>
        <w:pStyle w:val="Heading3"/>
      </w:pPr>
      <w:bookmarkStart w:id="78" w:name="_Toc50117685"/>
      <w:r>
        <w:t>How to clean</w:t>
      </w:r>
      <w:bookmarkEnd w:id="78"/>
    </w:p>
    <w:p w14:paraId="1AF34E0C" w14:textId="77777777" w:rsidR="00727CD3" w:rsidRDefault="00F56B54" w:rsidP="00727CD3">
      <w:r>
        <w:t>IWC should be restricted to areas where growth is</w:t>
      </w:r>
      <w:r w:rsidR="00CE6517">
        <w:t xml:space="preserve"> of concern, be it on planar surfaces that impacts on ship efficiency, exceeds acceptable levels required by </w:t>
      </w:r>
      <w:r w:rsidR="00092092">
        <w:t>ports, states or other regulatory authorities for entry into waters within their jurisdiction, or both.</w:t>
      </w:r>
      <w:r>
        <w:t xml:space="preserve"> </w:t>
      </w:r>
      <w:r w:rsidR="00092092">
        <w:t>T</w:t>
      </w:r>
      <w:r>
        <w:t xml:space="preserve">he least aggressive </w:t>
      </w:r>
      <w:r w:rsidR="00932672">
        <w:t xml:space="preserve">and most appropriate </w:t>
      </w:r>
      <w:r>
        <w:t>method</w:t>
      </w:r>
      <w:r w:rsidR="00932672">
        <w:t>s</w:t>
      </w:r>
      <w:r>
        <w:t xml:space="preserve"> </w:t>
      </w:r>
      <w:r w:rsidR="00092092">
        <w:t xml:space="preserve">should be </w:t>
      </w:r>
      <w:r>
        <w:t>used to achieve the required result</w:t>
      </w:r>
      <w:r w:rsidR="00092092">
        <w:t>, and t</w:t>
      </w:r>
      <w:r w:rsidR="00344ED5">
        <w:t xml:space="preserve">he cleaning method should be chosen to ensure the coating is not damaged. </w:t>
      </w:r>
      <w:r w:rsidR="00092092">
        <w:t xml:space="preserve">For example, manual cleaning may be preferable to machine cleaning if biofouling is scattered across the hull or in localised aggregations, or water jetting preferable to stiff-bristled brush carts if only slime or early stage secondary biofouling is to be removed. </w:t>
      </w:r>
      <w:r w:rsidR="00932672">
        <w:t>A combination of methods</w:t>
      </w:r>
      <w:r w:rsidR="00092092">
        <w:t xml:space="preserve"> is</w:t>
      </w:r>
      <w:r w:rsidR="00932672">
        <w:t xml:space="preserve"> likely to be required for the outcome of a ‘clean hull’.</w:t>
      </w:r>
    </w:p>
    <w:p w14:paraId="0305E773" w14:textId="77777777" w:rsidR="00A4288B" w:rsidRDefault="00F56B54" w:rsidP="00A4288B">
      <w:pPr>
        <w:pStyle w:val="Heading3"/>
      </w:pPr>
      <w:bookmarkStart w:id="79" w:name="_Toc50117686"/>
      <w:r>
        <w:t>When to contain the waste</w:t>
      </w:r>
      <w:bookmarkEnd w:id="79"/>
    </w:p>
    <w:p w14:paraId="148CC607" w14:textId="77777777" w:rsidR="0000315B" w:rsidRPr="0000315B" w:rsidRDefault="00F56B54" w:rsidP="0000315B">
      <w:proofErr w:type="gramStart"/>
      <w:r>
        <w:t>With regard to</w:t>
      </w:r>
      <w:proofErr w:type="gramEnd"/>
      <w:r>
        <w:t xml:space="preserve"> chemical contamination, IWC waste should be captured and contained if the coating system is defective and paint flakes are likely to be removed during cleaning. Mesh filtration at 50 </w:t>
      </w:r>
      <w:r>
        <w:rPr>
          <w:rFonts w:ascii="Calibri" w:hAnsi="Calibri" w:cs="Calibri"/>
        </w:rPr>
        <w:t>μ</w:t>
      </w:r>
      <w:r>
        <w:t>m or less</w:t>
      </w:r>
      <w:r w:rsidR="00820BFC">
        <w:t>, as recommended in the current IWC guidelines to ensure minimal release of biological material,</w:t>
      </w:r>
      <w:r>
        <w:t xml:space="preserve"> </w:t>
      </w:r>
      <w:r w:rsidR="004F5ED1">
        <w:t xml:space="preserve">would also </w:t>
      </w:r>
      <w:r>
        <w:t>remove flakes from the waste stream.</w:t>
      </w:r>
    </w:p>
    <w:p w14:paraId="7795A434" w14:textId="77777777" w:rsidR="00C90BE6" w:rsidRDefault="00F56B54" w:rsidP="00C90BE6">
      <w:pPr>
        <w:pStyle w:val="Heading3"/>
      </w:pPr>
      <w:bookmarkStart w:id="80" w:name="_Toc50117687"/>
      <w:r>
        <w:lastRenderedPageBreak/>
        <w:t>When to treat the waste</w:t>
      </w:r>
      <w:bookmarkEnd w:id="80"/>
    </w:p>
    <w:p w14:paraId="42C94F6F" w14:textId="77777777" w:rsidR="00827747" w:rsidRDefault="00F56B54" w:rsidP="0000315B">
      <w:r>
        <w:t xml:space="preserve">Waste should be treated if the IWC is to be conducted in a semi-enclosed inshore environment and all, or sections of the hull plate on the vertical sides and/or flat bottom </w:t>
      </w:r>
      <w:r w:rsidR="00344ED5">
        <w:t>are to be cleaned. Exceptions are if:</w:t>
      </w:r>
    </w:p>
    <w:p w14:paraId="3FF92892" w14:textId="77777777" w:rsidR="00344ED5" w:rsidRDefault="00F56B54" w:rsidP="00862962">
      <w:pPr>
        <w:pStyle w:val="ListBullet"/>
      </w:pPr>
      <w:r>
        <w:t>the coating is a non-biocidal coating</w:t>
      </w:r>
    </w:p>
    <w:p w14:paraId="54963B4F" w14:textId="77777777" w:rsidR="00914497" w:rsidRDefault="00F56B54" w:rsidP="00862962">
      <w:pPr>
        <w:pStyle w:val="ListBullet"/>
      </w:pPr>
      <w:r>
        <w:t>IWC will be by manual methods only, or restricted to niche areas</w:t>
      </w:r>
    </w:p>
    <w:p w14:paraId="226E3079" w14:textId="77777777" w:rsidR="00827747" w:rsidRDefault="00F56B54" w:rsidP="00862962">
      <w:pPr>
        <w:pStyle w:val="ListBullet"/>
      </w:pPr>
      <w:r>
        <w:t>the outcome of MAMPEC</w:t>
      </w:r>
      <w:r w:rsidR="007948DB">
        <w:t xml:space="preserve"> v3.1</w:t>
      </w:r>
      <w:r>
        <w:t xml:space="preserve"> modelling for the IWC is </w:t>
      </w:r>
      <w:r w:rsidR="007948DB">
        <w:t>“low risk”</w:t>
      </w:r>
    </w:p>
    <w:p w14:paraId="78466593" w14:textId="77777777" w:rsidR="00827747" w:rsidRDefault="00F56B54" w:rsidP="00862962">
      <w:pPr>
        <w:pStyle w:val="ListBullet"/>
      </w:pPr>
      <w:r>
        <w:t>the IWC is undertaken in open waters</w:t>
      </w:r>
      <w:r w:rsidR="00914497">
        <w:t>.</w:t>
      </w:r>
    </w:p>
    <w:p w14:paraId="3FB3AD84" w14:textId="77777777" w:rsidR="00246095" w:rsidRDefault="00F56B54" w:rsidP="00246095">
      <w:pPr>
        <w:pStyle w:val="Heading3"/>
      </w:pPr>
      <w:bookmarkStart w:id="81" w:name="_Toc50117688"/>
      <w:r>
        <w:t>I</w:t>
      </w:r>
      <w:r w:rsidR="00344ED5">
        <w:t>n summary</w:t>
      </w:r>
      <w:bookmarkEnd w:id="81"/>
    </w:p>
    <w:p w14:paraId="6B147731" w14:textId="77777777" w:rsidR="00F629A2" w:rsidRDefault="00F56B54" w:rsidP="00F629A2">
      <w:r>
        <w:t xml:space="preserve">To ensure IWC (including </w:t>
      </w:r>
      <w:r w:rsidR="007948DB">
        <w:t>grooming</w:t>
      </w:r>
      <w:r>
        <w:t>)</w:t>
      </w:r>
      <w:r w:rsidR="007948DB">
        <w:t xml:space="preserve"> </w:t>
      </w:r>
      <w:r>
        <w:t xml:space="preserve">does not </w:t>
      </w:r>
      <w:r w:rsidR="005864AD">
        <w:t xml:space="preserve">result in </w:t>
      </w:r>
      <w:r>
        <w:t>potentially harmful chemical contamination of local waters, IWC should:</w:t>
      </w:r>
    </w:p>
    <w:p w14:paraId="0B2D95A1" w14:textId="77777777" w:rsidR="00F629A2" w:rsidRDefault="00F56B54" w:rsidP="00862962">
      <w:pPr>
        <w:pStyle w:val="ListBullet"/>
      </w:pPr>
      <w:r>
        <w:t xml:space="preserve">be restricted to areas </w:t>
      </w:r>
      <w:r w:rsidR="0087742A">
        <w:t xml:space="preserve">on wetted surfaces </w:t>
      </w:r>
      <w:r>
        <w:t>where growth is unacceptable, and the least aggressive and most appropriate methods used to achieve the required result.</w:t>
      </w:r>
      <w:r w:rsidR="00827747">
        <w:t xml:space="preserve"> </w:t>
      </w:r>
      <w:r>
        <w:t xml:space="preserve">The cleaning method should be chosen to ensure the coating is not damaged. A combination of methods </w:t>
      </w:r>
      <w:r w:rsidR="00272B82">
        <w:t>is</w:t>
      </w:r>
      <w:r>
        <w:t xml:space="preserve"> likely to be required for the outcome of a ‘clean hull’</w:t>
      </w:r>
      <w:r w:rsidR="00E65A34">
        <w:t>, which includes all wetted surfaces</w:t>
      </w:r>
    </w:p>
    <w:p w14:paraId="6ED1FAA8" w14:textId="77777777" w:rsidR="00F629A2" w:rsidRDefault="00F56B54" w:rsidP="00862962">
      <w:pPr>
        <w:pStyle w:val="ListBullet"/>
      </w:pPr>
      <w:r>
        <w:t>capture and contain paint waste if the coating system is defective and paint flakes are likely to be removed during cleaning</w:t>
      </w:r>
    </w:p>
    <w:p w14:paraId="0889EF94" w14:textId="77777777" w:rsidR="00426BB6" w:rsidRPr="0000315B" w:rsidRDefault="00F56B54" w:rsidP="00862962">
      <w:pPr>
        <w:pStyle w:val="ListBullet"/>
      </w:pPr>
      <w:r>
        <w:t>be monitored to ensure the cleaning method is not damaging the coating system</w:t>
      </w:r>
    </w:p>
    <w:p w14:paraId="2EB8ADA6" w14:textId="77777777" w:rsidR="00274A94" w:rsidRDefault="00F56B54" w:rsidP="00862962">
      <w:pPr>
        <w:pStyle w:val="ListBullet"/>
      </w:pPr>
      <w:r>
        <w:t>if the IWC is to be conducted in a semi-enclosed, shallow inshore environment</w:t>
      </w:r>
      <w:r w:rsidR="00426BB6">
        <w:t>,</w:t>
      </w:r>
      <w:r>
        <w:t xml:space="preserve"> </w:t>
      </w:r>
      <w:r w:rsidR="00426BB6">
        <w:t xml:space="preserve">and/or in close proximity to sensitive areas/threatened species per EPBC Act </w:t>
      </w:r>
      <w:r>
        <w:t>and all, or sections of the hull plate on the vertical sides and/or flat bottom are to be groomed or cleaned, be subject to pre-emptive risk assessment to determine</w:t>
      </w:r>
    </w:p>
    <w:p w14:paraId="7DEA8B93" w14:textId="77777777" w:rsidR="00274A94" w:rsidRDefault="00F56B54" w:rsidP="00862962">
      <w:pPr>
        <w:pStyle w:val="ListBullet2"/>
      </w:pPr>
      <w:r>
        <w:t xml:space="preserve">firstly, acceptability of hull grooming without waste capture and treatment for vessels up to a specified size </w:t>
      </w:r>
      <w:r w:rsidR="005864AD">
        <w:t xml:space="preserve">and frequency </w:t>
      </w:r>
      <w:r>
        <w:t>in specified locations</w:t>
      </w:r>
    </w:p>
    <w:p w14:paraId="29F9712D" w14:textId="77777777" w:rsidR="00F629A2" w:rsidRDefault="00F56B54" w:rsidP="00862962">
      <w:pPr>
        <w:pStyle w:val="ListBullet2"/>
      </w:pPr>
      <w:r>
        <w:t xml:space="preserve">secondly, acceptability of capture, </w:t>
      </w:r>
      <w:proofErr w:type="gramStart"/>
      <w:r>
        <w:t>containment</w:t>
      </w:r>
      <w:proofErr w:type="gramEnd"/>
      <w:r>
        <w:t xml:space="preserve"> and treatment systems to ensure the low risk of discharges from </w:t>
      </w:r>
      <w:r w:rsidR="00D1319F">
        <w:t xml:space="preserve">IWC or hull grooming not acceptable under </w:t>
      </w:r>
      <w:r w:rsidR="003863C9">
        <w:t>the</w:t>
      </w:r>
      <w:r w:rsidR="00D1319F">
        <w:t xml:space="preserve"> previous point</w:t>
      </w:r>
    </w:p>
    <w:p w14:paraId="61779F0A" w14:textId="77777777" w:rsidR="008C2178" w:rsidRDefault="00F56B54" w:rsidP="001F288E">
      <w:r>
        <w:t xml:space="preserve">The current </w:t>
      </w:r>
      <w:r w:rsidR="00E11F77">
        <w:t>guidelines</w:t>
      </w:r>
      <w:r>
        <w:t xml:space="preserve"> for Anti-Fouling and In-Water Cleaning (DoA/NZMPI 2015) includes a decision-support tool for in-water cleaning. </w:t>
      </w:r>
      <w:r w:rsidR="008A7FE7">
        <w:t>To</w:t>
      </w:r>
      <w:r w:rsidR="00551A79">
        <w:t xml:space="preserve"> show how decisions on options for capture, </w:t>
      </w:r>
      <w:proofErr w:type="gramStart"/>
      <w:r w:rsidR="00551A79">
        <w:t>containment</w:t>
      </w:r>
      <w:proofErr w:type="gramEnd"/>
      <w:r w:rsidR="00551A79">
        <w:t xml:space="preserve"> and treatment to address potential chemical contamination could be included in this tool, additional steps have been included in a modified flow chart (Figure 1). Three outcomes are possible:</w:t>
      </w:r>
    </w:p>
    <w:p w14:paraId="451D3EB7" w14:textId="77777777" w:rsidR="00161B4E" w:rsidRPr="00161B4E" w:rsidRDefault="00F56B54" w:rsidP="00862962">
      <w:pPr>
        <w:pStyle w:val="ListNumber"/>
        <w:numPr>
          <w:ilvl w:val="0"/>
          <w:numId w:val="57"/>
        </w:numPr>
      </w:pPr>
      <w:r w:rsidRPr="00444EED">
        <w:rPr>
          <w:lang w:val="en-NZ"/>
        </w:rPr>
        <w:t>In-water cleaning acceptable without requirement to contain cleaning waste, provided conditions A and B are met and a non-abrasive cleaning method is used to avoid contaminant risk and coating damage</w:t>
      </w:r>
    </w:p>
    <w:p w14:paraId="0DFBC488" w14:textId="77777777" w:rsidR="00161B4E" w:rsidRPr="00161B4E" w:rsidRDefault="00F56B54" w:rsidP="00862962">
      <w:pPr>
        <w:pStyle w:val="ListNumber"/>
      </w:pPr>
      <w:r w:rsidRPr="00161B4E">
        <w:t>In-water cleaning acceptable</w:t>
      </w:r>
    </w:p>
    <w:p w14:paraId="0EAF44EA" w14:textId="77777777" w:rsidR="00551A79" w:rsidRDefault="00F56B54" w:rsidP="00862962">
      <w:pPr>
        <w:pStyle w:val="ListNumber"/>
      </w:pPr>
      <w:r w:rsidRPr="00161B4E">
        <w:rPr>
          <w:lang w:val="en-NZ"/>
        </w:rPr>
        <w:t>In-water cleaning not recommended. Dry-docking recommended for cleaning and antifouling renewal</w:t>
      </w:r>
      <w:r>
        <w:rPr>
          <w:lang w:val="en-NZ"/>
        </w:rPr>
        <w:t>.</w:t>
      </w:r>
    </w:p>
    <w:p w14:paraId="74F37EA0" w14:textId="77777777" w:rsidR="00344ED5" w:rsidRDefault="00F56B54" w:rsidP="00344ED5">
      <w:r>
        <w:t>IWC should not:</w:t>
      </w:r>
    </w:p>
    <w:p w14:paraId="3C4DB41D" w14:textId="77777777" w:rsidR="00344ED5" w:rsidRDefault="00F56B54" w:rsidP="00862962">
      <w:pPr>
        <w:pStyle w:val="ListBullet"/>
      </w:pPr>
      <w:r>
        <w:lastRenderedPageBreak/>
        <w:t>damage the coating</w:t>
      </w:r>
    </w:p>
    <w:p w14:paraId="0C039D45" w14:textId="77777777" w:rsidR="00344ED5" w:rsidRDefault="00F56B54" w:rsidP="00862962">
      <w:pPr>
        <w:pStyle w:val="ListBullet"/>
      </w:pPr>
      <w:r>
        <w:t>cut deeply in to sound paint below the leached layer</w:t>
      </w:r>
    </w:p>
    <w:p w14:paraId="01B526A7" w14:textId="77777777" w:rsidR="00344ED5" w:rsidRPr="00344ED5" w:rsidRDefault="00F56B54" w:rsidP="00862962">
      <w:pPr>
        <w:pStyle w:val="ListBullet"/>
      </w:pPr>
      <w:r>
        <w:t>be performed in shallow, enclosed water bodies</w:t>
      </w:r>
      <w:r w:rsidR="005864AD">
        <w:t xml:space="preserve"> without </w:t>
      </w:r>
      <w:r w:rsidR="009F3437">
        <w:t>a risk assessment</w:t>
      </w:r>
    </w:p>
    <w:p w14:paraId="1D988C31" w14:textId="77777777" w:rsidR="00D050E9" w:rsidRDefault="00F56B54" w:rsidP="00862962">
      <w:pPr>
        <w:pStyle w:val="ListBullet"/>
      </w:pPr>
      <w:r>
        <w:t xml:space="preserve">be permitted if the vessel </w:t>
      </w:r>
      <w:r w:rsidR="00AC2561">
        <w:t xml:space="preserve">does not have </w:t>
      </w:r>
      <w:r>
        <w:t>a valid International Anti-Fouling System Certificate or Declaration on Anti-Fouling System</w:t>
      </w:r>
      <w:r w:rsidR="00D1319F">
        <w:t xml:space="preserve"> that lists biocides present in the coating</w:t>
      </w:r>
    </w:p>
    <w:p w14:paraId="0046FE23" w14:textId="77777777" w:rsidR="00827747" w:rsidRDefault="00F56B54" w:rsidP="00862962">
      <w:pPr>
        <w:pStyle w:val="ListBullet"/>
      </w:pPr>
      <w:r>
        <w:t xml:space="preserve">be permitted </w:t>
      </w:r>
      <w:r w:rsidR="00AC2561">
        <w:t xml:space="preserve">if the AFC </w:t>
      </w:r>
      <w:r>
        <w:t>contain</w:t>
      </w:r>
      <w:r w:rsidR="00AC2561">
        <w:t>s</w:t>
      </w:r>
      <w:r>
        <w:t xml:space="preserve"> diuron</w:t>
      </w:r>
      <w:r w:rsidR="00B850D8">
        <w:t xml:space="preserve">, </w:t>
      </w:r>
      <w:r>
        <w:t>cybutryne</w:t>
      </w:r>
      <w:r w:rsidR="00795447">
        <w:t>, ziram</w:t>
      </w:r>
      <w:r w:rsidR="0087742A">
        <w:t>,</w:t>
      </w:r>
      <w:r w:rsidR="00831CD4">
        <w:t xml:space="preserve"> </w:t>
      </w:r>
      <w:r w:rsidR="00B850D8">
        <w:t>chlorothalonil</w:t>
      </w:r>
      <w:r>
        <w:t xml:space="preserve"> </w:t>
      </w:r>
      <w:r w:rsidR="0087742A">
        <w:t>or other biocides restricted or banned elsewhere in the world</w:t>
      </w:r>
    </w:p>
    <w:p w14:paraId="3E903006" w14:textId="77777777" w:rsidR="00D050E9" w:rsidRDefault="00F56B54" w:rsidP="00862962">
      <w:pPr>
        <w:pStyle w:val="ListBullet"/>
      </w:pPr>
      <w:r>
        <w:t xml:space="preserve">be permitted if the specified service-life for the antifouling systems applied at the last dry-docking has been </w:t>
      </w:r>
      <w:r w:rsidR="00831CD4">
        <w:t>exceeded and</w:t>
      </w:r>
      <w:r w:rsidR="00274A94">
        <w:t xml:space="preserve"> is not recommended if the end of the service life and scheduled dry-docking </w:t>
      </w:r>
      <w:r w:rsidR="003863C9">
        <w:t xml:space="preserve">is </w:t>
      </w:r>
      <w:r w:rsidR="00274A94">
        <w:t>within 6 months</w:t>
      </w:r>
    </w:p>
    <w:p w14:paraId="3C8F2F92" w14:textId="77777777" w:rsidR="00827747" w:rsidRDefault="00F56B54" w:rsidP="00862962">
      <w:pPr>
        <w:pStyle w:val="ListBullet"/>
      </w:pPr>
      <w:r>
        <w:t>be undertaken</w:t>
      </w:r>
      <w:r w:rsidR="000F37C1">
        <w:t xml:space="preserve"> if there is </w:t>
      </w:r>
      <w:r w:rsidR="00351DD7">
        <w:t xml:space="preserve">extensive </w:t>
      </w:r>
      <w:r w:rsidR="000F37C1">
        <w:t xml:space="preserve">significant </w:t>
      </w:r>
      <w:r w:rsidR="00351DD7">
        <w:t xml:space="preserve">coating system </w:t>
      </w:r>
      <w:r w:rsidR="000F37C1">
        <w:t xml:space="preserve">breakdown </w:t>
      </w:r>
      <w:r w:rsidR="00351DD7">
        <w:t xml:space="preserve">with </w:t>
      </w:r>
      <w:r w:rsidR="000F37C1">
        <w:t xml:space="preserve">flaking or lifting of the paint. </w:t>
      </w:r>
      <w:r w:rsidR="00351DD7">
        <w:t>The vessel should</w:t>
      </w:r>
      <w:r>
        <w:t>, instead,</w:t>
      </w:r>
      <w:r w:rsidR="00351DD7">
        <w:t xml:space="preserve"> be dry-docked for coating system repair, </w:t>
      </w:r>
      <w:proofErr w:type="gramStart"/>
      <w:r w:rsidR="00351DD7">
        <w:t>renewal</w:t>
      </w:r>
      <w:proofErr w:type="gramEnd"/>
      <w:r w:rsidR="00351DD7">
        <w:t xml:space="preserve"> or replacement</w:t>
      </w:r>
    </w:p>
    <w:p w14:paraId="5C20D0A6" w14:textId="77777777" w:rsidR="00827747" w:rsidRDefault="00F56B54" w:rsidP="00862962">
      <w:pPr>
        <w:pStyle w:val="ListBullet"/>
      </w:pPr>
      <w:r>
        <w:t>be undertaken without capture i</w:t>
      </w:r>
      <w:r w:rsidR="00351DD7">
        <w:t xml:space="preserve">f </w:t>
      </w:r>
      <w:r>
        <w:t xml:space="preserve">there </w:t>
      </w:r>
      <w:r w:rsidR="00272B82">
        <w:t xml:space="preserve">are </w:t>
      </w:r>
      <w:r w:rsidR="00351DD7">
        <w:t>area</w:t>
      </w:r>
      <w:r>
        <w:t xml:space="preserve">s </w:t>
      </w:r>
      <w:r w:rsidR="00351DD7">
        <w:t xml:space="preserve">of </w:t>
      </w:r>
      <w:r>
        <w:t xml:space="preserve">significant </w:t>
      </w:r>
      <w:r w:rsidR="00351DD7">
        <w:t xml:space="preserve">breakdown </w:t>
      </w:r>
      <w:r>
        <w:t xml:space="preserve">and </w:t>
      </w:r>
      <w:r w:rsidR="00351DD7">
        <w:t>cleaning is required for emergency reasons</w:t>
      </w:r>
      <w:r w:rsidR="005864AD">
        <w:t>,</w:t>
      </w:r>
      <w:r w:rsidR="00475307" w:rsidRPr="00475307">
        <w:t xml:space="preserve"> </w:t>
      </w:r>
      <w:r w:rsidR="00475307">
        <w:t xml:space="preserve">such as </w:t>
      </w:r>
      <w:r w:rsidR="005864AD">
        <w:t>biosecurity</w:t>
      </w:r>
      <w:r w:rsidR="00475307">
        <w:t xml:space="preserve"> emergencies</w:t>
      </w:r>
      <w:r w:rsidR="00351DD7">
        <w:t>.</w:t>
      </w:r>
    </w:p>
    <w:p w14:paraId="71F15D9F" w14:textId="77777777" w:rsidR="00D1319F" w:rsidRDefault="00F56B54" w:rsidP="00D1319F">
      <w:r>
        <w:t xml:space="preserve">To refine and improve outcomes of the above recommendations on risk assessment, additional data of benefit would </w:t>
      </w:r>
      <w:r w:rsidR="005864AD">
        <w:t>include</w:t>
      </w:r>
      <w:r w:rsidR="00914497">
        <w:t>:</w:t>
      </w:r>
    </w:p>
    <w:p w14:paraId="53A19D7D" w14:textId="77777777" w:rsidR="001730C6" w:rsidRDefault="00F56B54" w:rsidP="00862962">
      <w:pPr>
        <w:pStyle w:val="ListBullet"/>
      </w:pPr>
      <w:r>
        <w:t>physical and hydrological parameters for harbours and other water bodies where IWC could be undertaken to define those locations in MAMPEC modelling</w:t>
      </w:r>
    </w:p>
    <w:p w14:paraId="7A23A0A5" w14:textId="77777777" w:rsidR="00D1319F" w:rsidRDefault="00F56B54" w:rsidP="001F288E">
      <w:pPr>
        <w:pStyle w:val="ListBullet"/>
      </w:pPr>
      <w:r>
        <w:t>the biocide content of the leached layer and biofilm that develops on the surface of AFCs</w:t>
      </w:r>
      <w:r w:rsidR="00AA441A">
        <w:t>, including on different AFCs and AFCs of different ages</w:t>
      </w:r>
      <w:r>
        <w:t>.</w:t>
      </w:r>
    </w:p>
    <w:p w14:paraId="43D6CAC9" w14:textId="77777777" w:rsidR="008C2178" w:rsidRDefault="008C2178">
      <w:pPr>
        <w:spacing w:after="0" w:line="240" w:lineRule="auto"/>
      </w:pPr>
    </w:p>
    <w:p w14:paraId="222E49C7" w14:textId="77777777" w:rsidR="008C2178" w:rsidRDefault="008C2178">
      <w:pPr>
        <w:pStyle w:val="ListBullet"/>
        <w:numPr>
          <w:ilvl w:val="0"/>
          <w:numId w:val="0"/>
        </w:numPr>
        <w:sectPr w:rsidR="008C2178">
          <w:headerReference w:type="default" r:id="rId16"/>
          <w:footerReference w:type="default" r:id="rId17"/>
          <w:headerReference w:type="first" r:id="rId18"/>
          <w:pgSz w:w="11906" w:h="16838"/>
          <w:pgMar w:top="1418" w:right="1418" w:bottom="1418" w:left="1418" w:header="567" w:footer="283" w:gutter="0"/>
          <w:pgNumType w:start="1"/>
          <w:cols w:space="708"/>
          <w:docGrid w:linePitch="360"/>
        </w:sectPr>
      </w:pPr>
    </w:p>
    <w:p w14:paraId="64D11914" w14:textId="383AC624" w:rsidR="008C2178" w:rsidRDefault="00F56B54" w:rsidP="009E7B94">
      <w:pPr>
        <w:pStyle w:val="Caption"/>
        <w:rPr>
          <w:lang w:eastAsia="ja-JP"/>
        </w:rPr>
      </w:pPr>
      <w:bookmarkStart w:id="82" w:name="_Toc430782160"/>
      <w:r>
        <w:lastRenderedPageBreak/>
        <w:t xml:space="preserve">Figure </w:t>
      </w:r>
      <w:r w:rsidR="0031761D">
        <w:rPr>
          <w:noProof/>
        </w:rPr>
        <w:fldChar w:fldCharType="begin"/>
      </w:r>
      <w:r w:rsidR="0031761D">
        <w:rPr>
          <w:noProof/>
        </w:rPr>
        <w:instrText xml:space="preserve"> SEQ Figure \* ARABIC </w:instrText>
      </w:r>
      <w:r w:rsidR="0031761D">
        <w:rPr>
          <w:noProof/>
        </w:rPr>
        <w:fldChar w:fldCharType="separate"/>
      </w:r>
      <w:r w:rsidR="001C040D">
        <w:rPr>
          <w:noProof/>
        </w:rPr>
        <w:t>1</w:t>
      </w:r>
      <w:r w:rsidR="0031761D">
        <w:rPr>
          <w:noProof/>
        </w:rPr>
        <w:fldChar w:fldCharType="end"/>
      </w:r>
      <w:r>
        <w:t xml:space="preserve"> </w:t>
      </w:r>
      <w:r w:rsidRPr="009E7B94">
        <w:t>Decision-support tool for in-water cleaning, with decision points added to address potential chemical contamination</w:t>
      </w:r>
    </w:p>
    <w:p w14:paraId="44BC0089" w14:textId="77777777" w:rsidR="009E7B94" w:rsidRDefault="00F56B54" w:rsidP="00551A79">
      <w:pPr>
        <w:pStyle w:val="FigureTableNoteSource"/>
        <w:jc w:val="center"/>
        <w:rPr>
          <w:lang w:eastAsia="ja-JP"/>
        </w:rPr>
      </w:pPr>
      <w:r w:rsidRPr="00ED02C4">
        <w:rPr>
          <w:noProof/>
          <w:lang w:eastAsia="en-AU"/>
        </w:rPr>
        <w:drawing>
          <wp:inline distT="0" distB="0" distL="0" distR="0" wp14:anchorId="6C231CE3" wp14:editId="1A18328B">
            <wp:extent cx="7118729" cy="5339047"/>
            <wp:effectExtent l="19050" t="19050" r="25400" b="14605"/>
            <wp:docPr id="9" name="Picture 9" descr="This image shows a flow chart to assist decision makers when assessing acceptability of In-Water Cleaning activities based on biofouling origin, type of treatment or cleaning, including whether the method uses capture or filtration, the  type, age and condition of antifoulant coating, level of fouling and port environmental conditions. Using this decision tool, in water cleaning is only acceptable if a non-biocidal coating is to be groomed, or if MAMPEC modelling has been completed to ensure that chemical release will not exceed environmental limits and the cleaning method ensures that unacceptable amounts of biological material are not released into the water column" title="Decision Support Tool for in-water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9797" name=""/>
                    <pic:cNvPicPr/>
                  </pic:nvPicPr>
                  <pic:blipFill>
                    <a:blip r:embed="rId19"/>
                    <a:stretch>
                      <a:fillRect/>
                    </a:stretch>
                  </pic:blipFill>
                  <pic:spPr>
                    <a:xfrm>
                      <a:off x="0" y="0"/>
                      <a:ext cx="7142102" cy="5356577"/>
                    </a:xfrm>
                    <a:prstGeom prst="rect">
                      <a:avLst/>
                    </a:prstGeom>
                    <a:ln w="6350">
                      <a:solidFill>
                        <a:schemeClr val="tx1"/>
                      </a:solidFill>
                    </a:ln>
                  </pic:spPr>
                </pic:pic>
              </a:graphicData>
            </a:graphic>
          </wp:inline>
        </w:drawing>
      </w:r>
    </w:p>
    <w:p w14:paraId="7B6D73AA" w14:textId="77777777" w:rsidR="00764D6A" w:rsidRDefault="00F56B54">
      <w:pPr>
        <w:pStyle w:val="Heading2"/>
        <w:numPr>
          <w:ilvl w:val="0"/>
          <w:numId w:val="0"/>
        </w:numPr>
        <w:ind w:left="709" w:hanging="709"/>
      </w:pPr>
      <w:bookmarkStart w:id="83" w:name="_Appendix_A:_APVMA"/>
      <w:bookmarkStart w:id="84" w:name="_Toc50117689"/>
      <w:bookmarkEnd w:id="83"/>
      <w:r>
        <w:lastRenderedPageBreak/>
        <w:t xml:space="preserve">Appendix A: </w:t>
      </w:r>
      <w:r w:rsidR="00732BDA">
        <w:t xml:space="preserve">APVMA </w:t>
      </w:r>
      <w:r w:rsidR="009E7B94">
        <w:t>a</w:t>
      </w:r>
      <w:r w:rsidR="00732BDA">
        <w:t xml:space="preserve">pproved </w:t>
      </w:r>
      <w:r w:rsidR="009E7B94">
        <w:t>a</w:t>
      </w:r>
      <w:r w:rsidR="00732BDA">
        <w:t xml:space="preserve">ntifouling </w:t>
      </w:r>
      <w:r w:rsidR="009E7B94">
        <w:t>p</w:t>
      </w:r>
      <w:r w:rsidR="00732BDA">
        <w:t>roducts</w:t>
      </w:r>
      <w:bookmarkEnd w:id="82"/>
      <w:bookmarkEnd w:id="84"/>
    </w:p>
    <w:p w14:paraId="30FB302D" w14:textId="5448421F" w:rsidR="00764D6A" w:rsidRDefault="00F56B54">
      <w:pPr>
        <w:pStyle w:val="Caption"/>
      </w:pPr>
      <w:bookmarkStart w:id="85" w:name="_Toc401230265"/>
      <w:bookmarkStart w:id="86" w:name="_Toc36214030"/>
      <w:r>
        <w:t>Table A</w:t>
      </w:r>
      <w:r>
        <w:rPr>
          <w:noProof/>
        </w:rPr>
        <w:fldChar w:fldCharType="begin"/>
      </w:r>
      <w:r>
        <w:rPr>
          <w:noProof/>
        </w:rPr>
        <w:instrText xml:space="preserve"> SEQ Table_A \* ARABIC </w:instrText>
      </w:r>
      <w:r>
        <w:rPr>
          <w:noProof/>
        </w:rPr>
        <w:fldChar w:fldCharType="separate"/>
      </w:r>
      <w:r w:rsidR="001C040D">
        <w:rPr>
          <w:noProof/>
        </w:rPr>
        <w:t>1</w:t>
      </w:r>
      <w:r>
        <w:rPr>
          <w:noProof/>
        </w:rPr>
        <w:fldChar w:fldCharType="end"/>
      </w:r>
      <w:r>
        <w:t xml:space="preserve"> </w:t>
      </w:r>
      <w:r w:rsidR="00646EDB">
        <w:t xml:space="preserve">APVMA </w:t>
      </w:r>
      <w:r w:rsidR="009E7B94">
        <w:t>a</w:t>
      </w:r>
      <w:r w:rsidR="00646EDB">
        <w:t xml:space="preserve">pproved </w:t>
      </w:r>
      <w:r w:rsidR="009E7B94">
        <w:t>a</w:t>
      </w:r>
      <w:r w:rsidR="00646EDB">
        <w:t xml:space="preserve">ntifouling </w:t>
      </w:r>
      <w:r w:rsidR="009E7B94">
        <w:t>p</w:t>
      </w:r>
      <w:r w:rsidR="00646EDB">
        <w:t>roducts, 2020-03</w:t>
      </w:r>
      <w:bookmarkEnd w:id="85"/>
      <w:bookmarkEnd w:id="86"/>
    </w:p>
    <w:tbl>
      <w:tblPr>
        <w:tblW w:w="0" w:type="auto"/>
        <w:jc w:val="center"/>
        <w:tblBorders>
          <w:top w:val="single" w:sz="6" w:space="0" w:color="auto"/>
          <w:bottom w:val="single" w:sz="4" w:space="0" w:color="auto"/>
        </w:tblBorders>
        <w:tblCellMar>
          <w:left w:w="40" w:type="dxa"/>
          <w:right w:w="40" w:type="dxa"/>
        </w:tblCellMar>
        <w:tblLook w:val="0000" w:firstRow="0" w:lastRow="0" w:firstColumn="0" w:lastColumn="0" w:noHBand="0" w:noVBand="0"/>
      </w:tblPr>
      <w:tblGrid>
        <w:gridCol w:w="7339"/>
        <w:gridCol w:w="715"/>
        <w:gridCol w:w="615"/>
        <w:gridCol w:w="559"/>
        <w:gridCol w:w="559"/>
        <w:gridCol w:w="423"/>
        <w:gridCol w:w="423"/>
        <w:gridCol w:w="423"/>
        <w:gridCol w:w="423"/>
        <w:gridCol w:w="423"/>
        <w:gridCol w:w="423"/>
      </w:tblGrid>
      <w:tr w:rsidR="004F6729" w14:paraId="6C5AEE27" w14:textId="77777777" w:rsidTr="001278A9">
        <w:trPr>
          <w:cantSplit/>
          <w:trHeight w:val="2040"/>
          <w:tblHeader/>
          <w:jc w:val="center"/>
        </w:trPr>
        <w:tc>
          <w:tcPr>
            <w:tcW w:w="0" w:type="auto"/>
            <w:tcBorders>
              <w:top w:val="single" w:sz="6" w:space="0" w:color="auto"/>
              <w:bottom w:val="single" w:sz="4" w:space="0" w:color="auto"/>
            </w:tcBorders>
            <w:tcMar>
              <w:left w:w="108" w:type="dxa"/>
              <w:right w:w="108" w:type="dxa"/>
            </w:tcMar>
            <w:vAlign w:val="center"/>
          </w:tcPr>
          <w:p w14:paraId="2F740C16" w14:textId="77777777" w:rsidR="009E7B94" w:rsidRDefault="00F56B54" w:rsidP="00976FB6">
            <w:pPr>
              <w:pStyle w:val="TableHeading"/>
            </w:pPr>
            <w:r>
              <w:t>Company / Product</w:t>
            </w:r>
          </w:p>
        </w:tc>
        <w:tc>
          <w:tcPr>
            <w:tcW w:w="0" w:type="auto"/>
            <w:tcBorders>
              <w:top w:val="single" w:sz="6" w:space="0" w:color="auto"/>
              <w:bottom w:val="single" w:sz="4" w:space="0" w:color="auto"/>
            </w:tcBorders>
            <w:tcMar>
              <w:left w:w="108" w:type="dxa"/>
              <w:right w:w="108" w:type="dxa"/>
            </w:tcMar>
            <w:textDirection w:val="btLr"/>
            <w:vAlign w:val="center"/>
          </w:tcPr>
          <w:p w14:paraId="12006463" w14:textId="77777777" w:rsidR="009E7B94" w:rsidRDefault="00F56B54" w:rsidP="00976FB6">
            <w:pPr>
              <w:pStyle w:val="TableHeading"/>
              <w:ind w:left="113" w:right="113"/>
            </w:pPr>
            <w:r>
              <w:t>Approval No.</w:t>
            </w:r>
          </w:p>
        </w:tc>
        <w:tc>
          <w:tcPr>
            <w:tcW w:w="0" w:type="auto"/>
            <w:tcBorders>
              <w:top w:val="single" w:sz="6" w:space="0" w:color="auto"/>
              <w:bottom w:val="single" w:sz="4" w:space="0" w:color="auto"/>
            </w:tcBorders>
            <w:tcMar>
              <w:left w:w="108" w:type="dxa"/>
              <w:right w:w="108" w:type="dxa"/>
            </w:tcMar>
            <w:textDirection w:val="btLr"/>
            <w:vAlign w:val="center"/>
          </w:tcPr>
          <w:p w14:paraId="3417ECE0" w14:textId="77777777" w:rsidR="009E7B94" w:rsidRDefault="00F56B54" w:rsidP="00976FB6">
            <w:pPr>
              <w:pStyle w:val="TableHeading"/>
              <w:ind w:left="113" w:right="113"/>
            </w:pPr>
            <w:r>
              <w:t>Year of 1</w:t>
            </w:r>
            <w:r w:rsidRPr="006C1459">
              <w:rPr>
                <w:vertAlign w:val="superscript"/>
              </w:rPr>
              <w:t>st</w:t>
            </w:r>
            <w:r>
              <w:t xml:space="preserve"> Approval</w:t>
            </w:r>
          </w:p>
        </w:tc>
        <w:tc>
          <w:tcPr>
            <w:tcW w:w="0" w:type="auto"/>
            <w:tcBorders>
              <w:top w:val="single" w:sz="6" w:space="0" w:color="auto"/>
              <w:bottom w:val="single" w:sz="4" w:space="0" w:color="auto"/>
            </w:tcBorders>
            <w:tcMar>
              <w:left w:w="108" w:type="dxa"/>
              <w:right w:w="108" w:type="dxa"/>
            </w:tcMar>
            <w:textDirection w:val="btLr"/>
            <w:vAlign w:val="center"/>
          </w:tcPr>
          <w:p w14:paraId="14E72F16" w14:textId="77777777" w:rsidR="009E7B94" w:rsidRDefault="00F56B54" w:rsidP="00976FB6">
            <w:pPr>
              <w:pStyle w:val="TableHeading"/>
              <w:ind w:left="113" w:right="113"/>
            </w:pPr>
            <w:r>
              <w:t>Cuprous oxide</w:t>
            </w:r>
          </w:p>
        </w:tc>
        <w:tc>
          <w:tcPr>
            <w:tcW w:w="0" w:type="auto"/>
            <w:tcBorders>
              <w:top w:val="single" w:sz="6" w:space="0" w:color="auto"/>
              <w:bottom w:val="single" w:sz="4" w:space="0" w:color="auto"/>
            </w:tcBorders>
            <w:tcMar>
              <w:left w:w="108" w:type="dxa"/>
              <w:right w:w="108" w:type="dxa"/>
            </w:tcMar>
            <w:textDirection w:val="btLr"/>
            <w:vAlign w:val="center"/>
          </w:tcPr>
          <w:p w14:paraId="04060D14" w14:textId="77777777" w:rsidR="009E7B94" w:rsidRDefault="00F56B54" w:rsidP="00976FB6">
            <w:pPr>
              <w:pStyle w:val="TableHeading"/>
              <w:ind w:left="113" w:right="113"/>
            </w:pPr>
            <w:r>
              <w:t>Cuprous thiocyanate</w:t>
            </w:r>
          </w:p>
        </w:tc>
        <w:tc>
          <w:tcPr>
            <w:tcW w:w="0" w:type="auto"/>
            <w:tcBorders>
              <w:top w:val="single" w:sz="6" w:space="0" w:color="auto"/>
              <w:bottom w:val="single" w:sz="4" w:space="0" w:color="auto"/>
            </w:tcBorders>
            <w:textDirection w:val="btLr"/>
            <w:vAlign w:val="center"/>
          </w:tcPr>
          <w:p w14:paraId="77306093" w14:textId="77777777" w:rsidR="009E7B94" w:rsidRDefault="00F56B54" w:rsidP="00976FB6">
            <w:pPr>
              <w:pStyle w:val="TableHeading"/>
              <w:ind w:left="113" w:right="113"/>
            </w:pPr>
            <w:r>
              <w:t>Diuron</w:t>
            </w:r>
          </w:p>
        </w:tc>
        <w:tc>
          <w:tcPr>
            <w:tcW w:w="0" w:type="auto"/>
            <w:tcBorders>
              <w:top w:val="single" w:sz="6" w:space="0" w:color="auto"/>
              <w:bottom w:val="single" w:sz="4" w:space="0" w:color="auto"/>
            </w:tcBorders>
            <w:textDirection w:val="btLr"/>
            <w:vAlign w:val="center"/>
          </w:tcPr>
          <w:p w14:paraId="15F5DCF8" w14:textId="77777777" w:rsidR="009E7B94" w:rsidRDefault="00F56B54" w:rsidP="00976FB6">
            <w:pPr>
              <w:pStyle w:val="TableHeading"/>
              <w:ind w:left="113" w:right="113"/>
            </w:pPr>
            <w:r>
              <w:t>Thiram</w:t>
            </w:r>
          </w:p>
        </w:tc>
        <w:tc>
          <w:tcPr>
            <w:tcW w:w="0" w:type="auto"/>
            <w:tcBorders>
              <w:top w:val="single" w:sz="6" w:space="0" w:color="auto"/>
              <w:bottom w:val="single" w:sz="4" w:space="0" w:color="auto"/>
            </w:tcBorders>
            <w:textDirection w:val="btLr"/>
            <w:vAlign w:val="center"/>
          </w:tcPr>
          <w:p w14:paraId="142AC96C" w14:textId="77777777" w:rsidR="009E7B94" w:rsidRDefault="00F56B54" w:rsidP="00976FB6">
            <w:pPr>
              <w:pStyle w:val="TableHeading"/>
              <w:ind w:left="113" w:right="113"/>
            </w:pPr>
            <w:r>
              <w:t>Zineb</w:t>
            </w:r>
          </w:p>
        </w:tc>
        <w:tc>
          <w:tcPr>
            <w:tcW w:w="0" w:type="auto"/>
            <w:tcBorders>
              <w:top w:val="single" w:sz="6" w:space="0" w:color="auto"/>
              <w:bottom w:val="single" w:sz="4" w:space="0" w:color="auto"/>
            </w:tcBorders>
            <w:textDirection w:val="btLr"/>
            <w:vAlign w:val="center"/>
          </w:tcPr>
          <w:p w14:paraId="487DF7F8" w14:textId="77777777" w:rsidR="009E7B94" w:rsidRDefault="00F56B54" w:rsidP="00976FB6">
            <w:pPr>
              <w:pStyle w:val="TableHeading"/>
              <w:ind w:left="113" w:right="113"/>
            </w:pPr>
            <w:r>
              <w:t>DCOIT</w:t>
            </w:r>
          </w:p>
        </w:tc>
        <w:tc>
          <w:tcPr>
            <w:tcW w:w="0" w:type="auto"/>
            <w:tcBorders>
              <w:top w:val="single" w:sz="6" w:space="0" w:color="auto"/>
              <w:bottom w:val="single" w:sz="4" w:space="0" w:color="auto"/>
            </w:tcBorders>
            <w:textDirection w:val="btLr"/>
            <w:vAlign w:val="center"/>
          </w:tcPr>
          <w:p w14:paraId="239EC6BA" w14:textId="77777777" w:rsidR="009E7B94" w:rsidRDefault="00F56B54" w:rsidP="00976FB6">
            <w:pPr>
              <w:pStyle w:val="TableHeading"/>
              <w:ind w:left="113" w:right="113"/>
            </w:pPr>
            <w:r>
              <w:t>Zinc pyrithione</w:t>
            </w:r>
          </w:p>
        </w:tc>
        <w:tc>
          <w:tcPr>
            <w:tcW w:w="0" w:type="auto"/>
            <w:tcBorders>
              <w:top w:val="single" w:sz="6" w:space="0" w:color="auto"/>
              <w:bottom w:val="single" w:sz="4" w:space="0" w:color="auto"/>
            </w:tcBorders>
            <w:textDirection w:val="btLr"/>
            <w:vAlign w:val="center"/>
          </w:tcPr>
          <w:p w14:paraId="1D3A9B0C" w14:textId="77777777" w:rsidR="009E7B94" w:rsidRDefault="00F56B54" w:rsidP="00976FB6">
            <w:pPr>
              <w:pStyle w:val="TableHeading"/>
              <w:ind w:left="113" w:right="113"/>
            </w:pPr>
            <w:r>
              <w:t>Copper pyrithione</w:t>
            </w:r>
          </w:p>
        </w:tc>
      </w:tr>
      <w:tr w:rsidR="004F6729" w14:paraId="0277D733" w14:textId="77777777" w:rsidTr="00C61E5A">
        <w:trPr>
          <w:jc w:val="center"/>
        </w:trPr>
        <w:tc>
          <w:tcPr>
            <w:tcW w:w="0" w:type="auto"/>
            <w:gridSpan w:val="11"/>
            <w:tcMar>
              <w:left w:w="108" w:type="dxa"/>
              <w:right w:w="108" w:type="dxa"/>
            </w:tcMar>
          </w:tcPr>
          <w:p w14:paraId="776F435A" w14:textId="77777777" w:rsidR="009600DA" w:rsidRDefault="00F56B54" w:rsidP="003378D5">
            <w:pPr>
              <w:pStyle w:val="TableText"/>
            </w:pPr>
            <w:r w:rsidRPr="006F0813">
              <w:t>AKZO NOBEL PTY LIMITED</w:t>
            </w:r>
          </w:p>
        </w:tc>
      </w:tr>
      <w:tr w:rsidR="004F6729" w14:paraId="51162EBA" w14:textId="77777777" w:rsidTr="001278A9">
        <w:trPr>
          <w:jc w:val="center"/>
        </w:trPr>
        <w:tc>
          <w:tcPr>
            <w:tcW w:w="0" w:type="auto"/>
            <w:tcMar>
              <w:left w:w="108" w:type="dxa"/>
              <w:right w:w="108" w:type="dxa"/>
            </w:tcMar>
          </w:tcPr>
          <w:p w14:paraId="4A876A9C" w14:textId="77777777" w:rsidR="009E7B94" w:rsidRDefault="00F56B54" w:rsidP="00976FB6">
            <w:pPr>
              <w:pStyle w:val="TableText"/>
            </w:pPr>
            <w:r>
              <w:t>Interclene 165 Bright Red Tin Free Antifouling</w:t>
            </w:r>
          </w:p>
        </w:tc>
        <w:tc>
          <w:tcPr>
            <w:tcW w:w="0" w:type="auto"/>
            <w:tcMar>
              <w:left w:w="108" w:type="dxa"/>
              <w:right w:w="108" w:type="dxa"/>
            </w:tcMar>
            <w:vAlign w:val="center"/>
          </w:tcPr>
          <w:p w14:paraId="4811CD86" w14:textId="77777777" w:rsidR="009E7B94" w:rsidRDefault="00F56B54" w:rsidP="00976FB6">
            <w:pPr>
              <w:pStyle w:val="TableText"/>
              <w:jc w:val="center"/>
            </w:pPr>
            <w:r>
              <w:t>45412</w:t>
            </w:r>
          </w:p>
        </w:tc>
        <w:tc>
          <w:tcPr>
            <w:tcW w:w="0" w:type="auto"/>
            <w:tcMar>
              <w:left w:w="108" w:type="dxa"/>
              <w:right w:w="108" w:type="dxa"/>
            </w:tcMar>
            <w:vAlign w:val="center"/>
          </w:tcPr>
          <w:p w14:paraId="6E0658E8" w14:textId="77777777" w:rsidR="009E7B94" w:rsidRDefault="00F56B54" w:rsidP="00976FB6">
            <w:pPr>
              <w:pStyle w:val="TableText"/>
              <w:jc w:val="center"/>
            </w:pPr>
            <w:r>
              <w:t>1995</w:t>
            </w:r>
          </w:p>
        </w:tc>
        <w:tc>
          <w:tcPr>
            <w:tcW w:w="0" w:type="auto"/>
            <w:tcMar>
              <w:left w:w="108" w:type="dxa"/>
              <w:right w:w="108" w:type="dxa"/>
            </w:tcMar>
          </w:tcPr>
          <w:p w14:paraId="048DA436" w14:textId="77777777" w:rsidR="009E7B94" w:rsidRPr="00DB6631" w:rsidRDefault="00F56B54" w:rsidP="00976FB6">
            <w:pPr>
              <w:pStyle w:val="TableText"/>
              <w:ind w:left="-106" w:hanging="12"/>
              <w:jc w:val="center"/>
              <w:rPr>
                <w:b/>
                <w:bCs/>
              </w:rPr>
            </w:pPr>
            <w:r w:rsidRPr="00DB6631">
              <w:rPr>
                <w:b/>
                <w:bCs/>
              </w:rPr>
              <w:t>+</w:t>
            </w:r>
          </w:p>
        </w:tc>
        <w:tc>
          <w:tcPr>
            <w:tcW w:w="0" w:type="auto"/>
            <w:tcMar>
              <w:left w:w="108" w:type="dxa"/>
              <w:right w:w="108" w:type="dxa"/>
            </w:tcMar>
          </w:tcPr>
          <w:p w14:paraId="48E15CB2" w14:textId="77777777" w:rsidR="009E7B94" w:rsidRPr="00DB6631" w:rsidRDefault="00F56B54" w:rsidP="00976FB6">
            <w:pPr>
              <w:pStyle w:val="TableText"/>
              <w:jc w:val="center"/>
              <w:rPr>
                <w:b/>
                <w:bCs/>
              </w:rPr>
            </w:pPr>
            <w:r w:rsidRPr="00DB6631">
              <w:rPr>
                <w:b/>
                <w:bCs/>
              </w:rPr>
              <w:t>-</w:t>
            </w:r>
          </w:p>
        </w:tc>
        <w:tc>
          <w:tcPr>
            <w:tcW w:w="0" w:type="auto"/>
          </w:tcPr>
          <w:p w14:paraId="08ADF188" w14:textId="77777777" w:rsidR="009E7B94" w:rsidRPr="00DB6631" w:rsidRDefault="00F56B54" w:rsidP="00976FB6">
            <w:pPr>
              <w:pStyle w:val="TableText"/>
              <w:jc w:val="center"/>
              <w:rPr>
                <w:b/>
                <w:bCs/>
              </w:rPr>
            </w:pPr>
            <w:r w:rsidRPr="00DB6631">
              <w:rPr>
                <w:b/>
                <w:bCs/>
              </w:rPr>
              <w:t>+</w:t>
            </w:r>
          </w:p>
        </w:tc>
        <w:tc>
          <w:tcPr>
            <w:tcW w:w="0" w:type="auto"/>
          </w:tcPr>
          <w:p w14:paraId="1417B238" w14:textId="77777777" w:rsidR="009E7B94" w:rsidRPr="00DB6631" w:rsidRDefault="00F56B54" w:rsidP="00976FB6">
            <w:pPr>
              <w:pStyle w:val="TableText"/>
              <w:jc w:val="center"/>
              <w:rPr>
                <w:b/>
                <w:bCs/>
              </w:rPr>
            </w:pPr>
            <w:r w:rsidRPr="00DB6631">
              <w:rPr>
                <w:b/>
                <w:bCs/>
              </w:rPr>
              <w:t>-</w:t>
            </w:r>
          </w:p>
        </w:tc>
        <w:tc>
          <w:tcPr>
            <w:tcW w:w="0" w:type="auto"/>
          </w:tcPr>
          <w:p w14:paraId="6C1CD094" w14:textId="77777777" w:rsidR="009E7B94" w:rsidRPr="00DB6631" w:rsidRDefault="00F56B54" w:rsidP="00976FB6">
            <w:pPr>
              <w:pStyle w:val="TableText"/>
              <w:jc w:val="center"/>
              <w:rPr>
                <w:b/>
                <w:bCs/>
              </w:rPr>
            </w:pPr>
            <w:r w:rsidRPr="00DB6631">
              <w:rPr>
                <w:b/>
                <w:bCs/>
              </w:rPr>
              <w:t>-</w:t>
            </w:r>
          </w:p>
        </w:tc>
        <w:tc>
          <w:tcPr>
            <w:tcW w:w="0" w:type="auto"/>
          </w:tcPr>
          <w:p w14:paraId="287AAD7C" w14:textId="77777777" w:rsidR="009E7B94" w:rsidRPr="00DB6631" w:rsidRDefault="00F56B54" w:rsidP="00976FB6">
            <w:pPr>
              <w:pStyle w:val="TableText"/>
              <w:jc w:val="center"/>
              <w:rPr>
                <w:b/>
                <w:bCs/>
              </w:rPr>
            </w:pPr>
            <w:r w:rsidRPr="00DB6631">
              <w:rPr>
                <w:b/>
                <w:bCs/>
              </w:rPr>
              <w:t>-</w:t>
            </w:r>
          </w:p>
        </w:tc>
        <w:tc>
          <w:tcPr>
            <w:tcW w:w="0" w:type="auto"/>
          </w:tcPr>
          <w:p w14:paraId="055E414C" w14:textId="77777777" w:rsidR="009E7B94" w:rsidRPr="00DB6631" w:rsidRDefault="00F56B54" w:rsidP="00976FB6">
            <w:pPr>
              <w:pStyle w:val="TableText"/>
              <w:jc w:val="center"/>
              <w:rPr>
                <w:b/>
                <w:bCs/>
              </w:rPr>
            </w:pPr>
            <w:r w:rsidRPr="00DB6631">
              <w:rPr>
                <w:b/>
                <w:bCs/>
              </w:rPr>
              <w:t>-</w:t>
            </w:r>
          </w:p>
        </w:tc>
        <w:tc>
          <w:tcPr>
            <w:tcW w:w="0" w:type="auto"/>
          </w:tcPr>
          <w:p w14:paraId="0BFBAC85" w14:textId="77777777" w:rsidR="009E7B94" w:rsidRPr="00DB6631" w:rsidRDefault="00F56B54" w:rsidP="00976FB6">
            <w:pPr>
              <w:pStyle w:val="TableText"/>
              <w:jc w:val="center"/>
              <w:rPr>
                <w:b/>
                <w:bCs/>
              </w:rPr>
            </w:pPr>
            <w:r w:rsidRPr="00DB6631">
              <w:rPr>
                <w:b/>
                <w:bCs/>
              </w:rPr>
              <w:t>-</w:t>
            </w:r>
          </w:p>
        </w:tc>
      </w:tr>
      <w:tr w:rsidR="004F6729" w14:paraId="2FE343C1" w14:textId="77777777" w:rsidTr="001278A9">
        <w:trPr>
          <w:jc w:val="center"/>
        </w:trPr>
        <w:tc>
          <w:tcPr>
            <w:tcW w:w="0" w:type="auto"/>
            <w:tcMar>
              <w:left w:w="108" w:type="dxa"/>
              <w:right w:w="108" w:type="dxa"/>
            </w:tcMar>
          </w:tcPr>
          <w:p w14:paraId="5B0B6930" w14:textId="77777777" w:rsidR="009E7B94" w:rsidRDefault="00F56B54" w:rsidP="00976FB6">
            <w:pPr>
              <w:pStyle w:val="Normalsmall"/>
              <w:spacing w:before="60" w:after="60"/>
            </w:pPr>
            <w:r>
              <w:t>International VC Offshore Racing Antifouling</w:t>
            </w:r>
          </w:p>
        </w:tc>
        <w:tc>
          <w:tcPr>
            <w:tcW w:w="0" w:type="auto"/>
            <w:tcMar>
              <w:left w:w="108" w:type="dxa"/>
              <w:right w:w="108" w:type="dxa"/>
            </w:tcMar>
          </w:tcPr>
          <w:p w14:paraId="5FCF4B8C" w14:textId="77777777" w:rsidR="009E7B94" w:rsidRDefault="00F56B54" w:rsidP="00976FB6">
            <w:pPr>
              <w:pStyle w:val="TableText"/>
              <w:jc w:val="right"/>
            </w:pPr>
            <w:r>
              <w:t>49609</w:t>
            </w:r>
          </w:p>
        </w:tc>
        <w:tc>
          <w:tcPr>
            <w:tcW w:w="0" w:type="auto"/>
            <w:tcMar>
              <w:left w:w="108" w:type="dxa"/>
              <w:right w:w="108" w:type="dxa"/>
            </w:tcMar>
          </w:tcPr>
          <w:p w14:paraId="2E923664" w14:textId="77777777" w:rsidR="009E7B94" w:rsidRDefault="00F56B54" w:rsidP="00976FB6">
            <w:pPr>
              <w:pStyle w:val="TableText"/>
              <w:jc w:val="center"/>
            </w:pPr>
            <w:r>
              <w:t>1997</w:t>
            </w:r>
          </w:p>
        </w:tc>
        <w:tc>
          <w:tcPr>
            <w:tcW w:w="0" w:type="auto"/>
            <w:tcMar>
              <w:left w:w="108" w:type="dxa"/>
              <w:right w:w="108" w:type="dxa"/>
            </w:tcMar>
          </w:tcPr>
          <w:p w14:paraId="3A3D6FD2" w14:textId="77777777" w:rsidR="009E7B94" w:rsidRPr="00DB6631" w:rsidRDefault="00F56B54" w:rsidP="00976FB6">
            <w:pPr>
              <w:pStyle w:val="TableText"/>
              <w:jc w:val="center"/>
              <w:rPr>
                <w:b/>
                <w:bCs/>
              </w:rPr>
            </w:pPr>
            <w:r>
              <w:rPr>
                <w:b/>
                <w:bCs/>
              </w:rPr>
              <w:t>+</w:t>
            </w:r>
          </w:p>
        </w:tc>
        <w:tc>
          <w:tcPr>
            <w:tcW w:w="0" w:type="auto"/>
            <w:tcMar>
              <w:left w:w="108" w:type="dxa"/>
              <w:right w:w="108" w:type="dxa"/>
            </w:tcMar>
          </w:tcPr>
          <w:p w14:paraId="61F7AECB" w14:textId="77777777" w:rsidR="009E7B94" w:rsidRPr="00DB6631" w:rsidRDefault="00F56B54" w:rsidP="00976FB6">
            <w:pPr>
              <w:pStyle w:val="TableText"/>
              <w:jc w:val="center"/>
              <w:rPr>
                <w:b/>
                <w:bCs/>
              </w:rPr>
            </w:pPr>
            <w:r>
              <w:rPr>
                <w:b/>
                <w:bCs/>
              </w:rPr>
              <w:t>-</w:t>
            </w:r>
          </w:p>
        </w:tc>
        <w:tc>
          <w:tcPr>
            <w:tcW w:w="0" w:type="auto"/>
          </w:tcPr>
          <w:p w14:paraId="75F983F9" w14:textId="77777777" w:rsidR="009E7B94" w:rsidRPr="00DB6631" w:rsidRDefault="00F56B54" w:rsidP="00976FB6">
            <w:pPr>
              <w:pStyle w:val="TableText"/>
              <w:jc w:val="center"/>
              <w:rPr>
                <w:b/>
                <w:bCs/>
              </w:rPr>
            </w:pPr>
            <w:r>
              <w:rPr>
                <w:b/>
                <w:bCs/>
              </w:rPr>
              <w:t>+</w:t>
            </w:r>
          </w:p>
        </w:tc>
        <w:tc>
          <w:tcPr>
            <w:tcW w:w="0" w:type="auto"/>
          </w:tcPr>
          <w:p w14:paraId="0048ECAF" w14:textId="77777777" w:rsidR="009E7B94" w:rsidRDefault="00F56B54" w:rsidP="00976FB6">
            <w:pPr>
              <w:pStyle w:val="TableText"/>
              <w:jc w:val="center"/>
              <w:rPr>
                <w:b/>
                <w:bCs/>
              </w:rPr>
            </w:pPr>
            <w:r>
              <w:rPr>
                <w:b/>
                <w:bCs/>
              </w:rPr>
              <w:t>-</w:t>
            </w:r>
          </w:p>
        </w:tc>
        <w:tc>
          <w:tcPr>
            <w:tcW w:w="0" w:type="auto"/>
          </w:tcPr>
          <w:p w14:paraId="08ACA78E" w14:textId="77777777" w:rsidR="009E7B94" w:rsidRPr="00DB6631" w:rsidRDefault="00F56B54" w:rsidP="00976FB6">
            <w:pPr>
              <w:pStyle w:val="TableText"/>
              <w:jc w:val="center"/>
              <w:rPr>
                <w:b/>
                <w:bCs/>
              </w:rPr>
            </w:pPr>
            <w:r>
              <w:rPr>
                <w:b/>
                <w:bCs/>
              </w:rPr>
              <w:t>-</w:t>
            </w:r>
          </w:p>
        </w:tc>
        <w:tc>
          <w:tcPr>
            <w:tcW w:w="0" w:type="auto"/>
          </w:tcPr>
          <w:p w14:paraId="62A4ABFB" w14:textId="77777777" w:rsidR="009E7B94" w:rsidRPr="00DB6631" w:rsidRDefault="00F56B54" w:rsidP="00976FB6">
            <w:pPr>
              <w:pStyle w:val="TableText"/>
              <w:jc w:val="center"/>
              <w:rPr>
                <w:b/>
                <w:bCs/>
              </w:rPr>
            </w:pPr>
            <w:r>
              <w:rPr>
                <w:b/>
                <w:bCs/>
              </w:rPr>
              <w:t>-</w:t>
            </w:r>
          </w:p>
        </w:tc>
        <w:tc>
          <w:tcPr>
            <w:tcW w:w="0" w:type="auto"/>
          </w:tcPr>
          <w:p w14:paraId="6266A9A5" w14:textId="77777777" w:rsidR="009E7B94" w:rsidRPr="00DB6631" w:rsidRDefault="00F56B54" w:rsidP="00976FB6">
            <w:pPr>
              <w:pStyle w:val="TableText"/>
              <w:jc w:val="center"/>
              <w:rPr>
                <w:b/>
                <w:bCs/>
              </w:rPr>
            </w:pPr>
            <w:r>
              <w:rPr>
                <w:b/>
                <w:bCs/>
              </w:rPr>
              <w:t>-</w:t>
            </w:r>
          </w:p>
        </w:tc>
        <w:tc>
          <w:tcPr>
            <w:tcW w:w="0" w:type="auto"/>
          </w:tcPr>
          <w:p w14:paraId="1786F7F6" w14:textId="77777777" w:rsidR="009E7B94" w:rsidRPr="00DB6631" w:rsidRDefault="00F56B54" w:rsidP="00976FB6">
            <w:pPr>
              <w:pStyle w:val="TableText"/>
              <w:jc w:val="center"/>
              <w:rPr>
                <w:b/>
                <w:bCs/>
              </w:rPr>
            </w:pPr>
            <w:r>
              <w:rPr>
                <w:b/>
                <w:bCs/>
              </w:rPr>
              <w:t>-</w:t>
            </w:r>
          </w:p>
        </w:tc>
      </w:tr>
      <w:tr w:rsidR="004F6729" w14:paraId="3BC4E1AF" w14:textId="77777777" w:rsidTr="001278A9">
        <w:trPr>
          <w:jc w:val="center"/>
        </w:trPr>
        <w:tc>
          <w:tcPr>
            <w:tcW w:w="0" w:type="auto"/>
            <w:tcMar>
              <w:left w:w="108" w:type="dxa"/>
              <w:right w:w="108" w:type="dxa"/>
            </w:tcMar>
          </w:tcPr>
          <w:p w14:paraId="3CAAFD1C" w14:textId="77777777" w:rsidR="009E7B94" w:rsidRPr="00814DC4" w:rsidRDefault="00F56B54" w:rsidP="00976FB6">
            <w:pPr>
              <w:pStyle w:val="Normalsmall"/>
              <w:spacing w:before="60" w:after="60"/>
              <w:rPr>
                <w:rFonts w:eastAsia="Times New Roman"/>
                <w:lang w:eastAsia="en-AU"/>
              </w:rPr>
            </w:pPr>
            <w:r>
              <w:t>Intersmooth 360 SPC Antifouling</w:t>
            </w:r>
          </w:p>
        </w:tc>
        <w:tc>
          <w:tcPr>
            <w:tcW w:w="0" w:type="auto"/>
            <w:tcMar>
              <w:left w:w="108" w:type="dxa"/>
              <w:right w:w="108" w:type="dxa"/>
            </w:tcMar>
          </w:tcPr>
          <w:p w14:paraId="06BCE548" w14:textId="77777777" w:rsidR="009E7B94" w:rsidRDefault="00F56B54" w:rsidP="00976FB6">
            <w:pPr>
              <w:pStyle w:val="TableText"/>
              <w:jc w:val="right"/>
            </w:pPr>
            <w:r>
              <w:t>51971</w:t>
            </w:r>
          </w:p>
        </w:tc>
        <w:tc>
          <w:tcPr>
            <w:tcW w:w="0" w:type="auto"/>
            <w:tcMar>
              <w:left w:w="108" w:type="dxa"/>
              <w:right w:w="108" w:type="dxa"/>
            </w:tcMar>
            <w:vAlign w:val="center"/>
          </w:tcPr>
          <w:p w14:paraId="17B4A0EC" w14:textId="77777777" w:rsidR="009E7B94" w:rsidRDefault="00F56B54" w:rsidP="00976FB6">
            <w:pPr>
              <w:pStyle w:val="TableText"/>
              <w:jc w:val="center"/>
            </w:pPr>
            <w:r>
              <w:t>2002</w:t>
            </w:r>
          </w:p>
        </w:tc>
        <w:tc>
          <w:tcPr>
            <w:tcW w:w="0" w:type="auto"/>
            <w:tcMar>
              <w:left w:w="108" w:type="dxa"/>
              <w:right w:w="108" w:type="dxa"/>
            </w:tcMar>
          </w:tcPr>
          <w:p w14:paraId="078E4632"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78279213" w14:textId="77777777" w:rsidR="009E7B94" w:rsidRPr="00DB6631" w:rsidRDefault="00F56B54" w:rsidP="00976FB6">
            <w:pPr>
              <w:pStyle w:val="TableText"/>
              <w:jc w:val="center"/>
              <w:rPr>
                <w:b/>
                <w:bCs/>
              </w:rPr>
            </w:pPr>
            <w:r w:rsidRPr="00DB6631">
              <w:rPr>
                <w:b/>
                <w:bCs/>
              </w:rPr>
              <w:t>-</w:t>
            </w:r>
          </w:p>
        </w:tc>
        <w:tc>
          <w:tcPr>
            <w:tcW w:w="0" w:type="auto"/>
          </w:tcPr>
          <w:p w14:paraId="211BDFA9" w14:textId="77777777" w:rsidR="009E7B94" w:rsidRPr="00DB6631" w:rsidRDefault="00F56B54" w:rsidP="00976FB6">
            <w:pPr>
              <w:pStyle w:val="TableText"/>
              <w:jc w:val="center"/>
              <w:rPr>
                <w:b/>
                <w:bCs/>
              </w:rPr>
            </w:pPr>
            <w:r w:rsidRPr="00DB6631">
              <w:rPr>
                <w:b/>
                <w:bCs/>
              </w:rPr>
              <w:t>-</w:t>
            </w:r>
          </w:p>
        </w:tc>
        <w:tc>
          <w:tcPr>
            <w:tcW w:w="0" w:type="auto"/>
          </w:tcPr>
          <w:p w14:paraId="45601A81" w14:textId="77777777" w:rsidR="009E7B94" w:rsidRPr="00DB6631" w:rsidRDefault="00F56B54" w:rsidP="00976FB6">
            <w:pPr>
              <w:pStyle w:val="TableText"/>
              <w:jc w:val="center"/>
              <w:rPr>
                <w:b/>
                <w:bCs/>
              </w:rPr>
            </w:pPr>
            <w:r w:rsidRPr="00DB6631">
              <w:rPr>
                <w:b/>
                <w:bCs/>
              </w:rPr>
              <w:t>-</w:t>
            </w:r>
          </w:p>
        </w:tc>
        <w:tc>
          <w:tcPr>
            <w:tcW w:w="0" w:type="auto"/>
          </w:tcPr>
          <w:p w14:paraId="12E5A4FA" w14:textId="77777777" w:rsidR="009E7B94" w:rsidRPr="00DB6631" w:rsidRDefault="00F56B54" w:rsidP="00976FB6">
            <w:pPr>
              <w:pStyle w:val="TableText"/>
              <w:jc w:val="center"/>
              <w:rPr>
                <w:b/>
                <w:bCs/>
              </w:rPr>
            </w:pPr>
            <w:r w:rsidRPr="00DB6631">
              <w:rPr>
                <w:b/>
                <w:bCs/>
              </w:rPr>
              <w:t>-</w:t>
            </w:r>
          </w:p>
        </w:tc>
        <w:tc>
          <w:tcPr>
            <w:tcW w:w="0" w:type="auto"/>
          </w:tcPr>
          <w:p w14:paraId="0EF6C3B2" w14:textId="77777777" w:rsidR="009E7B94" w:rsidRPr="00DB6631" w:rsidRDefault="00F56B54" w:rsidP="00976FB6">
            <w:pPr>
              <w:pStyle w:val="TableText"/>
              <w:jc w:val="center"/>
              <w:rPr>
                <w:b/>
                <w:bCs/>
              </w:rPr>
            </w:pPr>
            <w:r w:rsidRPr="00DB6631">
              <w:rPr>
                <w:b/>
                <w:bCs/>
              </w:rPr>
              <w:t>-</w:t>
            </w:r>
          </w:p>
        </w:tc>
        <w:tc>
          <w:tcPr>
            <w:tcW w:w="0" w:type="auto"/>
          </w:tcPr>
          <w:p w14:paraId="2BBE31F9" w14:textId="77777777" w:rsidR="009E7B94" w:rsidRPr="00DB6631" w:rsidRDefault="00F56B54" w:rsidP="00976FB6">
            <w:pPr>
              <w:pStyle w:val="TableText"/>
              <w:jc w:val="center"/>
              <w:rPr>
                <w:b/>
                <w:bCs/>
              </w:rPr>
            </w:pPr>
            <w:r w:rsidRPr="00DB6631">
              <w:rPr>
                <w:b/>
                <w:bCs/>
              </w:rPr>
              <w:t>+</w:t>
            </w:r>
          </w:p>
        </w:tc>
        <w:tc>
          <w:tcPr>
            <w:tcW w:w="0" w:type="auto"/>
          </w:tcPr>
          <w:p w14:paraId="3A8FDAAD" w14:textId="77777777" w:rsidR="009E7B94" w:rsidRPr="00DB6631" w:rsidRDefault="00F56B54" w:rsidP="00976FB6">
            <w:pPr>
              <w:pStyle w:val="TableText"/>
              <w:jc w:val="center"/>
              <w:rPr>
                <w:b/>
                <w:bCs/>
              </w:rPr>
            </w:pPr>
            <w:r w:rsidRPr="00DB6631">
              <w:rPr>
                <w:b/>
                <w:bCs/>
              </w:rPr>
              <w:t>-</w:t>
            </w:r>
          </w:p>
        </w:tc>
      </w:tr>
      <w:tr w:rsidR="004F6729" w14:paraId="6A1AC625" w14:textId="77777777" w:rsidTr="001278A9">
        <w:trPr>
          <w:jc w:val="center"/>
        </w:trPr>
        <w:tc>
          <w:tcPr>
            <w:tcW w:w="0" w:type="auto"/>
            <w:tcMar>
              <w:left w:w="108" w:type="dxa"/>
              <w:right w:w="108" w:type="dxa"/>
            </w:tcMar>
          </w:tcPr>
          <w:p w14:paraId="0B12D151" w14:textId="77777777" w:rsidR="009E7B94" w:rsidRDefault="00F56B54" w:rsidP="00976FB6">
            <w:pPr>
              <w:pStyle w:val="TableText"/>
            </w:pPr>
            <w:r w:rsidRPr="00814DC4">
              <w:t>International Awlcraft Antifouling</w:t>
            </w:r>
          </w:p>
        </w:tc>
        <w:tc>
          <w:tcPr>
            <w:tcW w:w="0" w:type="auto"/>
            <w:tcMar>
              <w:left w:w="108" w:type="dxa"/>
              <w:right w:w="108" w:type="dxa"/>
            </w:tcMar>
          </w:tcPr>
          <w:p w14:paraId="6BF4C2A0" w14:textId="77777777" w:rsidR="009E7B94" w:rsidRDefault="00F56B54" w:rsidP="00976FB6">
            <w:pPr>
              <w:pStyle w:val="TableText"/>
              <w:jc w:val="right"/>
            </w:pPr>
            <w:r>
              <w:t>58268</w:t>
            </w:r>
          </w:p>
        </w:tc>
        <w:tc>
          <w:tcPr>
            <w:tcW w:w="0" w:type="auto"/>
            <w:tcMar>
              <w:left w:w="108" w:type="dxa"/>
              <w:right w:w="108" w:type="dxa"/>
            </w:tcMar>
          </w:tcPr>
          <w:p w14:paraId="27DB68CA" w14:textId="77777777" w:rsidR="009E7B94" w:rsidRDefault="00F56B54" w:rsidP="00976FB6">
            <w:pPr>
              <w:pStyle w:val="TableText"/>
              <w:jc w:val="right"/>
            </w:pPr>
            <w:r>
              <w:t>2004</w:t>
            </w:r>
          </w:p>
        </w:tc>
        <w:tc>
          <w:tcPr>
            <w:tcW w:w="0" w:type="auto"/>
            <w:tcMar>
              <w:left w:w="108" w:type="dxa"/>
              <w:right w:w="108" w:type="dxa"/>
            </w:tcMar>
          </w:tcPr>
          <w:p w14:paraId="274FE02E"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E581389" w14:textId="77777777" w:rsidR="009E7B94" w:rsidRPr="00DB6631" w:rsidRDefault="00F56B54" w:rsidP="00976FB6">
            <w:pPr>
              <w:pStyle w:val="TableText"/>
              <w:jc w:val="center"/>
              <w:rPr>
                <w:b/>
                <w:bCs/>
              </w:rPr>
            </w:pPr>
            <w:r w:rsidRPr="00DB6631">
              <w:rPr>
                <w:b/>
                <w:bCs/>
              </w:rPr>
              <w:t>-</w:t>
            </w:r>
          </w:p>
        </w:tc>
        <w:tc>
          <w:tcPr>
            <w:tcW w:w="0" w:type="auto"/>
          </w:tcPr>
          <w:p w14:paraId="53F24BE8" w14:textId="77777777" w:rsidR="009E7B94" w:rsidRPr="00DB6631" w:rsidRDefault="00F56B54" w:rsidP="00976FB6">
            <w:pPr>
              <w:pStyle w:val="TableText"/>
              <w:jc w:val="center"/>
              <w:rPr>
                <w:b/>
                <w:bCs/>
              </w:rPr>
            </w:pPr>
            <w:r w:rsidRPr="00DB6631">
              <w:rPr>
                <w:b/>
                <w:bCs/>
              </w:rPr>
              <w:t>+</w:t>
            </w:r>
          </w:p>
        </w:tc>
        <w:tc>
          <w:tcPr>
            <w:tcW w:w="0" w:type="auto"/>
          </w:tcPr>
          <w:p w14:paraId="1156D4A8" w14:textId="77777777" w:rsidR="009E7B94" w:rsidRPr="00DB6631" w:rsidRDefault="00F56B54" w:rsidP="00976FB6">
            <w:pPr>
              <w:pStyle w:val="TableText"/>
              <w:jc w:val="center"/>
              <w:rPr>
                <w:b/>
                <w:bCs/>
              </w:rPr>
            </w:pPr>
            <w:r w:rsidRPr="00DB6631">
              <w:rPr>
                <w:b/>
                <w:bCs/>
              </w:rPr>
              <w:t>-</w:t>
            </w:r>
          </w:p>
        </w:tc>
        <w:tc>
          <w:tcPr>
            <w:tcW w:w="0" w:type="auto"/>
          </w:tcPr>
          <w:p w14:paraId="4B28EE8C" w14:textId="77777777" w:rsidR="009E7B94" w:rsidRPr="00DB6631" w:rsidRDefault="00F56B54" w:rsidP="00976FB6">
            <w:pPr>
              <w:pStyle w:val="TableText"/>
              <w:jc w:val="center"/>
              <w:rPr>
                <w:b/>
                <w:bCs/>
              </w:rPr>
            </w:pPr>
            <w:r w:rsidRPr="00DB6631">
              <w:rPr>
                <w:b/>
                <w:bCs/>
              </w:rPr>
              <w:t>-</w:t>
            </w:r>
          </w:p>
        </w:tc>
        <w:tc>
          <w:tcPr>
            <w:tcW w:w="0" w:type="auto"/>
          </w:tcPr>
          <w:p w14:paraId="7C544F91" w14:textId="77777777" w:rsidR="009E7B94" w:rsidRPr="00DB6631" w:rsidRDefault="00F56B54" w:rsidP="00976FB6">
            <w:pPr>
              <w:pStyle w:val="TableText"/>
              <w:jc w:val="center"/>
              <w:rPr>
                <w:b/>
                <w:bCs/>
              </w:rPr>
            </w:pPr>
            <w:r w:rsidRPr="00DB6631">
              <w:rPr>
                <w:b/>
                <w:bCs/>
              </w:rPr>
              <w:t>-</w:t>
            </w:r>
          </w:p>
        </w:tc>
        <w:tc>
          <w:tcPr>
            <w:tcW w:w="0" w:type="auto"/>
          </w:tcPr>
          <w:p w14:paraId="497D5E4B" w14:textId="77777777" w:rsidR="009E7B94" w:rsidRPr="00DB6631" w:rsidRDefault="00F56B54" w:rsidP="00976FB6">
            <w:pPr>
              <w:pStyle w:val="TableText"/>
              <w:jc w:val="center"/>
              <w:rPr>
                <w:b/>
                <w:bCs/>
              </w:rPr>
            </w:pPr>
            <w:r w:rsidRPr="00DB6631">
              <w:rPr>
                <w:b/>
                <w:bCs/>
              </w:rPr>
              <w:t>-</w:t>
            </w:r>
          </w:p>
        </w:tc>
        <w:tc>
          <w:tcPr>
            <w:tcW w:w="0" w:type="auto"/>
          </w:tcPr>
          <w:p w14:paraId="69973D62" w14:textId="77777777" w:rsidR="009E7B94" w:rsidRPr="00DB6631" w:rsidRDefault="00F56B54" w:rsidP="00976FB6">
            <w:pPr>
              <w:pStyle w:val="TableText"/>
              <w:jc w:val="center"/>
              <w:rPr>
                <w:b/>
                <w:bCs/>
              </w:rPr>
            </w:pPr>
            <w:r w:rsidRPr="00DB6631">
              <w:rPr>
                <w:b/>
                <w:bCs/>
              </w:rPr>
              <w:t>-</w:t>
            </w:r>
          </w:p>
        </w:tc>
      </w:tr>
      <w:tr w:rsidR="004F6729" w14:paraId="1D8F739B" w14:textId="77777777" w:rsidTr="001278A9">
        <w:trPr>
          <w:jc w:val="center"/>
        </w:trPr>
        <w:tc>
          <w:tcPr>
            <w:tcW w:w="0" w:type="auto"/>
            <w:tcMar>
              <w:left w:w="108" w:type="dxa"/>
              <w:right w:w="108" w:type="dxa"/>
            </w:tcMar>
          </w:tcPr>
          <w:p w14:paraId="203068B6" w14:textId="77777777" w:rsidR="009E7B94" w:rsidRDefault="00F56B54" w:rsidP="00976FB6">
            <w:pPr>
              <w:pStyle w:val="TableText"/>
            </w:pPr>
            <w:r w:rsidRPr="00814DC4">
              <w:t xml:space="preserve">International Biolux New Technology Trilux 33 Hard Antifouling </w:t>
            </w:r>
            <w:r w:rsidR="001967C4" w:rsidRPr="00814DC4">
              <w:t>for</w:t>
            </w:r>
            <w:r w:rsidRPr="00814DC4">
              <w:t xml:space="preserve"> Aluminium</w:t>
            </w:r>
          </w:p>
        </w:tc>
        <w:tc>
          <w:tcPr>
            <w:tcW w:w="0" w:type="auto"/>
            <w:tcMar>
              <w:left w:w="108" w:type="dxa"/>
              <w:right w:w="108" w:type="dxa"/>
            </w:tcMar>
          </w:tcPr>
          <w:p w14:paraId="7C2DDDD6" w14:textId="77777777" w:rsidR="009E7B94" w:rsidRDefault="00F56B54" w:rsidP="00976FB6">
            <w:pPr>
              <w:pStyle w:val="TableText"/>
              <w:jc w:val="right"/>
            </w:pPr>
            <w:r>
              <w:t>58567</w:t>
            </w:r>
          </w:p>
        </w:tc>
        <w:tc>
          <w:tcPr>
            <w:tcW w:w="0" w:type="auto"/>
            <w:tcMar>
              <w:left w:w="108" w:type="dxa"/>
              <w:right w:w="108" w:type="dxa"/>
            </w:tcMar>
          </w:tcPr>
          <w:p w14:paraId="06A46523" w14:textId="77777777" w:rsidR="009E7B94" w:rsidRDefault="00F56B54" w:rsidP="00976FB6">
            <w:pPr>
              <w:pStyle w:val="TableText"/>
              <w:jc w:val="right"/>
            </w:pPr>
            <w:r>
              <w:t>2006</w:t>
            </w:r>
          </w:p>
        </w:tc>
        <w:tc>
          <w:tcPr>
            <w:tcW w:w="0" w:type="auto"/>
            <w:tcMar>
              <w:left w:w="108" w:type="dxa"/>
              <w:right w:w="108" w:type="dxa"/>
            </w:tcMar>
          </w:tcPr>
          <w:p w14:paraId="6BC8B612"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DFDBFE3" w14:textId="77777777" w:rsidR="009E7B94" w:rsidRPr="00DB6631" w:rsidRDefault="00F56B54" w:rsidP="00976FB6">
            <w:pPr>
              <w:pStyle w:val="TableText"/>
              <w:jc w:val="center"/>
              <w:rPr>
                <w:b/>
                <w:bCs/>
              </w:rPr>
            </w:pPr>
            <w:r w:rsidRPr="00DB6631">
              <w:rPr>
                <w:b/>
                <w:bCs/>
              </w:rPr>
              <w:t>+</w:t>
            </w:r>
          </w:p>
        </w:tc>
        <w:tc>
          <w:tcPr>
            <w:tcW w:w="0" w:type="auto"/>
          </w:tcPr>
          <w:p w14:paraId="5AB717F1" w14:textId="77777777" w:rsidR="009E7B94" w:rsidRPr="00DB6631" w:rsidRDefault="00F56B54" w:rsidP="00976FB6">
            <w:pPr>
              <w:pStyle w:val="TableText"/>
              <w:jc w:val="center"/>
              <w:rPr>
                <w:b/>
                <w:bCs/>
              </w:rPr>
            </w:pPr>
            <w:r w:rsidRPr="00DB6631">
              <w:rPr>
                <w:b/>
                <w:bCs/>
              </w:rPr>
              <w:t>-</w:t>
            </w:r>
          </w:p>
        </w:tc>
        <w:tc>
          <w:tcPr>
            <w:tcW w:w="0" w:type="auto"/>
          </w:tcPr>
          <w:p w14:paraId="3D1E6665" w14:textId="77777777" w:rsidR="009E7B94" w:rsidRPr="00DB6631" w:rsidRDefault="00F56B54" w:rsidP="00976FB6">
            <w:pPr>
              <w:pStyle w:val="TableText"/>
              <w:jc w:val="center"/>
              <w:rPr>
                <w:b/>
                <w:bCs/>
              </w:rPr>
            </w:pPr>
            <w:r w:rsidRPr="00DB6631">
              <w:rPr>
                <w:b/>
                <w:bCs/>
              </w:rPr>
              <w:t>-</w:t>
            </w:r>
          </w:p>
        </w:tc>
        <w:tc>
          <w:tcPr>
            <w:tcW w:w="0" w:type="auto"/>
          </w:tcPr>
          <w:p w14:paraId="524B1578" w14:textId="77777777" w:rsidR="009E7B94" w:rsidRPr="00DB6631" w:rsidRDefault="00F56B54" w:rsidP="00976FB6">
            <w:pPr>
              <w:pStyle w:val="TableText"/>
              <w:jc w:val="center"/>
              <w:rPr>
                <w:b/>
                <w:bCs/>
              </w:rPr>
            </w:pPr>
            <w:r w:rsidRPr="00DB6631">
              <w:rPr>
                <w:b/>
                <w:bCs/>
              </w:rPr>
              <w:t>-</w:t>
            </w:r>
          </w:p>
        </w:tc>
        <w:tc>
          <w:tcPr>
            <w:tcW w:w="0" w:type="auto"/>
          </w:tcPr>
          <w:p w14:paraId="25838233" w14:textId="77777777" w:rsidR="009E7B94" w:rsidRPr="00DB6631" w:rsidRDefault="00F56B54" w:rsidP="00976FB6">
            <w:pPr>
              <w:pStyle w:val="TableText"/>
              <w:jc w:val="center"/>
              <w:rPr>
                <w:b/>
                <w:bCs/>
              </w:rPr>
            </w:pPr>
            <w:r w:rsidRPr="00DB6631">
              <w:rPr>
                <w:b/>
                <w:bCs/>
              </w:rPr>
              <w:t>-</w:t>
            </w:r>
          </w:p>
        </w:tc>
        <w:tc>
          <w:tcPr>
            <w:tcW w:w="0" w:type="auto"/>
          </w:tcPr>
          <w:p w14:paraId="41269DB1" w14:textId="77777777" w:rsidR="009E7B94" w:rsidRPr="00DB6631" w:rsidRDefault="00F56B54" w:rsidP="00976FB6">
            <w:pPr>
              <w:pStyle w:val="TableText"/>
              <w:jc w:val="center"/>
              <w:rPr>
                <w:b/>
                <w:bCs/>
              </w:rPr>
            </w:pPr>
            <w:r w:rsidRPr="00DB6631">
              <w:rPr>
                <w:b/>
                <w:bCs/>
              </w:rPr>
              <w:t>+</w:t>
            </w:r>
          </w:p>
        </w:tc>
        <w:tc>
          <w:tcPr>
            <w:tcW w:w="0" w:type="auto"/>
          </w:tcPr>
          <w:p w14:paraId="017C6DDD" w14:textId="77777777" w:rsidR="009E7B94" w:rsidRPr="00DB6631" w:rsidRDefault="00F56B54" w:rsidP="00976FB6">
            <w:pPr>
              <w:pStyle w:val="TableText"/>
              <w:jc w:val="center"/>
              <w:rPr>
                <w:b/>
                <w:bCs/>
              </w:rPr>
            </w:pPr>
            <w:r w:rsidRPr="00DB6631">
              <w:rPr>
                <w:b/>
                <w:bCs/>
              </w:rPr>
              <w:t>-</w:t>
            </w:r>
          </w:p>
        </w:tc>
      </w:tr>
      <w:tr w:rsidR="004F6729" w14:paraId="55DB9709" w14:textId="77777777" w:rsidTr="001278A9">
        <w:trPr>
          <w:jc w:val="center"/>
        </w:trPr>
        <w:tc>
          <w:tcPr>
            <w:tcW w:w="0" w:type="auto"/>
            <w:tcMar>
              <w:left w:w="108" w:type="dxa"/>
              <w:right w:w="108" w:type="dxa"/>
            </w:tcMar>
          </w:tcPr>
          <w:p w14:paraId="2352BD41" w14:textId="77777777" w:rsidR="009E7B94" w:rsidRPr="009F4771" w:rsidRDefault="00F56B54" w:rsidP="00976FB6">
            <w:pPr>
              <w:pStyle w:val="Normalsmall"/>
              <w:spacing w:before="60" w:after="60"/>
              <w:rPr>
                <w:rFonts w:eastAsia="Times New Roman"/>
                <w:lang w:eastAsia="en-AU"/>
              </w:rPr>
            </w:pPr>
            <w:r>
              <w:t>Intersmooth 7460HS SPC Antifouling</w:t>
            </w:r>
          </w:p>
        </w:tc>
        <w:tc>
          <w:tcPr>
            <w:tcW w:w="0" w:type="auto"/>
            <w:tcMar>
              <w:left w:w="108" w:type="dxa"/>
              <w:right w:w="108" w:type="dxa"/>
            </w:tcMar>
          </w:tcPr>
          <w:p w14:paraId="38333194" w14:textId="77777777" w:rsidR="009E7B94" w:rsidRDefault="00F56B54" w:rsidP="00976FB6">
            <w:pPr>
              <w:pStyle w:val="TableText"/>
              <w:jc w:val="right"/>
            </w:pPr>
            <w:r>
              <w:t>65261</w:t>
            </w:r>
          </w:p>
        </w:tc>
        <w:tc>
          <w:tcPr>
            <w:tcW w:w="0" w:type="auto"/>
            <w:tcMar>
              <w:left w:w="108" w:type="dxa"/>
              <w:right w:w="108" w:type="dxa"/>
            </w:tcMar>
          </w:tcPr>
          <w:p w14:paraId="1F01DD7C" w14:textId="77777777" w:rsidR="009E7B94" w:rsidRDefault="00F56B54" w:rsidP="00976FB6">
            <w:pPr>
              <w:pStyle w:val="TableText"/>
              <w:jc w:val="right"/>
            </w:pPr>
            <w:r>
              <w:t>2014</w:t>
            </w:r>
          </w:p>
        </w:tc>
        <w:tc>
          <w:tcPr>
            <w:tcW w:w="0" w:type="auto"/>
            <w:tcMar>
              <w:left w:w="108" w:type="dxa"/>
              <w:right w:w="108" w:type="dxa"/>
            </w:tcMar>
          </w:tcPr>
          <w:p w14:paraId="259AB09F"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A767DAF" w14:textId="77777777" w:rsidR="009E7B94" w:rsidRPr="00DB6631" w:rsidRDefault="00F56B54" w:rsidP="00976FB6">
            <w:pPr>
              <w:pStyle w:val="TableText"/>
              <w:jc w:val="center"/>
              <w:rPr>
                <w:b/>
                <w:bCs/>
              </w:rPr>
            </w:pPr>
            <w:r w:rsidRPr="00DB6631">
              <w:rPr>
                <w:b/>
                <w:bCs/>
              </w:rPr>
              <w:t>-</w:t>
            </w:r>
          </w:p>
        </w:tc>
        <w:tc>
          <w:tcPr>
            <w:tcW w:w="0" w:type="auto"/>
          </w:tcPr>
          <w:p w14:paraId="6EC065B5" w14:textId="77777777" w:rsidR="009E7B94" w:rsidRPr="00DB6631" w:rsidRDefault="00F56B54" w:rsidP="00976FB6">
            <w:pPr>
              <w:pStyle w:val="TableText"/>
              <w:jc w:val="center"/>
              <w:rPr>
                <w:b/>
                <w:bCs/>
              </w:rPr>
            </w:pPr>
            <w:r w:rsidRPr="00DB6631">
              <w:rPr>
                <w:b/>
                <w:bCs/>
              </w:rPr>
              <w:t>-</w:t>
            </w:r>
          </w:p>
        </w:tc>
        <w:tc>
          <w:tcPr>
            <w:tcW w:w="0" w:type="auto"/>
          </w:tcPr>
          <w:p w14:paraId="660AC75D" w14:textId="77777777" w:rsidR="009E7B94" w:rsidRPr="00DB6631" w:rsidRDefault="00F56B54" w:rsidP="00976FB6">
            <w:pPr>
              <w:pStyle w:val="TableText"/>
              <w:jc w:val="center"/>
              <w:rPr>
                <w:b/>
                <w:bCs/>
              </w:rPr>
            </w:pPr>
            <w:r w:rsidRPr="00DB6631">
              <w:rPr>
                <w:b/>
                <w:bCs/>
              </w:rPr>
              <w:t>-</w:t>
            </w:r>
          </w:p>
        </w:tc>
        <w:tc>
          <w:tcPr>
            <w:tcW w:w="0" w:type="auto"/>
          </w:tcPr>
          <w:p w14:paraId="468F294E" w14:textId="77777777" w:rsidR="009E7B94" w:rsidRPr="00DB6631" w:rsidRDefault="00F56B54" w:rsidP="00976FB6">
            <w:pPr>
              <w:pStyle w:val="TableText"/>
              <w:jc w:val="center"/>
              <w:rPr>
                <w:b/>
                <w:bCs/>
              </w:rPr>
            </w:pPr>
            <w:r w:rsidRPr="00DB6631">
              <w:rPr>
                <w:b/>
                <w:bCs/>
              </w:rPr>
              <w:t>-</w:t>
            </w:r>
          </w:p>
        </w:tc>
        <w:tc>
          <w:tcPr>
            <w:tcW w:w="0" w:type="auto"/>
          </w:tcPr>
          <w:p w14:paraId="7D306C19" w14:textId="77777777" w:rsidR="009E7B94" w:rsidRPr="00DB6631" w:rsidRDefault="00F56B54" w:rsidP="00976FB6">
            <w:pPr>
              <w:pStyle w:val="TableText"/>
              <w:jc w:val="center"/>
              <w:rPr>
                <w:b/>
                <w:bCs/>
              </w:rPr>
            </w:pPr>
            <w:r w:rsidRPr="00DB6631">
              <w:rPr>
                <w:b/>
                <w:bCs/>
              </w:rPr>
              <w:t>-</w:t>
            </w:r>
          </w:p>
        </w:tc>
        <w:tc>
          <w:tcPr>
            <w:tcW w:w="0" w:type="auto"/>
          </w:tcPr>
          <w:p w14:paraId="45B00852" w14:textId="77777777" w:rsidR="009E7B94" w:rsidRPr="00DB6631" w:rsidRDefault="00F56B54" w:rsidP="00976FB6">
            <w:pPr>
              <w:pStyle w:val="TableText"/>
              <w:jc w:val="center"/>
              <w:rPr>
                <w:b/>
                <w:bCs/>
              </w:rPr>
            </w:pPr>
            <w:r w:rsidRPr="00DB6631">
              <w:rPr>
                <w:b/>
                <w:bCs/>
              </w:rPr>
              <w:t>-</w:t>
            </w:r>
          </w:p>
        </w:tc>
        <w:tc>
          <w:tcPr>
            <w:tcW w:w="0" w:type="auto"/>
          </w:tcPr>
          <w:p w14:paraId="0D3C1AC4" w14:textId="77777777" w:rsidR="009E7B94" w:rsidRPr="00DB6631" w:rsidRDefault="00F56B54" w:rsidP="00976FB6">
            <w:pPr>
              <w:pStyle w:val="TableText"/>
              <w:jc w:val="center"/>
              <w:rPr>
                <w:b/>
                <w:bCs/>
              </w:rPr>
            </w:pPr>
            <w:r w:rsidRPr="00DB6631">
              <w:rPr>
                <w:b/>
                <w:bCs/>
              </w:rPr>
              <w:t>+</w:t>
            </w:r>
          </w:p>
        </w:tc>
      </w:tr>
      <w:tr w:rsidR="004F6729" w14:paraId="5E2D345A" w14:textId="77777777" w:rsidTr="001278A9">
        <w:trPr>
          <w:jc w:val="center"/>
        </w:trPr>
        <w:tc>
          <w:tcPr>
            <w:tcW w:w="0" w:type="auto"/>
            <w:tcMar>
              <w:left w:w="108" w:type="dxa"/>
              <w:right w:w="108" w:type="dxa"/>
            </w:tcMar>
          </w:tcPr>
          <w:p w14:paraId="643E1932" w14:textId="77777777" w:rsidR="009E7B94" w:rsidRDefault="00F56B54" w:rsidP="00976FB6">
            <w:pPr>
              <w:pStyle w:val="Normalsmall"/>
              <w:spacing w:before="60" w:after="60"/>
            </w:pPr>
            <w:r>
              <w:t>International Biolux New Technology Micron Extra 2 High Strength Self Polishing Antifouling</w:t>
            </w:r>
          </w:p>
        </w:tc>
        <w:tc>
          <w:tcPr>
            <w:tcW w:w="0" w:type="auto"/>
            <w:tcMar>
              <w:left w:w="108" w:type="dxa"/>
              <w:right w:w="108" w:type="dxa"/>
            </w:tcMar>
          </w:tcPr>
          <w:p w14:paraId="3D5986B4" w14:textId="77777777" w:rsidR="009E7B94" w:rsidRDefault="00F56B54" w:rsidP="00976FB6">
            <w:pPr>
              <w:pStyle w:val="TableText"/>
              <w:jc w:val="right"/>
            </w:pPr>
            <w:r>
              <w:t>80681</w:t>
            </w:r>
          </w:p>
        </w:tc>
        <w:tc>
          <w:tcPr>
            <w:tcW w:w="0" w:type="auto"/>
            <w:tcMar>
              <w:left w:w="108" w:type="dxa"/>
              <w:right w:w="108" w:type="dxa"/>
            </w:tcMar>
          </w:tcPr>
          <w:p w14:paraId="2E9184AE" w14:textId="77777777" w:rsidR="009E7B94" w:rsidRDefault="00F56B54" w:rsidP="00976FB6">
            <w:pPr>
              <w:pStyle w:val="TableText"/>
              <w:jc w:val="right"/>
            </w:pPr>
            <w:r>
              <w:t>2016</w:t>
            </w:r>
          </w:p>
        </w:tc>
        <w:tc>
          <w:tcPr>
            <w:tcW w:w="0" w:type="auto"/>
            <w:tcMar>
              <w:left w:w="108" w:type="dxa"/>
              <w:right w:w="108" w:type="dxa"/>
            </w:tcMar>
          </w:tcPr>
          <w:p w14:paraId="1F9BC02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5279A2B" w14:textId="77777777" w:rsidR="009E7B94" w:rsidRPr="00DB6631" w:rsidRDefault="00F56B54" w:rsidP="00976FB6">
            <w:pPr>
              <w:pStyle w:val="TableText"/>
              <w:jc w:val="center"/>
              <w:rPr>
                <w:b/>
                <w:bCs/>
              </w:rPr>
            </w:pPr>
            <w:r w:rsidRPr="00DB6631">
              <w:rPr>
                <w:b/>
                <w:bCs/>
              </w:rPr>
              <w:t>-</w:t>
            </w:r>
          </w:p>
        </w:tc>
        <w:tc>
          <w:tcPr>
            <w:tcW w:w="0" w:type="auto"/>
          </w:tcPr>
          <w:p w14:paraId="4B524314" w14:textId="77777777" w:rsidR="009E7B94" w:rsidRPr="00DB6631" w:rsidRDefault="00F56B54" w:rsidP="00976FB6">
            <w:pPr>
              <w:pStyle w:val="TableText"/>
              <w:jc w:val="center"/>
              <w:rPr>
                <w:b/>
                <w:bCs/>
              </w:rPr>
            </w:pPr>
            <w:r w:rsidRPr="00DB6631">
              <w:rPr>
                <w:b/>
                <w:bCs/>
              </w:rPr>
              <w:t>-</w:t>
            </w:r>
          </w:p>
        </w:tc>
        <w:tc>
          <w:tcPr>
            <w:tcW w:w="0" w:type="auto"/>
          </w:tcPr>
          <w:p w14:paraId="2DE43FD7" w14:textId="77777777" w:rsidR="009E7B94" w:rsidRPr="00DB6631" w:rsidRDefault="00F56B54" w:rsidP="00976FB6">
            <w:pPr>
              <w:pStyle w:val="TableText"/>
              <w:jc w:val="center"/>
              <w:rPr>
                <w:b/>
                <w:bCs/>
              </w:rPr>
            </w:pPr>
            <w:r w:rsidRPr="00DB6631">
              <w:rPr>
                <w:b/>
                <w:bCs/>
              </w:rPr>
              <w:t>-</w:t>
            </w:r>
          </w:p>
        </w:tc>
        <w:tc>
          <w:tcPr>
            <w:tcW w:w="0" w:type="auto"/>
          </w:tcPr>
          <w:p w14:paraId="2871F253" w14:textId="77777777" w:rsidR="009E7B94" w:rsidRPr="00DB6631" w:rsidRDefault="00F56B54" w:rsidP="00976FB6">
            <w:pPr>
              <w:pStyle w:val="TableText"/>
              <w:jc w:val="center"/>
              <w:rPr>
                <w:b/>
                <w:bCs/>
              </w:rPr>
            </w:pPr>
            <w:r w:rsidRPr="00DB6631">
              <w:rPr>
                <w:b/>
                <w:bCs/>
              </w:rPr>
              <w:t>+</w:t>
            </w:r>
          </w:p>
        </w:tc>
        <w:tc>
          <w:tcPr>
            <w:tcW w:w="0" w:type="auto"/>
          </w:tcPr>
          <w:p w14:paraId="366A1E1D" w14:textId="77777777" w:rsidR="009E7B94" w:rsidRPr="00DB6631" w:rsidRDefault="00F56B54" w:rsidP="00976FB6">
            <w:pPr>
              <w:pStyle w:val="TableText"/>
              <w:jc w:val="center"/>
              <w:rPr>
                <w:b/>
                <w:bCs/>
              </w:rPr>
            </w:pPr>
            <w:r w:rsidRPr="00DB6631">
              <w:rPr>
                <w:b/>
                <w:bCs/>
              </w:rPr>
              <w:t>-</w:t>
            </w:r>
          </w:p>
        </w:tc>
        <w:tc>
          <w:tcPr>
            <w:tcW w:w="0" w:type="auto"/>
          </w:tcPr>
          <w:p w14:paraId="20120EB6" w14:textId="77777777" w:rsidR="009E7B94" w:rsidRPr="00DB6631" w:rsidRDefault="00F56B54" w:rsidP="00976FB6">
            <w:pPr>
              <w:pStyle w:val="TableText"/>
              <w:jc w:val="center"/>
              <w:rPr>
                <w:b/>
                <w:bCs/>
              </w:rPr>
            </w:pPr>
            <w:r w:rsidRPr="00DB6631">
              <w:rPr>
                <w:b/>
                <w:bCs/>
              </w:rPr>
              <w:t>-</w:t>
            </w:r>
          </w:p>
        </w:tc>
        <w:tc>
          <w:tcPr>
            <w:tcW w:w="0" w:type="auto"/>
          </w:tcPr>
          <w:p w14:paraId="6FCB1D3A" w14:textId="77777777" w:rsidR="009E7B94" w:rsidRPr="00DB6631" w:rsidRDefault="00F56B54" w:rsidP="00976FB6">
            <w:pPr>
              <w:pStyle w:val="TableText"/>
              <w:jc w:val="center"/>
              <w:rPr>
                <w:b/>
                <w:bCs/>
              </w:rPr>
            </w:pPr>
            <w:r w:rsidRPr="00DB6631">
              <w:rPr>
                <w:b/>
                <w:bCs/>
              </w:rPr>
              <w:t>-</w:t>
            </w:r>
          </w:p>
        </w:tc>
      </w:tr>
      <w:tr w:rsidR="004F6729" w14:paraId="69A6F12A" w14:textId="77777777" w:rsidTr="001278A9">
        <w:trPr>
          <w:jc w:val="center"/>
        </w:trPr>
        <w:tc>
          <w:tcPr>
            <w:tcW w:w="0" w:type="auto"/>
            <w:tcMar>
              <w:left w:w="108" w:type="dxa"/>
              <w:right w:w="108" w:type="dxa"/>
            </w:tcMar>
          </w:tcPr>
          <w:p w14:paraId="073E4B52" w14:textId="77777777" w:rsidR="009E7B94" w:rsidRDefault="00F56B54" w:rsidP="00976FB6">
            <w:pPr>
              <w:pStyle w:val="Normalsmall"/>
            </w:pPr>
            <w:r w:rsidRPr="009F4771">
              <w:t>International Micron 77 Biolux SPC True SPC Antifouling</w:t>
            </w:r>
          </w:p>
        </w:tc>
        <w:tc>
          <w:tcPr>
            <w:tcW w:w="0" w:type="auto"/>
            <w:tcMar>
              <w:left w:w="108" w:type="dxa"/>
              <w:right w:w="108" w:type="dxa"/>
            </w:tcMar>
          </w:tcPr>
          <w:p w14:paraId="7BDC4E78" w14:textId="77777777" w:rsidR="009E7B94" w:rsidRDefault="00F56B54" w:rsidP="00976FB6">
            <w:pPr>
              <w:pStyle w:val="TableText"/>
              <w:jc w:val="right"/>
            </w:pPr>
            <w:r>
              <w:t>80827</w:t>
            </w:r>
          </w:p>
        </w:tc>
        <w:tc>
          <w:tcPr>
            <w:tcW w:w="0" w:type="auto"/>
            <w:tcMar>
              <w:left w:w="108" w:type="dxa"/>
              <w:right w:w="108" w:type="dxa"/>
            </w:tcMar>
          </w:tcPr>
          <w:p w14:paraId="4DBB4EF3" w14:textId="77777777" w:rsidR="009E7B94" w:rsidRDefault="00F56B54" w:rsidP="00976FB6">
            <w:pPr>
              <w:pStyle w:val="TableText"/>
              <w:jc w:val="right"/>
            </w:pPr>
            <w:r>
              <w:t>2017</w:t>
            </w:r>
          </w:p>
        </w:tc>
        <w:tc>
          <w:tcPr>
            <w:tcW w:w="0" w:type="auto"/>
            <w:tcMar>
              <w:left w:w="108" w:type="dxa"/>
              <w:right w:w="108" w:type="dxa"/>
            </w:tcMar>
          </w:tcPr>
          <w:p w14:paraId="25D095C6"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E0E8A12" w14:textId="77777777" w:rsidR="009E7B94" w:rsidRPr="00DB6631" w:rsidRDefault="00F56B54" w:rsidP="00976FB6">
            <w:pPr>
              <w:pStyle w:val="TableText"/>
              <w:jc w:val="center"/>
              <w:rPr>
                <w:b/>
                <w:bCs/>
              </w:rPr>
            </w:pPr>
            <w:r w:rsidRPr="00DB6631">
              <w:rPr>
                <w:b/>
                <w:bCs/>
              </w:rPr>
              <w:t>-</w:t>
            </w:r>
          </w:p>
        </w:tc>
        <w:tc>
          <w:tcPr>
            <w:tcW w:w="0" w:type="auto"/>
          </w:tcPr>
          <w:p w14:paraId="1ED3B6C6" w14:textId="77777777" w:rsidR="009E7B94" w:rsidRPr="00DB6631" w:rsidRDefault="00F56B54" w:rsidP="00976FB6">
            <w:pPr>
              <w:pStyle w:val="TableText"/>
              <w:jc w:val="center"/>
              <w:rPr>
                <w:b/>
                <w:bCs/>
              </w:rPr>
            </w:pPr>
            <w:r w:rsidRPr="00DB6631">
              <w:rPr>
                <w:b/>
                <w:bCs/>
              </w:rPr>
              <w:t>-</w:t>
            </w:r>
          </w:p>
        </w:tc>
        <w:tc>
          <w:tcPr>
            <w:tcW w:w="0" w:type="auto"/>
          </w:tcPr>
          <w:p w14:paraId="3B17826D" w14:textId="77777777" w:rsidR="009E7B94" w:rsidRPr="00DB6631" w:rsidRDefault="00F56B54" w:rsidP="00976FB6">
            <w:pPr>
              <w:pStyle w:val="TableText"/>
              <w:jc w:val="center"/>
              <w:rPr>
                <w:b/>
                <w:bCs/>
              </w:rPr>
            </w:pPr>
            <w:r w:rsidRPr="00DB6631">
              <w:rPr>
                <w:b/>
                <w:bCs/>
              </w:rPr>
              <w:t>-</w:t>
            </w:r>
          </w:p>
        </w:tc>
        <w:tc>
          <w:tcPr>
            <w:tcW w:w="0" w:type="auto"/>
          </w:tcPr>
          <w:p w14:paraId="0FF367CB" w14:textId="77777777" w:rsidR="009E7B94" w:rsidRPr="00DB6631" w:rsidRDefault="00F56B54" w:rsidP="00976FB6">
            <w:pPr>
              <w:pStyle w:val="TableText"/>
              <w:jc w:val="center"/>
              <w:rPr>
                <w:b/>
                <w:bCs/>
              </w:rPr>
            </w:pPr>
            <w:r w:rsidRPr="00DB6631">
              <w:rPr>
                <w:b/>
                <w:bCs/>
              </w:rPr>
              <w:t>-</w:t>
            </w:r>
          </w:p>
        </w:tc>
        <w:tc>
          <w:tcPr>
            <w:tcW w:w="0" w:type="auto"/>
          </w:tcPr>
          <w:p w14:paraId="07E18235" w14:textId="77777777" w:rsidR="009E7B94" w:rsidRPr="00DB6631" w:rsidRDefault="00F56B54" w:rsidP="00976FB6">
            <w:pPr>
              <w:pStyle w:val="TableText"/>
              <w:jc w:val="center"/>
              <w:rPr>
                <w:b/>
                <w:bCs/>
              </w:rPr>
            </w:pPr>
            <w:r w:rsidRPr="00DB6631">
              <w:rPr>
                <w:b/>
                <w:bCs/>
              </w:rPr>
              <w:t>-</w:t>
            </w:r>
          </w:p>
        </w:tc>
        <w:tc>
          <w:tcPr>
            <w:tcW w:w="0" w:type="auto"/>
          </w:tcPr>
          <w:p w14:paraId="714CEC37" w14:textId="77777777" w:rsidR="009E7B94" w:rsidRPr="00DB6631" w:rsidRDefault="00F56B54" w:rsidP="00976FB6">
            <w:pPr>
              <w:pStyle w:val="TableText"/>
              <w:jc w:val="center"/>
              <w:rPr>
                <w:b/>
                <w:bCs/>
              </w:rPr>
            </w:pPr>
            <w:r w:rsidRPr="00DB6631">
              <w:rPr>
                <w:b/>
                <w:bCs/>
              </w:rPr>
              <w:t>-</w:t>
            </w:r>
          </w:p>
        </w:tc>
        <w:tc>
          <w:tcPr>
            <w:tcW w:w="0" w:type="auto"/>
          </w:tcPr>
          <w:p w14:paraId="2F0EE654" w14:textId="77777777" w:rsidR="009E7B94" w:rsidRPr="00DB6631" w:rsidRDefault="00F56B54" w:rsidP="00976FB6">
            <w:pPr>
              <w:pStyle w:val="TableText"/>
              <w:jc w:val="center"/>
              <w:rPr>
                <w:b/>
                <w:bCs/>
              </w:rPr>
            </w:pPr>
            <w:r w:rsidRPr="00DB6631">
              <w:rPr>
                <w:b/>
                <w:bCs/>
              </w:rPr>
              <w:t>+</w:t>
            </w:r>
          </w:p>
        </w:tc>
      </w:tr>
      <w:tr w:rsidR="004F6729" w14:paraId="573BA65E" w14:textId="77777777" w:rsidTr="001278A9">
        <w:trPr>
          <w:jc w:val="center"/>
        </w:trPr>
        <w:tc>
          <w:tcPr>
            <w:tcW w:w="0" w:type="auto"/>
            <w:tcMar>
              <w:left w:w="108" w:type="dxa"/>
              <w:right w:w="108" w:type="dxa"/>
            </w:tcMar>
          </w:tcPr>
          <w:p w14:paraId="447ED17E" w14:textId="77777777" w:rsidR="009E7B94" w:rsidRPr="003B6D8B" w:rsidRDefault="00F56B54" w:rsidP="00976FB6">
            <w:pPr>
              <w:pStyle w:val="Normalsmall"/>
              <w:rPr>
                <w:rFonts w:eastAsia="Times New Roman"/>
                <w:lang w:eastAsia="en-AU"/>
              </w:rPr>
            </w:pPr>
            <w:r>
              <w:t>Interspeed 376 Hard Antifouling for Aluminium</w:t>
            </w:r>
          </w:p>
        </w:tc>
        <w:tc>
          <w:tcPr>
            <w:tcW w:w="0" w:type="auto"/>
            <w:tcMar>
              <w:left w:w="108" w:type="dxa"/>
              <w:right w:w="108" w:type="dxa"/>
            </w:tcMar>
          </w:tcPr>
          <w:p w14:paraId="5037A491" w14:textId="77777777" w:rsidR="009E7B94" w:rsidRDefault="00F56B54" w:rsidP="00976FB6">
            <w:pPr>
              <w:pStyle w:val="TableText"/>
              <w:jc w:val="right"/>
            </w:pPr>
            <w:r>
              <w:t>81819</w:t>
            </w:r>
          </w:p>
        </w:tc>
        <w:tc>
          <w:tcPr>
            <w:tcW w:w="0" w:type="auto"/>
            <w:tcMar>
              <w:left w:w="108" w:type="dxa"/>
              <w:right w:w="108" w:type="dxa"/>
            </w:tcMar>
          </w:tcPr>
          <w:p w14:paraId="01B127B2" w14:textId="77777777" w:rsidR="009E7B94" w:rsidRDefault="00F56B54" w:rsidP="00976FB6">
            <w:pPr>
              <w:pStyle w:val="TableText"/>
              <w:jc w:val="right"/>
            </w:pPr>
            <w:r>
              <w:t>2017</w:t>
            </w:r>
          </w:p>
        </w:tc>
        <w:tc>
          <w:tcPr>
            <w:tcW w:w="0" w:type="auto"/>
            <w:tcMar>
              <w:left w:w="108" w:type="dxa"/>
              <w:right w:w="108" w:type="dxa"/>
            </w:tcMar>
          </w:tcPr>
          <w:p w14:paraId="044C830D"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64C43B9" w14:textId="77777777" w:rsidR="009E7B94" w:rsidRPr="00DB6631" w:rsidRDefault="00F56B54" w:rsidP="00976FB6">
            <w:pPr>
              <w:pStyle w:val="TableText"/>
              <w:jc w:val="center"/>
              <w:rPr>
                <w:b/>
                <w:bCs/>
              </w:rPr>
            </w:pPr>
            <w:r w:rsidRPr="00DB6631">
              <w:rPr>
                <w:b/>
                <w:bCs/>
              </w:rPr>
              <w:t>+</w:t>
            </w:r>
          </w:p>
        </w:tc>
        <w:tc>
          <w:tcPr>
            <w:tcW w:w="0" w:type="auto"/>
          </w:tcPr>
          <w:p w14:paraId="36CECAF1" w14:textId="77777777" w:rsidR="009E7B94" w:rsidRPr="00DB6631" w:rsidRDefault="00F56B54" w:rsidP="00976FB6">
            <w:pPr>
              <w:pStyle w:val="TableText"/>
              <w:jc w:val="center"/>
              <w:rPr>
                <w:b/>
                <w:bCs/>
              </w:rPr>
            </w:pPr>
            <w:r w:rsidRPr="00DB6631">
              <w:rPr>
                <w:b/>
                <w:bCs/>
              </w:rPr>
              <w:t>-</w:t>
            </w:r>
          </w:p>
        </w:tc>
        <w:tc>
          <w:tcPr>
            <w:tcW w:w="0" w:type="auto"/>
          </w:tcPr>
          <w:p w14:paraId="364C59B8" w14:textId="77777777" w:rsidR="009E7B94" w:rsidRPr="00DB6631" w:rsidRDefault="00F56B54" w:rsidP="00976FB6">
            <w:pPr>
              <w:pStyle w:val="TableText"/>
              <w:jc w:val="center"/>
              <w:rPr>
                <w:b/>
                <w:bCs/>
              </w:rPr>
            </w:pPr>
            <w:r w:rsidRPr="00DB6631">
              <w:rPr>
                <w:b/>
                <w:bCs/>
              </w:rPr>
              <w:t>-</w:t>
            </w:r>
          </w:p>
        </w:tc>
        <w:tc>
          <w:tcPr>
            <w:tcW w:w="0" w:type="auto"/>
          </w:tcPr>
          <w:p w14:paraId="2A1AB672" w14:textId="77777777" w:rsidR="009E7B94" w:rsidRPr="00DB6631" w:rsidRDefault="00F56B54" w:rsidP="00976FB6">
            <w:pPr>
              <w:pStyle w:val="TableText"/>
              <w:jc w:val="center"/>
              <w:rPr>
                <w:b/>
                <w:bCs/>
              </w:rPr>
            </w:pPr>
            <w:r w:rsidRPr="00DB6631">
              <w:rPr>
                <w:b/>
                <w:bCs/>
              </w:rPr>
              <w:t>-</w:t>
            </w:r>
          </w:p>
        </w:tc>
        <w:tc>
          <w:tcPr>
            <w:tcW w:w="0" w:type="auto"/>
          </w:tcPr>
          <w:p w14:paraId="5DD5FBA5" w14:textId="77777777" w:rsidR="009E7B94" w:rsidRPr="00DB6631" w:rsidRDefault="00F56B54" w:rsidP="00976FB6">
            <w:pPr>
              <w:pStyle w:val="TableText"/>
              <w:jc w:val="center"/>
              <w:rPr>
                <w:b/>
                <w:bCs/>
              </w:rPr>
            </w:pPr>
            <w:r w:rsidRPr="00DB6631">
              <w:rPr>
                <w:b/>
                <w:bCs/>
              </w:rPr>
              <w:t>-</w:t>
            </w:r>
          </w:p>
        </w:tc>
        <w:tc>
          <w:tcPr>
            <w:tcW w:w="0" w:type="auto"/>
          </w:tcPr>
          <w:p w14:paraId="7523C6AC" w14:textId="77777777" w:rsidR="009E7B94" w:rsidRPr="00DB6631" w:rsidRDefault="00F56B54" w:rsidP="00976FB6">
            <w:pPr>
              <w:pStyle w:val="TableText"/>
              <w:jc w:val="center"/>
              <w:rPr>
                <w:b/>
                <w:bCs/>
              </w:rPr>
            </w:pPr>
            <w:r w:rsidRPr="00DB6631">
              <w:rPr>
                <w:b/>
                <w:bCs/>
              </w:rPr>
              <w:t>+</w:t>
            </w:r>
          </w:p>
        </w:tc>
        <w:tc>
          <w:tcPr>
            <w:tcW w:w="0" w:type="auto"/>
          </w:tcPr>
          <w:p w14:paraId="7889BD9A" w14:textId="77777777" w:rsidR="009E7B94" w:rsidRPr="00DB6631" w:rsidRDefault="00F56B54" w:rsidP="00976FB6">
            <w:pPr>
              <w:pStyle w:val="TableText"/>
              <w:jc w:val="center"/>
              <w:rPr>
                <w:b/>
                <w:bCs/>
              </w:rPr>
            </w:pPr>
            <w:r w:rsidRPr="00DB6631">
              <w:rPr>
                <w:b/>
                <w:bCs/>
              </w:rPr>
              <w:t>-</w:t>
            </w:r>
          </w:p>
        </w:tc>
      </w:tr>
      <w:tr w:rsidR="004F6729" w14:paraId="0E79EA74" w14:textId="77777777" w:rsidTr="001278A9">
        <w:trPr>
          <w:jc w:val="center"/>
        </w:trPr>
        <w:tc>
          <w:tcPr>
            <w:tcW w:w="0" w:type="auto"/>
            <w:tcMar>
              <w:left w:w="108" w:type="dxa"/>
              <w:right w:w="108" w:type="dxa"/>
            </w:tcMar>
            <w:vAlign w:val="center"/>
          </w:tcPr>
          <w:p w14:paraId="266A53DE" w14:textId="77777777" w:rsidR="009E7B94" w:rsidRPr="00BF44B1" w:rsidRDefault="00F56B54" w:rsidP="00976FB6">
            <w:pPr>
              <w:pStyle w:val="Normalsmall"/>
            </w:pPr>
            <w:r w:rsidRPr="00BF44B1">
              <w:t>International VC Offshore Hard Racing Antifouling</w:t>
            </w:r>
          </w:p>
        </w:tc>
        <w:tc>
          <w:tcPr>
            <w:tcW w:w="0" w:type="auto"/>
            <w:tcMar>
              <w:left w:w="108" w:type="dxa"/>
              <w:right w:w="108" w:type="dxa"/>
            </w:tcMar>
          </w:tcPr>
          <w:p w14:paraId="58203ED1" w14:textId="77777777" w:rsidR="009E7B94" w:rsidRDefault="00F56B54" w:rsidP="00976FB6">
            <w:pPr>
              <w:pStyle w:val="Normalsmall"/>
              <w:spacing w:before="60" w:after="60"/>
              <w:jc w:val="center"/>
            </w:pPr>
            <w:r>
              <w:t>81981</w:t>
            </w:r>
          </w:p>
        </w:tc>
        <w:tc>
          <w:tcPr>
            <w:tcW w:w="0" w:type="auto"/>
            <w:tcMar>
              <w:left w:w="108" w:type="dxa"/>
              <w:right w:w="108" w:type="dxa"/>
            </w:tcMar>
          </w:tcPr>
          <w:p w14:paraId="6816C997" w14:textId="77777777" w:rsidR="009E7B94" w:rsidRDefault="00F56B54" w:rsidP="00976FB6">
            <w:pPr>
              <w:pStyle w:val="TableText"/>
              <w:jc w:val="center"/>
            </w:pPr>
            <w:r>
              <w:t>2017</w:t>
            </w:r>
          </w:p>
        </w:tc>
        <w:tc>
          <w:tcPr>
            <w:tcW w:w="0" w:type="auto"/>
            <w:tcMar>
              <w:left w:w="108" w:type="dxa"/>
              <w:right w:w="108" w:type="dxa"/>
            </w:tcMar>
          </w:tcPr>
          <w:p w14:paraId="4D4094C0" w14:textId="77777777" w:rsidR="009E7B94" w:rsidRPr="00DB6631" w:rsidRDefault="00F56B54" w:rsidP="00976FB6">
            <w:pPr>
              <w:pStyle w:val="TableText"/>
              <w:jc w:val="center"/>
              <w:rPr>
                <w:b/>
                <w:bCs/>
              </w:rPr>
            </w:pPr>
            <w:r>
              <w:rPr>
                <w:b/>
                <w:bCs/>
              </w:rPr>
              <w:t>+</w:t>
            </w:r>
          </w:p>
        </w:tc>
        <w:tc>
          <w:tcPr>
            <w:tcW w:w="0" w:type="auto"/>
            <w:tcMar>
              <w:left w:w="108" w:type="dxa"/>
              <w:right w:w="108" w:type="dxa"/>
            </w:tcMar>
          </w:tcPr>
          <w:p w14:paraId="41975CFF" w14:textId="77777777" w:rsidR="009E7B94" w:rsidRPr="00DB6631" w:rsidRDefault="00F56B54" w:rsidP="00976FB6">
            <w:pPr>
              <w:pStyle w:val="TableText"/>
              <w:jc w:val="center"/>
              <w:rPr>
                <w:b/>
                <w:bCs/>
              </w:rPr>
            </w:pPr>
            <w:r w:rsidRPr="00DB6631">
              <w:rPr>
                <w:b/>
                <w:bCs/>
              </w:rPr>
              <w:t>-</w:t>
            </w:r>
          </w:p>
        </w:tc>
        <w:tc>
          <w:tcPr>
            <w:tcW w:w="0" w:type="auto"/>
          </w:tcPr>
          <w:p w14:paraId="66D774E8" w14:textId="77777777" w:rsidR="009E7B94" w:rsidRPr="00DB6631" w:rsidRDefault="00F56B54" w:rsidP="00976FB6">
            <w:pPr>
              <w:pStyle w:val="TableText"/>
              <w:jc w:val="center"/>
              <w:rPr>
                <w:b/>
                <w:bCs/>
              </w:rPr>
            </w:pPr>
            <w:r>
              <w:rPr>
                <w:b/>
                <w:bCs/>
              </w:rPr>
              <w:t>-</w:t>
            </w:r>
          </w:p>
        </w:tc>
        <w:tc>
          <w:tcPr>
            <w:tcW w:w="0" w:type="auto"/>
          </w:tcPr>
          <w:p w14:paraId="72ACD30D" w14:textId="77777777" w:rsidR="009E7B94" w:rsidRPr="00DB6631" w:rsidRDefault="00F56B54" w:rsidP="00976FB6">
            <w:pPr>
              <w:pStyle w:val="TableText"/>
              <w:jc w:val="center"/>
              <w:rPr>
                <w:b/>
                <w:bCs/>
              </w:rPr>
            </w:pPr>
            <w:r w:rsidRPr="00DB6631">
              <w:rPr>
                <w:b/>
                <w:bCs/>
              </w:rPr>
              <w:t>-</w:t>
            </w:r>
          </w:p>
        </w:tc>
        <w:tc>
          <w:tcPr>
            <w:tcW w:w="0" w:type="auto"/>
          </w:tcPr>
          <w:p w14:paraId="6B2993B4" w14:textId="77777777" w:rsidR="009E7B94" w:rsidRPr="00DB6631" w:rsidRDefault="00F56B54" w:rsidP="00976FB6">
            <w:pPr>
              <w:pStyle w:val="TableText"/>
              <w:jc w:val="center"/>
              <w:rPr>
                <w:b/>
                <w:bCs/>
              </w:rPr>
            </w:pPr>
            <w:r w:rsidRPr="00DB6631">
              <w:rPr>
                <w:b/>
                <w:bCs/>
              </w:rPr>
              <w:t>-</w:t>
            </w:r>
          </w:p>
        </w:tc>
        <w:tc>
          <w:tcPr>
            <w:tcW w:w="0" w:type="auto"/>
          </w:tcPr>
          <w:p w14:paraId="35145581" w14:textId="77777777" w:rsidR="009E7B94" w:rsidRPr="00DB6631" w:rsidRDefault="00F56B54" w:rsidP="00976FB6">
            <w:pPr>
              <w:pStyle w:val="TableText"/>
              <w:jc w:val="center"/>
              <w:rPr>
                <w:b/>
                <w:bCs/>
              </w:rPr>
            </w:pPr>
            <w:r w:rsidRPr="00DB6631">
              <w:rPr>
                <w:b/>
                <w:bCs/>
              </w:rPr>
              <w:t>-</w:t>
            </w:r>
          </w:p>
        </w:tc>
        <w:tc>
          <w:tcPr>
            <w:tcW w:w="0" w:type="auto"/>
          </w:tcPr>
          <w:p w14:paraId="68210C1B" w14:textId="77777777" w:rsidR="009E7B94" w:rsidRPr="00DB6631" w:rsidRDefault="00F56B54" w:rsidP="00976FB6">
            <w:pPr>
              <w:pStyle w:val="TableText"/>
              <w:jc w:val="center"/>
              <w:rPr>
                <w:b/>
                <w:bCs/>
              </w:rPr>
            </w:pPr>
            <w:r w:rsidRPr="00DB6631">
              <w:rPr>
                <w:b/>
                <w:bCs/>
              </w:rPr>
              <w:t>-</w:t>
            </w:r>
          </w:p>
        </w:tc>
        <w:tc>
          <w:tcPr>
            <w:tcW w:w="0" w:type="auto"/>
          </w:tcPr>
          <w:p w14:paraId="56DA4445" w14:textId="77777777" w:rsidR="009E7B94" w:rsidRPr="00DB6631" w:rsidRDefault="00F56B54" w:rsidP="00976FB6">
            <w:pPr>
              <w:pStyle w:val="TableText"/>
              <w:jc w:val="center"/>
              <w:rPr>
                <w:b/>
                <w:bCs/>
              </w:rPr>
            </w:pPr>
            <w:r w:rsidRPr="00DB6631">
              <w:rPr>
                <w:b/>
                <w:bCs/>
              </w:rPr>
              <w:t>-</w:t>
            </w:r>
          </w:p>
        </w:tc>
      </w:tr>
      <w:tr w:rsidR="004F6729" w14:paraId="7A8CEE2F" w14:textId="77777777" w:rsidTr="001278A9">
        <w:trPr>
          <w:jc w:val="center"/>
        </w:trPr>
        <w:tc>
          <w:tcPr>
            <w:tcW w:w="0" w:type="auto"/>
            <w:tcMar>
              <w:left w:w="108" w:type="dxa"/>
              <w:right w:w="108" w:type="dxa"/>
            </w:tcMar>
          </w:tcPr>
          <w:p w14:paraId="76242061" w14:textId="77777777" w:rsidR="009E7B94" w:rsidRPr="003B6D8B" w:rsidRDefault="00F56B54" w:rsidP="00976FB6">
            <w:pPr>
              <w:pStyle w:val="Normalsmall"/>
              <w:rPr>
                <w:rFonts w:eastAsia="Times New Roman"/>
                <w:lang w:eastAsia="en-AU"/>
              </w:rPr>
            </w:pPr>
            <w:r>
              <w:t xml:space="preserve">Interswift 6800HS Tin Free SPC Antifouling </w:t>
            </w:r>
          </w:p>
        </w:tc>
        <w:tc>
          <w:tcPr>
            <w:tcW w:w="0" w:type="auto"/>
            <w:tcMar>
              <w:left w:w="108" w:type="dxa"/>
              <w:right w:w="108" w:type="dxa"/>
            </w:tcMar>
          </w:tcPr>
          <w:p w14:paraId="62FB2AF0" w14:textId="77777777" w:rsidR="009E7B94" w:rsidRDefault="00F56B54" w:rsidP="00976FB6">
            <w:pPr>
              <w:pStyle w:val="TableText"/>
              <w:jc w:val="right"/>
            </w:pPr>
            <w:r>
              <w:t>82066</w:t>
            </w:r>
          </w:p>
        </w:tc>
        <w:tc>
          <w:tcPr>
            <w:tcW w:w="0" w:type="auto"/>
            <w:tcMar>
              <w:left w:w="108" w:type="dxa"/>
              <w:right w:w="108" w:type="dxa"/>
            </w:tcMar>
          </w:tcPr>
          <w:p w14:paraId="58AB2336" w14:textId="77777777" w:rsidR="009E7B94" w:rsidRDefault="00F56B54" w:rsidP="00976FB6">
            <w:pPr>
              <w:pStyle w:val="TableText"/>
              <w:jc w:val="right"/>
            </w:pPr>
            <w:r>
              <w:t>2017</w:t>
            </w:r>
          </w:p>
        </w:tc>
        <w:tc>
          <w:tcPr>
            <w:tcW w:w="0" w:type="auto"/>
            <w:tcMar>
              <w:left w:w="108" w:type="dxa"/>
              <w:right w:w="108" w:type="dxa"/>
            </w:tcMar>
          </w:tcPr>
          <w:p w14:paraId="3872A948"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1D500C1" w14:textId="77777777" w:rsidR="009E7B94" w:rsidRPr="00DB6631" w:rsidRDefault="00F56B54" w:rsidP="00976FB6">
            <w:pPr>
              <w:pStyle w:val="TableText"/>
              <w:jc w:val="center"/>
              <w:rPr>
                <w:b/>
                <w:bCs/>
              </w:rPr>
            </w:pPr>
            <w:r w:rsidRPr="00DB6631">
              <w:rPr>
                <w:b/>
                <w:bCs/>
              </w:rPr>
              <w:t>-</w:t>
            </w:r>
          </w:p>
        </w:tc>
        <w:tc>
          <w:tcPr>
            <w:tcW w:w="0" w:type="auto"/>
          </w:tcPr>
          <w:p w14:paraId="038ABE8A" w14:textId="77777777" w:rsidR="009E7B94" w:rsidRPr="00DB6631" w:rsidRDefault="00F56B54" w:rsidP="00976FB6">
            <w:pPr>
              <w:pStyle w:val="TableText"/>
              <w:jc w:val="center"/>
              <w:rPr>
                <w:b/>
                <w:bCs/>
              </w:rPr>
            </w:pPr>
            <w:r w:rsidRPr="00DB6631">
              <w:rPr>
                <w:b/>
                <w:bCs/>
              </w:rPr>
              <w:t>-</w:t>
            </w:r>
          </w:p>
        </w:tc>
        <w:tc>
          <w:tcPr>
            <w:tcW w:w="0" w:type="auto"/>
          </w:tcPr>
          <w:p w14:paraId="7CBC601D" w14:textId="77777777" w:rsidR="009E7B94" w:rsidRPr="00DB6631" w:rsidRDefault="00F56B54" w:rsidP="00976FB6">
            <w:pPr>
              <w:pStyle w:val="TableText"/>
              <w:jc w:val="center"/>
              <w:rPr>
                <w:b/>
                <w:bCs/>
              </w:rPr>
            </w:pPr>
            <w:r w:rsidRPr="00DB6631">
              <w:rPr>
                <w:b/>
                <w:bCs/>
              </w:rPr>
              <w:t>-</w:t>
            </w:r>
          </w:p>
        </w:tc>
        <w:tc>
          <w:tcPr>
            <w:tcW w:w="0" w:type="auto"/>
          </w:tcPr>
          <w:p w14:paraId="61C02A46" w14:textId="77777777" w:rsidR="009E7B94" w:rsidRPr="00DB6631" w:rsidRDefault="00F56B54" w:rsidP="00976FB6">
            <w:pPr>
              <w:pStyle w:val="TableText"/>
              <w:jc w:val="center"/>
              <w:rPr>
                <w:b/>
                <w:bCs/>
              </w:rPr>
            </w:pPr>
            <w:r w:rsidRPr="00DB6631">
              <w:rPr>
                <w:b/>
                <w:bCs/>
              </w:rPr>
              <w:t>+</w:t>
            </w:r>
          </w:p>
        </w:tc>
        <w:tc>
          <w:tcPr>
            <w:tcW w:w="0" w:type="auto"/>
          </w:tcPr>
          <w:p w14:paraId="2422B572" w14:textId="77777777" w:rsidR="009E7B94" w:rsidRPr="00DB6631" w:rsidRDefault="00F56B54" w:rsidP="00976FB6">
            <w:pPr>
              <w:pStyle w:val="TableText"/>
              <w:jc w:val="center"/>
              <w:rPr>
                <w:b/>
                <w:bCs/>
              </w:rPr>
            </w:pPr>
            <w:r w:rsidRPr="00DB6631">
              <w:rPr>
                <w:b/>
                <w:bCs/>
              </w:rPr>
              <w:t>-</w:t>
            </w:r>
          </w:p>
        </w:tc>
        <w:tc>
          <w:tcPr>
            <w:tcW w:w="0" w:type="auto"/>
          </w:tcPr>
          <w:p w14:paraId="62978D1C" w14:textId="77777777" w:rsidR="009E7B94" w:rsidRPr="00DB6631" w:rsidRDefault="00F56B54" w:rsidP="00976FB6">
            <w:pPr>
              <w:pStyle w:val="TableText"/>
              <w:jc w:val="center"/>
              <w:rPr>
                <w:b/>
                <w:bCs/>
              </w:rPr>
            </w:pPr>
            <w:r w:rsidRPr="00DB6631">
              <w:rPr>
                <w:b/>
                <w:bCs/>
              </w:rPr>
              <w:t>-</w:t>
            </w:r>
          </w:p>
        </w:tc>
        <w:tc>
          <w:tcPr>
            <w:tcW w:w="0" w:type="auto"/>
          </w:tcPr>
          <w:p w14:paraId="6B0D5BF0" w14:textId="77777777" w:rsidR="009E7B94" w:rsidRPr="00DB6631" w:rsidRDefault="00F56B54" w:rsidP="00976FB6">
            <w:pPr>
              <w:pStyle w:val="TableText"/>
              <w:jc w:val="center"/>
              <w:rPr>
                <w:b/>
                <w:bCs/>
              </w:rPr>
            </w:pPr>
            <w:r w:rsidRPr="00DB6631">
              <w:rPr>
                <w:b/>
                <w:bCs/>
              </w:rPr>
              <w:t>-</w:t>
            </w:r>
          </w:p>
        </w:tc>
      </w:tr>
      <w:tr w:rsidR="004F6729" w14:paraId="22146E65" w14:textId="77777777" w:rsidTr="001278A9">
        <w:trPr>
          <w:jc w:val="center"/>
        </w:trPr>
        <w:tc>
          <w:tcPr>
            <w:tcW w:w="0" w:type="auto"/>
            <w:tcMar>
              <w:left w:w="108" w:type="dxa"/>
              <w:right w:w="108" w:type="dxa"/>
            </w:tcMar>
          </w:tcPr>
          <w:p w14:paraId="0B9A85C7" w14:textId="77777777" w:rsidR="009E7B94" w:rsidRPr="003B6D8B" w:rsidRDefault="00F56B54" w:rsidP="00976FB6">
            <w:pPr>
              <w:pStyle w:val="Normalsmall"/>
              <w:rPr>
                <w:rFonts w:eastAsia="Times New Roman"/>
                <w:lang w:eastAsia="en-AU"/>
              </w:rPr>
            </w:pPr>
            <w:r>
              <w:t>International Biolux New Technology Ultra 2 High Strength Hard Antifouling</w:t>
            </w:r>
          </w:p>
        </w:tc>
        <w:tc>
          <w:tcPr>
            <w:tcW w:w="0" w:type="auto"/>
            <w:tcMar>
              <w:left w:w="108" w:type="dxa"/>
              <w:right w:w="108" w:type="dxa"/>
            </w:tcMar>
          </w:tcPr>
          <w:p w14:paraId="420ACAC8" w14:textId="77777777" w:rsidR="009E7B94" w:rsidRDefault="00F56B54" w:rsidP="00976FB6">
            <w:pPr>
              <w:pStyle w:val="TableText"/>
              <w:spacing w:before="0"/>
              <w:jc w:val="right"/>
            </w:pPr>
            <w:r>
              <w:t>83417</w:t>
            </w:r>
          </w:p>
        </w:tc>
        <w:tc>
          <w:tcPr>
            <w:tcW w:w="0" w:type="auto"/>
            <w:tcMar>
              <w:left w:w="108" w:type="dxa"/>
              <w:right w:w="108" w:type="dxa"/>
            </w:tcMar>
          </w:tcPr>
          <w:p w14:paraId="331229EE" w14:textId="77777777" w:rsidR="009E7B94" w:rsidRDefault="00F56B54" w:rsidP="00976FB6">
            <w:pPr>
              <w:pStyle w:val="TableText"/>
              <w:spacing w:before="0"/>
              <w:jc w:val="right"/>
            </w:pPr>
            <w:r>
              <w:t>2018</w:t>
            </w:r>
          </w:p>
        </w:tc>
        <w:tc>
          <w:tcPr>
            <w:tcW w:w="0" w:type="auto"/>
            <w:tcMar>
              <w:left w:w="108" w:type="dxa"/>
              <w:right w:w="108" w:type="dxa"/>
            </w:tcMar>
          </w:tcPr>
          <w:p w14:paraId="5ADF700B" w14:textId="77777777" w:rsidR="009E7B94" w:rsidRPr="00DB6631" w:rsidRDefault="00F56B54" w:rsidP="00976FB6">
            <w:pPr>
              <w:pStyle w:val="TableText"/>
              <w:spacing w:before="0"/>
              <w:jc w:val="center"/>
              <w:rPr>
                <w:b/>
                <w:bCs/>
              </w:rPr>
            </w:pPr>
            <w:r w:rsidRPr="00DB6631">
              <w:rPr>
                <w:b/>
                <w:bCs/>
              </w:rPr>
              <w:t>+</w:t>
            </w:r>
          </w:p>
        </w:tc>
        <w:tc>
          <w:tcPr>
            <w:tcW w:w="0" w:type="auto"/>
            <w:tcMar>
              <w:left w:w="108" w:type="dxa"/>
              <w:right w:w="108" w:type="dxa"/>
            </w:tcMar>
          </w:tcPr>
          <w:p w14:paraId="48DA3501" w14:textId="77777777" w:rsidR="009E7B94" w:rsidRPr="00DB6631" w:rsidRDefault="00F56B54" w:rsidP="00976FB6">
            <w:pPr>
              <w:pStyle w:val="TableText"/>
              <w:spacing w:before="0"/>
              <w:jc w:val="center"/>
              <w:rPr>
                <w:b/>
                <w:bCs/>
              </w:rPr>
            </w:pPr>
            <w:r w:rsidRPr="00DB6631">
              <w:rPr>
                <w:b/>
                <w:bCs/>
              </w:rPr>
              <w:t>-</w:t>
            </w:r>
          </w:p>
        </w:tc>
        <w:tc>
          <w:tcPr>
            <w:tcW w:w="0" w:type="auto"/>
          </w:tcPr>
          <w:p w14:paraId="76304D7D" w14:textId="77777777" w:rsidR="009E7B94" w:rsidRPr="00DB6631" w:rsidRDefault="00F56B54" w:rsidP="00976FB6">
            <w:pPr>
              <w:pStyle w:val="TableText"/>
              <w:spacing w:before="0"/>
              <w:jc w:val="center"/>
              <w:rPr>
                <w:b/>
                <w:bCs/>
              </w:rPr>
            </w:pPr>
            <w:r w:rsidRPr="00DB6631">
              <w:rPr>
                <w:b/>
                <w:bCs/>
              </w:rPr>
              <w:t>-</w:t>
            </w:r>
          </w:p>
        </w:tc>
        <w:tc>
          <w:tcPr>
            <w:tcW w:w="0" w:type="auto"/>
          </w:tcPr>
          <w:p w14:paraId="3619A45B" w14:textId="77777777" w:rsidR="009E7B94" w:rsidRPr="00DB6631" w:rsidRDefault="00F56B54" w:rsidP="00976FB6">
            <w:pPr>
              <w:pStyle w:val="TableText"/>
              <w:spacing w:before="0"/>
              <w:jc w:val="center"/>
              <w:rPr>
                <w:b/>
                <w:bCs/>
              </w:rPr>
            </w:pPr>
            <w:r w:rsidRPr="00DB6631">
              <w:rPr>
                <w:b/>
                <w:bCs/>
              </w:rPr>
              <w:t>-</w:t>
            </w:r>
          </w:p>
        </w:tc>
        <w:tc>
          <w:tcPr>
            <w:tcW w:w="0" w:type="auto"/>
          </w:tcPr>
          <w:p w14:paraId="10C2F8EC" w14:textId="77777777" w:rsidR="009E7B94" w:rsidRPr="00DB6631" w:rsidRDefault="00F56B54" w:rsidP="00976FB6">
            <w:pPr>
              <w:pStyle w:val="TableText"/>
              <w:spacing w:before="0"/>
              <w:jc w:val="center"/>
              <w:rPr>
                <w:b/>
                <w:bCs/>
              </w:rPr>
            </w:pPr>
            <w:r w:rsidRPr="00DB6631">
              <w:rPr>
                <w:b/>
                <w:bCs/>
              </w:rPr>
              <w:t>+</w:t>
            </w:r>
          </w:p>
        </w:tc>
        <w:tc>
          <w:tcPr>
            <w:tcW w:w="0" w:type="auto"/>
          </w:tcPr>
          <w:p w14:paraId="22D4429D" w14:textId="77777777" w:rsidR="009E7B94" w:rsidRPr="00DB6631" w:rsidRDefault="00F56B54" w:rsidP="00976FB6">
            <w:pPr>
              <w:pStyle w:val="TableText"/>
              <w:spacing w:before="0"/>
              <w:jc w:val="center"/>
              <w:rPr>
                <w:b/>
                <w:bCs/>
              </w:rPr>
            </w:pPr>
            <w:r w:rsidRPr="00DB6631">
              <w:rPr>
                <w:b/>
                <w:bCs/>
              </w:rPr>
              <w:t>-</w:t>
            </w:r>
          </w:p>
        </w:tc>
        <w:tc>
          <w:tcPr>
            <w:tcW w:w="0" w:type="auto"/>
          </w:tcPr>
          <w:p w14:paraId="440C4273" w14:textId="77777777" w:rsidR="009E7B94" w:rsidRPr="00DB6631" w:rsidRDefault="00F56B54" w:rsidP="00976FB6">
            <w:pPr>
              <w:pStyle w:val="TableText"/>
              <w:spacing w:before="0"/>
              <w:jc w:val="center"/>
              <w:rPr>
                <w:b/>
                <w:bCs/>
              </w:rPr>
            </w:pPr>
            <w:r w:rsidRPr="00DB6631">
              <w:rPr>
                <w:b/>
                <w:bCs/>
              </w:rPr>
              <w:t>-</w:t>
            </w:r>
          </w:p>
        </w:tc>
        <w:tc>
          <w:tcPr>
            <w:tcW w:w="0" w:type="auto"/>
          </w:tcPr>
          <w:p w14:paraId="255DFF36" w14:textId="77777777" w:rsidR="009E7B94" w:rsidRPr="00DB6631" w:rsidRDefault="00F56B54" w:rsidP="00976FB6">
            <w:pPr>
              <w:pStyle w:val="TableText"/>
              <w:spacing w:before="0"/>
              <w:jc w:val="center"/>
              <w:rPr>
                <w:b/>
                <w:bCs/>
              </w:rPr>
            </w:pPr>
            <w:r w:rsidRPr="00DB6631">
              <w:rPr>
                <w:b/>
                <w:bCs/>
              </w:rPr>
              <w:t>-</w:t>
            </w:r>
          </w:p>
        </w:tc>
      </w:tr>
      <w:tr w:rsidR="004F6729" w14:paraId="49F68066" w14:textId="77777777" w:rsidTr="001278A9">
        <w:trPr>
          <w:jc w:val="center"/>
        </w:trPr>
        <w:tc>
          <w:tcPr>
            <w:tcW w:w="0" w:type="auto"/>
            <w:tcMar>
              <w:left w:w="108" w:type="dxa"/>
              <w:right w:w="108" w:type="dxa"/>
            </w:tcMar>
          </w:tcPr>
          <w:p w14:paraId="04DBDFE1" w14:textId="77777777" w:rsidR="009E7B94" w:rsidRPr="003B6D8B" w:rsidRDefault="00F56B54" w:rsidP="00976FB6">
            <w:pPr>
              <w:pStyle w:val="Normalsmall"/>
              <w:rPr>
                <w:rFonts w:eastAsia="Times New Roman"/>
                <w:lang w:eastAsia="en-AU"/>
              </w:rPr>
            </w:pPr>
            <w:r>
              <w:t>International Biolux New Technology Micron AP High Strength Self Polishing Antifouling</w:t>
            </w:r>
          </w:p>
        </w:tc>
        <w:tc>
          <w:tcPr>
            <w:tcW w:w="0" w:type="auto"/>
            <w:tcMar>
              <w:left w:w="108" w:type="dxa"/>
              <w:right w:w="108" w:type="dxa"/>
            </w:tcMar>
            <w:vAlign w:val="center"/>
          </w:tcPr>
          <w:p w14:paraId="02285D49" w14:textId="77777777" w:rsidR="009E7B94" w:rsidRDefault="00F56B54" w:rsidP="00976FB6">
            <w:pPr>
              <w:pStyle w:val="TableText"/>
              <w:spacing w:before="0"/>
              <w:jc w:val="center"/>
            </w:pPr>
            <w:r>
              <w:t>83562</w:t>
            </w:r>
          </w:p>
        </w:tc>
        <w:tc>
          <w:tcPr>
            <w:tcW w:w="0" w:type="auto"/>
            <w:tcMar>
              <w:left w:w="108" w:type="dxa"/>
              <w:right w:w="108" w:type="dxa"/>
            </w:tcMar>
            <w:vAlign w:val="center"/>
          </w:tcPr>
          <w:p w14:paraId="618F62E1" w14:textId="77777777" w:rsidR="009E7B94" w:rsidRDefault="00F56B54" w:rsidP="00976FB6">
            <w:pPr>
              <w:pStyle w:val="TableText"/>
              <w:spacing w:before="0"/>
              <w:jc w:val="center"/>
            </w:pPr>
            <w:r>
              <w:t>2018</w:t>
            </w:r>
          </w:p>
        </w:tc>
        <w:tc>
          <w:tcPr>
            <w:tcW w:w="0" w:type="auto"/>
            <w:tcMar>
              <w:left w:w="108" w:type="dxa"/>
              <w:right w:w="108" w:type="dxa"/>
            </w:tcMar>
            <w:vAlign w:val="center"/>
          </w:tcPr>
          <w:p w14:paraId="54D135C5" w14:textId="77777777" w:rsidR="009E7B94" w:rsidRPr="00DB6631" w:rsidRDefault="00F56B54" w:rsidP="00976FB6">
            <w:pPr>
              <w:pStyle w:val="TableText"/>
              <w:spacing w:before="0"/>
              <w:jc w:val="center"/>
              <w:rPr>
                <w:b/>
                <w:bCs/>
              </w:rPr>
            </w:pPr>
            <w:r w:rsidRPr="00DB6631">
              <w:rPr>
                <w:b/>
                <w:bCs/>
              </w:rPr>
              <w:t>+</w:t>
            </w:r>
          </w:p>
        </w:tc>
        <w:tc>
          <w:tcPr>
            <w:tcW w:w="0" w:type="auto"/>
            <w:tcMar>
              <w:left w:w="108" w:type="dxa"/>
              <w:right w:w="108" w:type="dxa"/>
            </w:tcMar>
            <w:vAlign w:val="center"/>
          </w:tcPr>
          <w:p w14:paraId="7908A3D9"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5B82C181"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42464D80"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1E1806F6"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1ACFCE95"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3134DAFC" w14:textId="77777777" w:rsidR="009E7B94" w:rsidRPr="00DB6631" w:rsidRDefault="00F56B54" w:rsidP="00976FB6">
            <w:pPr>
              <w:pStyle w:val="TableText"/>
              <w:spacing w:before="0"/>
              <w:jc w:val="center"/>
              <w:rPr>
                <w:b/>
                <w:bCs/>
              </w:rPr>
            </w:pPr>
            <w:r w:rsidRPr="00DB6631">
              <w:rPr>
                <w:b/>
                <w:bCs/>
              </w:rPr>
              <w:t>-</w:t>
            </w:r>
          </w:p>
        </w:tc>
        <w:tc>
          <w:tcPr>
            <w:tcW w:w="0" w:type="auto"/>
            <w:vAlign w:val="center"/>
          </w:tcPr>
          <w:p w14:paraId="53C1B982" w14:textId="77777777" w:rsidR="009E7B94" w:rsidRPr="00DB6631" w:rsidRDefault="00F56B54" w:rsidP="00976FB6">
            <w:pPr>
              <w:pStyle w:val="TableText"/>
              <w:spacing w:before="0"/>
              <w:jc w:val="center"/>
              <w:rPr>
                <w:b/>
                <w:bCs/>
              </w:rPr>
            </w:pPr>
            <w:r w:rsidRPr="00DB6631">
              <w:rPr>
                <w:b/>
                <w:bCs/>
              </w:rPr>
              <w:t>-</w:t>
            </w:r>
          </w:p>
        </w:tc>
      </w:tr>
      <w:tr w:rsidR="004F6729" w14:paraId="726F84C3" w14:textId="77777777" w:rsidTr="001278A9">
        <w:trPr>
          <w:jc w:val="center"/>
        </w:trPr>
        <w:tc>
          <w:tcPr>
            <w:tcW w:w="0" w:type="auto"/>
            <w:tcMar>
              <w:left w:w="108" w:type="dxa"/>
              <w:right w:w="108" w:type="dxa"/>
            </w:tcMar>
          </w:tcPr>
          <w:p w14:paraId="10A8B089" w14:textId="77777777" w:rsidR="009E7B94" w:rsidRPr="003B6D8B" w:rsidRDefault="00F56B54" w:rsidP="00976FB6">
            <w:pPr>
              <w:pStyle w:val="Normalsmall"/>
              <w:rPr>
                <w:rFonts w:eastAsia="Times New Roman"/>
                <w:lang w:eastAsia="en-AU"/>
              </w:rPr>
            </w:pPr>
            <w:r>
              <w:t>International Micron 350 Premium Self Polishing Antifouling</w:t>
            </w:r>
          </w:p>
        </w:tc>
        <w:tc>
          <w:tcPr>
            <w:tcW w:w="0" w:type="auto"/>
            <w:tcMar>
              <w:left w:w="108" w:type="dxa"/>
              <w:right w:w="108" w:type="dxa"/>
            </w:tcMar>
          </w:tcPr>
          <w:p w14:paraId="32892554" w14:textId="77777777" w:rsidR="009E7B94" w:rsidRDefault="00F56B54" w:rsidP="00976FB6">
            <w:pPr>
              <w:pStyle w:val="TableText"/>
              <w:jc w:val="right"/>
            </w:pPr>
            <w:r>
              <w:t>86008</w:t>
            </w:r>
          </w:p>
        </w:tc>
        <w:tc>
          <w:tcPr>
            <w:tcW w:w="0" w:type="auto"/>
            <w:tcMar>
              <w:left w:w="108" w:type="dxa"/>
              <w:right w:w="108" w:type="dxa"/>
            </w:tcMar>
          </w:tcPr>
          <w:p w14:paraId="5269CBC6" w14:textId="77777777" w:rsidR="009E7B94" w:rsidRDefault="00F56B54" w:rsidP="00976FB6">
            <w:pPr>
              <w:pStyle w:val="TableText"/>
              <w:jc w:val="right"/>
            </w:pPr>
            <w:r>
              <w:t>2019</w:t>
            </w:r>
          </w:p>
        </w:tc>
        <w:tc>
          <w:tcPr>
            <w:tcW w:w="0" w:type="auto"/>
            <w:tcMar>
              <w:left w:w="108" w:type="dxa"/>
              <w:right w:w="108" w:type="dxa"/>
            </w:tcMar>
          </w:tcPr>
          <w:p w14:paraId="3FBB56FA"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11048BD1" w14:textId="77777777" w:rsidR="009E7B94" w:rsidRPr="00DB6631" w:rsidRDefault="00F56B54" w:rsidP="00976FB6">
            <w:pPr>
              <w:pStyle w:val="TableText"/>
              <w:jc w:val="center"/>
              <w:rPr>
                <w:b/>
                <w:bCs/>
              </w:rPr>
            </w:pPr>
            <w:r w:rsidRPr="00DB6631">
              <w:rPr>
                <w:b/>
                <w:bCs/>
              </w:rPr>
              <w:t>-</w:t>
            </w:r>
          </w:p>
        </w:tc>
        <w:tc>
          <w:tcPr>
            <w:tcW w:w="0" w:type="auto"/>
          </w:tcPr>
          <w:p w14:paraId="76747FFA" w14:textId="77777777" w:rsidR="009E7B94" w:rsidRPr="00DB6631" w:rsidRDefault="00F56B54" w:rsidP="00976FB6">
            <w:pPr>
              <w:pStyle w:val="TableText"/>
              <w:jc w:val="center"/>
              <w:rPr>
                <w:b/>
                <w:bCs/>
              </w:rPr>
            </w:pPr>
            <w:r w:rsidRPr="00DB6631">
              <w:rPr>
                <w:b/>
                <w:bCs/>
              </w:rPr>
              <w:t>-</w:t>
            </w:r>
          </w:p>
        </w:tc>
        <w:tc>
          <w:tcPr>
            <w:tcW w:w="0" w:type="auto"/>
          </w:tcPr>
          <w:p w14:paraId="6E5E9CB8" w14:textId="77777777" w:rsidR="009E7B94" w:rsidRPr="00DB6631" w:rsidRDefault="00F56B54" w:rsidP="00976FB6">
            <w:pPr>
              <w:pStyle w:val="TableText"/>
              <w:jc w:val="center"/>
              <w:rPr>
                <w:b/>
                <w:bCs/>
              </w:rPr>
            </w:pPr>
            <w:r w:rsidRPr="00DB6631">
              <w:rPr>
                <w:b/>
                <w:bCs/>
              </w:rPr>
              <w:t>-</w:t>
            </w:r>
          </w:p>
        </w:tc>
        <w:tc>
          <w:tcPr>
            <w:tcW w:w="0" w:type="auto"/>
          </w:tcPr>
          <w:p w14:paraId="3EAF2545" w14:textId="77777777" w:rsidR="009E7B94" w:rsidRPr="00DB6631" w:rsidRDefault="00F56B54" w:rsidP="00976FB6">
            <w:pPr>
              <w:pStyle w:val="TableText"/>
              <w:jc w:val="center"/>
              <w:rPr>
                <w:b/>
                <w:bCs/>
              </w:rPr>
            </w:pPr>
            <w:r w:rsidRPr="00DB6631">
              <w:rPr>
                <w:b/>
                <w:bCs/>
              </w:rPr>
              <w:t>-</w:t>
            </w:r>
          </w:p>
        </w:tc>
        <w:tc>
          <w:tcPr>
            <w:tcW w:w="0" w:type="auto"/>
          </w:tcPr>
          <w:p w14:paraId="6035AD98" w14:textId="77777777" w:rsidR="009E7B94" w:rsidRPr="00DB6631" w:rsidRDefault="00F56B54" w:rsidP="00976FB6">
            <w:pPr>
              <w:pStyle w:val="TableText"/>
              <w:jc w:val="center"/>
              <w:rPr>
                <w:b/>
                <w:bCs/>
              </w:rPr>
            </w:pPr>
            <w:r w:rsidRPr="00DB6631">
              <w:rPr>
                <w:b/>
                <w:bCs/>
              </w:rPr>
              <w:t>-</w:t>
            </w:r>
          </w:p>
        </w:tc>
        <w:tc>
          <w:tcPr>
            <w:tcW w:w="0" w:type="auto"/>
          </w:tcPr>
          <w:p w14:paraId="06517EC8" w14:textId="77777777" w:rsidR="009E7B94" w:rsidRPr="00DB6631" w:rsidRDefault="00F56B54" w:rsidP="00976FB6">
            <w:pPr>
              <w:pStyle w:val="TableText"/>
              <w:jc w:val="center"/>
              <w:rPr>
                <w:b/>
                <w:bCs/>
              </w:rPr>
            </w:pPr>
            <w:r w:rsidRPr="00DB6631">
              <w:rPr>
                <w:b/>
                <w:bCs/>
              </w:rPr>
              <w:t>-</w:t>
            </w:r>
          </w:p>
        </w:tc>
        <w:tc>
          <w:tcPr>
            <w:tcW w:w="0" w:type="auto"/>
          </w:tcPr>
          <w:p w14:paraId="7F797AF8" w14:textId="77777777" w:rsidR="009E7B94" w:rsidRPr="00DB6631" w:rsidRDefault="00F56B54" w:rsidP="00976FB6">
            <w:pPr>
              <w:pStyle w:val="TableText"/>
              <w:jc w:val="center"/>
              <w:rPr>
                <w:b/>
                <w:bCs/>
              </w:rPr>
            </w:pPr>
            <w:r w:rsidRPr="00DB6631">
              <w:rPr>
                <w:b/>
                <w:bCs/>
              </w:rPr>
              <w:t>-</w:t>
            </w:r>
          </w:p>
        </w:tc>
      </w:tr>
      <w:tr w:rsidR="004F6729" w14:paraId="593A1A8B" w14:textId="77777777" w:rsidTr="001278A9">
        <w:trPr>
          <w:jc w:val="center"/>
        </w:trPr>
        <w:tc>
          <w:tcPr>
            <w:tcW w:w="0" w:type="auto"/>
            <w:tcMar>
              <w:left w:w="108" w:type="dxa"/>
              <w:right w:w="108" w:type="dxa"/>
            </w:tcMar>
          </w:tcPr>
          <w:p w14:paraId="3B4512AB" w14:textId="77777777" w:rsidR="009E7B94" w:rsidRDefault="00F56B54" w:rsidP="00976FB6">
            <w:pPr>
              <w:pStyle w:val="Normalsmall"/>
            </w:pPr>
            <w:r>
              <w:lastRenderedPageBreak/>
              <w:t>International Micron 99 Biolux SPC Premium Self Polishing Antifouling</w:t>
            </w:r>
          </w:p>
        </w:tc>
        <w:tc>
          <w:tcPr>
            <w:tcW w:w="0" w:type="auto"/>
            <w:tcMar>
              <w:left w:w="108" w:type="dxa"/>
              <w:right w:w="108" w:type="dxa"/>
            </w:tcMar>
          </w:tcPr>
          <w:p w14:paraId="63E9FE44" w14:textId="77777777" w:rsidR="009E7B94" w:rsidRDefault="00F56B54" w:rsidP="00976FB6">
            <w:pPr>
              <w:pStyle w:val="TableText"/>
              <w:jc w:val="right"/>
            </w:pPr>
            <w:r>
              <w:t>85986</w:t>
            </w:r>
          </w:p>
        </w:tc>
        <w:tc>
          <w:tcPr>
            <w:tcW w:w="0" w:type="auto"/>
            <w:tcMar>
              <w:left w:w="108" w:type="dxa"/>
              <w:right w:w="108" w:type="dxa"/>
            </w:tcMar>
          </w:tcPr>
          <w:p w14:paraId="22CC4FDF" w14:textId="77777777" w:rsidR="009E7B94" w:rsidRDefault="00F56B54" w:rsidP="00976FB6">
            <w:pPr>
              <w:pStyle w:val="TableText"/>
              <w:jc w:val="right"/>
            </w:pPr>
            <w:r>
              <w:t>2019</w:t>
            </w:r>
          </w:p>
        </w:tc>
        <w:tc>
          <w:tcPr>
            <w:tcW w:w="0" w:type="auto"/>
            <w:tcMar>
              <w:left w:w="108" w:type="dxa"/>
              <w:right w:w="108" w:type="dxa"/>
            </w:tcMar>
          </w:tcPr>
          <w:p w14:paraId="1320D756"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6DF1AFFE" w14:textId="77777777" w:rsidR="009E7B94" w:rsidRPr="00DB6631" w:rsidRDefault="00F56B54" w:rsidP="00976FB6">
            <w:pPr>
              <w:pStyle w:val="TableText"/>
              <w:jc w:val="center"/>
              <w:rPr>
                <w:b/>
                <w:bCs/>
              </w:rPr>
            </w:pPr>
            <w:r w:rsidRPr="00DB6631">
              <w:rPr>
                <w:b/>
                <w:bCs/>
              </w:rPr>
              <w:t>-</w:t>
            </w:r>
          </w:p>
        </w:tc>
        <w:tc>
          <w:tcPr>
            <w:tcW w:w="0" w:type="auto"/>
          </w:tcPr>
          <w:p w14:paraId="6BF9947D" w14:textId="77777777" w:rsidR="009E7B94" w:rsidRPr="00DB6631" w:rsidRDefault="00F56B54" w:rsidP="00976FB6">
            <w:pPr>
              <w:pStyle w:val="TableText"/>
              <w:jc w:val="center"/>
              <w:rPr>
                <w:b/>
                <w:bCs/>
              </w:rPr>
            </w:pPr>
            <w:r w:rsidRPr="00DB6631">
              <w:rPr>
                <w:b/>
                <w:bCs/>
              </w:rPr>
              <w:t>-</w:t>
            </w:r>
          </w:p>
        </w:tc>
        <w:tc>
          <w:tcPr>
            <w:tcW w:w="0" w:type="auto"/>
          </w:tcPr>
          <w:p w14:paraId="60C26AEE" w14:textId="77777777" w:rsidR="009E7B94" w:rsidRPr="00DB6631" w:rsidRDefault="00F56B54" w:rsidP="00976FB6">
            <w:pPr>
              <w:pStyle w:val="TableText"/>
              <w:jc w:val="center"/>
              <w:rPr>
                <w:b/>
                <w:bCs/>
              </w:rPr>
            </w:pPr>
            <w:r w:rsidRPr="00DB6631">
              <w:rPr>
                <w:b/>
                <w:bCs/>
              </w:rPr>
              <w:t>-</w:t>
            </w:r>
          </w:p>
        </w:tc>
        <w:tc>
          <w:tcPr>
            <w:tcW w:w="0" w:type="auto"/>
          </w:tcPr>
          <w:p w14:paraId="1D8D1F7A" w14:textId="77777777" w:rsidR="009E7B94" w:rsidRPr="00DB6631" w:rsidRDefault="00F56B54" w:rsidP="00976FB6">
            <w:pPr>
              <w:pStyle w:val="TableText"/>
              <w:jc w:val="center"/>
              <w:rPr>
                <w:b/>
                <w:bCs/>
              </w:rPr>
            </w:pPr>
            <w:r w:rsidRPr="00DB6631">
              <w:rPr>
                <w:b/>
                <w:bCs/>
              </w:rPr>
              <w:t>-</w:t>
            </w:r>
          </w:p>
        </w:tc>
        <w:tc>
          <w:tcPr>
            <w:tcW w:w="0" w:type="auto"/>
          </w:tcPr>
          <w:p w14:paraId="49FD5E31" w14:textId="77777777" w:rsidR="009E7B94" w:rsidRPr="00DB6631" w:rsidRDefault="00F56B54" w:rsidP="00976FB6">
            <w:pPr>
              <w:pStyle w:val="TableText"/>
              <w:jc w:val="center"/>
              <w:rPr>
                <w:b/>
                <w:bCs/>
              </w:rPr>
            </w:pPr>
            <w:r w:rsidRPr="00DB6631">
              <w:rPr>
                <w:b/>
                <w:bCs/>
              </w:rPr>
              <w:t>-</w:t>
            </w:r>
          </w:p>
        </w:tc>
        <w:tc>
          <w:tcPr>
            <w:tcW w:w="0" w:type="auto"/>
          </w:tcPr>
          <w:p w14:paraId="18135399" w14:textId="77777777" w:rsidR="009E7B94" w:rsidRPr="00DB6631" w:rsidRDefault="00F56B54" w:rsidP="00976FB6">
            <w:pPr>
              <w:pStyle w:val="TableText"/>
              <w:jc w:val="center"/>
              <w:rPr>
                <w:b/>
                <w:bCs/>
              </w:rPr>
            </w:pPr>
            <w:r w:rsidRPr="00DB6631">
              <w:rPr>
                <w:b/>
                <w:bCs/>
              </w:rPr>
              <w:t>-</w:t>
            </w:r>
          </w:p>
        </w:tc>
        <w:tc>
          <w:tcPr>
            <w:tcW w:w="0" w:type="auto"/>
          </w:tcPr>
          <w:p w14:paraId="387AC73C" w14:textId="77777777" w:rsidR="009E7B94" w:rsidRPr="00DB6631" w:rsidRDefault="00F56B54" w:rsidP="00976FB6">
            <w:pPr>
              <w:pStyle w:val="TableText"/>
              <w:jc w:val="center"/>
              <w:rPr>
                <w:b/>
                <w:bCs/>
              </w:rPr>
            </w:pPr>
            <w:r w:rsidRPr="00DB6631">
              <w:rPr>
                <w:b/>
                <w:bCs/>
              </w:rPr>
              <w:t>+</w:t>
            </w:r>
          </w:p>
        </w:tc>
      </w:tr>
      <w:tr w:rsidR="004F6729" w14:paraId="6CC2448F" w14:textId="77777777" w:rsidTr="001278A9">
        <w:trPr>
          <w:jc w:val="center"/>
        </w:trPr>
        <w:tc>
          <w:tcPr>
            <w:tcW w:w="0" w:type="auto"/>
            <w:tcMar>
              <w:left w:w="108" w:type="dxa"/>
              <w:right w:w="108" w:type="dxa"/>
            </w:tcMar>
          </w:tcPr>
          <w:p w14:paraId="251926DB" w14:textId="77777777" w:rsidR="009E7B94" w:rsidRDefault="00F56B54" w:rsidP="00976FB6">
            <w:pPr>
              <w:pStyle w:val="Normalsmall"/>
            </w:pPr>
            <w:r>
              <w:t>Intercept 8500 Tin Free Linear Polishing Polymer Antifouling</w:t>
            </w:r>
          </w:p>
        </w:tc>
        <w:tc>
          <w:tcPr>
            <w:tcW w:w="0" w:type="auto"/>
            <w:tcMar>
              <w:left w:w="108" w:type="dxa"/>
              <w:right w:w="108" w:type="dxa"/>
            </w:tcMar>
          </w:tcPr>
          <w:p w14:paraId="50F469A9" w14:textId="77777777" w:rsidR="009E7B94" w:rsidRDefault="00F56B54" w:rsidP="00976FB6">
            <w:pPr>
              <w:pStyle w:val="TableText"/>
              <w:jc w:val="right"/>
            </w:pPr>
            <w:r>
              <w:t>86812</w:t>
            </w:r>
          </w:p>
        </w:tc>
        <w:tc>
          <w:tcPr>
            <w:tcW w:w="0" w:type="auto"/>
            <w:tcMar>
              <w:left w:w="108" w:type="dxa"/>
              <w:right w:w="108" w:type="dxa"/>
            </w:tcMar>
          </w:tcPr>
          <w:p w14:paraId="4B866AE2" w14:textId="77777777" w:rsidR="009E7B94" w:rsidRDefault="00F56B54" w:rsidP="00976FB6">
            <w:pPr>
              <w:pStyle w:val="TableText"/>
              <w:jc w:val="right"/>
            </w:pPr>
            <w:r>
              <w:t>2019</w:t>
            </w:r>
          </w:p>
        </w:tc>
        <w:tc>
          <w:tcPr>
            <w:tcW w:w="0" w:type="auto"/>
            <w:tcMar>
              <w:left w:w="108" w:type="dxa"/>
              <w:right w:w="108" w:type="dxa"/>
            </w:tcMar>
          </w:tcPr>
          <w:p w14:paraId="7EBF4EEB"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C438004" w14:textId="77777777" w:rsidR="009E7B94" w:rsidRPr="00DB6631" w:rsidRDefault="00F56B54" w:rsidP="00976FB6">
            <w:pPr>
              <w:pStyle w:val="TableText"/>
              <w:jc w:val="center"/>
              <w:rPr>
                <w:b/>
                <w:bCs/>
              </w:rPr>
            </w:pPr>
            <w:r w:rsidRPr="00DB6631">
              <w:rPr>
                <w:b/>
                <w:bCs/>
              </w:rPr>
              <w:t>-</w:t>
            </w:r>
          </w:p>
        </w:tc>
        <w:tc>
          <w:tcPr>
            <w:tcW w:w="0" w:type="auto"/>
          </w:tcPr>
          <w:p w14:paraId="1492C9A3" w14:textId="77777777" w:rsidR="009E7B94" w:rsidRPr="00DB6631" w:rsidRDefault="00F56B54" w:rsidP="00976FB6">
            <w:pPr>
              <w:pStyle w:val="TableText"/>
              <w:jc w:val="center"/>
              <w:rPr>
                <w:b/>
                <w:bCs/>
              </w:rPr>
            </w:pPr>
            <w:r w:rsidRPr="00DB6631">
              <w:rPr>
                <w:b/>
                <w:bCs/>
              </w:rPr>
              <w:t>-</w:t>
            </w:r>
          </w:p>
        </w:tc>
        <w:tc>
          <w:tcPr>
            <w:tcW w:w="0" w:type="auto"/>
          </w:tcPr>
          <w:p w14:paraId="5E4E1DD2" w14:textId="77777777" w:rsidR="009E7B94" w:rsidRPr="00DB6631" w:rsidRDefault="00F56B54" w:rsidP="00976FB6">
            <w:pPr>
              <w:pStyle w:val="TableText"/>
              <w:jc w:val="center"/>
              <w:rPr>
                <w:b/>
                <w:bCs/>
              </w:rPr>
            </w:pPr>
            <w:r w:rsidRPr="00DB6631">
              <w:rPr>
                <w:b/>
                <w:bCs/>
              </w:rPr>
              <w:t>-</w:t>
            </w:r>
          </w:p>
        </w:tc>
        <w:tc>
          <w:tcPr>
            <w:tcW w:w="0" w:type="auto"/>
          </w:tcPr>
          <w:p w14:paraId="75DAF68D" w14:textId="77777777" w:rsidR="009E7B94" w:rsidRPr="00DB6631" w:rsidRDefault="00F56B54" w:rsidP="00976FB6">
            <w:pPr>
              <w:pStyle w:val="TableText"/>
              <w:jc w:val="center"/>
              <w:rPr>
                <w:b/>
                <w:bCs/>
              </w:rPr>
            </w:pPr>
            <w:r w:rsidRPr="00DB6631">
              <w:rPr>
                <w:b/>
                <w:bCs/>
              </w:rPr>
              <w:t>-</w:t>
            </w:r>
          </w:p>
        </w:tc>
        <w:tc>
          <w:tcPr>
            <w:tcW w:w="0" w:type="auto"/>
          </w:tcPr>
          <w:p w14:paraId="6C316353" w14:textId="77777777" w:rsidR="009E7B94" w:rsidRPr="00DB6631" w:rsidRDefault="00F56B54" w:rsidP="00976FB6">
            <w:pPr>
              <w:pStyle w:val="TableText"/>
              <w:jc w:val="center"/>
              <w:rPr>
                <w:b/>
                <w:bCs/>
              </w:rPr>
            </w:pPr>
            <w:r w:rsidRPr="00DB6631">
              <w:rPr>
                <w:b/>
                <w:bCs/>
              </w:rPr>
              <w:t>-</w:t>
            </w:r>
          </w:p>
        </w:tc>
        <w:tc>
          <w:tcPr>
            <w:tcW w:w="0" w:type="auto"/>
          </w:tcPr>
          <w:p w14:paraId="3DBC5AC4" w14:textId="77777777" w:rsidR="009E7B94" w:rsidRPr="00DB6631" w:rsidRDefault="00F56B54" w:rsidP="00976FB6">
            <w:pPr>
              <w:pStyle w:val="TableText"/>
              <w:jc w:val="center"/>
              <w:rPr>
                <w:b/>
                <w:bCs/>
              </w:rPr>
            </w:pPr>
            <w:r w:rsidRPr="00DB6631">
              <w:rPr>
                <w:b/>
                <w:bCs/>
              </w:rPr>
              <w:t>-</w:t>
            </w:r>
          </w:p>
        </w:tc>
        <w:tc>
          <w:tcPr>
            <w:tcW w:w="0" w:type="auto"/>
          </w:tcPr>
          <w:p w14:paraId="7DF2F587" w14:textId="77777777" w:rsidR="009E7B94" w:rsidRPr="00DB6631" w:rsidRDefault="00F56B54" w:rsidP="00976FB6">
            <w:pPr>
              <w:pStyle w:val="TableText"/>
              <w:jc w:val="center"/>
              <w:rPr>
                <w:b/>
                <w:bCs/>
              </w:rPr>
            </w:pPr>
            <w:r w:rsidRPr="00DB6631">
              <w:rPr>
                <w:b/>
                <w:bCs/>
              </w:rPr>
              <w:t>+</w:t>
            </w:r>
          </w:p>
        </w:tc>
      </w:tr>
      <w:tr w:rsidR="004F6729" w14:paraId="1F5F0705" w14:textId="77777777" w:rsidTr="00C61E5A">
        <w:trPr>
          <w:jc w:val="center"/>
        </w:trPr>
        <w:tc>
          <w:tcPr>
            <w:tcW w:w="0" w:type="auto"/>
            <w:gridSpan w:val="11"/>
            <w:tcMar>
              <w:left w:w="108" w:type="dxa"/>
              <w:right w:w="108" w:type="dxa"/>
            </w:tcMar>
          </w:tcPr>
          <w:p w14:paraId="73CD205A" w14:textId="77777777" w:rsidR="009600DA" w:rsidRPr="00DB6631" w:rsidRDefault="00F56B54" w:rsidP="003378D5">
            <w:pPr>
              <w:pStyle w:val="TableText"/>
              <w:rPr>
                <w:b/>
                <w:bCs/>
              </w:rPr>
            </w:pPr>
            <w:r>
              <w:t>CHUGOKU MARINE PAINTS LTD</w:t>
            </w:r>
          </w:p>
        </w:tc>
      </w:tr>
      <w:tr w:rsidR="004F6729" w14:paraId="6E4FA518" w14:textId="77777777" w:rsidTr="001278A9">
        <w:trPr>
          <w:jc w:val="center"/>
        </w:trPr>
        <w:tc>
          <w:tcPr>
            <w:tcW w:w="0" w:type="auto"/>
            <w:tcMar>
              <w:left w:w="108" w:type="dxa"/>
              <w:right w:w="108" w:type="dxa"/>
            </w:tcMar>
          </w:tcPr>
          <w:p w14:paraId="1B9D1B11" w14:textId="77777777" w:rsidR="009E7B94" w:rsidRPr="00EE6CDF" w:rsidRDefault="00F56B54" w:rsidP="00976FB6">
            <w:pPr>
              <w:pStyle w:val="Normalsmall"/>
              <w:rPr>
                <w:rFonts w:eastAsia="Times New Roman"/>
                <w:lang w:eastAsia="en-AU"/>
              </w:rPr>
            </w:pPr>
            <w:r>
              <w:t>Seajet 039 Platinum 2-Components Antifouling</w:t>
            </w:r>
          </w:p>
        </w:tc>
        <w:tc>
          <w:tcPr>
            <w:tcW w:w="0" w:type="auto"/>
            <w:tcMar>
              <w:left w:w="108" w:type="dxa"/>
              <w:right w:w="108" w:type="dxa"/>
            </w:tcMar>
          </w:tcPr>
          <w:p w14:paraId="75242341" w14:textId="77777777" w:rsidR="009E7B94" w:rsidRDefault="00F56B54" w:rsidP="00976FB6">
            <w:pPr>
              <w:pStyle w:val="TableText"/>
              <w:jc w:val="right"/>
            </w:pPr>
            <w:r>
              <w:t>87337</w:t>
            </w:r>
          </w:p>
        </w:tc>
        <w:tc>
          <w:tcPr>
            <w:tcW w:w="0" w:type="auto"/>
            <w:tcMar>
              <w:left w:w="108" w:type="dxa"/>
              <w:right w:w="108" w:type="dxa"/>
            </w:tcMar>
          </w:tcPr>
          <w:p w14:paraId="06696AC7" w14:textId="77777777" w:rsidR="009E7B94" w:rsidRDefault="00F56B54" w:rsidP="00976FB6">
            <w:pPr>
              <w:pStyle w:val="TableText"/>
              <w:jc w:val="right"/>
            </w:pPr>
            <w:r>
              <w:t>2020</w:t>
            </w:r>
          </w:p>
        </w:tc>
        <w:tc>
          <w:tcPr>
            <w:tcW w:w="0" w:type="auto"/>
            <w:tcMar>
              <w:left w:w="108" w:type="dxa"/>
              <w:right w:w="108" w:type="dxa"/>
            </w:tcMar>
          </w:tcPr>
          <w:p w14:paraId="15321901"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DF6047E" w14:textId="77777777" w:rsidR="009E7B94" w:rsidRPr="00DB6631" w:rsidRDefault="00F56B54" w:rsidP="00976FB6">
            <w:pPr>
              <w:pStyle w:val="TableText"/>
              <w:jc w:val="center"/>
              <w:rPr>
                <w:b/>
                <w:bCs/>
              </w:rPr>
            </w:pPr>
            <w:r w:rsidRPr="00DB6631">
              <w:rPr>
                <w:b/>
                <w:bCs/>
              </w:rPr>
              <w:t>-</w:t>
            </w:r>
          </w:p>
        </w:tc>
        <w:tc>
          <w:tcPr>
            <w:tcW w:w="0" w:type="auto"/>
          </w:tcPr>
          <w:p w14:paraId="22173A67" w14:textId="77777777" w:rsidR="009E7B94" w:rsidRPr="00DB6631" w:rsidRDefault="00F56B54" w:rsidP="00976FB6">
            <w:pPr>
              <w:pStyle w:val="TableText"/>
              <w:jc w:val="center"/>
              <w:rPr>
                <w:b/>
                <w:bCs/>
              </w:rPr>
            </w:pPr>
            <w:r w:rsidRPr="00DB6631">
              <w:rPr>
                <w:b/>
                <w:bCs/>
              </w:rPr>
              <w:t>-</w:t>
            </w:r>
          </w:p>
        </w:tc>
        <w:tc>
          <w:tcPr>
            <w:tcW w:w="0" w:type="auto"/>
          </w:tcPr>
          <w:p w14:paraId="70285915" w14:textId="77777777" w:rsidR="009E7B94" w:rsidRPr="00DB6631" w:rsidRDefault="00F56B54" w:rsidP="00976FB6">
            <w:pPr>
              <w:pStyle w:val="TableText"/>
              <w:jc w:val="center"/>
              <w:rPr>
                <w:b/>
                <w:bCs/>
              </w:rPr>
            </w:pPr>
            <w:r w:rsidRPr="00DB6631">
              <w:rPr>
                <w:b/>
                <w:bCs/>
              </w:rPr>
              <w:t>-</w:t>
            </w:r>
          </w:p>
        </w:tc>
        <w:tc>
          <w:tcPr>
            <w:tcW w:w="0" w:type="auto"/>
          </w:tcPr>
          <w:p w14:paraId="56EE6866" w14:textId="77777777" w:rsidR="009E7B94" w:rsidRPr="00DB6631" w:rsidRDefault="00F56B54" w:rsidP="00976FB6">
            <w:pPr>
              <w:pStyle w:val="TableText"/>
              <w:jc w:val="center"/>
              <w:rPr>
                <w:b/>
                <w:bCs/>
              </w:rPr>
            </w:pPr>
            <w:r w:rsidRPr="00DB6631">
              <w:rPr>
                <w:b/>
                <w:bCs/>
              </w:rPr>
              <w:t>-</w:t>
            </w:r>
          </w:p>
        </w:tc>
        <w:tc>
          <w:tcPr>
            <w:tcW w:w="0" w:type="auto"/>
          </w:tcPr>
          <w:p w14:paraId="1327EEF1" w14:textId="77777777" w:rsidR="009E7B94" w:rsidRPr="00DB6631" w:rsidRDefault="00F56B54" w:rsidP="00976FB6">
            <w:pPr>
              <w:pStyle w:val="TableText"/>
              <w:jc w:val="center"/>
              <w:rPr>
                <w:b/>
                <w:bCs/>
              </w:rPr>
            </w:pPr>
            <w:r w:rsidRPr="00DB6631">
              <w:rPr>
                <w:b/>
                <w:bCs/>
              </w:rPr>
              <w:t>-</w:t>
            </w:r>
          </w:p>
        </w:tc>
        <w:tc>
          <w:tcPr>
            <w:tcW w:w="0" w:type="auto"/>
          </w:tcPr>
          <w:p w14:paraId="7E065DE0" w14:textId="77777777" w:rsidR="009E7B94" w:rsidRPr="00DB6631" w:rsidRDefault="00F56B54" w:rsidP="00976FB6">
            <w:pPr>
              <w:pStyle w:val="TableText"/>
              <w:jc w:val="center"/>
              <w:rPr>
                <w:b/>
                <w:bCs/>
              </w:rPr>
            </w:pPr>
            <w:r w:rsidRPr="00DB6631">
              <w:rPr>
                <w:b/>
                <w:bCs/>
              </w:rPr>
              <w:t>+</w:t>
            </w:r>
          </w:p>
        </w:tc>
        <w:tc>
          <w:tcPr>
            <w:tcW w:w="0" w:type="auto"/>
          </w:tcPr>
          <w:p w14:paraId="554C61C5" w14:textId="77777777" w:rsidR="009E7B94" w:rsidRPr="00DB6631" w:rsidRDefault="00F56B54" w:rsidP="00976FB6">
            <w:pPr>
              <w:pStyle w:val="TableText"/>
              <w:jc w:val="center"/>
              <w:rPr>
                <w:b/>
                <w:bCs/>
              </w:rPr>
            </w:pPr>
            <w:r w:rsidRPr="00DB6631">
              <w:rPr>
                <w:b/>
                <w:bCs/>
              </w:rPr>
              <w:t>-</w:t>
            </w:r>
          </w:p>
        </w:tc>
      </w:tr>
      <w:tr w:rsidR="004F6729" w14:paraId="6A4F1DFF" w14:textId="77777777" w:rsidTr="00C61E5A">
        <w:trPr>
          <w:jc w:val="center"/>
        </w:trPr>
        <w:tc>
          <w:tcPr>
            <w:tcW w:w="0" w:type="auto"/>
            <w:gridSpan w:val="11"/>
            <w:tcMar>
              <w:left w:w="108" w:type="dxa"/>
              <w:right w:w="108" w:type="dxa"/>
            </w:tcMar>
          </w:tcPr>
          <w:p w14:paraId="007D8475" w14:textId="77777777" w:rsidR="009600DA" w:rsidRPr="00DB6631" w:rsidRDefault="00F56B54" w:rsidP="003378D5">
            <w:pPr>
              <w:pStyle w:val="TableText"/>
              <w:rPr>
                <w:b/>
                <w:bCs/>
              </w:rPr>
            </w:pPr>
            <w:r>
              <w:t>HEMPEL (AUSTRALIA) PTY LTD</w:t>
            </w:r>
          </w:p>
        </w:tc>
      </w:tr>
      <w:tr w:rsidR="004F6729" w14:paraId="211073F7" w14:textId="77777777" w:rsidTr="001278A9">
        <w:trPr>
          <w:jc w:val="center"/>
        </w:trPr>
        <w:tc>
          <w:tcPr>
            <w:tcW w:w="0" w:type="auto"/>
            <w:tcMar>
              <w:left w:w="108" w:type="dxa"/>
              <w:right w:w="108" w:type="dxa"/>
            </w:tcMar>
          </w:tcPr>
          <w:p w14:paraId="783EA0E4" w14:textId="77777777" w:rsidR="009E7B94" w:rsidRPr="00EE6CDF" w:rsidRDefault="00F56B54" w:rsidP="00976FB6">
            <w:pPr>
              <w:pStyle w:val="Normalsmall"/>
              <w:rPr>
                <w:rFonts w:eastAsia="Times New Roman"/>
                <w:lang w:eastAsia="en-AU"/>
              </w:rPr>
            </w:pPr>
            <w:r>
              <w:t>Hempels Antifouling Mille Dynamic ALU</w:t>
            </w:r>
          </w:p>
        </w:tc>
        <w:tc>
          <w:tcPr>
            <w:tcW w:w="0" w:type="auto"/>
            <w:tcMar>
              <w:left w:w="108" w:type="dxa"/>
              <w:right w:w="108" w:type="dxa"/>
            </w:tcMar>
          </w:tcPr>
          <w:p w14:paraId="15AF4DA8" w14:textId="77777777" w:rsidR="009E7B94" w:rsidRDefault="00F56B54" w:rsidP="00976FB6">
            <w:pPr>
              <w:pStyle w:val="TableText"/>
              <w:jc w:val="right"/>
            </w:pPr>
            <w:r>
              <w:t>46918</w:t>
            </w:r>
          </w:p>
        </w:tc>
        <w:tc>
          <w:tcPr>
            <w:tcW w:w="0" w:type="auto"/>
            <w:tcMar>
              <w:left w:w="108" w:type="dxa"/>
              <w:right w:w="108" w:type="dxa"/>
            </w:tcMar>
          </w:tcPr>
          <w:p w14:paraId="0142DF35" w14:textId="77777777" w:rsidR="009E7B94" w:rsidRDefault="00F56B54" w:rsidP="00976FB6">
            <w:pPr>
              <w:pStyle w:val="TableText"/>
              <w:jc w:val="right"/>
            </w:pPr>
            <w:r>
              <w:t>1995</w:t>
            </w:r>
          </w:p>
        </w:tc>
        <w:tc>
          <w:tcPr>
            <w:tcW w:w="0" w:type="auto"/>
            <w:tcMar>
              <w:left w:w="108" w:type="dxa"/>
              <w:right w:w="108" w:type="dxa"/>
            </w:tcMar>
          </w:tcPr>
          <w:p w14:paraId="7D799811"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CCBBDA3" w14:textId="77777777" w:rsidR="009E7B94" w:rsidRPr="00DB6631" w:rsidRDefault="00F56B54" w:rsidP="00976FB6">
            <w:pPr>
              <w:pStyle w:val="TableText"/>
              <w:jc w:val="center"/>
              <w:rPr>
                <w:b/>
                <w:bCs/>
              </w:rPr>
            </w:pPr>
            <w:r w:rsidRPr="00DB6631">
              <w:rPr>
                <w:b/>
                <w:bCs/>
              </w:rPr>
              <w:t>+</w:t>
            </w:r>
          </w:p>
        </w:tc>
        <w:tc>
          <w:tcPr>
            <w:tcW w:w="0" w:type="auto"/>
          </w:tcPr>
          <w:p w14:paraId="6F36E629" w14:textId="77777777" w:rsidR="009E7B94" w:rsidRPr="00DB6631" w:rsidRDefault="00F56B54" w:rsidP="00976FB6">
            <w:pPr>
              <w:pStyle w:val="TableText"/>
              <w:jc w:val="center"/>
              <w:rPr>
                <w:b/>
                <w:bCs/>
              </w:rPr>
            </w:pPr>
            <w:r w:rsidRPr="00DB6631">
              <w:rPr>
                <w:b/>
                <w:bCs/>
              </w:rPr>
              <w:t>+</w:t>
            </w:r>
          </w:p>
        </w:tc>
        <w:tc>
          <w:tcPr>
            <w:tcW w:w="0" w:type="auto"/>
          </w:tcPr>
          <w:p w14:paraId="2828ABD5" w14:textId="77777777" w:rsidR="009E7B94" w:rsidRPr="00DB6631" w:rsidRDefault="00F56B54" w:rsidP="00976FB6">
            <w:pPr>
              <w:pStyle w:val="TableText"/>
              <w:jc w:val="center"/>
              <w:rPr>
                <w:b/>
                <w:bCs/>
              </w:rPr>
            </w:pPr>
            <w:r w:rsidRPr="00DB6631">
              <w:rPr>
                <w:b/>
                <w:bCs/>
              </w:rPr>
              <w:t>-</w:t>
            </w:r>
          </w:p>
        </w:tc>
        <w:tc>
          <w:tcPr>
            <w:tcW w:w="0" w:type="auto"/>
          </w:tcPr>
          <w:p w14:paraId="3B54C473" w14:textId="77777777" w:rsidR="009E7B94" w:rsidRPr="00DB6631" w:rsidRDefault="00F56B54" w:rsidP="00976FB6">
            <w:pPr>
              <w:pStyle w:val="TableText"/>
              <w:jc w:val="center"/>
              <w:rPr>
                <w:b/>
                <w:bCs/>
              </w:rPr>
            </w:pPr>
            <w:r w:rsidRPr="00DB6631">
              <w:rPr>
                <w:b/>
                <w:bCs/>
              </w:rPr>
              <w:t>-</w:t>
            </w:r>
          </w:p>
        </w:tc>
        <w:tc>
          <w:tcPr>
            <w:tcW w:w="0" w:type="auto"/>
          </w:tcPr>
          <w:p w14:paraId="3E0140DA" w14:textId="77777777" w:rsidR="009E7B94" w:rsidRPr="00DB6631" w:rsidRDefault="00F56B54" w:rsidP="00976FB6">
            <w:pPr>
              <w:pStyle w:val="TableText"/>
              <w:jc w:val="center"/>
              <w:rPr>
                <w:b/>
                <w:bCs/>
              </w:rPr>
            </w:pPr>
            <w:r w:rsidRPr="00DB6631">
              <w:rPr>
                <w:b/>
                <w:bCs/>
              </w:rPr>
              <w:t>-</w:t>
            </w:r>
          </w:p>
        </w:tc>
        <w:tc>
          <w:tcPr>
            <w:tcW w:w="0" w:type="auto"/>
          </w:tcPr>
          <w:p w14:paraId="5121B333" w14:textId="77777777" w:rsidR="009E7B94" w:rsidRPr="00DB6631" w:rsidRDefault="00F56B54" w:rsidP="00976FB6">
            <w:pPr>
              <w:pStyle w:val="TableText"/>
              <w:jc w:val="center"/>
              <w:rPr>
                <w:b/>
                <w:bCs/>
              </w:rPr>
            </w:pPr>
            <w:r w:rsidRPr="00DB6631">
              <w:rPr>
                <w:b/>
                <w:bCs/>
              </w:rPr>
              <w:t>-</w:t>
            </w:r>
          </w:p>
        </w:tc>
        <w:tc>
          <w:tcPr>
            <w:tcW w:w="0" w:type="auto"/>
          </w:tcPr>
          <w:p w14:paraId="14E49AB9" w14:textId="77777777" w:rsidR="009E7B94" w:rsidRPr="00DB6631" w:rsidRDefault="00F56B54" w:rsidP="00976FB6">
            <w:pPr>
              <w:pStyle w:val="TableText"/>
              <w:jc w:val="center"/>
              <w:rPr>
                <w:b/>
                <w:bCs/>
              </w:rPr>
            </w:pPr>
            <w:r w:rsidRPr="00DB6631">
              <w:rPr>
                <w:b/>
                <w:bCs/>
              </w:rPr>
              <w:t>-</w:t>
            </w:r>
          </w:p>
        </w:tc>
      </w:tr>
      <w:tr w:rsidR="004F6729" w14:paraId="14021B9D" w14:textId="77777777" w:rsidTr="001278A9">
        <w:trPr>
          <w:trHeight w:val="169"/>
          <w:jc w:val="center"/>
        </w:trPr>
        <w:tc>
          <w:tcPr>
            <w:tcW w:w="0" w:type="auto"/>
            <w:tcMar>
              <w:left w:w="108" w:type="dxa"/>
              <w:right w:w="108" w:type="dxa"/>
            </w:tcMar>
          </w:tcPr>
          <w:p w14:paraId="0F3D8C85" w14:textId="77777777" w:rsidR="009E7B94" w:rsidRPr="00EE6CDF" w:rsidRDefault="00F56B54" w:rsidP="00976FB6">
            <w:pPr>
              <w:pStyle w:val="Normalsmall"/>
              <w:rPr>
                <w:rFonts w:eastAsia="Times New Roman"/>
                <w:lang w:eastAsia="en-AU"/>
              </w:rPr>
            </w:pPr>
            <w:r>
              <w:t>Hempel's Antifouling Globic</w:t>
            </w:r>
          </w:p>
        </w:tc>
        <w:tc>
          <w:tcPr>
            <w:tcW w:w="0" w:type="auto"/>
            <w:tcMar>
              <w:left w:w="108" w:type="dxa"/>
              <w:right w:w="108" w:type="dxa"/>
            </w:tcMar>
          </w:tcPr>
          <w:p w14:paraId="47449039" w14:textId="77777777" w:rsidR="009E7B94" w:rsidRDefault="00F56B54" w:rsidP="00976FB6">
            <w:pPr>
              <w:pStyle w:val="TableText"/>
              <w:jc w:val="right"/>
            </w:pPr>
            <w:r>
              <w:t>54514</w:t>
            </w:r>
          </w:p>
        </w:tc>
        <w:tc>
          <w:tcPr>
            <w:tcW w:w="0" w:type="auto"/>
            <w:tcMar>
              <w:left w:w="108" w:type="dxa"/>
              <w:right w:w="108" w:type="dxa"/>
            </w:tcMar>
          </w:tcPr>
          <w:p w14:paraId="2C5DC69B" w14:textId="77777777" w:rsidR="009E7B94" w:rsidRDefault="00F56B54" w:rsidP="00976FB6">
            <w:pPr>
              <w:pStyle w:val="TableText"/>
              <w:jc w:val="right"/>
            </w:pPr>
            <w:r>
              <w:t>2002</w:t>
            </w:r>
          </w:p>
        </w:tc>
        <w:tc>
          <w:tcPr>
            <w:tcW w:w="0" w:type="auto"/>
            <w:tcMar>
              <w:left w:w="108" w:type="dxa"/>
              <w:right w:w="108" w:type="dxa"/>
            </w:tcMar>
          </w:tcPr>
          <w:p w14:paraId="2498F15E"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1A705A73" w14:textId="77777777" w:rsidR="009E7B94" w:rsidRPr="00DB6631" w:rsidRDefault="00F56B54" w:rsidP="00976FB6">
            <w:pPr>
              <w:pStyle w:val="TableText"/>
              <w:jc w:val="center"/>
              <w:rPr>
                <w:b/>
                <w:bCs/>
              </w:rPr>
            </w:pPr>
            <w:r w:rsidRPr="00DB6631">
              <w:rPr>
                <w:b/>
                <w:bCs/>
              </w:rPr>
              <w:t>-</w:t>
            </w:r>
          </w:p>
        </w:tc>
        <w:tc>
          <w:tcPr>
            <w:tcW w:w="0" w:type="auto"/>
          </w:tcPr>
          <w:p w14:paraId="634AA333" w14:textId="77777777" w:rsidR="009E7B94" w:rsidRPr="00DB6631" w:rsidRDefault="00F56B54" w:rsidP="00976FB6">
            <w:pPr>
              <w:pStyle w:val="TableText"/>
              <w:jc w:val="center"/>
              <w:rPr>
                <w:b/>
                <w:bCs/>
              </w:rPr>
            </w:pPr>
            <w:r w:rsidRPr="00DB6631">
              <w:rPr>
                <w:b/>
                <w:bCs/>
              </w:rPr>
              <w:t>-</w:t>
            </w:r>
          </w:p>
        </w:tc>
        <w:tc>
          <w:tcPr>
            <w:tcW w:w="0" w:type="auto"/>
          </w:tcPr>
          <w:p w14:paraId="4163C8EC" w14:textId="77777777" w:rsidR="009E7B94" w:rsidRPr="00DB6631" w:rsidRDefault="00F56B54" w:rsidP="00976FB6">
            <w:pPr>
              <w:pStyle w:val="TableText"/>
              <w:jc w:val="center"/>
              <w:rPr>
                <w:b/>
                <w:bCs/>
              </w:rPr>
            </w:pPr>
            <w:r w:rsidRPr="00DB6631">
              <w:rPr>
                <w:b/>
                <w:bCs/>
              </w:rPr>
              <w:t>-</w:t>
            </w:r>
          </w:p>
        </w:tc>
        <w:tc>
          <w:tcPr>
            <w:tcW w:w="0" w:type="auto"/>
          </w:tcPr>
          <w:p w14:paraId="2C1FE711" w14:textId="77777777" w:rsidR="009E7B94" w:rsidRPr="00DB6631" w:rsidRDefault="00F56B54" w:rsidP="00976FB6">
            <w:pPr>
              <w:pStyle w:val="TableText"/>
              <w:jc w:val="center"/>
              <w:rPr>
                <w:b/>
                <w:bCs/>
              </w:rPr>
            </w:pPr>
            <w:r w:rsidRPr="00DB6631">
              <w:rPr>
                <w:b/>
                <w:bCs/>
              </w:rPr>
              <w:t>-</w:t>
            </w:r>
          </w:p>
        </w:tc>
        <w:tc>
          <w:tcPr>
            <w:tcW w:w="0" w:type="auto"/>
          </w:tcPr>
          <w:p w14:paraId="5EF04F24" w14:textId="77777777" w:rsidR="009E7B94" w:rsidRPr="00DB6631" w:rsidRDefault="00F56B54" w:rsidP="00976FB6">
            <w:pPr>
              <w:pStyle w:val="TableText"/>
              <w:jc w:val="center"/>
              <w:rPr>
                <w:b/>
                <w:bCs/>
              </w:rPr>
            </w:pPr>
            <w:r w:rsidRPr="00DB6631">
              <w:rPr>
                <w:b/>
                <w:bCs/>
              </w:rPr>
              <w:t>+</w:t>
            </w:r>
          </w:p>
        </w:tc>
        <w:tc>
          <w:tcPr>
            <w:tcW w:w="0" w:type="auto"/>
          </w:tcPr>
          <w:p w14:paraId="4418FB5C" w14:textId="77777777" w:rsidR="009E7B94" w:rsidRPr="00DB6631" w:rsidRDefault="00F56B54" w:rsidP="00976FB6">
            <w:pPr>
              <w:pStyle w:val="TableText"/>
              <w:jc w:val="center"/>
              <w:rPr>
                <w:b/>
                <w:bCs/>
              </w:rPr>
            </w:pPr>
            <w:r w:rsidRPr="00DB6631">
              <w:rPr>
                <w:b/>
                <w:bCs/>
              </w:rPr>
              <w:t>-</w:t>
            </w:r>
          </w:p>
        </w:tc>
        <w:tc>
          <w:tcPr>
            <w:tcW w:w="0" w:type="auto"/>
          </w:tcPr>
          <w:p w14:paraId="0D6FC5C0" w14:textId="77777777" w:rsidR="009E7B94" w:rsidRPr="00DB6631" w:rsidRDefault="00F56B54" w:rsidP="00976FB6">
            <w:pPr>
              <w:pStyle w:val="TableText"/>
              <w:jc w:val="center"/>
              <w:rPr>
                <w:b/>
                <w:bCs/>
              </w:rPr>
            </w:pPr>
            <w:r w:rsidRPr="00DB6631">
              <w:rPr>
                <w:b/>
                <w:bCs/>
              </w:rPr>
              <w:t>-</w:t>
            </w:r>
          </w:p>
        </w:tc>
      </w:tr>
      <w:tr w:rsidR="004F6729" w14:paraId="588A6878" w14:textId="77777777" w:rsidTr="001278A9">
        <w:trPr>
          <w:jc w:val="center"/>
        </w:trPr>
        <w:tc>
          <w:tcPr>
            <w:tcW w:w="0" w:type="auto"/>
            <w:tcMar>
              <w:left w:w="108" w:type="dxa"/>
              <w:right w:w="108" w:type="dxa"/>
            </w:tcMar>
          </w:tcPr>
          <w:p w14:paraId="2FEA06BD" w14:textId="77777777" w:rsidR="009E7B94" w:rsidRPr="00EE6CDF" w:rsidRDefault="00F56B54" w:rsidP="00976FB6">
            <w:pPr>
              <w:pStyle w:val="Normalsmall"/>
              <w:rPr>
                <w:rFonts w:eastAsia="Times New Roman"/>
                <w:lang w:eastAsia="en-AU"/>
              </w:rPr>
            </w:pPr>
            <w:r>
              <w:t>Hempel's Antifouling Olympic 86951</w:t>
            </w:r>
          </w:p>
        </w:tc>
        <w:tc>
          <w:tcPr>
            <w:tcW w:w="0" w:type="auto"/>
            <w:tcMar>
              <w:left w:w="108" w:type="dxa"/>
              <w:right w:w="108" w:type="dxa"/>
            </w:tcMar>
          </w:tcPr>
          <w:p w14:paraId="40115D0C" w14:textId="77777777" w:rsidR="009E7B94" w:rsidRDefault="00F56B54" w:rsidP="00976FB6">
            <w:pPr>
              <w:pStyle w:val="TableText"/>
              <w:jc w:val="right"/>
            </w:pPr>
            <w:r>
              <w:t>61966</w:t>
            </w:r>
          </w:p>
        </w:tc>
        <w:tc>
          <w:tcPr>
            <w:tcW w:w="0" w:type="auto"/>
            <w:tcMar>
              <w:left w:w="108" w:type="dxa"/>
              <w:right w:w="108" w:type="dxa"/>
            </w:tcMar>
          </w:tcPr>
          <w:p w14:paraId="752B6DC6" w14:textId="77777777" w:rsidR="009E7B94" w:rsidRDefault="00F56B54" w:rsidP="00976FB6">
            <w:pPr>
              <w:pStyle w:val="TableText"/>
              <w:jc w:val="right"/>
            </w:pPr>
            <w:r>
              <w:t>2008</w:t>
            </w:r>
          </w:p>
        </w:tc>
        <w:tc>
          <w:tcPr>
            <w:tcW w:w="0" w:type="auto"/>
            <w:tcMar>
              <w:left w:w="108" w:type="dxa"/>
              <w:right w:w="108" w:type="dxa"/>
            </w:tcMar>
          </w:tcPr>
          <w:p w14:paraId="1E1F2BA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CDAA712" w14:textId="77777777" w:rsidR="009E7B94" w:rsidRPr="00DB6631" w:rsidRDefault="00F56B54" w:rsidP="00976FB6">
            <w:pPr>
              <w:pStyle w:val="TableText"/>
              <w:jc w:val="center"/>
              <w:rPr>
                <w:b/>
                <w:bCs/>
              </w:rPr>
            </w:pPr>
            <w:r w:rsidRPr="00DB6631">
              <w:rPr>
                <w:b/>
                <w:bCs/>
              </w:rPr>
              <w:t>-</w:t>
            </w:r>
          </w:p>
        </w:tc>
        <w:tc>
          <w:tcPr>
            <w:tcW w:w="0" w:type="auto"/>
          </w:tcPr>
          <w:p w14:paraId="5B482B9D" w14:textId="77777777" w:rsidR="009E7B94" w:rsidRPr="00DB6631" w:rsidRDefault="00F56B54" w:rsidP="00976FB6">
            <w:pPr>
              <w:pStyle w:val="TableText"/>
              <w:jc w:val="center"/>
              <w:rPr>
                <w:b/>
                <w:bCs/>
              </w:rPr>
            </w:pPr>
            <w:r w:rsidRPr="00DB6631">
              <w:rPr>
                <w:b/>
                <w:bCs/>
              </w:rPr>
              <w:t>-</w:t>
            </w:r>
          </w:p>
        </w:tc>
        <w:tc>
          <w:tcPr>
            <w:tcW w:w="0" w:type="auto"/>
          </w:tcPr>
          <w:p w14:paraId="7ABE0A36" w14:textId="77777777" w:rsidR="009E7B94" w:rsidRPr="00DB6631" w:rsidRDefault="00F56B54" w:rsidP="00976FB6">
            <w:pPr>
              <w:pStyle w:val="TableText"/>
              <w:jc w:val="center"/>
              <w:rPr>
                <w:b/>
                <w:bCs/>
              </w:rPr>
            </w:pPr>
            <w:r w:rsidRPr="00DB6631">
              <w:rPr>
                <w:b/>
                <w:bCs/>
              </w:rPr>
              <w:t>-</w:t>
            </w:r>
          </w:p>
        </w:tc>
        <w:tc>
          <w:tcPr>
            <w:tcW w:w="0" w:type="auto"/>
          </w:tcPr>
          <w:p w14:paraId="679AB433" w14:textId="77777777" w:rsidR="009E7B94" w:rsidRPr="00DB6631" w:rsidRDefault="00F56B54" w:rsidP="00976FB6">
            <w:pPr>
              <w:pStyle w:val="TableText"/>
              <w:jc w:val="center"/>
              <w:rPr>
                <w:b/>
                <w:bCs/>
              </w:rPr>
            </w:pPr>
            <w:r w:rsidRPr="00DB6631">
              <w:rPr>
                <w:b/>
                <w:bCs/>
              </w:rPr>
              <w:t>-</w:t>
            </w:r>
          </w:p>
        </w:tc>
        <w:tc>
          <w:tcPr>
            <w:tcW w:w="0" w:type="auto"/>
          </w:tcPr>
          <w:p w14:paraId="34FFE8A9" w14:textId="77777777" w:rsidR="009E7B94" w:rsidRPr="00DB6631" w:rsidRDefault="00F56B54" w:rsidP="00976FB6">
            <w:pPr>
              <w:pStyle w:val="TableText"/>
              <w:jc w:val="center"/>
              <w:rPr>
                <w:b/>
                <w:bCs/>
              </w:rPr>
            </w:pPr>
            <w:r w:rsidRPr="00DB6631">
              <w:rPr>
                <w:b/>
                <w:bCs/>
              </w:rPr>
              <w:t>-</w:t>
            </w:r>
          </w:p>
        </w:tc>
        <w:tc>
          <w:tcPr>
            <w:tcW w:w="0" w:type="auto"/>
          </w:tcPr>
          <w:p w14:paraId="588D76F5" w14:textId="77777777" w:rsidR="009E7B94" w:rsidRPr="00DB6631" w:rsidRDefault="00F56B54" w:rsidP="00976FB6">
            <w:pPr>
              <w:pStyle w:val="TableText"/>
              <w:jc w:val="center"/>
              <w:rPr>
                <w:b/>
                <w:bCs/>
              </w:rPr>
            </w:pPr>
            <w:r w:rsidRPr="00DB6631">
              <w:rPr>
                <w:b/>
                <w:bCs/>
              </w:rPr>
              <w:t>-</w:t>
            </w:r>
          </w:p>
        </w:tc>
        <w:tc>
          <w:tcPr>
            <w:tcW w:w="0" w:type="auto"/>
          </w:tcPr>
          <w:p w14:paraId="46196D7F" w14:textId="77777777" w:rsidR="009E7B94" w:rsidRPr="00DB6631" w:rsidRDefault="00F56B54" w:rsidP="00976FB6">
            <w:pPr>
              <w:pStyle w:val="TableText"/>
              <w:jc w:val="center"/>
              <w:rPr>
                <w:b/>
                <w:bCs/>
              </w:rPr>
            </w:pPr>
            <w:r w:rsidRPr="00DB6631">
              <w:rPr>
                <w:b/>
                <w:bCs/>
              </w:rPr>
              <w:t>-</w:t>
            </w:r>
          </w:p>
        </w:tc>
      </w:tr>
      <w:tr w:rsidR="004F6729" w14:paraId="4F2D9698" w14:textId="77777777" w:rsidTr="001278A9">
        <w:trPr>
          <w:jc w:val="center"/>
        </w:trPr>
        <w:tc>
          <w:tcPr>
            <w:tcW w:w="0" w:type="auto"/>
            <w:tcMar>
              <w:left w:w="108" w:type="dxa"/>
              <w:right w:w="108" w:type="dxa"/>
            </w:tcMar>
          </w:tcPr>
          <w:p w14:paraId="50D69A6F" w14:textId="77777777" w:rsidR="009E7B94" w:rsidRDefault="00F56B54" w:rsidP="00976FB6">
            <w:pPr>
              <w:pStyle w:val="Normalsmall"/>
            </w:pPr>
            <w:r>
              <w:t>Hempel's Antifouling Olympic 86901</w:t>
            </w:r>
          </w:p>
        </w:tc>
        <w:tc>
          <w:tcPr>
            <w:tcW w:w="0" w:type="auto"/>
            <w:tcMar>
              <w:left w:w="108" w:type="dxa"/>
              <w:right w:w="108" w:type="dxa"/>
            </w:tcMar>
          </w:tcPr>
          <w:p w14:paraId="53EF822B" w14:textId="77777777" w:rsidR="009E7B94" w:rsidRDefault="00F56B54" w:rsidP="00976FB6">
            <w:pPr>
              <w:pStyle w:val="TableText"/>
              <w:jc w:val="right"/>
            </w:pPr>
            <w:r>
              <w:t>61970</w:t>
            </w:r>
          </w:p>
        </w:tc>
        <w:tc>
          <w:tcPr>
            <w:tcW w:w="0" w:type="auto"/>
            <w:tcMar>
              <w:left w:w="108" w:type="dxa"/>
              <w:right w:w="108" w:type="dxa"/>
            </w:tcMar>
          </w:tcPr>
          <w:p w14:paraId="26619067" w14:textId="77777777" w:rsidR="009E7B94" w:rsidRDefault="00F56B54" w:rsidP="00976FB6">
            <w:pPr>
              <w:pStyle w:val="TableText"/>
              <w:jc w:val="right"/>
            </w:pPr>
            <w:r>
              <w:t>2008</w:t>
            </w:r>
          </w:p>
        </w:tc>
        <w:tc>
          <w:tcPr>
            <w:tcW w:w="0" w:type="auto"/>
            <w:tcMar>
              <w:left w:w="108" w:type="dxa"/>
              <w:right w:w="108" w:type="dxa"/>
            </w:tcMar>
          </w:tcPr>
          <w:p w14:paraId="07ED7EA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D20D88F" w14:textId="77777777" w:rsidR="009E7B94" w:rsidRPr="00DB6631" w:rsidRDefault="00F56B54" w:rsidP="00976FB6">
            <w:pPr>
              <w:pStyle w:val="TableText"/>
              <w:jc w:val="center"/>
              <w:rPr>
                <w:b/>
                <w:bCs/>
              </w:rPr>
            </w:pPr>
            <w:r w:rsidRPr="00DB6631">
              <w:rPr>
                <w:b/>
                <w:bCs/>
              </w:rPr>
              <w:t>-</w:t>
            </w:r>
          </w:p>
        </w:tc>
        <w:tc>
          <w:tcPr>
            <w:tcW w:w="0" w:type="auto"/>
          </w:tcPr>
          <w:p w14:paraId="3020C483" w14:textId="77777777" w:rsidR="009E7B94" w:rsidRPr="00DB6631" w:rsidRDefault="00F56B54" w:rsidP="00976FB6">
            <w:pPr>
              <w:pStyle w:val="TableText"/>
              <w:jc w:val="center"/>
              <w:rPr>
                <w:b/>
                <w:bCs/>
              </w:rPr>
            </w:pPr>
            <w:r w:rsidRPr="00DB6631">
              <w:rPr>
                <w:b/>
                <w:bCs/>
              </w:rPr>
              <w:t>-</w:t>
            </w:r>
          </w:p>
        </w:tc>
        <w:tc>
          <w:tcPr>
            <w:tcW w:w="0" w:type="auto"/>
          </w:tcPr>
          <w:p w14:paraId="741F91E7" w14:textId="77777777" w:rsidR="009E7B94" w:rsidRPr="00DB6631" w:rsidRDefault="00F56B54" w:rsidP="00976FB6">
            <w:pPr>
              <w:pStyle w:val="TableText"/>
              <w:jc w:val="center"/>
              <w:rPr>
                <w:b/>
                <w:bCs/>
              </w:rPr>
            </w:pPr>
            <w:r w:rsidRPr="00DB6631">
              <w:rPr>
                <w:b/>
                <w:bCs/>
              </w:rPr>
              <w:t>-</w:t>
            </w:r>
          </w:p>
        </w:tc>
        <w:tc>
          <w:tcPr>
            <w:tcW w:w="0" w:type="auto"/>
          </w:tcPr>
          <w:p w14:paraId="7A2D5395" w14:textId="77777777" w:rsidR="009E7B94" w:rsidRPr="00DB6631" w:rsidRDefault="00F56B54" w:rsidP="00976FB6">
            <w:pPr>
              <w:pStyle w:val="TableText"/>
              <w:jc w:val="center"/>
              <w:rPr>
                <w:b/>
                <w:bCs/>
              </w:rPr>
            </w:pPr>
            <w:r w:rsidRPr="00DB6631">
              <w:rPr>
                <w:b/>
                <w:bCs/>
              </w:rPr>
              <w:t>-</w:t>
            </w:r>
          </w:p>
        </w:tc>
        <w:tc>
          <w:tcPr>
            <w:tcW w:w="0" w:type="auto"/>
          </w:tcPr>
          <w:p w14:paraId="37EC8752" w14:textId="77777777" w:rsidR="009E7B94" w:rsidRPr="00DB6631" w:rsidRDefault="00F56B54" w:rsidP="00976FB6">
            <w:pPr>
              <w:pStyle w:val="TableText"/>
              <w:jc w:val="center"/>
              <w:rPr>
                <w:b/>
                <w:bCs/>
              </w:rPr>
            </w:pPr>
            <w:r w:rsidRPr="00DB6631">
              <w:rPr>
                <w:b/>
                <w:bCs/>
              </w:rPr>
              <w:t>-</w:t>
            </w:r>
          </w:p>
        </w:tc>
        <w:tc>
          <w:tcPr>
            <w:tcW w:w="0" w:type="auto"/>
          </w:tcPr>
          <w:p w14:paraId="081028F0" w14:textId="77777777" w:rsidR="009E7B94" w:rsidRPr="00DB6631" w:rsidRDefault="00F56B54" w:rsidP="00976FB6">
            <w:pPr>
              <w:pStyle w:val="TableText"/>
              <w:jc w:val="center"/>
              <w:rPr>
                <w:b/>
                <w:bCs/>
              </w:rPr>
            </w:pPr>
            <w:r w:rsidRPr="00DB6631">
              <w:rPr>
                <w:b/>
                <w:bCs/>
              </w:rPr>
              <w:t>-</w:t>
            </w:r>
          </w:p>
        </w:tc>
        <w:tc>
          <w:tcPr>
            <w:tcW w:w="0" w:type="auto"/>
          </w:tcPr>
          <w:p w14:paraId="6EFF31FD" w14:textId="77777777" w:rsidR="009E7B94" w:rsidRPr="00DB6631" w:rsidRDefault="00F56B54" w:rsidP="00976FB6">
            <w:pPr>
              <w:pStyle w:val="TableText"/>
              <w:jc w:val="center"/>
              <w:rPr>
                <w:b/>
                <w:bCs/>
              </w:rPr>
            </w:pPr>
            <w:r w:rsidRPr="00DB6631">
              <w:rPr>
                <w:b/>
                <w:bCs/>
              </w:rPr>
              <w:t>-</w:t>
            </w:r>
          </w:p>
        </w:tc>
      </w:tr>
      <w:tr w:rsidR="004F6729" w14:paraId="7EDCBA1D" w14:textId="77777777" w:rsidTr="001278A9">
        <w:trPr>
          <w:jc w:val="center"/>
        </w:trPr>
        <w:tc>
          <w:tcPr>
            <w:tcW w:w="0" w:type="auto"/>
            <w:tcMar>
              <w:left w:w="108" w:type="dxa"/>
              <w:right w:w="108" w:type="dxa"/>
            </w:tcMar>
          </w:tcPr>
          <w:p w14:paraId="22F71D69" w14:textId="77777777" w:rsidR="009E7B94" w:rsidRPr="00EE6CDF" w:rsidRDefault="00F56B54" w:rsidP="00976FB6">
            <w:pPr>
              <w:pStyle w:val="Normalsmall"/>
              <w:rPr>
                <w:rFonts w:eastAsia="Times New Roman"/>
                <w:lang w:eastAsia="en-AU"/>
              </w:rPr>
            </w:pPr>
            <w:r>
              <w:t>Hempaguard X7 89900 Fouling Defence Coating</w:t>
            </w:r>
          </w:p>
        </w:tc>
        <w:tc>
          <w:tcPr>
            <w:tcW w:w="0" w:type="auto"/>
            <w:tcMar>
              <w:left w:w="108" w:type="dxa"/>
              <w:right w:w="108" w:type="dxa"/>
            </w:tcMar>
          </w:tcPr>
          <w:p w14:paraId="7D3016F6" w14:textId="77777777" w:rsidR="009E7B94" w:rsidRDefault="00F56B54" w:rsidP="00976FB6">
            <w:pPr>
              <w:pStyle w:val="TableText"/>
              <w:jc w:val="right"/>
            </w:pPr>
            <w:r>
              <w:t>83065</w:t>
            </w:r>
          </w:p>
        </w:tc>
        <w:tc>
          <w:tcPr>
            <w:tcW w:w="0" w:type="auto"/>
            <w:tcMar>
              <w:left w:w="108" w:type="dxa"/>
              <w:right w:w="108" w:type="dxa"/>
            </w:tcMar>
          </w:tcPr>
          <w:p w14:paraId="38EDE90F" w14:textId="77777777" w:rsidR="009E7B94" w:rsidRDefault="00F56B54" w:rsidP="00976FB6">
            <w:pPr>
              <w:pStyle w:val="TableText"/>
              <w:jc w:val="right"/>
            </w:pPr>
            <w:r>
              <w:t>2017</w:t>
            </w:r>
          </w:p>
        </w:tc>
        <w:tc>
          <w:tcPr>
            <w:tcW w:w="0" w:type="auto"/>
            <w:tcMar>
              <w:left w:w="108" w:type="dxa"/>
              <w:right w:w="108" w:type="dxa"/>
            </w:tcMar>
          </w:tcPr>
          <w:p w14:paraId="1A12AA83"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592410B2" w14:textId="77777777" w:rsidR="009E7B94" w:rsidRPr="00DB6631" w:rsidRDefault="00F56B54" w:rsidP="00976FB6">
            <w:pPr>
              <w:pStyle w:val="TableText"/>
              <w:jc w:val="center"/>
              <w:rPr>
                <w:b/>
                <w:bCs/>
              </w:rPr>
            </w:pPr>
            <w:r w:rsidRPr="00DB6631">
              <w:rPr>
                <w:b/>
                <w:bCs/>
              </w:rPr>
              <w:t>-</w:t>
            </w:r>
          </w:p>
        </w:tc>
        <w:tc>
          <w:tcPr>
            <w:tcW w:w="0" w:type="auto"/>
          </w:tcPr>
          <w:p w14:paraId="57A163D7" w14:textId="77777777" w:rsidR="009E7B94" w:rsidRPr="00DB6631" w:rsidRDefault="00F56B54" w:rsidP="00976FB6">
            <w:pPr>
              <w:pStyle w:val="TableText"/>
              <w:jc w:val="center"/>
              <w:rPr>
                <w:b/>
                <w:bCs/>
              </w:rPr>
            </w:pPr>
            <w:r w:rsidRPr="00DB6631">
              <w:rPr>
                <w:b/>
                <w:bCs/>
              </w:rPr>
              <w:t>-</w:t>
            </w:r>
          </w:p>
        </w:tc>
        <w:tc>
          <w:tcPr>
            <w:tcW w:w="0" w:type="auto"/>
          </w:tcPr>
          <w:p w14:paraId="65800D83" w14:textId="77777777" w:rsidR="009E7B94" w:rsidRPr="00DB6631" w:rsidRDefault="00F56B54" w:rsidP="00976FB6">
            <w:pPr>
              <w:pStyle w:val="TableText"/>
              <w:jc w:val="center"/>
              <w:rPr>
                <w:b/>
                <w:bCs/>
              </w:rPr>
            </w:pPr>
            <w:r w:rsidRPr="00DB6631">
              <w:rPr>
                <w:b/>
                <w:bCs/>
              </w:rPr>
              <w:t>-</w:t>
            </w:r>
          </w:p>
        </w:tc>
        <w:tc>
          <w:tcPr>
            <w:tcW w:w="0" w:type="auto"/>
          </w:tcPr>
          <w:p w14:paraId="7C9355B2" w14:textId="77777777" w:rsidR="009E7B94" w:rsidRPr="00DB6631" w:rsidRDefault="00F56B54" w:rsidP="00976FB6">
            <w:pPr>
              <w:pStyle w:val="TableText"/>
              <w:jc w:val="center"/>
              <w:rPr>
                <w:b/>
                <w:bCs/>
              </w:rPr>
            </w:pPr>
            <w:r w:rsidRPr="00DB6631">
              <w:rPr>
                <w:b/>
                <w:bCs/>
              </w:rPr>
              <w:t>-</w:t>
            </w:r>
          </w:p>
        </w:tc>
        <w:tc>
          <w:tcPr>
            <w:tcW w:w="0" w:type="auto"/>
          </w:tcPr>
          <w:p w14:paraId="3B4B7836" w14:textId="77777777" w:rsidR="009E7B94" w:rsidRPr="00DB6631" w:rsidRDefault="00F56B54" w:rsidP="00976FB6">
            <w:pPr>
              <w:pStyle w:val="TableText"/>
              <w:jc w:val="center"/>
              <w:rPr>
                <w:b/>
                <w:bCs/>
              </w:rPr>
            </w:pPr>
            <w:r w:rsidRPr="00DB6631">
              <w:rPr>
                <w:b/>
                <w:bCs/>
              </w:rPr>
              <w:t>-</w:t>
            </w:r>
          </w:p>
        </w:tc>
        <w:tc>
          <w:tcPr>
            <w:tcW w:w="0" w:type="auto"/>
          </w:tcPr>
          <w:p w14:paraId="594F94D8" w14:textId="77777777" w:rsidR="009E7B94" w:rsidRPr="00DB6631" w:rsidRDefault="00F56B54" w:rsidP="00976FB6">
            <w:pPr>
              <w:pStyle w:val="TableText"/>
              <w:jc w:val="center"/>
              <w:rPr>
                <w:b/>
                <w:bCs/>
              </w:rPr>
            </w:pPr>
            <w:r w:rsidRPr="00DB6631">
              <w:rPr>
                <w:b/>
                <w:bCs/>
              </w:rPr>
              <w:t>-</w:t>
            </w:r>
          </w:p>
        </w:tc>
        <w:tc>
          <w:tcPr>
            <w:tcW w:w="0" w:type="auto"/>
          </w:tcPr>
          <w:p w14:paraId="5D0E0B84" w14:textId="77777777" w:rsidR="009E7B94" w:rsidRPr="00DB6631" w:rsidRDefault="00F56B54" w:rsidP="00976FB6">
            <w:pPr>
              <w:pStyle w:val="TableText"/>
              <w:jc w:val="center"/>
              <w:rPr>
                <w:b/>
                <w:bCs/>
              </w:rPr>
            </w:pPr>
            <w:r w:rsidRPr="00DB6631">
              <w:rPr>
                <w:b/>
                <w:bCs/>
              </w:rPr>
              <w:t>+</w:t>
            </w:r>
          </w:p>
        </w:tc>
      </w:tr>
      <w:tr w:rsidR="004F6729" w14:paraId="5FEC8EB9" w14:textId="77777777" w:rsidTr="001278A9">
        <w:trPr>
          <w:jc w:val="center"/>
        </w:trPr>
        <w:tc>
          <w:tcPr>
            <w:tcW w:w="0" w:type="auto"/>
            <w:tcMar>
              <w:left w:w="108" w:type="dxa"/>
              <w:right w:w="108" w:type="dxa"/>
            </w:tcMar>
          </w:tcPr>
          <w:p w14:paraId="74DCF1B4" w14:textId="77777777" w:rsidR="009E7B94" w:rsidRPr="00EE6CDF" w:rsidRDefault="00F56B54" w:rsidP="00976FB6">
            <w:pPr>
              <w:pStyle w:val="Normalsmall"/>
              <w:rPr>
                <w:rFonts w:eastAsia="Times New Roman"/>
                <w:lang w:eastAsia="en-AU"/>
              </w:rPr>
            </w:pPr>
            <w:r>
              <w:t>Hempel's Antifouling Globic 9000 78950</w:t>
            </w:r>
          </w:p>
        </w:tc>
        <w:tc>
          <w:tcPr>
            <w:tcW w:w="0" w:type="auto"/>
            <w:tcMar>
              <w:left w:w="108" w:type="dxa"/>
              <w:right w:w="108" w:type="dxa"/>
            </w:tcMar>
          </w:tcPr>
          <w:p w14:paraId="5B317A4E" w14:textId="77777777" w:rsidR="009E7B94" w:rsidRDefault="00F56B54" w:rsidP="00976FB6">
            <w:pPr>
              <w:pStyle w:val="TableText"/>
              <w:jc w:val="right"/>
            </w:pPr>
            <w:r>
              <w:t>83857</w:t>
            </w:r>
          </w:p>
        </w:tc>
        <w:tc>
          <w:tcPr>
            <w:tcW w:w="0" w:type="auto"/>
            <w:tcMar>
              <w:left w:w="108" w:type="dxa"/>
              <w:right w:w="108" w:type="dxa"/>
            </w:tcMar>
          </w:tcPr>
          <w:p w14:paraId="142DDC2E" w14:textId="77777777" w:rsidR="009E7B94" w:rsidRDefault="00F56B54" w:rsidP="00976FB6">
            <w:pPr>
              <w:pStyle w:val="TableText"/>
              <w:jc w:val="right"/>
            </w:pPr>
            <w:r>
              <w:t>2018</w:t>
            </w:r>
          </w:p>
        </w:tc>
        <w:tc>
          <w:tcPr>
            <w:tcW w:w="0" w:type="auto"/>
            <w:tcMar>
              <w:left w:w="108" w:type="dxa"/>
              <w:right w:w="108" w:type="dxa"/>
            </w:tcMar>
          </w:tcPr>
          <w:p w14:paraId="3E647C05"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FF6A535" w14:textId="77777777" w:rsidR="009E7B94" w:rsidRPr="00DB6631" w:rsidRDefault="00F56B54" w:rsidP="00976FB6">
            <w:pPr>
              <w:pStyle w:val="TableText"/>
              <w:jc w:val="center"/>
              <w:rPr>
                <w:b/>
                <w:bCs/>
              </w:rPr>
            </w:pPr>
            <w:r w:rsidRPr="00DB6631">
              <w:rPr>
                <w:b/>
                <w:bCs/>
              </w:rPr>
              <w:t>-</w:t>
            </w:r>
          </w:p>
        </w:tc>
        <w:tc>
          <w:tcPr>
            <w:tcW w:w="0" w:type="auto"/>
          </w:tcPr>
          <w:p w14:paraId="242CB07B" w14:textId="77777777" w:rsidR="009E7B94" w:rsidRPr="00DB6631" w:rsidRDefault="00F56B54" w:rsidP="00976FB6">
            <w:pPr>
              <w:pStyle w:val="TableText"/>
              <w:jc w:val="center"/>
              <w:rPr>
                <w:b/>
                <w:bCs/>
              </w:rPr>
            </w:pPr>
            <w:r w:rsidRPr="00DB6631">
              <w:rPr>
                <w:b/>
                <w:bCs/>
              </w:rPr>
              <w:t>-</w:t>
            </w:r>
          </w:p>
        </w:tc>
        <w:tc>
          <w:tcPr>
            <w:tcW w:w="0" w:type="auto"/>
          </w:tcPr>
          <w:p w14:paraId="617B2A6F" w14:textId="77777777" w:rsidR="009E7B94" w:rsidRPr="00DB6631" w:rsidRDefault="00F56B54" w:rsidP="00976FB6">
            <w:pPr>
              <w:pStyle w:val="TableText"/>
              <w:jc w:val="center"/>
              <w:rPr>
                <w:b/>
                <w:bCs/>
              </w:rPr>
            </w:pPr>
            <w:r w:rsidRPr="00DB6631">
              <w:rPr>
                <w:b/>
                <w:bCs/>
              </w:rPr>
              <w:t>-</w:t>
            </w:r>
          </w:p>
        </w:tc>
        <w:tc>
          <w:tcPr>
            <w:tcW w:w="0" w:type="auto"/>
          </w:tcPr>
          <w:p w14:paraId="4D17D6AA" w14:textId="77777777" w:rsidR="009E7B94" w:rsidRPr="00DB6631" w:rsidRDefault="00F56B54" w:rsidP="00976FB6">
            <w:pPr>
              <w:pStyle w:val="TableText"/>
              <w:jc w:val="center"/>
              <w:rPr>
                <w:b/>
                <w:bCs/>
              </w:rPr>
            </w:pPr>
            <w:r w:rsidRPr="00DB6631">
              <w:rPr>
                <w:b/>
                <w:bCs/>
              </w:rPr>
              <w:t>-</w:t>
            </w:r>
          </w:p>
        </w:tc>
        <w:tc>
          <w:tcPr>
            <w:tcW w:w="0" w:type="auto"/>
          </w:tcPr>
          <w:p w14:paraId="269318A4" w14:textId="77777777" w:rsidR="009E7B94" w:rsidRPr="00DB6631" w:rsidRDefault="00F56B54" w:rsidP="00976FB6">
            <w:pPr>
              <w:pStyle w:val="TableText"/>
              <w:jc w:val="center"/>
              <w:rPr>
                <w:b/>
                <w:bCs/>
              </w:rPr>
            </w:pPr>
            <w:r w:rsidRPr="00DB6631">
              <w:rPr>
                <w:b/>
                <w:bCs/>
              </w:rPr>
              <w:t>-</w:t>
            </w:r>
          </w:p>
        </w:tc>
        <w:tc>
          <w:tcPr>
            <w:tcW w:w="0" w:type="auto"/>
          </w:tcPr>
          <w:p w14:paraId="74252018" w14:textId="77777777" w:rsidR="009E7B94" w:rsidRPr="00DB6631" w:rsidRDefault="00F56B54" w:rsidP="00976FB6">
            <w:pPr>
              <w:pStyle w:val="TableText"/>
              <w:jc w:val="center"/>
              <w:rPr>
                <w:b/>
                <w:bCs/>
              </w:rPr>
            </w:pPr>
            <w:r w:rsidRPr="00DB6631">
              <w:rPr>
                <w:b/>
                <w:bCs/>
              </w:rPr>
              <w:t>-</w:t>
            </w:r>
          </w:p>
        </w:tc>
        <w:tc>
          <w:tcPr>
            <w:tcW w:w="0" w:type="auto"/>
          </w:tcPr>
          <w:p w14:paraId="4F4D34B9" w14:textId="77777777" w:rsidR="009E7B94" w:rsidRPr="00DB6631" w:rsidRDefault="00F56B54" w:rsidP="00976FB6">
            <w:pPr>
              <w:pStyle w:val="TableText"/>
              <w:jc w:val="center"/>
              <w:rPr>
                <w:b/>
                <w:bCs/>
              </w:rPr>
            </w:pPr>
            <w:r w:rsidRPr="00DB6631">
              <w:rPr>
                <w:b/>
                <w:bCs/>
              </w:rPr>
              <w:t>+</w:t>
            </w:r>
          </w:p>
        </w:tc>
      </w:tr>
      <w:tr w:rsidR="004F6729" w14:paraId="4084C240" w14:textId="77777777" w:rsidTr="001278A9">
        <w:trPr>
          <w:jc w:val="center"/>
        </w:trPr>
        <w:tc>
          <w:tcPr>
            <w:tcW w:w="0" w:type="auto"/>
            <w:tcMar>
              <w:left w:w="108" w:type="dxa"/>
              <w:right w:w="108" w:type="dxa"/>
            </w:tcMar>
          </w:tcPr>
          <w:p w14:paraId="112C302B" w14:textId="77777777" w:rsidR="009E7B94" w:rsidRPr="00EE6CDF" w:rsidRDefault="00F56B54" w:rsidP="00976FB6">
            <w:pPr>
              <w:pStyle w:val="Normalsmall"/>
              <w:rPr>
                <w:rFonts w:eastAsia="Times New Roman"/>
                <w:lang w:eastAsia="en-AU"/>
              </w:rPr>
            </w:pPr>
            <w:r>
              <w:t>Hempel's Antifouling Globic 9000 78900</w:t>
            </w:r>
          </w:p>
        </w:tc>
        <w:tc>
          <w:tcPr>
            <w:tcW w:w="0" w:type="auto"/>
            <w:tcMar>
              <w:left w:w="108" w:type="dxa"/>
              <w:right w:w="108" w:type="dxa"/>
            </w:tcMar>
          </w:tcPr>
          <w:p w14:paraId="674096BE" w14:textId="77777777" w:rsidR="009E7B94" w:rsidRDefault="00F56B54" w:rsidP="00976FB6">
            <w:pPr>
              <w:pStyle w:val="TableText"/>
              <w:jc w:val="right"/>
            </w:pPr>
            <w:r>
              <w:t>85125</w:t>
            </w:r>
          </w:p>
        </w:tc>
        <w:tc>
          <w:tcPr>
            <w:tcW w:w="0" w:type="auto"/>
            <w:tcMar>
              <w:left w:w="108" w:type="dxa"/>
              <w:right w:w="108" w:type="dxa"/>
            </w:tcMar>
          </w:tcPr>
          <w:p w14:paraId="33E3EEE9" w14:textId="77777777" w:rsidR="009E7B94" w:rsidRDefault="00F56B54" w:rsidP="00976FB6">
            <w:pPr>
              <w:pStyle w:val="TableText"/>
              <w:jc w:val="right"/>
            </w:pPr>
            <w:r>
              <w:t>2018</w:t>
            </w:r>
          </w:p>
        </w:tc>
        <w:tc>
          <w:tcPr>
            <w:tcW w:w="0" w:type="auto"/>
            <w:tcMar>
              <w:left w:w="108" w:type="dxa"/>
              <w:right w:w="108" w:type="dxa"/>
            </w:tcMar>
          </w:tcPr>
          <w:p w14:paraId="4A512C1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715918D" w14:textId="77777777" w:rsidR="009E7B94" w:rsidRPr="00DB6631" w:rsidRDefault="00F56B54" w:rsidP="00976FB6">
            <w:pPr>
              <w:pStyle w:val="TableText"/>
              <w:jc w:val="center"/>
              <w:rPr>
                <w:b/>
                <w:bCs/>
              </w:rPr>
            </w:pPr>
            <w:r w:rsidRPr="00DB6631">
              <w:rPr>
                <w:b/>
                <w:bCs/>
              </w:rPr>
              <w:t>-</w:t>
            </w:r>
          </w:p>
        </w:tc>
        <w:tc>
          <w:tcPr>
            <w:tcW w:w="0" w:type="auto"/>
          </w:tcPr>
          <w:p w14:paraId="017D993B" w14:textId="77777777" w:rsidR="009E7B94" w:rsidRPr="00DB6631" w:rsidRDefault="00F56B54" w:rsidP="00976FB6">
            <w:pPr>
              <w:pStyle w:val="TableText"/>
              <w:jc w:val="center"/>
              <w:rPr>
                <w:b/>
                <w:bCs/>
              </w:rPr>
            </w:pPr>
            <w:r w:rsidRPr="00DB6631">
              <w:rPr>
                <w:b/>
                <w:bCs/>
              </w:rPr>
              <w:t>-</w:t>
            </w:r>
          </w:p>
        </w:tc>
        <w:tc>
          <w:tcPr>
            <w:tcW w:w="0" w:type="auto"/>
          </w:tcPr>
          <w:p w14:paraId="4A6C1917" w14:textId="77777777" w:rsidR="009E7B94" w:rsidRPr="00DB6631" w:rsidRDefault="00F56B54" w:rsidP="00976FB6">
            <w:pPr>
              <w:pStyle w:val="TableText"/>
              <w:jc w:val="center"/>
              <w:rPr>
                <w:b/>
                <w:bCs/>
              </w:rPr>
            </w:pPr>
            <w:r w:rsidRPr="00DB6631">
              <w:rPr>
                <w:b/>
                <w:bCs/>
              </w:rPr>
              <w:t>-</w:t>
            </w:r>
          </w:p>
        </w:tc>
        <w:tc>
          <w:tcPr>
            <w:tcW w:w="0" w:type="auto"/>
          </w:tcPr>
          <w:p w14:paraId="300B6B16" w14:textId="77777777" w:rsidR="009E7B94" w:rsidRPr="00DB6631" w:rsidRDefault="00F56B54" w:rsidP="00976FB6">
            <w:pPr>
              <w:pStyle w:val="TableText"/>
              <w:jc w:val="center"/>
              <w:rPr>
                <w:b/>
                <w:bCs/>
              </w:rPr>
            </w:pPr>
            <w:r w:rsidRPr="00DB6631">
              <w:rPr>
                <w:b/>
                <w:bCs/>
              </w:rPr>
              <w:t>-</w:t>
            </w:r>
          </w:p>
        </w:tc>
        <w:tc>
          <w:tcPr>
            <w:tcW w:w="0" w:type="auto"/>
          </w:tcPr>
          <w:p w14:paraId="4118073B" w14:textId="77777777" w:rsidR="009E7B94" w:rsidRPr="00DB6631" w:rsidRDefault="00F56B54" w:rsidP="00976FB6">
            <w:pPr>
              <w:pStyle w:val="TableText"/>
              <w:jc w:val="center"/>
              <w:rPr>
                <w:b/>
                <w:bCs/>
              </w:rPr>
            </w:pPr>
            <w:r w:rsidRPr="00DB6631">
              <w:rPr>
                <w:b/>
                <w:bCs/>
              </w:rPr>
              <w:t>-</w:t>
            </w:r>
          </w:p>
        </w:tc>
        <w:tc>
          <w:tcPr>
            <w:tcW w:w="0" w:type="auto"/>
          </w:tcPr>
          <w:p w14:paraId="51DA2CE9" w14:textId="77777777" w:rsidR="009E7B94" w:rsidRPr="00DB6631" w:rsidRDefault="00F56B54" w:rsidP="00976FB6">
            <w:pPr>
              <w:pStyle w:val="TableText"/>
              <w:jc w:val="center"/>
              <w:rPr>
                <w:b/>
                <w:bCs/>
              </w:rPr>
            </w:pPr>
            <w:r w:rsidRPr="00DB6631">
              <w:rPr>
                <w:b/>
                <w:bCs/>
              </w:rPr>
              <w:t>-</w:t>
            </w:r>
          </w:p>
        </w:tc>
        <w:tc>
          <w:tcPr>
            <w:tcW w:w="0" w:type="auto"/>
          </w:tcPr>
          <w:p w14:paraId="39F9D59D" w14:textId="77777777" w:rsidR="009E7B94" w:rsidRPr="00DB6631" w:rsidRDefault="00F56B54" w:rsidP="00976FB6">
            <w:pPr>
              <w:pStyle w:val="TableText"/>
              <w:jc w:val="center"/>
              <w:rPr>
                <w:b/>
                <w:bCs/>
              </w:rPr>
            </w:pPr>
            <w:r w:rsidRPr="00DB6631">
              <w:rPr>
                <w:b/>
                <w:bCs/>
              </w:rPr>
              <w:t>+</w:t>
            </w:r>
          </w:p>
        </w:tc>
      </w:tr>
      <w:tr w:rsidR="004F6729" w14:paraId="2A045C8D" w14:textId="77777777" w:rsidTr="001278A9">
        <w:trPr>
          <w:jc w:val="center"/>
        </w:trPr>
        <w:tc>
          <w:tcPr>
            <w:tcW w:w="0" w:type="auto"/>
            <w:tcMar>
              <w:left w:w="108" w:type="dxa"/>
              <w:right w:w="108" w:type="dxa"/>
            </w:tcMar>
          </w:tcPr>
          <w:p w14:paraId="401CDF67" w14:textId="77777777" w:rsidR="009E7B94" w:rsidRPr="00EE6CDF" w:rsidRDefault="00F56B54" w:rsidP="00976FB6">
            <w:pPr>
              <w:pStyle w:val="Normalsmall"/>
              <w:rPr>
                <w:rFonts w:eastAsia="Times New Roman"/>
                <w:lang w:eastAsia="en-AU"/>
              </w:rPr>
            </w:pPr>
            <w:r>
              <w:t>Hempel's Antifouling Alu Xtra NCT 74770</w:t>
            </w:r>
          </w:p>
        </w:tc>
        <w:tc>
          <w:tcPr>
            <w:tcW w:w="0" w:type="auto"/>
            <w:tcMar>
              <w:left w:w="108" w:type="dxa"/>
              <w:right w:w="108" w:type="dxa"/>
            </w:tcMar>
          </w:tcPr>
          <w:p w14:paraId="2EB33734" w14:textId="77777777" w:rsidR="009E7B94" w:rsidRDefault="00F56B54" w:rsidP="00976FB6">
            <w:pPr>
              <w:pStyle w:val="TableText"/>
              <w:jc w:val="right"/>
            </w:pPr>
            <w:r>
              <w:t>86772</w:t>
            </w:r>
          </w:p>
        </w:tc>
        <w:tc>
          <w:tcPr>
            <w:tcW w:w="0" w:type="auto"/>
            <w:tcMar>
              <w:left w:w="108" w:type="dxa"/>
              <w:right w:w="108" w:type="dxa"/>
            </w:tcMar>
          </w:tcPr>
          <w:p w14:paraId="2C5995FE" w14:textId="77777777" w:rsidR="009E7B94" w:rsidRDefault="00F56B54" w:rsidP="00976FB6">
            <w:pPr>
              <w:pStyle w:val="TableText"/>
              <w:jc w:val="right"/>
            </w:pPr>
            <w:r>
              <w:t>2019</w:t>
            </w:r>
          </w:p>
        </w:tc>
        <w:tc>
          <w:tcPr>
            <w:tcW w:w="0" w:type="auto"/>
            <w:tcMar>
              <w:left w:w="108" w:type="dxa"/>
              <w:right w:w="108" w:type="dxa"/>
            </w:tcMar>
          </w:tcPr>
          <w:p w14:paraId="03DBEB6C"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6E33FEA" w14:textId="77777777" w:rsidR="009E7B94" w:rsidRPr="00DB6631" w:rsidRDefault="00F56B54" w:rsidP="00976FB6">
            <w:pPr>
              <w:pStyle w:val="TableText"/>
              <w:jc w:val="center"/>
              <w:rPr>
                <w:b/>
                <w:bCs/>
              </w:rPr>
            </w:pPr>
            <w:r w:rsidRPr="00DB6631">
              <w:rPr>
                <w:b/>
                <w:bCs/>
              </w:rPr>
              <w:t>+</w:t>
            </w:r>
          </w:p>
        </w:tc>
        <w:tc>
          <w:tcPr>
            <w:tcW w:w="0" w:type="auto"/>
          </w:tcPr>
          <w:p w14:paraId="7717B7E4" w14:textId="77777777" w:rsidR="009E7B94" w:rsidRPr="00DB6631" w:rsidRDefault="00F56B54" w:rsidP="00976FB6">
            <w:pPr>
              <w:pStyle w:val="TableText"/>
              <w:jc w:val="center"/>
              <w:rPr>
                <w:b/>
                <w:bCs/>
              </w:rPr>
            </w:pPr>
            <w:r w:rsidRPr="00DB6631">
              <w:rPr>
                <w:b/>
                <w:bCs/>
              </w:rPr>
              <w:t>-</w:t>
            </w:r>
          </w:p>
        </w:tc>
        <w:tc>
          <w:tcPr>
            <w:tcW w:w="0" w:type="auto"/>
          </w:tcPr>
          <w:p w14:paraId="63F69565" w14:textId="77777777" w:rsidR="009E7B94" w:rsidRPr="00DB6631" w:rsidRDefault="00F56B54" w:rsidP="00976FB6">
            <w:pPr>
              <w:pStyle w:val="TableText"/>
              <w:jc w:val="center"/>
              <w:rPr>
                <w:b/>
                <w:bCs/>
              </w:rPr>
            </w:pPr>
            <w:r w:rsidRPr="00DB6631">
              <w:rPr>
                <w:b/>
                <w:bCs/>
              </w:rPr>
              <w:t>-</w:t>
            </w:r>
          </w:p>
        </w:tc>
        <w:tc>
          <w:tcPr>
            <w:tcW w:w="0" w:type="auto"/>
          </w:tcPr>
          <w:p w14:paraId="05CE2F5E" w14:textId="77777777" w:rsidR="009E7B94" w:rsidRPr="00DB6631" w:rsidRDefault="00F56B54" w:rsidP="00976FB6">
            <w:pPr>
              <w:pStyle w:val="TableText"/>
              <w:jc w:val="center"/>
              <w:rPr>
                <w:b/>
                <w:bCs/>
              </w:rPr>
            </w:pPr>
            <w:r w:rsidRPr="00DB6631">
              <w:rPr>
                <w:b/>
                <w:bCs/>
              </w:rPr>
              <w:t>-</w:t>
            </w:r>
          </w:p>
        </w:tc>
        <w:tc>
          <w:tcPr>
            <w:tcW w:w="0" w:type="auto"/>
          </w:tcPr>
          <w:p w14:paraId="51FBDD4C" w14:textId="77777777" w:rsidR="009E7B94" w:rsidRPr="00DB6631" w:rsidRDefault="00F56B54" w:rsidP="00976FB6">
            <w:pPr>
              <w:pStyle w:val="TableText"/>
              <w:jc w:val="center"/>
              <w:rPr>
                <w:b/>
                <w:bCs/>
              </w:rPr>
            </w:pPr>
            <w:r w:rsidRPr="00DB6631">
              <w:rPr>
                <w:b/>
                <w:bCs/>
              </w:rPr>
              <w:t>-</w:t>
            </w:r>
          </w:p>
        </w:tc>
        <w:tc>
          <w:tcPr>
            <w:tcW w:w="0" w:type="auto"/>
          </w:tcPr>
          <w:p w14:paraId="466596A2" w14:textId="77777777" w:rsidR="009E7B94" w:rsidRPr="00DB6631" w:rsidRDefault="00F56B54" w:rsidP="00976FB6">
            <w:pPr>
              <w:pStyle w:val="TableText"/>
              <w:jc w:val="center"/>
              <w:rPr>
                <w:b/>
                <w:bCs/>
              </w:rPr>
            </w:pPr>
            <w:r w:rsidRPr="00DB6631">
              <w:rPr>
                <w:b/>
                <w:bCs/>
              </w:rPr>
              <w:t>+</w:t>
            </w:r>
          </w:p>
        </w:tc>
        <w:tc>
          <w:tcPr>
            <w:tcW w:w="0" w:type="auto"/>
          </w:tcPr>
          <w:p w14:paraId="42509F84" w14:textId="77777777" w:rsidR="009E7B94" w:rsidRPr="00DB6631" w:rsidRDefault="00F56B54" w:rsidP="00976FB6">
            <w:pPr>
              <w:pStyle w:val="TableText"/>
              <w:jc w:val="center"/>
              <w:rPr>
                <w:b/>
                <w:bCs/>
              </w:rPr>
            </w:pPr>
            <w:r w:rsidRPr="00DB6631">
              <w:rPr>
                <w:b/>
                <w:bCs/>
              </w:rPr>
              <w:t>-</w:t>
            </w:r>
          </w:p>
        </w:tc>
      </w:tr>
      <w:tr w:rsidR="004F6729" w14:paraId="2750F929" w14:textId="77777777" w:rsidTr="001278A9">
        <w:trPr>
          <w:jc w:val="center"/>
        </w:trPr>
        <w:tc>
          <w:tcPr>
            <w:tcW w:w="0" w:type="auto"/>
            <w:tcMar>
              <w:left w:w="108" w:type="dxa"/>
              <w:right w:w="108" w:type="dxa"/>
            </w:tcMar>
          </w:tcPr>
          <w:p w14:paraId="045F5FA6" w14:textId="77777777" w:rsidR="009E7B94" w:rsidRPr="00EE6CDF" w:rsidRDefault="00F56B54" w:rsidP="00976FB6">
            <w:pPr>
              <w:pStyle w:val="Normalsmall"/>
              <w:rPr>
                <w:rFonts w:eastAsia="Times New Roman"/>
                <w:lang w:eastAsia="en-AU"/>
              </w:rPr>
            </w:pPr>
            <w:r>
              <w:t>JOTUN AUSTRALIA PTY LTD</w:t>
            </w:r>
          </w:p>
        </w:tc>
        <w:tc>
          <w:tcPr>
            <w:tcW w:w="0" w:type="auto"/>
            <w:tcMar>
              <w:left w:w="108" w:type="dxa"/>
              <w:right w:w="108" w:type="dxa"/>
            </w:tcMar>
          </w:tcPr>
          <w:p w14:paraId="59E50F49" w14:textId="77777777" w:rsidR="009E7B94" w:rsidRDefault="009E7B94" w:rsidP="00976FB6">
            <w:pPr>
              <w:pStyle w:val="TableText"/>
              <w:jc w:val="right"/>
            </w:pPr>
          </w:p>
        </w:tc>
        <w:tc>
          <w:tcPr>
            <w:tcW w:w="0" w:type="auto"/>
            <w:tcMar>
              <w:left w:w="108" w:type="dxa"/>
              <w:right w:w="108" w:type="dxa"/>
            </w:tcMar>
          </w:tcPr>
          <w:p w14:paraId="43885543" w14:textId="77777777" w:rsidR="009E7B94" w:rsidRDefault="009E7B94" w:rsidP="00976FB6">
            <w:pPr>
              <w:pStyle w:val="TableText"/>
              <w:jc w:val="right"/>
            </w:pPr>
          </w:p>
        </w:tc>
        <w:tc>
          <w:tcPr>
            <w:tcW w:w="0" w:type="auto"/>
            <w:tcMar>
              <w:left w:w="108" w:type="dxa"/>
              <w:right w:w="108" w:type="dxa"/>
            </w:tcMar>
          </w:tcPr>
          <w:p w14:paraId="603BBAD6" w14:textId="77777777" w:rsidR="009E7B94" w:rsidRPr="00DB6631" w:rsidRDefault="009E7B94" w:rsidP="00976FB6">
            <w:pPr>
              <w:pStyle w:val="TableText"/>
              <w:jc w:val="center"/>
              <w:rPr>
                <w:b/>
                <w:bCs/>
              </w:rPr>
            </w:pPr>
          </w:p>
        </w:tc>
        <w:tc>
          <w:tcPr>
            <w:tcW w:w="0" w:type="auto"/>
            <w:tcMar>
              <w:left w:w="108" w:type="dxa"/>
              <w:right w:w="108" w:type="dxa"/>
            </w:tcMar>
          </w:tcPr>
          <w:p w14:paraId="6E7B993A" w14:textId="77777777" w:rsidR="009E7B94" w:rsidRPr="00DB6631" w:rsidRDefault="009E7B94" w:rsidP="00976FB6">
            <w:pPr>
              <w:pStyle w:val="TableText"/>
              <w:jc w:val="center"/>
              <w:rPr>
                <w:b/>
                <w:bCs/>
              </w:rPr>
            </w:pPr>
          </w:p>
        </w:tc>
        <w:tc>
          <w:tcPr>
            <w:tcW w:w="0" w:type="auto"/>
          </w:tcPr>
          <w:p w14:paraId="16B23F15" w14:textId="77777777" w:rsidR="009E7B94" w:rsidRPr="00DB6631" w:rsidRDefault="009E7B94" w:rsidP="00976FB6">
            <w:pPr>
              <w:pStyle w:val="TableText"/>
              <w:jc w:val="center"/>
              <w:rPr>
                <w:b/>
                <w:bCs/>
              </w:rPr>
            </w:pPr>
          </w:p>
        </w:tc>
        <w:tc>
          <w:tcPr>
            <w:tcW w:w="0" w:type="auto"/>
          </w:tcPr>
          <w:p w14:paraId="4F2AC997" w14:textId="77777777" w:rsidR="009E7B94" w:rsidRPr="00DB6631" w:rsidRDefault="009E7B94" w:rsidP="00976FB6">
            <w:pPr>
              <w:pStyle w:val="TableText"/>
              <w:jc w:val="center"/>
              <w:rPr>
                <w:b/>
                <w:bCs/>
              </w:rPr>
            </w:pPr>
          </w:p>
        </w:tc>
        <w:tc>
          <w:tcPr>
            <w:tcW w:w="0" w:type="auto"/>
          </w:tcPr>
          <w:p w14:paraId="37849234" w14:textId="77777777" w:rsidR="009E7B94" w:rsidRPr="00DB6631" w:rsidRDefault="009E7B94" w:rsidP="00976FB6">
            <w:pPr>
              <w:pStyle w:val="TableText"/>
              <w:jc w:val="center"/>
              <w:rPr>
                <w:b/>
                <w:bCs/>
              </w:rPr>
            </w:pPr>
          </w:p>
        </w:tc>
        <w:tc>
          <w:tcPr>
            <w:tcW w:w="0" w:type="auto"/>
          </w:tcPr>
          <w:p w14:paraId="73E9A164" w14:textId="77777777" w:rsidR="009E7B94" w:rsidRPr="00DB6631" w:rsidRDefault="009E7B94" w:rsidP="00976FB6">
            <w:pPr>
              <w:pStyle w:val="TableText"/>
              <w:jc w:val="center"/>
              <w:rPr>
                <w:b/>
                <w:bCs/>
              </w:rPr>
            </w:pPr>
          </w:p>
        </w:tc>
        <w:tc>
          <w:tcPr>
            <w:tcW w:w="0" w:type="auto"/>
          </w:tcPr>
          <w:p w14:paraId="64E164A0" w14:textId="77777777" w:rsidR="009E7B94" w:rsidRPr="00DB6631" w:rsidRDefault="009E7B94" w:rsidP="00976FB6">
            <w:pPr>
              <w:pStyle w:val="TableText"/>
              <w:jc w:val="center"/>
              <w:rPr>
                <w:b/>
                <w:bCs/>
              </w:rPr>
            </w:pPr>
          </w:p>
        </w:tc>
        <w:tc>
          <w:tcPr>
            <w:tcW w:w="0" w:type="auto"/>
          </w:tcPr>
          <w:p w14:paraId="35DE2C29" w14:textId="77777777" w:rsidR="009E7B94" w:rsidRPr="00DB6631" w:rsidRDefault="009E7B94" w:rsidP="00976FB6">
            <w:pPr>
              <w:pStyle w:val="TableText"/>
              <w:jc w:val="center"/>
              <w:rPr>
                <w:b/>
                <w:bCs/>
              </w:rPr>
            </w:pPr>
          </w:p>
        </w:tc>
      </w:tr>
      <w:tr w:rsidR="004F6729" w14:paraId="2D6638F9" w14:textId="77777777" w:rsidTr="001278A9">
        <w:trPr>
          <w:jc w:val="center"/>
        </w:trPr>
        <w:tc>
          <w:tcPr>
            <w:tcW w:w="0" w:type="auto"/>
            <w:tcMar>
              <w:left w:w="108" w:type="dxa"/>
              <w:right w:w="108" w:type="dxa"/>
            </w:tcMar>
          </w:tcPr>
          <w:p w14:paraId="687372AF" w14:textId="77777777" w:rsidR="009E7B94" w:rsidRPr="00A66FF7" w:rsidRDefault="00F56B54" w:rsidP="00976FB6">
            <w:pPr>
              <w:pStyle w:val="Normalsmall"/>
              <w:rPr>
                <w:rFonts w:eastAsia="Times New Roman"/>
                <w:lang w:eastAsia="en-AU"/>
              </w:rPr>
            </w:pPr>
            <w:r>
              <w:t>Antifouling Seaguardian</w:t>
            </w:r>
          </w:p>
        </w:tc>
        <w:tc>
          <w:tcPr>
            <w:tcW w:w="0" w:type="auto"/>
            <w:tcMar>
              <w:left w:w="108" w:type="dxa"/>
              <w:right w:w="108" w:type="dxa"/>
            </w:tcMar>
          </w:tcPr>
          <w:p w14:paraId="300386C8" w14:textId="77777777" w:rsidR="009E7B94" w:rsidRDefault="00F56B54" w:rsidP="00976FB6">
            <w:pPr>
              <w:pStyle w:val="TableText"/>
              <w:jc w:val="right"/>
            </w:pPr>
            <w:r>
              <w:t>40163</w:t>
            </w:r>
          </w:p>
        </w:tc>
        <w:tc>
          <w:tcPr>
            <w:tcW w:w="0" w:type="auto"/>
            <w:tcMar>
              <w:left w:w="108" w:type="dxa"/>
              <w:right w:w="108" w:type="dxa"/>
            </w:tcMar>
          </w:tcPr>
          <w:p w14:paraId="12566D04" w14:textId="77777777" w:rsidR="009E7B94" w:rsidRDefault="00F56B54" w:rsidP="00976FB6">
            <w:pPr>
              <w:pStyle w:val="TableText"/>
              <w:jc w:val="right"/>
            </w:pPr>
            <w:r>
              <w:t>1995</w:t>
            </w:r>
          </w:p>
        </w:tc>
        <w:tc>
          <w:tcPr>
            <w:tcW w:w="0" w:type="auto"/>
            <w:tcMar>
              <w:left w:w="108" w:type="dxa"/>
              <w:right w:w="108" w:type="dxa"/>
            </w:tcMar>
          </w:tcPr>
          <w:p w14:paraId="18A0FB70" w14:textId="77777777" w:rsidR="009E7B94" w:rsidRPr="00DB6631" w:rsidRDefault="00F56B54" w:rsidP="00976FB6">
            <w:pPr>
              <w:pStyle w:val="TableText"/>
              <w:jc w:val="center"/>
            </w:pPr>
            <w:r w:rsidRPr="00DB6631">
              <w:t>+</w:t>
            </w:r>
          </w:p>
        </w:tc>
        <w:tc>
          <w:tcPr>
            <w:tcW w:w="0" w:type="auto"/>
            <w:tcMar>
              <w:left w:w="108" w:type="dxa"/>
              <w:right w:w="108" w:type="dxa"/>
            </w:tcMar>
          </w:tcPr>
          <w:p w14:paraId="72DAA803" w14:textId="77777777" w:rsidR="009E7B94" w:rsidRPr="00DB6631" w:rsidRDefault="00F56B54" w:rsidP="00976FB6">
            <w:pPr>
              <w:pStyle w:val="TableText"/>
              <w:jc w:val="center"/>
            </w:pPr>
            <w:r w:rsidRPr="00DB6631">
              <w:t>-</w:t>
            </w:r>
          </w:p>
        </w:tc>
        <w:tc>
          <w:tcPr>
            <w:tcW w:w="0" w:type="auto"/>
          </w:tcPr>
          <w:p w14:paraId="496C815C" w14:textId="77777777" w:rsidR="009E7B94" w:rsidRPr="00DB6631" w:rsidRDefault="00F56B54" w:rsidP="00976FB6">
            <w:pPr>
              <w:pStyle w:val="TableText"/>
              <w:jc w:val="center"/>
            </w:pPr>
            <w:r w:rsidRPr="00DB6631">
              <w:t>-</w:t>
            </w:r>
          </w:p>
        </w:tc>
        <w:tc>
          <w:tcPr>
            <w:tcW w:w="0" w:type="auto"/>
          </w:tcPr>
          <w:p w14:paraId="62AB9371" w14:textId="77777777" w:rsidR="009E7B94" w:rsidRPr="00DB6631" w:rsidRDefault="00F56B54" w:rsidP="00976FB6">
            <w:pPr>
              <w:pStyle w:val="TableText"/>
              <w:jc w:val="center"/>
            </w:pPr>
            <w:r w:rsidRPr="00DB6631">
              <w:t>-</w:t>
            </w:r>
          </w:p>
        </w:tc>
        <w:tc>
          <w:tcPr>
            <w:tcW w:w="0" w:type="auto"/>
          </w:tcPr>
          <w:p w14:paraId="6B443AE7" w14:textId="77777777" w:rsidR="009E7B94" w:rsidRPr="00DB6631" w:rsidRDefault="00F56B54" w:rsidP="00976FB6">
            <w:pPr>
              <w:pStyle w:val="TableText"/>
              <w:jc w:val="center"/>
            </w:pPr>
            <w:r w:rsidRPr="00DB6631">
              <w:t>-</w:t>
            </w:r>
          </w:p>
        </w:tc>
        <w:tc>
          <w:tcPr>
            <w:tcW w:w="0" w:type="auto"/>
          </w:tcPr>
          <w:p w14:paraId="33949C7D" w14:textId="77777777" w:rsidR="009E7B94" w:rsidRPr="00DB6631" w:rsidRDefault="00F56B54" w:rsidP="00976FB6">
            <w:pPr>
              <w:pStyle w:val="TableText"/>
              <w:jc w:val="center"/>
            </w:pPr>
            <w:r w:rsidRPr="00DB6631">
              <w:t>-</w:t>
            </w:r>
          </w:p>
        </w:tc>
        <w:tc>
          <w:tcPr>
            <w:tcW w:w="0" w:type="auto"/>
          </w:tcPr>
          <w:p w14:paraId="674448E4" w14:textId="77777777" w:rsidR="009E7B94" w:rsidRPr="00DB6631" w:rsidRDefault="00F56B54" w:rsidP="00976FB6">
            <w:pPr>
              <w:pStyle w:val="TableText"/>
              <w:jc w:val="center"/>
            </w:pPr>
            <w:r w:rsidRPr="00DB6631">
              <w:t>-</w:t>
            </w:r>
          </w:p>
        </w:tc>
        <w:tc>
          <w:tcPr>
            <w:tcW w:w="0" w:type="auto"/>
          </w:tcPr>
          <w:p w14:paraId="41AD38BB" w14:textId="77777777" w:rsidR="009E7B94" w:rsidRPr="00DB6631" w:rsidRDefault="00F56B54" w:rsidP="00976FB6">
            <w:pPr>
              <w:pStyle w:val="TableText"/>
              <w:jc w:val="center"/>
            </w:pPr>
            <w:r w:rsidRPr="00DB6631">
              <w:t>-</w:t>
            </w:r>
          </w:p>
        </w:tc>
      </w:tr>
      <w:tr w:rsidR="004F6729" w14:paraId="6ABE6D86" w14:textId="77777777" w:rsidTr="001278A9">
        <w:trPr>
          <w:jc w:val="center"/>
        </w:trPr>
        <w:tc>
          <w:tcPr>
            <w:tcW w:w="0" w:type="auto"/>
            <w:tcMar>
              <w:left w:w="108" w:type="dxa"/>
              <w:right w:w="108" w:type="dxa"/>
            </w:tcMar>
            <w:vAlign w:val="center"/>
          </w:tcPr>
          <w:p w14:paraId="45A47688" w14:textId="77777777" w:rsidR="009E7B94" w:rsidRPr="00A66FF7" w:rsidRDefault="00F56B54" w:rsidP="00976FB6">
            <w:pPr>
              <w:pStyle w:val="Normalsmall"/>
              <w:rPr>
                <w:rFonts w:eastAsia="Times New Roman"/>
                <w:lang w:eastAsia="en-AU"/>
              </w:rPr>
            </w:pPr>
            <w:r>
              <w:t>Antifouling Super Tropic</w:t>
            </w:r>
          </w:p>
        </w:tc>
        <w:tc>
          <w:tcPr>
            <w:tcW w:w="0" w:type="auto"/>
            <w:tcMar>
              <w:left w:w="108" w:type="dxa"/>
              <w:right w:w="108" w:type="dxa"/>
            </w:tcMar>
          </w:tcPr>
          <w:p w14:paraId="51642396" w14:textId="77777777" w:rsidR="009E7B94" w:rsidRDefault="00F56B54" w:rsidP="00976FB6">
            <w:pPr>
              <w:pStyle w:val="TableText"/>
              <w:spacing w:after="120"/>
              <w:jc w:val="right"/>
            </w:pPr>
            <w:r>
              <w:t>40164</w:t>
            </w:r>
          </w:p>
        </w:tc>
        <w:tc>
          <w:tcPr>
            <w:tcW w:w="0" w:type="auto"/>
            <w:tcMar>
              <w:left w:w="108" w:type="dxa"/>
              <w:right w:w="108" w:type="dxa"/>
            </w:tcMar>
          </w:tcPr>
          <w:p w14:paraId="09B605B7" w14:textId="77777777" w:rsidR="009E7B94" w:rsidRDefault="00F56B54" w:rsidP="00976FB6">
            <w:pPr>
              <w:pStyle w:val="TableText"/>
              <w:spacing w:after="120"/>
              <w:jc w:val="right"/>
            </w:pPr>
            <w:r>
              <w:t>1995</w:t>
            </w:r>
          </w:p>
        </w:tc>
        <w:tc>
          <w:tcPr>
            <w:tcW w:w="0" w:type="auto"/>
            <w:tcMar>
              <w:left w:w="108" w:type="dxa"/>
              <w:right w:w="108" w:type="dxa"/>
            </w:tcMar>
          </w:tcPr>
          <w:p w14:paraId="2705F741" w14:textId="77777777" w:rsidR="009E7B94" w:rsidRPr="00DB6631" w:rsidRDefault="00F56B54" w:rsidP="00976FB6">
            <w:pPr>
              <w:pStyle w:val="TableText"/>
              <w:spacing w:after="120"/>
              <w:jc w:val="center"/>
            </w:pPr>
            <w:r w:rsidRPr="00DB6631">
              <w:t>+</w:t>
            </w:r>
          </w:p>
        </w:tc>
        <w:tc>
          <w:tcPr>
            <w:tcW w:w="0" w:type="auto"/>
            <w:tcMar>
              <w:left w:w="108" w:type="dxa"/>
              <w:right w:w="108" w:type="dxa"/>
            </w:tcMar>
          </w:tcPr>
          <w:p w14:paraId="2AEB2DD0" w14:textId="77777777" w:rsidR="009E7B94" w:rsidRPr="00DB6631" w:rsidRDefault="00F56B54" w:rsidP="00976FB6">
            <w:pPr>
              <w:pStyle w:val="TableText"/>
              <w:spacing w:after="120"/>
              <w:jc w:val="center"/>
            </w:pPr>
            <w:r w:rsidRPr="00DB6631">
              <w:t>-</w:t>
            </w:r>
          </w:p>
        </w:tc>
        <w:tc>
          <w:tcPr>
            <w:tcW w:w="0" w:type="auto"/>
          </w:tcPr>
          <w:p w14:paraId="1B495D0E" w14:textId="77777777" w:rsidR="009E7B94" w:rsidRPr="00DB6631" w:rsidRDefault="00F56B54" w:rsidP="00976FB6">
            <w:pPr>
              <w:pStyle w:val="TableText"/>
              <w:spacing w:after="120"/>
              <w:jc w:val="center"/>
            </w:pPr>
            <w:r w:rsidRPr="00DB6631">
              <w:t>-</w:t>
            </w:r>
          </w:p>
        </w:tc>
        <w:tc>
          <w:tcPr>
            <w:tcW w:w="0" w:type="auto"/>
          </w:tcPr>
          <w:p w14:paraId="6883A96A" w14:textId="77777777" w:rsidR="009E7B94" w:rsidRPr="00DB6631" w:rsidRDefault="00F56B54" w:rsidP="00976FB6">
            <w:pPr>
              <w:pStyle w:val="TableText"/>
              <w:spacing w:after="120"/>
              <w:jc w:val="center"/>
            </w:pPr>
            <w:r w:rsidRPr="00DB6631">
              <w:t>-</w:t>
            </w:r>
          </w:p>
        </w:tc>
        <w:tc>
          <w:tcPr>
            <w:tcW w:w="0" w:type="auto"/>
          </w:tcPr>
          <w:p w14:paraId="1E0744B7" w14:textId="77777777" w:rsidR="009E7B94" w:rsidRPr="00DB6631" w:rsidRDefault="00F56B54" w:rsidP="00976FB6">
            <w:pPr>
              <w:pStyle w:val="TableText"/>
              <w:spacing w:after="120"/>
              <w:jc w:val="center"/>
            </w:pPr>
            <w:r w:rsidRPr="00DB6631">
              <w:t>-</w:t>
            </w:r>
          </w:p>
        </w:tc>
        <w:tc>
          <w:tcPr>
            <w:tcW w:w="0" w:type="auto"/>
          </w:tcPr>
          <w:p w14:paraId="17E3E7F7" w14:textId="77777777" w:rsidR="009E7B94" w:rsidRPr="00DB6631" w:rsidRDefault="00F56B54" w:rsidP="00976FB6">
            <w:pPr>
              <w:pStyle w:val="TableText"/>
              <w:spacing w:after="120"/>
              <w:jc w:val="center"/>
            </w:pPr>
            <w:r w:rsidRPr="00DB6631">
              <w:t>-</w:t>
            </w:r>
          </w:p>
        </w:tc>
        <w:tc>
          <w:tcPr>
            <w:tcW w:w="0" w:type="auto"/>
          </w:tcPr>
          <w:p w14:paraId="1D46AD26" w14:textId="77777777" w:rsidR="009E7B94" w:rsidRPr="00DB6631" w:rsidRDefault="00F56B54" w:rsidP="00976FB6">
            <w:pPr>
              <w:pStyle w:val="TableText"/>
              <w:spacing w:after="120"/>
              <w:jc w:val="center"/>
            </w:pPr>
            <w:r w:rsidRPr="00DB6631">
              <w:t>-</w:t>
            </w:r>
          </w:p>
        </w:tc>
        <w:tc>
          <w:tcPr>
            <w:tcW w:w="0" w:type="auto"/>
          </w:tcPr>
          <w:p w14:paraId="3B6D4A0B" w14:textId="77777777" w:rsidR="009E7B94" w:rsidRPr="00DB6631" w:rsidRDefault="00F56B54" w:rsidP="00976FB6">
            <w:pPr>
              <w:pStyle w:val="TableText"/>
              <w:spacing w:after="120"/>
              <w:jc w:val="center"/>
            </w:pPr>
            <w:r w:rsidRPr="00DB6631">
              <w:t>-</w:t>
            </w:r>
          </w:p>
        </w:tc>
      </w:tr>
      <w:tr w:rsidR="004F6729" w14:paraId="4EBE685C" w14:textId="77777777" w:rsidTr="001278A9">
        <w:trPr>
          <w:jc w:val="center"/>
        </w:trPr>
        <w:tc>
          <w:tcPr>
            <w:tcW w:w="0" w:type="auto"/>
            <w:tcMar>
              <w:left w:w="108" w:type="dxa"/>
              <w:right w:w="108" w:type="dxa"/>
            </w:tcMar>
          </w:tcPr>
          <w:p w14:paraId="267C8C3E" w14:textId="77777777" w:rsidR="009E7B94" w:rsidRPr="00A66FF7" w:rsidRDefault="00F56B54" w:rsidP="00976FB6">
            <w:pPr>
              <w:pStyle w:val="Normalsmall"/>
              <w:rPr>
                <w:rFonts w:eastAsia="Times New Roman"/>
                <w:lang w:eastAsia="en-AU"/>
              </w:rPr>
            </w:pPr>
            <w:r>
              <w:t>Antifouling Seasafe</w:t>
            </w:r>
          </w:p>
        </w:tc>
        <w:tc>
          <w:tcPr>
            <w:tcW w:w="0" w:type="auto"/>
            <w:tcMar>
              <w:left w:w="108" w:type="dxa"/>
              <w:right w:w="108" w:type="dxa"/>
            </w:tcMar>
          </w:tcPr>
          <w:p w14:paraId="131CE2D8" w14:textId="77777777" w:rsidR="009E7B94" w:rsidRDefault="00F56B54" w:rsidP="00976FB6">
            <w:pPr>
              <w:pStyle w:val="TableText"/>
              <w:spacing w:before="0"/>
              <w:jc w:val="right"/>
            </w:pPr>
            <w:r>
              <w:t>46487</w:t>
            </w:r>
          </w:p>
        </w:tc>
        <w:tc>
          <w:tcPr>
            <w:tcW w:w="0" w:type="auto"/>
            <w:tcMar>
              <w:left w:w="108" w:type="dxa"/>
              <w:right w:w="108" w:type="dxa"/>
            </w:tcMar>
          </w:tcPr>
          <w:p w14:paraId="56373469" w14:textId="77777777" w:rsidR="009E7B94" w:rsidRDefault="00F56B54" w:rsidP="00976FB6">
            <w:pPr>
              <w:pStyle w:val="TableText"/>
              <w:spacing w:before="0"/>
              <w:jc w:val="right"/>
            </w:pPr>
            <w:r>
              <w:t>1997</w:t>
            </w:r>
          </w:p>
        </w:tc>
        <w:tc>
          <w:tcPr>
            <w:tcW w:w="0" w:type="auto"/>
            <w:tcMar>
              <w:left w:w="108" w:type="dxa"/>
              <w:right w:w="108" w:type="dxa"/>
            </w:tcMar>
          </w:tcPr>
          <w:p w14:paraId="1EE285F9" w14:textId="77777777" w:rsidR="009E7B94" w:rsidRPr="00DB6631" w:rsidRDefault="00F56B54" w:rsidP="00976FB6">
            <w:pPr>
              <w:pStyle w:val="TableText"/>
              <w:spacing w:before="0"/>
              <w:jc w:val="center"/>
              <w:rPr>
                <w:b/>
                <w:bCs/>
              </w:rPr>
            </w:pPr>
            <w:r w:rsidRPr="00DB6631">
              <w:rPr>
                <w:b/>
                <w:bCs/>
              </w:rPr>
              <w:t>-</w:t>
            </w:r>
          </w:p>
        </w:tc>
        <w:tc>
          <w:tcPr>
            <w:tcW w:w="0" w:type="auto"/>
            <w:tcMar>
              <w:left w:w="108" w:type="dxa"/>
              <w:right w:w="108" w:type="dxa"/>
            </w:tcMar>
          </w:tcPr>
          <w:p w14:paraId="733A7586" w14:textId="77777777" w:rsidR="009E7B94" w:rsidRPr="00DB6631" w:rsidRDefault="00F56B54" w:rsidP="00976FB6">
            <w:pPr>
              <w:pStyle w:val="TableText"/>
              <w:spacing w:before="0"/>
              <w:jc w:val="center"/>
              <w:rPr>
                <w:b/>
                <w:bCs/>
              </w:rPr>
            </w:pPr>
            <w:r w:rsidRPr="00DB6631">
              <w:rPr>
                <w:b/>
                <w:bCs/>
              </w:rPr>
              <w:t>+</w:t>
            </w:r>
          </w:p>
        </w:tc>
        <w:tc>
          <w:tcPr>
            <w:tcW w:w="0" w:type="auto"/>
          </w:tcPr>
          <w:p w14:paraId="24BB8E3E" w14:textId="77777777" w:rsidR="009E7B94" w:rsidRPr="00DB6631" w:rsidRDefault="00F56B54" w:rsidP="00976FB6">
            <w:pPr>
              <w:pStyle w:val="TableText"/>
              <w:spacing w:before="0"/>
              <w:jc w:val="center"/>
              <w:rPr>
                <w:b/>
                <w:bCs/>
              </w:rPr>
            </w:pPr>
            <w:r w:rsidRPr="00DB6631">
              <w:rPr>
                <w:b/>
                <w:bCs/>
              </w:rPr>
              <w:t>-</w:t>
            </w:r>
          </w:p>
        </w:tc>
        <w:tc>
          <w:tcPr>
            <w:tcW w:w="0" w:type="auto"/>
          </w:tcPr>
          <w:p w14:paraId="4A4C9E0A" w14:textId="77777777" w:rsidR="009E7B94" w:rsidRPr="00DB6631" w:rsidRDefault="00F56B54" w:rsidP="00976FB6">
            <w:pPr>
              <w:pStyle w:val="TableText"/>
              <w:spacing w:before="0"/>
              <w:jc w:val="center"/>
              <w:rPr>
                <w:b/>
                <w:bCs/>
              </w:rPr>
            </w:pPr>
            <w:r w:rsidRPr="00DB6631">
              <w:rPr>
                <w:b/>
                <w:bCs/>
              </w:rPr>
              <w:t>-</w:t>
            </w:r>
          </w:p>
        </w:tc>
        <w:tc>
          <w:tcPr>
            <w:tcW w:w="0" w:type="auto"/>
          </w:tcPr>
          <w:p w14:paraId="7857C457" w14:textId="77777777" w:rsidR="009E7B94" w:rsidRPr="00DB6631" w:rsidRDefault="00F56B54" w:rsidP="00976FB6">
            <w:pPr>
              <w:pStyle w:val="TableText"/>
              <w:spacing w:before="0"/>
              <w:jc w:val="center"/>
              <w:rPr>
                <w:b/>
                <w:bCs/>
              </w:rPr>
            </w:pPr>
            <w:r w:rsidRPr="00DB6631">
              <w:rPr>
                <w:b/>
                <w:bCs/>
              </w:rPr>
              <w:t>+</w:t>
            </w:r>
          </w:p>
        </w:tc>
        <w:tc>
          <w:tcPr>
            <w:tcW w:w="0" w:type="auto"/>
          </w:tcPr>
          <w:p w14:paraId="5A142E39" w14:textId="77777777" w:rsidR="009E7B94" w:rsidRPr="00DB6631" w:rsidRDefault="00F56B54" w:rsidP="00976FB6">
            <w:pPr>
              <w:pStyle w:val="TableText"/>
              <w:spacing w:before="0"/>
              <w:jc w:val="center"/>
              <w:rPr>
                <w:b/>
                <w:bCs/>
              </w:rPr>
            </w:pPr>
            <w:r w:rsidRPr="00DB6631">
              <w:rPr>
                <w:b/>
                <w:bCs/>
              </w:rPr>
              <w:t>-</w:t>
            </w:r>
          </w:p>
        </w:tc>
        <w:tc>
          <w:tcPr>
            <w:tcW w:w="0" w:type="auto"/>
          </w:tcPr>
          <w:p w14:paraId="533E1AD8" w14:textId="77777777" w:rsidR="009E7B94" w:rsidRPr="00DB6631" w:rsidRDefault="00F56B54" w:rsidP="00976FB6">
            <w:pPr>
              <w:pStyle w:val="TableText"/>
              <w:spacing w:before="0"/>
              <w:jc w:val="center"/>
              <w:rPr>
                <w:b/>
                <w:bCs/>
              </w:rPr>
            </w:pPr>
            <w:r w:rsidRPr="00DB6631">
              <w:rPr>
                <w:b/>
                <w:bCs/>
              </w:rPr>
              <w:t>-</w:t>
            </w:r>
          </w:p>
        </w:tc>
        <w:tc>
          <w:tcPr>
            <w:tcW w:w="0" w:type="auto"/>
          </w:tcPr>
          <w:p w14:paraId="1098BE04" w14:textId="77777777" w:rsidR="009E7B94" w:rsidRPr="00DB6631" w:rsidRDefault="00F56B54" w:rsidP="00976FB6">
            <w:pPr>
              <w:pStyle w:val="TableText"/>
              <w:spacing w:before="0"/>
              <w:jc w:val="center"/>
              <w:rPr>
                <w:b/>
                <w:bCs/>
              </w:rPr>
            </w:pPr>
            <w:r w:rsidRPr="00DB6631">
              <w:rPr>
                <w:b/>
                <w:bCs/>
              </w:rPr>
              <w:t>-</w:t>
            </w:r>
          </w:p>
        </w:tc>
      </w:tr>
      <w:tr w:rsidR="004F6729" w14:paraId="6A2823FB" w14:textId="77777777" w:rsidTr="001278A9">
        <w:trPr>
          <w:jc w:val="center"/>
        </w:trPr>
        <w:tc>
          <w:tcPr>
            <w:tcW w:w="0" w:type="auto"/>
            <w:tcMar>
              <w:left w:w="108" w:type="dxa"/>
              <w:right w:w="108" w:type="dxa"/>
            </w:tcMar>
          </w:tcPr>
          <w:p w14:paraId="79B66124" w14:textId="77777777" w:rsidR="009E7B94" w:rsidRPr="00A66FF7" w:rsidRDefault="00F56B54" w:rsidP="00976FB6">
            <w:pPr>
              <w:pStyle w:val="Normalsmall"/>
              <w:rPr>
                <w:rFonts w:eastAsia="Times New Roman"/>
                <w:lang w:eastAsia="en-AU"/>
              </w:rPr>
            </w:pPr>
            <w:r>
              <w:t>Antifouling Seavictor 50</w:t>
            </w:r>
          </w:p>
        </w:tc>
        <w:tc>
          <w:tcPr>
            <w:tcW w:w="0" w:type="auto"/>
            <w:tcMar>
              <w:left w:w="108" w:type="dxa"/>
              <w:right w:w="108" w:type="dxa"/>
            </w:tcMar>
          </w:tcPr>
          <w:p w14:paraId="64B9AC78" w14:textId="77777777" w:rsidR="009E7B94" w:rsidRDefault="00F56B54" w:rsidP="00976FB6">
            <w:pPr>
              <w:pStyle w:val="TableText"/>
              <w:jc w:val="right"/>
            </w:pPr>
            <w:r>
              <w:t>45488</w:t>
            </w:r>
          </w:p>
        </w:tc>
        <w:tc>
          <w:tcPr>
            <w:tcW w:w="0" w:type="auto"/>
            <w:tcMar>
              <w:left w:w="108" w:type="dxa"/>
              <w:right w:w="108" w:type="dxa"/>
            </w:tcMar>
          </w:tcPr>
          <w:p w14:paraId="421A6451" w14:textId="77777777" w:rsidR="009E7B94" w:rsidRDefault="00F56B54" w:rsidP="00976FB6">
            <w:pPr>
              <w:pStyle w:val="TableText"/>
              <w:jc w:val="right"/>
            </w:pPr>
            <w:r>
              <w:t>2000</w:t>
            </w:r>
          </w:p>
        </w:tc>
        <w:tc>
          <w:tcPr>
            <w:tcW w:w="0" w:type="auto"/>
            <w:tcMar>
              <w:left w:w="108" w:type="dxa"/>
              <w:right w:w="108" w:type="dxa"/>
            </w:tcMar>
          </w:tcPr>
          <w:p w14:paraId="0987406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4BEAC7A" w14:textId="77777777" w:rsidR="009E7B94" w:rsidRPr="00DB6631" w:rsidRDefault="00F56B54" w:rsidP="00976FB6">
            <w:pPr>
              <w:pStyle w:val="TableText"/>
              <w:jc w:val="center"/>
              <w:rPr>
                <w:b/>
                <w:bCs/>
              </w:rPr>
            </w:pPr>
            <w:r w:rsidRPr="00DB6631">
              <w:rPr>
                <w:b/>
                <w:bCs/>
              </w:rPr>
              <w:t>-</w:t>
            </w:r>
          </w:p>
        </w:tc>
        <w:tc>
          <w:tcPr>
            <w:tcW w:w="0" w:type="auto"/>
          </w:tcPr>
          <w:p w14:paraId="41EB7DDE" w14:textId="77777777" w:rsidR="009E7B94" w:rsidRPr="00DB6631" w:rsidRDefault="00F56B54" w:rsidP="00976FB6">
            <w:pPr>
              <w:pStyle w:val="TableText"/>
              <w:jc w:val="center"/>
              <w:rPr>
                <w:b/>
                <w:bCs/>
              </w:rPr>
            </w:pPr>
            <w:r w:rsidRPr="00DB6631">
              <w:rPr>
                <w:b/>
                <w:bCs/>
              </w:rPr>
              <w:t>-</w:t>
            </w:r>
          </w:p>
        </w:tc>
        <w:tc>
          <w:tcPr>
            <w:tcW w:w="0" w:type="auto"/>
          </w:tcPr>
          <w:p w14:paraId="0248744F" w14:textId="77777777" w:rsidR="009E7B94" w:rsidRPr="00DB6631" w:rsidRDefault="00F56B54" w:rsidP="00976FB6">
            <w:pPr>
              <w:pStyle w:val="TableText"/>
              <w:jc w:val="center"/>
              <w:rPr>
                <w:b/>
                <w:bCs/>
              </w:rPr>
            </w:pPr>
            <w:r w:rsidRPr="00DB6631">
              <w:rPr>
                <w:b/>
                <w:bCs/>
              </w:rPr>
              <w:t>-</w:t>
            </w:r>
          </w:p>
        </w:tc>
        <w:tc>
          <w:tcPr>
            <w:tcW w:w="0" w:type="auto"/>
          </w:tcPr>
          <w:p w14:paraId="30A2B931" w14:textId="77777777" w:rsidR="009E7B94" w:rsidRPr="00DB6631" w:rsidRDefault="00F56B54" w:rsidP="00976FB6">
            <w:pPr>
              <w:pStyle w:val="TableText"/>
              <w:jc w:val="center"/>
              <w:rPr>
                <w:b/>
                <w:bCs/>
              </w:rPr>
            </w:pPr>
            <w:r w:rsidRPr="00DB6631">
              <w:rPr>
                <w:b/>
                <w:bCs/>
              </w:rPr>
              <w:t>-</w:t>
            </w:r>
          </w:p>
        </w:tc>
        <w:tc>
          <w:tcPr>
            <w:tcW w:w="0" w:type="auto"/>
          </w:tcPr>
          <w:p w14:paraId="6DA75302" w14:textId="77777777" w:rsidR="009E7B94" w:rsidRPr="00DB6631" w:rsidRDefault="00F56B54" w:rsidP="00976FB6">
            <w:pPr>
              <w:pStyle w:val="TableText"/>
              <w:jc w:val="center"/>
              <w:rPr>
                <w:b/>
                <w:bCs/>
              </w:rPr>
            </w:pPr>
            <w:r w:rsidRPr="00DB6631">
              <w:rPr>
                <w:b/>
                <w:bCs/>
              </w:rPr>
              <w:t>+</w:t>
            </w:r>
          </w:p>
        </w:tc>
        <w:tc>
          <w:tcPr>
            <w:tcW w:w="0" w:type="auto"/>
          </w:tcPr>
          <w:p w14:paraId="47286C23" w14:textId="77777777" w:rsidR="009E7B94" w:rsidRPr="00DB6631" w:rsidRDefault="00F56B54" w:rsidP="00976FB6">
            <w:pPr>
              <w:pStyle w:val="TableText"/>
              <w:jc w:val="center"/>
              <w:rPr>
                <w:b/>
                <w:bCs/>
              </w:rPr>
            </w:pPr>
            <w:r w:rsidRPr="00DB6631">
              <w:rPr>
                <w:b/>
                <w:bCs/>
              </w:rPr>
              <w:t>-</w:t>
            </w:r>
          </w:p>
        </w:tc>
        <w:tc>
          <w:tcPr>
            <w:tcW w:w="0" w:type="auto"/>
          </w:tcPr>
          <w:p w14:paraId="74C950A8" w14:textId="77777777" w:rsidR="009E7B94" w:rsidRPr="00DB6631" w:rsidRDefault="00F56B54" w:rsidP="00976FB6">
            <w:pPr>
              <w:pStyle w:val="TableText"/>
              <w:jc w:val="center"/>
              <w:rPr>
                <w:b/>
                <w:bCs/>
              </w:rPr>
            </w:pPr>
            <w:r w:rsidRPr="00DB6631">
              <w:rPr>
                <w:b/>
                <w:bCs/>
              </w:rPr>
              <w:t>-</w:t>
            </w:r>
          </w:p>
        </w:tc>
      </w:tr>
      <w:tr w:rsidR="004F6729" w14:paraId="73649220" w14:textId="77777777" w:rsidTr="001278A9">
        <w:trPr>
          <w:jc w:val="center"/>
        </w:trPr>
        <w:tc>
          <w:tcPr>
            <w:tcW w:w="0" w:type="auto"/>
            <w:tcMar>
              <w:left w:w="108" w:type="dxa"/>
              <w:right w:w="108" w:type="dxa"/>
            </w:tcMar>
          </w:tcPr>
          <w:p w14:paraId="20F94434" w14:textId="77777777" w:rsidR="009E7B94" w:rsidRPr="00A66FF7" w:rsidRDefault="00F56B54" w:rsidP="00976FB6">
            <w:pPr>
              <w:pStyle w:val="Normalsmall"/>
              <w:rPr>
                <w:rFonts w:eastAsia="Times New Roman"/>
                <w:lang w:eastAsia="en-AU"/>
              </w:rPr>
            </w:pPr>
            <w:r>
              <w:t>Antifouling Seavictor 40</w:t>
            </w:r>
          </w:p>
        </w:tc>
        <w:tc>
          <w:tcPr>
            <w:tcW w:w="0" w:type="auto"/>
            <w:tcMar>
              <w:left w:w="108" w:type="dxa"/>
              <w:right w:w="108" w:type="dxa"/>
            </w:tcMar>
          </w:tcPr>
          <w:p w14:paraId="15BA4793" w14:textId="77777777" w:rsidR="009E7B94" w:rsidRDefault="00F56B54" w:rsidP="00976FB6">
            <w:pPr>
              <w:pStyle w:val="TableText"/>
              <w:jc w:val="right"/>
            </w:pPr>
            <w:r>
              <w:t>46489</w:t>
            </w:r>
          </w:p>
        </w:tc>
        <w:tc>
          <w:tcPr>
            <w:tcW w:w="0" w:type="auto"/>
            <w:tcMar>
              <w:left w:w="108" w:type="dxa"/>
              <w:right w:w="108" w:type="dxa"/>
            </w:tcMar>
          </w:tcPr>
          <w:p w14:paraId="26588D39" w14:textId="77777777" w:rsidR="009E7B94" w:rsidRDefault="00F56B54" w:rsidP="00976FB6">
            <w:pPr>
              <w:pStyle w:val="TableText"/>
              <w:jc w:val="right"/>
            </w:pPr>
            <w:r>
              <w:t>1995</w:t>
            </w:r>
          </w:p>
        </w:tc>
        <w:tc>
          <w:tcPr>
            <w:tcW w:w="0" w:type="auto"/>
            <w:tcMar>
              <w:left w:w="108" w:type="dxa"/>
              <w:right w:w="108" w:type="dxa"/>
            </w:tcMar>
          </w:tcPr>
          <w:p w14:paraId="2E2E8DBD"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B0050D2" w14:textId="77777777" w:rsidR="009E7B94" w:rsidRPr="00DB6631" w:rsidRDefault="00F56B54" w:rsidP="00976FB6">
            <w:pPr>
              <w:pStyle w:val="TableText"/>
              <w:jc w:val="center"/>
              <w:rPr>
                <w:b/>
                <w:bCs/>
              </w:rPr>
            </w:pPr>
            <w:r w:rsidRPr="00DB6631">
              <w:rPr>
                <w:b/>
                <w:bCs/>
              </w:rPr>
              <w:t>-</w:t>
            </w:r>
          </w:p>
        </w:tc>
        <w:tc>
          <w:tcPr>
            <w:tcW w:w="0" w:type="auto"/>
          </w:tcPr>
          <w:p w14:paraId="662954DD" w14:textId="77777777" w:rsidR="009E7B94" w:rsidRPr="00DB6631" w:rsidRDefault="00F56B54" w:rsidP="00976FB6">
            <w:pPr>
              <w:pStyle w:val="TableText"/>
              <w:jc w:val="center"/>
              <w:rPr>
                <w:b/>
                <w:bCs/>
              </w:rPr>
            </w:pPr>
            <w:r w:rsidRPr="00DB6631">
              <w:rPr>
                <w:b/>
                <w:bCs/>
              </w:rPr>
              <w:t>-</w:t>
            </w:r>
          </w:p>
        </w:tc>
        <w:tc>
          <w:tcPr>
            <w:tcW w:w="0" w:type="auto"/>
          </w:tcPr>
          <w:p w14:paraId="5AA9948D" w14:textId="77777777" w:rsidR="009E7B94" w:rsidRPr="00DB6631" w:rsidRDefault="00F56B54" w:rsidP="00976FB6">
            <w:pPr>
              <w:pStyle w:val="TableText"/>
              <w:jc w:val="center"/>
              <w:rPr>
                <w:b/>
                <w:bCs/>
              </w:rPr>
            </w:pPr>
            <w:r w:rsidRPr="00DB6631">
              <w:rPr>
                <w:b/>
                <w:bCs/>
              </w:rPr>
              <w:t>-</w:t>
            </w:r>
          </w:p>
        </w:tc>
        <w:tc>
          <w:tcPr>
            <w:tcW w:w="0" w:type="auto"/>
          </w:tcPr>
          <w:p w14:paraId="36B4BF23" w14:textId="77777777" w:rsidR="009E7B94" w:rsidRPr="00DB6631" w:rsidRDefault="00F56B54" w:rsidP="00976FB6">
            <w:pPr>
              <w:pStyle w:val="TableText"/>
              <w:jc w:val="center"/>
              <w:rPr>
                <w:b/>
                <w:bCs/>
              </w:rPr>
            </w:pPr>
            <w:r w:rsidRPr="00DB6631">
              <w:rPr>
                <w:b/>
                <w:bCs/>
              </w:rPr>
              <w:t>-</w:t>
            </w:r>
          </w:p>
        </w:tc>
        <w:tc>
          <w:tcPr>
            <w:tcW w:w="0" w:type="auto"/>
          </w:tcPr>
          <w:p w14:paraId="4F157A5B" w14:textId="77777777" w:rsidR="009E7B94" w:rsidRPr="00DB6631" w:rsidRDefault="00F56B54" w:rsidP="00976FB6">
            <w:pPr>
              <w:pStyle w:val="TableText"/>
              <w:jc w:val="center"/>
              <w:rPr>
                <w:b/>
                <w:bCs/>
              </w:rPr>
            </w:pPr>
            <w:r w:rsidRPr="00DB6631">
              <w:rPr>
                <w:b/>
                <w:bCs/>
              </w:rPr>
              <w:t>-</w:t>
            </w:r>
          </w:p>
        </w:tc>
        <w:tc>
          <w:tcPr>
            <w:tcW w:w="0" w:type="auto"/>
          </w:tcPr>
          <w:p w14:paraId="0603CA55" w14:textId="77777777" w:rsidR="009E7B94" w:rsidRPr="00DB6631" w:rsidRDefault="00F56B54" w:rsidP="00976FB6">
            <w:pPr>
              <w:pStyle w:val="TableText"/>
              <w:jc w:val="center"/>
              <w:rPr>
                <w:b/>
                <w:bCs/>
              </w:rPr>
            </w:pPr>
            <w:r w:rsidRPr="00DB6631">
              <w:rPr>
                <w:b/>
                <w:bCs/>
              </w:rPr>
              <w:t>-</w:t>
            </w:r>
          </w:p>
        </w:tc>
        <w:tc>
          <w:tcPr>
            <w:tcW w:w="0" w:type="auto"/>
          </w:tcPr>
          <w:p w14:paraId="5A75C71D" w14:textId="77777777" w:rsidR="009E7B94" w:rsidRPr="00DB6631" w:rsidRDefault="00F56B54" w:rsidP="00976FB6">
            <w:pPr>
              <w:pStyle w:val="TableText"/>
              <w:jc w:val="center"/>
              <w:rPr>
                <w:b/>
                <w:bCs/>
              </w:rPr>
            </w:pPr>
            <w:r w:rsidRPr="00DB6631">
              <w:rPr>
                <w:b/>
                <w:bCs/>
              </w:rPr>
              <w:t>-</w:t>
            </w:r>
          </w:p>
        </w:tc>
      </w:tr>
      <w:tr w:rsidR="004F6729" w14:paraId="026508CF" w14:textId="77777777" w:rsidTr="001278A9">
        <w:trPr>
          <w:jc w:val="center"/>
        </w:trPr>
        <w:tc>
          <w:tcPr>
            <w:tcW w:w="0" w:type="auto"/>
            <w:tcMar>
              <w:left w:w="108" w:type="dxa"/>
              <w:right w:w="108" w:type="dxa"/>
            </w:tcMar>
          </w:tcPr>
          <w:p w14:paraId="7446D9B9" w14:textId="77777777" w:rsidR="009E7B94" w:rsidRPr="00A66FF7" w:rsidRDefault="00F56B54" w:rsidP="00976FB6">
            <w:pPr>
              <w:pStyle w:val="Normalsmall"/>
              <w:rPr>
                <w:rFonts w:eastAsia="Times New Roman"/>
                <w:lang w:eastAsia="en-AU"/>
              </w:rPr>
            </w:pPr>
            <w:r>
              <w:lastRenderedPageBreak/>
              <w:t>Antifouling Seaquantum Ultra S</w:t>
            </w:r>
          </w:p>
        </w:tc>
        <w:tc>
          <w:tcPr>
            <w:tcW w:w="0" w:type="auto"/>
            <w:tcMar>
              <w:left w:w="108" w:type="dxa"/>
              <w:right w:w="108" w:type="dxa"/>
            </w:tcMar>
          </w:tcPr>
          <w:p w14:paraId="5D1B7109" w14:textId="77777777" w:rsidR="009E7B94" w:rsidRDefault="00F56B54" w:rsidP="00976FB6">
            <w:pPr>
              <w:pStyle w:val="TableText"/>
              <w:jc w:val="right"/>
            </w:pPr>
            <w:r>
              <w:t>64505</w:t>
            </w:r>
          </w:p>
        </w:tc>
        <w:tc>
          <w:tcPr>
            <w:tcW w:w="0" w:type="auto"/>
            <w:tcMar>
              <w:left w:w="108" w:type="dxa"/>
              <w:right w:w="108" w:type="dxa"/>
            </w:tcMar>
          </w:tcPr>
          <w:p w14:paraId="00CC5697" w14:textId="77777777" w:rsidR="009E7B94" w:rsidRDefault="00F56B54" w:rsidP="00976FB6">
            <w:pPr>
              <w:pStyle w:val="TableText"/>
              <w:jc w:val="right"/>
            </w:pPr>
            <w:r>
              <w:t>2012</w:t>
            </w:r>
          </w:p>
        </w:tc>
        <w:tc>
          <w:tcPr>
            <w:tcW w:w="0" w:type="auto"/>
            <w:tcMar>
              <w:left w:w="108" w:type="dxa"/>
              <w:right w:w="108" w:type="dxa"/>
            </w:tcMar>
          </w:tcPr>
          <w:p w14:paraId="3A229D0C"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5CEFA60F" w14:textId="77777777" w:rsidR="009E7B94" w:rsidRPr="00DB6631" w:rsidRDefault="00F56B54" w:rsidP="00976FB6">
            <w:pPr>
              <w:pStyle w:val="TableText"/>
              <w:jc w:val="center"/>
              <w:rPr>
                <w:b/>
                <w:bCs/>
              </w:rPr>
            </w:pPr>
            <w:r w:rsidRPr="00DB6631">
              <w:rPr>
                <w:b/>
                <w:bCs/>
              </w:rPr>
              <w:t>-</w:t>
            </w:r>
          </w:p>
        </w:tc>
        <w:tc>
          <w:tcPr>
            <w:tcW w:w="0" w:type="auto"/>
          </w:tcPr>
          <w:p w14:paraId="70C26470" w14:textId="77777777" w:rsidR="009E7B94" w:rsidRPr="00DB6631" w:rsidRDefault="00F56B54" w:rsidP="00976FB6">
            <w:pPr>
              <w:pStyle w:val="TableText"/>
              <w:jc w:val="center"/>
              <w:rPr>
                <w:b/>
                <w:bCs/>
              </w:rPr>
            </w:pPr>
            <w:r w:rsidRPr="00DB6631">
              <w:rPr>
                <w:b/>
                <w:bCs/>
              </w:rPr>
              <w:t>-</w:t>
            </w:r>
          </w:p>
        </w:tc>
        <w:tc>
          <w:tcPr>
            <w:tcW w:w="0" w:type="auto"/>
          </w:tcPr>
          <w:p w14:paraId="6C941877" w14:textId="77777777" w:rsidR="009E7B94" w:rsidRPr="00DB6631" w:rsidRDefault="00F56B54" w:rsidP="00976FB6">
            <w:pPr>
              <w:pStyle w:val="TableText"/>
              <w:jc w:val="center"/>
              <w:rPr>
                <w:b/>
                <w:bCs/>
              </w:rPr>
            </w:pPr>
            <w:r w:rsidRPr="00DB6631">
              <w:rPr>
                <w:b/>
                <w:bCs/>
              </w:rPr>
              <w:t>-</w:t>
            </w:r>
          </w:p>
        </w:tc>
        <w:tc>
          <w:tcPr>
            <w:tcW w:w="0" w:type="auto"/>
          </w:tcPr>
          <w:p w14:paraId="087B9022" w14:textId="77777777" w:rsidR="009E7B94" w:rsidRPr="00DB6631" w:rsidRDefault="00F56B54" w:rsidP="00976FB6">
            <w:pPr>
              <w:pStyle w:val="TableText"/>
              <w:jc w:val="center"/>
              <w:rPr>
                <w:b/>
                <w:bCs/>
              </w:rPr>
            </w:pPr>
            <w:r w:rsidRPr="00DB6631">
              <w:rPr>
                <w:b/>
                <w:bCs/>
              </w:rPr>
              <w:t>-</w:t>
            </w:r>
          </w:p>
        </w:tc>
        <w:tc>
          <w:tcPr>
            <w:tcW w:w="0" w:type="auto"/>
          </w:tcPr>
          <w:p w14:paraId="0755286B" w14:textId="77777777" w:rsidR="009E7B94" w:rsidRPr="00DB6631" w:rsidRDefault="00F56B54" w:rsidP="00976FB6">
            <w:pPr>
              <w:pStyle w:val="TableText"/>
              <w:jc w:val="center"/>
              <w:rPr>
                <w:b/>
                <w:bCs/>
              </w:rPr>
            </w:pPr>
            <w:r w:rsidRPr="00DB6631">
              <w:rPr>
                <w:b/>
                <w:bCs/>
              </w:rPr>
              <w:t>-</w:t>
            </w:r>
          </w:p>
        </w:tc>
        <w:tc>
          <w:tcPr>
            <w:tcW w:w="0" w:type="auto"/>
          </w:tcPr>
          <w:p w14:paraId="68FC4FF5" w14:textId="77777777" w:rsidR="009E7B94" w:rsidRPr="00DB6631" w:rsidRDefault="00F56B54" w:rsidP="00976FB6">
            <w:pPr>
              <w:pStyle w:val="TableText"/>
              <w:jc w:val="center"/>
              <w:rPr>
                <w:b/>
                <w:bCs/>
              </w:rPr>
            </w:pPr>
            <w:r w:rsidRPr="00DB6631">
              <w:rPr>
                <w:b/>
                <w:bCs/>
              </w:rPr>
              <w:t>-</w:t>
            </w:r>
          </w:p>
        </w:tc>
        <w:tc>
          <w:tcPr>
            <w:tcW w:w="0" w:type="auto"/>
          </w:tcPr>
          <w:p w14:paraId="329467F6" w14:textId="77777777" w:rsidR="009E7B94" w:rsidRPr="00DB6631" w:rsidRDefault="00F56B54" w:rsidP="00976FB6">
            <w:pPr>
              <w:pStyle w:val="TableText"/>
              <w:jc w:val="center"/>
              <w:rPr>
                <w:b/>
                <w:bCs/>
              </w:rPr>
            </w:pPr>
            <w:r w:rsidRPr="00DB6631">
              <w:rPr>
                <w:b/>
                <w:bCs/>
              </w:rPr>
              <w:t>+</w:t>
            </w:r>
          </w:p>
        </w:tc>
      </w:tr>
      <w:tr w:rsidR="004F6729" w14:paraId="141DADE3" w14:textId="77777777" w:rsidTr="001278A9">
        <w:trPr>
          <w:jc w:val="center"/>
        </w:trPr>
        <w:tc>
          <w:tcPr>
            <w:tcW w:w="0" w:type="auto"/>
            <w:tcMar>
              <w:left w:w="108" w:type="dxa"/>
              <w:right w:w="108" w:type="dxa"/>
            </w:tcMar>
          </w:tcPr>
          <w:p w14:paraId="790FA8C4" w14:textId="77777777" w:rsidR="009E7B94" w:rsidRPr="00A66FF7" w:rsidRDefault="00F56B54" w:rsidP="00976FB6">
            <w:pPr>
              <w:pStyle w:val="Normalsmall"/>
              <w:rPr>
                <w:rFonts w:eastAsia="Times New Roman"/>
                <w:lang w:eastAsia="en-AU"/>
              </w:rPr>
            </w:pPr>
            <w:r>
              <w:t>Antifouling Seasafe Ultra</w:t>
            </w:r>
          </w:p>
        </w:tc>
        <w:tc>
          <w:tcPr>
            <w:tcW w:w="0" w:type="auto"/>
            <w:tcMar>
              <w:left w:w="108" w:type="dxa"/>
              <w:right w:w="108" w:type="dxa"/>
            </w:tcMar>
          </w:tcPr>
          <w:p w14:paraId="68CA508D" w14:textId="77777777" w:rsidR="009E7B94" w:rsidRDefault="00F56B54" w:rsidP="00976FB6">
            <w:pPr>
              <w:pStyle w:val="TableText"/>
              <w:jc w:val="right"/>
            </w:pPr>
            <w:r>
              <w:t>65433</w:t>
            </w:r>
          </w:p>
        </w:tc>
        <w:tc>
          <w:tcPr>
            <w:tcW w:w="0" w:type="auto"/>
            <w:tcMar>
              <w:left w:w="108" w:type="dxa"/>
              <w:right w:w="108" w:type="dxa"/>
            </w:tcMar>
          </w:tcPr>
          <w:p w14:paraId="348130FA" w14:textId="77777777" w:rsidR="009E7B94" w:rsidRDefault="00F56B54" w:rsidP="00976FB6">
            <w:pPr>
              <w:pStyle w:val="TableText"/>
              <w:jc w:val="right"/>
            </w:pPr>
            <w:r>
              <w:t>2012</w:t>
            </w:r>
          </w:p>
        </w:tc>
        <w:tc>
          <w:tcPr>
            <w:tcW w:w="0" w:type="auto"/>
            <w:tcMar>
              <w:left w:w="108" w:type="dxa"/>
              <w:right w:w="108" w:type="dxa"/>
            </w:tcMar>
          </w:tcPr>
          <w:p w14:paraId="5B40B50B"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5C6E591C" w14:textId="77777777" w:rsidR="009E7B94" w:rsidRPr="00DB6631" w:rsidRDefault="00F56B54" w:rsidP="00976FB6">
            <w:pPr>
              <w:pStyle w:val="TableText"/>
              <w:jc w:val="center"/>
              <w:rPr>
                <w:b/>
                <w:bCs/>
              </w:rPr>
            </w:pPr>
            <w:r w:rsidRPr="00DB6631">
              <w:rPr>
                <w:b/>
                <w:bCs/>
              </w:rPr>
              <w:t>+</w:t>
            </w:r>
          </w:p>
        </w:tc>
        <w:tc>
          <w:tcPr>
            <w:tcW w:w="0" w:type="auto"/>
          </w:tcPr>
          <w:p w14:paraId="105D7984" w14:textId="77777777" w:rsidR="009E7B94" w:rsidRPr="00DB6631" w:rsidRDefault="00F56B54" w:rsidP="00976FB6">
            <w:pPr>
              <w:pStyle w:val="TableText"/>
              <w:jc w:val="center"/>
              <w:rPr>
                <w:b/>
                <w:bCs/>
              </w:rPr>
            </w:pPr>
            <w:r w:rsidRPr="00DB6631">
              <w:rPr>
                <w:b/>
                <w:bCs/>
              </w:rPr>
              <w:t>-</w:t>
            </w:r>
          </w:p>
        </w:tc>
        <w:tc>
          <w:tcPr>
            <w:tcW w:w="0" w:type="auto"/>
          </w:tcPr>
          <w:p w14:paraId="6D0B7778" w14:textId="77777777" w:rsidR="009E7B94" w:rsidRPr="00DB6631" w:rsidRDefault="00F56B54" w:rsidP="00976FB6">
            <w:pPr>
              <w:pStyle w:val="TableText"/>
              <w:jc w:val="center"/>
              <w:rPr>
                <w:b/>
                <w:bCs/>
              </w:rPr>
            </w:pPr>
            <w:r w:rsidRPr="00DB6631">
              <w:rPr>
                <w:b/>
                <w:bCs/>
              </w:rPr>
              <w:t>-</w:t>
            </w:r>
          </w:p>
        </w:tc>
        <w:tc>
          <w:tcPr>
            <w:tcW w:w="0" w:type="auto"/>
          </w:tcPr>
          <w:p w14:paraId="6BF33179" w14:textId="77777777" w:rsidR="009E7B94" w:rsidRPr="00DB6631" w:rsidRDefault="00F56B54" w:rsidP="00976FB6">
            <w:pPr>
              <w:pStyle w:val="TableText"/>
              <w:jc w:val="center"/>
              <w:rPr>
                <w:b/>
                <w:bCs/>
              </w:rPr>
            </w:pPr>
            <w:r w:rsidRPr="00DB6631">
              <w:rPr>
                <w:b/>
                <w:bCs/>
              </w:rPr>
              <w:t>-</w:t>
            </w:r>
          </w:p>
        </w:tc>
        <w:tc>
          <w:tcPr>
            <w:tcW w:w="0" w:type="auto"/>
          </w:tcPr>
          <w:p w14:paraId="6BBDEAF6" w14:textId="77777777" w:rsidR="009E7B94" w:rsidRPr="00DB6631" w:rsidRDefault="00F56B54" w:rsidP="00976FB6">
            <w:pPr>
              <w:pStyle w:val="TableText"/>
              <w:jc w:val="center"/>
              <w:rPr>
                <w:b/>
                <w:bCs/>
              </w:rPr>
            </w:pPr>
            <w:r w:rsidRPr="00DB6631">
              <w:rPr>
                <w:b/>
                <w:bCs/>
              </w:rPr>
              <w:t>+</w:t>
            </w:r>
          </w:p>
        </w:tc>
        <w:tc>
          <w:tcPr>
            <w:tcW w:w="0" w:type="auto"/>
          </w:tcPr>
          <w:p w14:paraId="6FEBD0E2" w14:textId="77777777" w:rsidR="009E7B94" w:rsidRPr="00DB6631" w:rsidRDefault="00F56B54" w:rsidP="00976FB6">
            <w:pPr>
              <w:pStyle w:val="TableText"/>
              <w:jc w:val="center"/>
              <w:rPr>
                <w:b/>
                <w:bCs/>
              </w:rPr>
            </w:pPr>
            <w:r w:rsidRPr="00DB6631">
              <w:rPr>
                <w:b/>
                <w:bCs/>
              </w:rPr>
              <w:t>-</w:t>
            </w:r>
          </w:p>
        </w:tc>
        <w:tc>
          <w:tcPr>
            <w:tcW w:w="0" w:type="auto"/>
          </w:tcPr>
          <w:p w14:paraId="44B94F22" w14:textId="77777777" w:rsidR="009E7B94" w:rsidRPr="00DB6631" w:rsidRDefault="00F56B54" w:rsidP="00976FB6">
            <w:pPr>
              <w:pStyle w:val="TableText"/>
              <w:jc w:val="center"/>
              <w:rPr>
                <w:b/>
                <w:bCs/>
              </w:rPr>
            </w:pPr>
            <w:r w:rsidRPr="00DB6631">
              <w:rPr>
                <w:b/>
                <w:bCs/>
              </w:rPr>
              <w:t>-</w:t>
            </w:r>
          </w:p>
        </w:tc>
      </w:tr>
      <w:tr w:rsidR="004F6729" w14:paraId="68E6FCCD" w14:textId="77777777" w:rsidTr="001278A9">
        <w:trPr>
          <w:jc w:val="center"/>
        </w:trPr>
        <w:tc>
          <w:tcPr>
            <w:tcW w:w="0" w:type="auto"/>
            <w:tcMar>
              <w:left w:w="108" w:type="dxa"/>
              <w:right w:w="108" w:type="dxa"/>
            </w:tcMar>
          </w:tcPr>
          <w:p w14:paraId="51A48B78" w14:textId="77777777" w:rsidR="009E7B94" w:rsidRDefault="00F56B54" w:rsidP="00976FB6">
            <w:pPr>
              <w:pStyle w:val="Normalsmall"/>
            </w:pPr>
            <w:r>
              <w:t>Antifouling SeaForce Active Plus</w:t>
            </w:r>
          </w:p>
        </w:tc>
        <w:tc>
          <w:tcPr>
            <w:tcW w:w="0" w:type="auto"/>
            <w:tcMar>
              <w:left w:w="108" w:type="dxa"/>
              <w:right w:w="108" w:type="dxa"/>
            </w:tcMar>
          </w:tcPr>
          <w:p w14:paraId="308768AA" w14:textId="77777777" w:rsidR="009E7B94" w:rsidRDefault="00F56B54" w:rsidP="00976FB6">
            <w:pPr>
              <w:pStyle w:val="TableText"/>
              <w:jc w:val="right"/>
            </w:pPr>
            <w:r>
              <w:t>87840</w:t>
            </w:r>
          </w:p>
        </w:tc>
        <w:tc>
          <w:tcPr>
            <w:tcW w:w="0" w:type="auto"/>
            <w:tcMar>
              <w:left w:w="108" w:type="dxa"/>
              <w:right w:w="108" w:type="dxa"/>
            </w:tcMar>
          </w:tcPr>
          <w:p w14:paraId="55C71514" w14:textId="77777777" w:rsidR="009E7B94" w:rsidRDefault="00F56B54" w:rsidP="00976FB6">
            <w:pPr>
              <w:pStyle w:val="TableText"/>
              <w:jc w:val="right"/>
            </w:pPr>
            <w:r>
              <w:t>2020</w:t>
            </w:r>
          </w:p>
        </w:tc>
        <w:tc>
          <w:tcPr>
            <w:tcW w:w="0" w:type="auto"/>
            <w:tcMar>
              <w:left w:w="108" w:type="dxa"/>
              <w:right w:w="108" w:type="dxa"/>
            </w:tcMar>
          </w:tcPr>
          <w:p w14:paraId="51807981"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8C23084" w14:textId="77777777" w:rsidR="009E7B94" w:rsidRPr="00DB6631" w:rsidRDefault="00F56B54" w:rsidP="00976FB6">
            <w:pPr>
              <w:pStyle w:val="TableText"/>
              <w:jc w:val="center"/>
              <w:rPr>
                <w:b/>
                <w:bCs/>
              </w:rPr>
            </w:pPr>
            <w:r w:rsidRPr="00DB6631">
              <w:rPr>
                <w:b/>
                <w:bCs/>
              </w:rPr>
              <w:t>-</w:t>
            </w:r>
          </w:p>
        </w:tc>
        <w:tc>
          <w:tcPr>
            <w:tcW w:w="0" w:type="auto"/>
          </w:tcPr>
          <w:p w14:paraId="5CCC0BF2" w14:textId="77777777" w:rsidR="009E7B94" w:rsidRPr="00DB6631" w:rsidRDefault="00F56B54" w:rsidP="00976FB6">
            <w:pPr>
              <w:pStyle w:val="TableText"/>
              <w:jc w:val="center"/>
              <w:rPr>
                <w:b/>
                <w:bCs/>
              </w:rPr>
            </w:pPr>
            <w:r w:rsidRPr="00DB6631">
              <w:rPr>
                <w:b/>
                <w:bCs/>
              </w:rPr>
              <w:t>-</w:t>
            </w:r>
          </w:p>
        </w:tc>
        <w:tc>
          <w:tcPr>
            <w:tcW w:w="0" w:type="auto"/>
          </w:tcPr>
          <w:p w14:paraId="1AF33482" w14:textId="77777777" w:rsidR="009E7B94" w:rsidRPr="00DB6631" w:rsidRDefault="00F56B54" w:rsidP="00976FB6">
            <w:pPr>
              <w:pStyle w:val="TableText"/>
              <w:jc w:val="center"/>
              <w:rPr>
                <w:b/>
                <w:bCs/>
              </w:rPr>
            </w:pPr>
            <w:r w:rsidRPr="00DB6631">
              <w:rPr>
                <w:b/>
                <w:bCs/>
              </w:rPr>
              <w:t>-</w:t>
            </w:r>
          </w:p>
        </w:tc>
        <w:tc>
          <w:tcPr>
            <w:tcW w:w="0" w:type="auto"/>
          </w:tcPr>
          <w:p w14:paraId="7F3220C9" w14:textId="77777777" w:rsidR="009E7B94" w:rsidRPr="00DB6631" w:rsidRDefault="00F56B54" w:rsidP="00976FB6">
            <w:pPr>
              <w:pStyle w:val="TableText"/>
              <w:jc w:val="center"/>
              <w:rPr>
                <w:b/>
                <w:bCs/>
              </w:rPr>
            </w:pPr>
            <w:r w:rsidRPr="00DB6631">
              <w:rPr>
                <w:b/>
                <w:bCs/>
              </w:rPr>
              <w:t>+</w:t>
            </w:r>
          </w:p>
        </w:tc>
        <w:tc>
          <w:tcPr>
            <w:tcW w:w="0" w:type="auto"/>
          </w:tcPr>
          <w:p w14:paraId="4120BCC0" w14:textId="77777777" w:rsidR="009E7B94" w:rsidRPr="00DB6631" w:rsidRDefault="00F56B54" w:rsidP="00976FB6">
            <w:pPr>
              <w:pStyle w:val="TableText"/>
              <w:jc w:val="center"/>
              <w:rPr>
                <w:b/>
                <w:bCs/>
              </w:rPr>
            </w:pPr>
            <w:r w:rsidRPr="00DB6631">
              <w:rPr>
                <w:b/>
                <w:bCs/>
              </w:rPr>
              <w:t>-</w:t>
            </w:r>
          </w:p>
        </w:tc>
        <w:tc>
          <w:tcPr>
            <w:tcW w:w="0" w:type="auto"/>
          </w:tcPr>
          <w:p w14:paraId="1FF5E3CC" w14:textId="77777777" w:rsidR="009E7B94" w:rsidRPr="00DB6631" w:rsidRDefault="00F56B54" w:rsidP="00976FB6">
            <w:pPr>
              <w:pStyle w:val="TableText"/>
              <w:jc w:val="center"/>
              <w:rPr>
                <w:b/>
                <w:bCs/>
              </w:rPr>
            </w:pPr>
            <w:r w:rsidRPr="00DB6631">
              <w:rPr>
                <w:b/>
                <w:bCs/>
              </w:rPr>
              <w:t>-</w:t>
            </w:r>
          </w:p>
        </w:tc>
        <w:tc>
          <w:tcPr>
            <w:tcW w:w="0" w:type="auto"/>
          </w:tcPr>
          <w:p w14:paraId="3730DEFA" w14:textId="77777777" w:rsidR="009E7B94" w:rsidRPr="00DB6631" w:rsidRDefault="00F56B54" w:rsidP="00976FB6">
            <w:pPr>
              <w:pStyle w:val="TableText"/>
              <w:jc w:val="center"/>
              <w:rPr>
                <w:b/>
                <w:bCs/>
              </w:rPr>
            </w:pPr>
            <w:r w:rsidRPr="00DB6631">
              <w:rPr>
                <w:b/>
                <w:bCs/>
              </w:rPr>
              <w:t>+</w:t>
            </w:r>
          </w:p>
        </w:tc>
      </w:tr>
      <w:tr w:rsidR="004F6729" w14:paraId="5EEBE799" w14:textId="77777777" w:rsidTr="00C61E5A">
        <w:trPr>
          <w:jc w:val="center"/>
        </w:trPr>
        <w:tc>
          <w:tcPr>
            <w:tcW w:w="0" w:type="auto"/>
            <w:gridSpan w:val="11"/>
            <w:tcMar>
              <w:left w:w="108" w:type="dxa"/>
              <w:right w:w="108" w:type="dxa"/>
            </w:tcMar>
          </w:tcPr>
          <w:p w14:paraId="007D3877" w14:textId="77777777" w:rsidR="009600DA" w:rsidRPr="00DB6631" w:rsidRDefault="00F56B54" w:rsidP="003378D5">
            <w:pPr>
              <w:pStyle w:val="TableText"/>
              <w:rPr>
                <w:b/>
                <w:bCs/>
              </w:rPr>
            </w:pPr>
            <w:r>
              <w:t>MARLIN S.</w:t>
            </w:r>
            <w:r w:rsidR="001967C4">
              <w:t>R. L</w:t>
            </w:r>
          </w:p>
        </w:tc>
      </w:tr>
      <w:tr w:rsidR="004F6729" w14:paraId="547F9F04" w14:textId="77777777" w:rsidTr="001278A9">
        <w:trPr>
          <w:jc w:val="center"/>
        </w:trPr>
        <w:tc>
          <w:tcPr>
            <w:tcW w:w="0" w:type="auto"/>
            <w:tcMar>
              <w:left w:w="108" w:type="dxa"/>
              <w:right w:w="108" w:type="dxa"/>
            </w:tcMar>
          </w:tcPr>
          <w:p w14:paraId="1B20C588" w14:textId="77777777" w:rsidR="009E7B94" w:rsidRPr="00A66FF7" w:rsidRDefault="00F56B54" w:rsidP="00976FB6">
            <w:pPr>
              <w:pStyle w:val="Normalsmall"/>
              <w:rPr>
                <w:rFonts w:eastAsia="Times New Roman"/>
                <w:lang w:eastAsia="en-AU"/>
              </w:rPr>
            </w:pPr>
            <w:r>
              <w:t>Velox Plus Antifouling</w:t>
            </w:r>
          </w:p>
        </w:tc>
        <w:tc>
          <w:tcPr>
            <w:tcW w:w="0" w:type="auto"/>
            <w:tcMar>
              <w:left w:w="108" w:type="dxa"/>
              <w:right w:w="108" w:type="dxa"/>
            </w:tcMar>
          </w:tcPr>
          <w:p w14:paraId="5346B564" w14:textId="77777777" w:rsidR="009E7B94" w:rsidRDefault="00F56B54" w:rsidP="00976FB6">
            <w:pPr>
              <w:pStyle w:val="TableText"/>
              <w:jc w:val="right"/>
            </w:pPr>
            <w:r>
              <w:t>66047</w:t>
            </w:r>
          </w:p>
        </w:tc>
        <w:tc>
          <w:tcPr>
            <w:tcW w:w="0" w:type="auto"/>
            <w:tcMar>
              <w:left w:w="108" w:type="dxa"/>
              <w:right w:w="108" w:type="dxa"/>
            </w:tcMar>
          </w:tcPr>
          <w:p w14:paraId="5AA9A600" w14:textId="77777777" w:rsidR="009E7B94" w:rsidRDefault="00F56B54" w:rsidP="00976FB6">
            <w:pPr>
              <w:pStyle w:val="TableText"/>
              <w:jc w:val="right"/>
            </w:pPr>
            <w:r>
              <w:t>2013</w:t>
            </w:r>
          </w:p>
        </w:tc>
        <w:tc>
          <w:tcPr>
            <w:tcW w:w="0" w:type="auto"/>
            <w:tcMar>
              <w:left w:w="108" w:type="dxa"/>
              <w:right w:w="108" w:type="dxa"/>
            </w:tcMar>
          </w:tcPr>
          <w:p w14:paraId="395244B0"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2421E2FD" w14:textId="77777777" w:rsidR="009E7B94" w:rsidRPr="00DB6631" w:rsidRDefault="00F56B54" w:rsidP="00976FB6">
            <w:pPr>
              <w:pStyle w:val="TableText"/>
              <w:jc w:val="center"/>
              <w:rPr>
                <w:b/>
                <w:bCs/>
              </w:rPr>
            </w:pPr>
            <w:r w:rsidRPr="00DB6631">
              <w:rPr>
                <w:b/>
                <w:bCs/>
              </w:rPr>
              <w:t>-</w:t>
            </w:r>
          </w:p>
        </w:tc>
        <w:tc>
          <w:tcPr>
            <w:tcW w:w="0" w:type="auto"/>
          </w:tcPr>
          <w:p w14:paraId="430DCF96" w14:textId="77777777" w:rsidR="009E7B94" w:rsidRPr="00DB6631" w:rsidRDefault="00F56B54" w:rsidP="00976FB6">
            <w:pPr>
              <w:pStyle w:val="TableText"/>
              <w:jc w:val="center"/>
              <w:rPr>
                <w:b/>
                <w:bCs/>
              </w:rPr>
            </w:pPr>
            <w:r w:rsidRPr="00DB6631">
              <w:rPr>
                <w:b/>
                <w:bCs/>
              </w:rPr>
              <w:t>-</w:t>
            </w:r>
          </w:p>
        </w:tc>
        <w:tc>
          <w:tcPr>
            <w:tcW w:w="0" w:type="auto"/>
          </w:tcPr>
          <w:p w14:paraId="03E198DE" w14:textId="77777777" w:rsidR="009E7B94" w:rsidRPr="00DB6631" w:rsidRDefault="00F56B54" w:rsidP="00976FB6">
            <w:pPr>
              <w:pStyle w:val="TableText"/>
              <w:jc w:val="center"/>
              <w:rPr>
                <w:b/>
                <w:bCs/>
              </w:rPr>
            </w:pPr>
            <w:r w:rsidRPr="00DB6631">
              <w:rPr>
                <w:b/>
                <w:bCs/>
              </w:rPr>
              <w:t>-</w:t>
            </w:r>
          </w:p>
        </w:tc>
        <w:tc>
          <w:tcPr>
            <w:tcW w:w="0" w:type="auto"/>
          </w:tcPr>
          <w:p w14:paraId="00B23B4B" w14:textId="77777777" w:rsidR="009E7B94" w:rsidRPr="00DB6631" w:rsidRDefault="00F56B54" w:rsidP="00976FB6">
            <w:pPr>
              <w:pStyle w:val="TableText"/>
              <w:jc w:val="center"/>
              <w:rPr>
                <w:b/>
                <w:bCs/>
              </w:rPr>
            </w:pPr>
            <w:r w:rsidRPr="00DB6631">
              <w:rPr>
                <w:b/>
                <w:bCs/>
              </w:rPr>
              <w:t>-</w:t>
            </w:r>
          </w:p>
        </w:tc>
        <w:tc>
          <w:tcPr>
            <w:tcW w:w="0" w:type="auto"/>
          </w:tcPr>
          <w:p w14:paraId="50995A07" w14:textId="77777777" w:rsidR="009E7B94" w:rsidRPr="00DB6631" w:rsidRDefault="00F56B54" w:rsidP="00976FB6">
            <w:pPr>
              <w:pStyle w:val="TableText"/>
              <w:jc w:val="center"/>
              <w:rPr>
                <w:b/>
                <w:bCs/>
              </w:rPr>
            </w:pPr>
            <w:r w:rsidRPr="00DB6631">
              <w:rPr>
                <w:b/>
                <w:bCs/>
              </w:rPr>
              <w:t>-</w:t>
            </w:r>
          </w:p>
        </w:tc>
        <w:tc>
          <w:tcPr>
            <w:tcW w:w="0" w:type="auto"/>
          </w:tcPr>
          <w:p w14:paraId="261F97B6" w14:textId="77777777" w:rsidR="009E7B94" w:rsidRPr="00DB6631" w:rsidRDefault="00F56B54" w:rsidP="00976FB6">
            <w:pPr>
              <w:pStyle w:val="TableText"/>
              <w:jc w:val="center"/>
              <w:rPr>
                <w:b/>
                <w:bCs/>
              </w:rPr>
            </w:pPr>
            <w:r w:rsidRPr="00DB6631">
              <w:rPr>
                <w:b/>
                <w:bCs/>
              </w:rPr>
              <w:t>+</w:t>
            </w:r>
          </w:p>
        </w:tc>
        <w:tc>
          <w:tcPr>
            <w:tcW w:w="0" w:type="auto"/>
          </w:tcPr>
          <w:p w14:paraId="250BE5E7" w14:textId="77777777" w:rsidR="009E7B94" w:rsidRPr="00DB6631" w:rsidRDefault="00F56B54" w:rsidP="00976FB6">
            <w:pPr>
              <w:pStyle w:val="TableText"/>
              <w:jc w:val="center"/>
              <w:rPr>
                <w:b/>
                <w:bCs/>
              </w:rPr>
            </w:pPr>
            <w:r w:rsidRPr="00DB6631">
              <w:rPr>
                <w:b/>
                <w:bCs/>
              </w:rPr>
              <w:t>-</w:t>
            </w:r>
          </w:p>
        </w:tc>
      </w:tr>
      <w:tr w:rsidR="004F6729" w14:paraId="20A38169" w14:textId="77777777" w:rsidTr="00C61E5A">
        <w:trPr>
          <w:jc w:val="center"/>
        </w:trPr>
        <w:tc>
          <w:tcPr>
            <w:tcW w:w="0" w:type="auto"/>
            <w:gridSpan w:val="11"/>
            <w:tcMar>
              <w:left w:w="108" w:type="dxa"/>
              <w:right w:w="108" w:type="dxa"/>
            </w:tcMar>
          </w:tcPr>
          <w:p w14:paraId="3F043CF6" w14:textId="77777777" w:rsidR="009600DA" w:rsidRPr="00DB6631" w:rsidRDefault="00F56B54" w:rsidP="003378D5">
            <w:pPr>
              <w:pStyle w:val="TableText"/>
              <w:rPr>
                <w:b/>
                <w:bCs/>
              </w:rPr>
            </w:pPr>
            <w:r>
              <w:t>NEW NAUTICAL COATINGS, INC.</w:t>
            </w:r>
          </w:p>
        </w:tc>
      </w:tr>
      <w:tr w:rsidR="004F6729" w14:paraId="1CAF5A19" w14:textId="77777777" w:rsidTr="001278A9">
        <w:trPr>
          <w:jc w:val="center"/>
        </w:trPr>
        <w:tc>
          <w:tcPr>
            <w:tcW w:w="0" w:type="auto"/>
            <w:tcMar>
              <w:left w:w="108" w:type="dxa"/>
              <w:right w:w="108" w:type="dxa"/>
            </w:tcMar>
          </w:tcPr>
          <w:p w14:paraId="3BA85D08" w14:textId="77777777" w:rsidR="009E7B94" w:rsidRPr="0059616A" w:rsidRDefault="00F56B54" w:rsidP="00976FB6">
            <w:pPr>
              <w:pStyle w:val="Normalsmall"/>
              <w:rPr>
                <w:rFonts w:eastAsia="Times New Roman"/>
                <w:lang w:eastAsia="en-AU"/>
              </w:rPr>
            </w:pPr>
            <w:r>
              <w:t>Sea Hawk Yacht Finishes Premium Quality Biocop TF Antifouling Coating</w:t>
            </w:r>
          </w:p>
        </w:tc>
        <w:tc>
          <w:tcPr>
            <w:tcW w:w="0" w:type="auto"/>
            <w:tcMar>
              <w:left w:w="108" w:type="dxa"/>
              <w:right w:w="108" w:type="dxa"/>
            </w:tcMar>
          </w:tcPr>
          <w:p w14:paraId="4505C51C" w14:textId="77777777" w:rsidR="009E7B94" w:rsidRDefault="00F56B54" w:rsidP="00976FB6">
            <w:pPr>
              <w:pStyle w:val="TableText"/>
              <w:jc w:val="right"/>
            </w:pPr>
            <w:r>
              <w:t>64185</w:t>
            </w:r>
          </w:p>
        </w:tc>
        <w:tc>
          <w:tcPr>
            <w:tcW w:w="0" w:type="auto"/>
            <w:tcMar>
              <w:left w:w="108" w:type="dxa"/>
              <w:right w:w="108" w:type="dxa"/>
            </w:tcMar>
          </w:tcPr>
          <w:p w14:paraId="0967AEC6" w14:textId="77777777" w:rsidR="009E7B94" w:rsidRDefault="00F56B54" w:rsidP="00976FB6">
            <w:pPr>
              <w:pStyle w:val="TableText"/>
              <w:jc w:val="right"/>
            </w:pPr>
            <w:r>
              <w:t>2011</w:t>
            </w:r>
          </w:p>
        </w:tc>
        <w:tc>
          <w:tcPr>
            <w:tcW w:w="0" w:type="auto"/>
            <w:tcMar>
              <w:left w:w="108" w:type="dxa"/>
              <w:right w:w="108" w:type="dxa"/>
            </w:tcMar>
          </w:tcPr>
          <w:p w14:paraId="69A88F1C"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2871352" w14:textId="77777777" w:rsidR="009E7B94" w:rsidRPr="00DB6631" w:rsidRDefault="00F56B54" w:rsidP="00976FB6">
            <w:pPr>
              <w:pStyle w:val="TableText"/>
              <w:jc w:val="center"/>
              <w:rPr>
                <w:b/>
                <w:bCs/>
              </w:rPr>
            </w:pPr>
            <w:r w:rsidRPr="00DB6631">
              <w:rPr>
                <w:b/>
                <w:bCs/>
              </w:rPr>
              <w:t>-</w:t>
            </w:r>
          </w:p>
        </w:tc>
        <w:tc>
          <w:tcPr>
            <w:tcW w:w="0" w:type="auto"/>
          </w:tcPr>
          <w:p w14:paraId="12FCE4B8" w14:textId="77777777" w:rsidR="009E7B94" w:rsidRPr="00DB6631" w:rsidRDefault="00F56B54" w:rsidP="00976FB6">
            <w:pPr>
              <w:pStyle w:val="TableText"/>
              <w:jc w:val="center"/>
              <w:rPr>
                <w:b/>
                <w:bCs/>
              </w:rPr>
            </w:pPr>
            <w:r w:rsidRPr="00DB6631">
              <w:rPr>
                <w:b/>
                <w:bCs/>
              </w:rPr>
              <w:t>-</w:t>
            </w:r>
          </w:p>
        </w:tc>
        <w:tc>
          <w:tcPr>
            <w:tcW w:w="0" w:type="auto"/>
          </w:tcPr>
          <w:p w14:paraId="0ADF159B" w14:textId="77777777" w:rsidR="009E7B94" w:rsidRPr="00DB6631" w:rsidRDefault="00F56B54" w:rsidP="00976FB6">
            <w:pPr>
              <w:pStyle w:val="TableText"/>
              <w:jc w:val="center"/>
              <w:rPr>
                <w:b/>
                <w:bCs/>
              </w:rPr>
            </w:pPr>
            <w:r w:rsidRPr="00DB6631">
              <w:rPr>
                <w:b/>
                <w:bCs/>
              </w:rPr>
              <w:t>-</w:t>
            </w:r>
          </w:p>
        </w:tc>
        <w:tc>
          <w:tcPr>
            <w:tcW w:w="0" w:type="auto"/>
          </w:tcPr>
          <w:p w14:paraId="2B4C8C9D" w14:textId="77777777" w:rsidR="009E7B94" w:rsidRPr="00DB6631" w:rsidRDefault="00F56B54" w:rsidP="00976FB6">
            <w:pPr>
              <w:pStyle w:val="TableText"/>
              <w:jc w:val="center"/>
              <w:rPr>
                <w:b/>
                <w:bCs/>
              </w:rPr>
            </w:pPr>
            <w:r w:rsidRPr="00DB6631">
              <w:rPr>
                <w:b/>
                <w:bCs/>
              </w:rPr>
              <w:t>-</w:t>
            </w:r>
          </w:p>
        </w:tc>
        <w:tc>
          <w:tcPr>
            <w:tcW w:w="0" w:type="auto"/>
          </w:tcPr>
          <w:p w14:paraId="32BB2A71" w14:textId="77777777" w:rsidR="009E7B94" w:rsidRPr="00DB6631" w:rsidRDefault="00F56B54" w:rsidP="00976FB6">
            <w:pPr>
              <w:pStyle w:val="TableText"/>
              <w:jc w:val="center"/>
              <w:rPr>
                <w:b/>
                <w:bCs/>
              </w:rPr>
            </w:pPr>
            <w:r w:rsidRPr="00DB6631">
              <w:rPr>
                <w:b/>
                <w:bCs/>
              </w:rPr>
              <w:t>-</w:t>
            </w:r>
          </w:p>
        </w:tc>
        <w:tc>
          <w:tcPr>
            <w:tcW w:w="0" w:type="auto"/>
          </w:tcPr>
          <w:p w14:paraId="51580EDC" w14:textId="77777777" w:rsidR="009E7B94" w:rsidRPr="00DB6631" w:rsidRDefault="00F56B54" w:rsidP="00976FB6">
            <w:pPr>
              <w:pStyle w:val="TableText"/>
              <w:jc w:val="center"/>
              <w:rPr>
                <w:b/>
                <w:bCs/>
              </w:rPr>
            </w:pPr>
            <w:r w:rsidRPr="00DB6631">
              <w:rPr>
                <w:b/>
                <w:bCs/>
              </w:rPr>
              <w:t>+</w:t>
            </w:r>
          </w:p>
        </w:tc>
        <w:tc>
          <w:tcPr>
            <w:tcW w:w="0" w:type="auto"/>
          </w:tcPr>
          <w:p w14:paraId="3A3EF7A5" w14:textId="77777777" w:rsidR="009E7B94" w:rsidRPr="00DB6631" w:rsidRDefault="00F56B54" w:rsidP="00976FB6">
            <w:pPr>
              <w:pStyle w:val="TableText"/>
              <w:jc w:val="center"/>
              <w:rPr>
                <w:b/>
                <w:bCs/>
              </w:rPr>
            </w:pPr>
            <w:r w:rsidRPr="00DB6631">
              <w:rPr>
                <w:b/>
                <w:bCs/>
              </w:rPr>
              <w:t>-</w:t>
            </w:r>
          </w:p>
        </w:tc>
      </w:tr>
      <w:tr w:rsidR="004F6729" w14:paraId="35970A18" w14:textId="77777777" w:rsidTr="001278A9">
        <w:trPr>
          <w:jc w:val="center"/>
        </w:trPr>
        <w:tc>
          <w:tcPr>
            <w:tcW w:w="0" w:type="auto"/>
            <w:tcMar>
              <w:left w:w="108" w:type="dxa"/>
              <w:right w:w="108" w:type="dxa"/>
            </w:tcMar>
          </w:tcPr>
          <w:p w14:paraId="0E202CCE" w14:textId="77777777" w:rsidR="009E7B94" w:rsidRPr="0059616A" w:rsidRDefault="00F56B54" w:rsidP="00976FB6">
            <w:pPr>
              <w:pStyle w:val="Normalsmall"/>
              <w:rPr>
                <w:rFonts w:eastAsia="Times New Roman"/>
                <w:lang w:eastAsia="en-AU"/>
              </w:rPr>
            </w:pPr>
            <w:r>
              <w:t>Sea Hawk Premium Yacht Finishes Premium Quality AF33 Eroding Antifouling</w:t>
            </w:r>
          </w:p>
        </w:tc>
        <w:tc>
          <w:tcPr>
            <w:tcW w:w="0" w:type="auto"/>
            <w:tcMar>
              <w:left w:w="108" w:type="dxa"/>
              <w:right w:w="108" w:type="dxa"/>
            </w:tcMar>
          </w:tcPr>
          <w:p w14:paraId="03638566" w14:textId="77777777" w:rsidR="009E7B94" w:rsidRDefault="00F56B54" w:rsidP="00976FB6">
            <w:pPr>
              <w:pStyle w:val="TableText"/>
              <w:jc w:val="right"/>
            </w:pPr>
            <w:r>
              <w:t>69531</w:t>
            </w:r>
          </w:p>
        </w:tc>
        <w:tc>
          <w:tcPr>
            <w:tcW w:w="0" w:type="auto"/>
            <w:tcMar>
              <w:left w:w="108" w:type="dxa"/>
              <w:right w:w="108" w:type="dxa"/>
            </w:tcMar>
          </w:tcPr>
          <w:p w14:paraId="1C015420" w14:textId="77777777" w:rsidR="009E7B94" w:rsidRDefault="00F56B54" w:rsidP="00976FB6">
            <w:pPr>
              <w:pStyle w:val="TableText"/>
              <w:jc w:val="right"/>
            </w:pPr>
            <w:r>
              <w:t>2015</w:t>
            </w:r>
          </w:p>
        </w:tc>
        <w:tc>
          <w:tcPr>
            <w:tcW w:w="0" w:type="auto"/>
            <w:tcMar>
              <w:left w:w="108" w:type="dxa"/>
              <w:right w:w="108" w:type="dxa"/>
            </w:tcMar>
          </w:tcPr>
          <w:p w14:paraId="7A0520B2"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31C43B09" w14:textId="77777777" w:rsidR="009E7B94" w:rsidRPr="00DB6631" w:rsidRDefault="00F56B54" w:rsidP="00976FB6">
            <w:pPr>
              <w:pStyle w:val="TableText"/>
              <w:jc w:val="center"/>
              <w:rPr>
                <w:b/>
                <w:bCs/>
              </w:rPr>
            </w:pPr>
            <w:r w:rsidRPr="00DB6631">
              <w:rPr>
                <w:b/>
                <w:bCs/>
              </w:rPr>
              <w:t>-</w:t>
            </w:r>
          </w:p>
        </w:tc>
        <w:tc>
          <w:tcPr>
            <w:tcW w:w="0" w:type="auto"/>
          </w:tcPr>
          <w:p w14:paraId="5019912D" w14:textId="77777777" w:rsidR="009E7B94" w:rsidRPr="00DB6631" w:rsidRDefault="00F56B54" w:rsidP="00976FB6">
            <w:pPr>
              <w:pStyle w:val="TableText"/>
              <w:jc w:val="center"/>
              <w:rPr>
                <w:b/>
                <w:bCs/>
              </w:rPr>
            </w:pPr>
            <w:r w:rsidRPr="00DB6631">
              <w:rPr>
                <w:b/>
                <w:bCs/>
              </w:rPr>
              <w:t>-</w:t>
            </w:r>
          </w:p>
        </w:tc>
        <w:tc>
          <w:tcPr>
            <w:tcW w:w="0" w:type="auto"/>
          </w:tcPr>
          <w:p w14:paraId="7FE33B11" w14:textId="77777777" w:rsidR="009E7B94" w:rsidRPr="00DB6631" w:rsidRDefault="00F56B54" w:rsidP="00976FB6">
            <w:pPr>
              <w:pStyle w:val="TableText"/>
              <w:jc w:val="center"/>
              <w:rPr>
                <w:b/>
                <w:bCs/>
              </w:rPr>
            </w:pPr>
            <w:r w:rsidRPr="00DB6631">
              <w:rPr>
                <w:b/>
                <w:bCs/>
              </w:rPr>
              <w:t>-</w:t>
            </w:r>
          </w:p>
        </w:tc>
        <w:tc>
          <w:tcPr>
            <w:tcW w:w="0" w:type="auto"/>
          </w:tcPr>
          <w:p w14:paraId="4B5E0591" w14:textId="77777777" w:rsidR="009E7B94" w:rsidRPr="00DB6631" w:rsidRDefault="00F56B54" w:rsidP="00976FB6">
            <w:pPr>
              <w:pStyle w:val="TableText"/>
              <w:jc w:val="center"/>
              <w:rPr>
                <w:b/>
                <w:bCs/>
              </w:rPr>
            </w:pPr>
            <w:r w:rsidRPr="00DB6631">
              <w:rPr>
                <w:b/>
                <w:bCs/>
              </w:rPr>
              <w:t>-</w:t>
            </w:r>
          </w:p>
        </w:tc>
        <w:tc>
          <w:tcPr>
            <w:tcW w:w="0" w:type="auto"/>
          </w:tcPr>
          <w:p w14:paraId="71087865" w14:textId="77777777" w:rsidR="009E7B94" w:rsidRPr="00DB6631" w:rsidRDefault="00F56B54" w:rsidP="00976FB6">
            <w:pPr>
              <w:pStyle w:val="TableText"/>
              <w:jc w:val="center"/>
              <w:rPr>
                <w:b/>
                <w:bCs/>
              </w:rPr>
            </w:pPr>
            <w:r w:rsidRPr="00DB6631">
              <w:rPr>
                <w:b/>
                <w:bCs/>
              </w:rPr>
              <w:t>-</w:t>
            </w:r>
          </w:p>
        </w:tc>
        <w:tc>
          <w:tcPr>
            <w:tcW w:w="0" w:type="auto"/>
          </w:tcPr>
          <w:p w14:paraId="6CFFAA08" w14:textId="77777777" w:rsidR="009E7B94" w:rsidRPr="00DB6631" w:rsidRDefault="00F56B54" w:rsidP="00976FB6">
            <w:pPr>
              <w:pStyle w:val="TableText"/>
              <w:jc w:val="center"/>
              <w:rPr>
                <w:b/>
                <w:bCs/>
              </w:rPr>
            </w:pPr>
            <w:r w:rsidRPr="00DB6631">
              <w:rPr>
                <w:b/>
                <w:bCs/>
              </w:rPr>
              <w:t>-</w:t>
            </w:r>
          </w:p>
        </w:tc>
        <w:tc>
          <w:tcPr>
            <w:tcW w:w="0" w:type="auto"/>
          </w:tcPr>
          <w:p w14:paraId="272AF21D" w14:textId="77777777" w:rsidR="009E7B94" w:rsidRPr="00DB6631" w:rsidRDefault="00F56B54" w:rsidP="00976FB6">
            <w:pPr>
              <w:pStyle w:val="TableText"/>
              <w:jc w:val="center"/>
              <w:rPr>
                <w:b/>
                <w:bCs/>
              </w:rPr>
            </w:pPr>
            <w:r w:rsidRPr="00DB6631">
              <w:rPr>
                <w:b/>
                <w:bCs/>
              </w:rPr>
              <w:t>-</w:t>
            </w:r>
          </w:p>
        </w:tc>
      </w:tr>
      <w:tr w:rsidR="004F6729" w14:paraId="67344DE1" w14:textId="77777777" w:rsidTr="001278A9">
        <w:trPr>
          <w:jc w:val="center"/>
        </w:trPr>
        <w:tc>
          <w:tcPr>
            <w:tcW w:w="0" w:type="auto"/>
            <w:tcMar>
              <w:left w:w="108" w:type="dxa"/>
              <w:right w:w="108" w:type="dxa"/>
            </w:tcMar>
          </w:tcPr>
          <w:p w14:paraId="7E6B0019" w14:textId="77777777" w:rsidR="009E7B94" w:rsidRPr="0059616A" w:rsidRDefault="00F56B54" w:rsidP="00976FB6">
            <w:pPr>
              <w:pStyle w:val="Normalsmall"/>
              <w:rPr>
                <w:rFonts w:eastAsia="Times New Roman"/>
                <w:lang w:eastAsia="en-AU"/>
              </w:rPr>
            </w:pPr>
            <w:r>
              <w:t>Sea Hawk Premium Yacht Finishes Premium Quality CuKote Eroding Antifouling</w:t>
            </w:r>
          </w:p>
        </w:tc>
        <w:tc>
          <w:tcPr>
            <w:tcW w:w="0" w:type="auto"/>
            <w:tcMar>
              <w:left w:w="108" w:type="dxa"/>
              <w:right w:w="108" w:type="dxa"/>
            </w:tcMar>
          </w:tcPr>
          <w:p w14:paraId="69EFC6ED" w14:textId="77777777" w:rsidR="009E7B94" w:rsidRDefault="00F56B54" w:rsidP="00976FB6">
            <w:pPr>
              <w:pStyle w:val="TableText"/>
              <w:jc w:val="right"/>
            </w:pPr>
            <w:r>
              <w:t>69582</w:t>
            </w:r>
          </w:p>
        </w:tc>
        <w:tc>
          <w:tcPr>
            <w:tcW w:w="0" w:type="auto"/>
            <w:tcMar>
              <w:left w:w="108" w:type="dxa"/>
              <w:right w:w="108" w:type="dxa"/>
            </w:tcMar>
          </w:tcPr>
          <w:p w14:paraId="2EAF5814" w14:textId="77777777" w:rsidR="009E7B94" w:rsidRDefault="00F56B54" w:rsidP="00976FB6">
            <w:pPr>
              <w:pStyle w:val="TableText"/>
              <w:jc w:val="right"/>
            </w:pPr>
            <w:r>
              <w:t>2015</w:t>
            </w:r>
          </w:p>
        </w:tc>
        <w:tc>
          <w:tcPr>
            <w:tcW w:w="0" w:type="auto"/>
            <w:tcMar>
              <w:left w:w="108" w:type="dxa"/>
              <w:right w:w="108" w:type="dxa"/>
            </w:tcMar>
          </w:tcPr>
          <w:p w14:paraId="17D2B2E9"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9265E9A" w14:textId="77777777" w:rsidR="009E7B94" w:rsidRPr="00DB6631" w:rsidRDefault="00F56B54" w:rsidP="00976FB6">
            <w:pPr>
              <w:pStyle w:val="TableText"/>
              <w:jc w:val="center"/>
              <w:rPr>
                <w:b/>
                <w:bCs/>
              </w:rPr>
            </w:pPr>
            <w:r w:rsidRPr="00DB6631">
              <w:rPr>
                <w:b/>
                <w:bCs/>
              </w:rPr>
              <w:t>-</w:t>
            </w:r>
          </w:p>
        </w:tc>
        <w:tc>
          <w:tcPr>
            <w:tcW w:w="0" w:type="auto"/>
          </w:tcPr>
          <w:p w14:paraId="2007F823" w14:textId="77777777" w:rsidR="009E7B94" w:rsidRPr="00DB6631" w:rsidRDefault="00F56B54" w:rsidP="00976FB6">
            <w:pPr>
              <w:pStyle w:val="TableText"/>
              <w:jc w:val="center"/>
              <w:rPr>
                <w:b/>
                <w:bCs/>
              </w:rPr>
            </w:pPr>
            <w:r w:rsidRPr="00DB6631">
              <w:rPr>
                <w:b/>
                <w:bCs/>
              </w:rPr>
              <w:t>-</w:t>
            </w:r>
          </w:p>
        </w:tc>
        <w:tc>
          <w:tcPr>
            <w:tcW w:w="0" w:type="auto"/>
          </w:tcPr>
          <w:p w14:paraId="6CC72769" w14:textId="77777777" w:rsidR="009E7B94" w:rsidRPr="00DB6631" w:rsidRDefault="00F56B54" w:rsidP="00976FB6">
            <w:pPr>
              <w:pStyle w:val="TableText"/>
              <w:jc w:val="center"/>
              <w:rPr>
                <w:b/>
                <w:bCs/>
              </w:rPr>
            </w:pPr>
            <w:r w:rsidRPr="00DB6631">
              <w:rPr>
                <w:b/>
                <w:bCs/>
              </w:rPr>
              <w:t>-</w:t>
            </w:r>
          </w:p>
        </w:tc>
        <w:tc>
          <w:tcPr>
            <w:tcW w:w="0" w:type="auto"/>
          </w:tcPr>
          <w:p w14:paraId="2F3FD909" w14:textId="77777777" w:rsidR="009E7B94" w:rsidRPr="00DB6631" w:rsidRDefault="00F56B54" w:rsidP="00976FB6">
            <w:pPr>
              <w:pStyle w:val="TableText"/>
              <w:jc w:val="center"/>
              <w:rPr>
                <w:b/>
                <w:bCs/>
              </w:rPr>
            </w:pPr>
            <w:r w:rsidRPr="00DB6631">
              <w:rPr>
                <w:b/>
                <w:bCs/>
              </w:rPr>
              <w:t>-</w:t>
            </w:r>
          </w:p>
        </w:tc>
        <w:tc>
          <w:tcPr>
            <w:tcW w:w="0" w:type="auto"/>
          </w:tcPr>
          <w:p w14:paraId="3F760BB5" w14:textId="77777777" w:rsidR="009E7B94" w:rsidRPr="00DB6631" w:rsidRDefault="00F56B54" w:rsidP="00976FB6">
            <w:pPr>
              <w:pStyle w:val="TableText"/>
              <w:jc w:val="center"/>
              <w:rPr>
                <w:b/>
                <w:bCs/>
              </w:rPr>
            </w:pPr>
            <w:r w:rsidRPr="00DB6631">
              <w:rPr>
                <w:b/>
                <w:bCs/>
              </w:rPr>
              <w:t>-</w:t>
            </w:r>
          </w:p>
        </w:tc>
        <w:tc>
          <w:tcPr>
            <w:tcW w:w="0" w:type="auto"/>
          </w:tcPr>
          <w:p w14:paraId="2EABE5A3" w14:textId="77777777" w:rsidR="009E7B94" w:rsidRPr="00DB6631" w:rsidRDefault="00F56B54" w:rsidP="00976FB6">
            <w:pPr>
              <w:pStyle w:val="TableText"/>
              <w:jc w:val="center"/>
              <w:rPr>
                <w:b/>
                <w:bCs/>
              </w:rPr>
            </w:pPr>
            <w:r w:rsidRPr="00DB6631">
              <w:rPr>
                <w:b/>
                <w:bCs/>
              </w:rPr>
              <w:t>-</w:t>
            </w:r>
          </w:p>
        </w:tc>
        <w:tc>
          <w:tcPr>
            <w:tcW w:w="0" w:type="auto"/>
          </w:tcPr>
          <w:p w14:paraId="1395719D" w14:textId="77777777" w:rsidR="009E7B94" w:rsidRPr="00DB6631" w:rsidRDefault="00F56B54" w:rsidP="00976FB6">
            <w:pPr>
              <w:pStyle w:val="TableText"/>
              <w:jc w:val="center"/>
              <w:rPr>
                <w:b/>
                <w:bCs/>
              </w:rPr>
            </w:pPr>
            <w:r w:rsidRPr="00DB6631">
              <w:rPr>
                <w:b/>
                <w:bCs/>
              </w:rPr>
              <w:t>-</w:t>
            </w:r>
          </w:p>
        </w:tc>
      </w:tr>
      <w:tr w:rsidR="004F6729" w14:paraId="7DCA926F" w14:textId="77777777" w:rsidTr="00C61E5A">
        <w:trPr>
          <w:jc w:val="center"/>
        </w:trPr>
        <w:tc>
          <w:tcPr>
            <w:tcW w:w="0" w:type="auto"/>
            <w:gridSpan w:val="11"/>
            <w:tcMar>
              <w:left w:w="108" w:type="dxa"/>
              <w:right w:w="108" w:type="dxa"/>
            </w:tcMar>
          </w:tcPr>
          <w:p w14:paraId="5C9C9344" w14:textId="77777777" w:rsidR="009600DA" w:rsidRPr="00DB6631" w:rsidRDefault="00F56B54" w:rsidP="003378D5">
            <w:pPr>
              <w:pStyle w:val="TableText"/>
              <w:rPr>
                <w:b/>
                <w:bCs/>
              </w:rPr>
            </w:pPr>
            <w:r>
              <w:t>NORGLASS LABORATORIES PTY LTD</w:t>
            </w:r>
          </w:p>
        </w:tc>
      </w:tr>
      <w:tr w:rsidR="004F6729" w14:paraId="64A425DE" w14:textId="77777777" w:rsidTr="001278A9">
        <w:trPr>
          <w:jc w:val="center"/>
        </w:trPr>
        <w:tc>
          <w:tcPr>
            <w:tcW w:w="0" w:type="auto"/>
            <w:tcMar>
              <w:left w:w="108" w:type="dxa"/>
              <w:right w:w="108" w:type="dxa"/>
            </w:tcMar>
          </w:tcPr>
          <w:p w14:paraId="5F609A64" w14:textId="77777777" w:rsidR="009E7B94" w:rsidRPr="0059616A" w:rsidRDefault="00F56B54" w:rsidP="00976FB6">
            <w:pPr>
              <w:pStyle w:val="Normalsmall"/>
              <w:rPr>
                <w:rFonts w:eastAsia="Times New Roman"/>
                <w:lang w:eastAsia="en-AU"/>
              </w:rPr>
            </w:pPr>
            <w:r>
              <w:t>Norglass Topflight Antifouling</w:t>
            </w:r>
          </w:p>
        </w:tc>
        <w:tc>
          <w:tcPr>
            <w:tcW w:w="0" w:type="auto"/>
            <w:tcMar>
              <w:left w:w="108" w:type="dxa"/>
              <w:right w:w="108" w:type="dxa"/>
            </w:tcMar>
          </w:tcPr>
          <w:p w14:paraId="180FE817" w14:textId="77777777" w:rsidR="009E7B94" w:rsidRDefault="00F56B54" w:rsidP="00976FB6">
            <w:pPr>
              <w:pStyle w:val="TableText"/>
              <w:jc w:val="right"/>
            </w:pPr>
            <w:r>
              <w:t>54048</w:t>
            </w:r>
          </w:p>
        </w:tc>
        <w:tc>
          <w:tcPr>
            <w:tcW w:w="0" w:type="auto"/>
            <w:tcMar>
              <w:left w:w="108" w:type="dxa"/>
              <w:right w:w="108" w:type="dxa"/>
            </w:tcMar>
          </w:tcPr>
          <w:p w14:paraId="35477433" w14:textId="77777777" w:rsidR="009E7B94" w:rsidRDefault="00F56B54" w:rsidP="00976FB6">
            <w:pPr>
              <w:pStyle w:val="TableText"/>
              <w:jc w:val="right"/>
            </w:pPr>
            <w:r>
              <w:t>2001</w:t>
            </w:r>
          </w:p>
        </w:tc>
        <w:tc>
          <w:tcPr>
            <w:tcW w:w="0" w:type="auto"/>
            <w:tcMar>
              <w:left w:w="108" w:type="dxa"/>
              <w:right w:w="108" w:type="dxa"/>
            </w:tcMar>
          </w:tcPr>
          <w:p w14:paraId="1141AB10"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1F4C32D2" w14:textId="77777777" w:rsidR="009E7B94" w:rsidRPr="00DB6631" w:rsidRDefault="00F56B54" w:rsidP="00976FB6">
            <w:pPr>
              <w:pStyle w:val="TableText"/>
              <w:jc w:val="center"/>
              <w:rPr>
                <w:b/>
                <w:bCs/>
              </w:rPr>
            </w:pPr>
            <w:r w:rsidRPr="00DB6631">
              <w:rPr>
                <w:b/>
                <w:bCs/>
              </w:rPr>
              <w:t>-</w:t>
            </w:r>
          </w:p>
        </w:tc>
        <w:tc>
          <w:tcPr>
            <w:tcW w:w="0" w:type="auto"/>
          </w:tcPr>
          <w:p w14:paraId="494669FF" w14:textId="77777777" w:rsidR="009E7B94" w:rsidRPr="00DB6631" w:rsidRDefault="00F56B54" w:rsidP="00976FB6">
            <w:pPr>
              <w:pStyle w:val="TableText"/>
              <w:jc w:val="center"/>
              <w:rPr>
                <w:b/>
                <w:bCs/>
              </w:rPr>
            </w:pPr>
            <w:r w:rsidRPr="00DB6631">
              <w:rPr>
                <w:b/>
                <w:bCs/>
              </w:rPr>
              <w:t>-</w:t>
            </w:r>
          </w:p>
        </w:tc>
        <w:tc>
          <w:tcPr>
            <w:tcW w:w="0" w:type="auto"/>
          </w:tcPr>
          <w:p w14:paraId="2D5D2EF5" w14:textId="77777777" w:rsidR="009E7B94" w:rsidRPr="00DB6631" w:rsidRDefault="00F56B54" w:rsidP="00976FB6">
            <w:pPr>
              <w:pStyle w:val="TableText"/>
              <w:jc w:val="center"/>
              <w:rPr>
                <w:b/>
                <w:bCs/>
              </w:rPr>
            </w:pPr>
            <w:r w:rsidRPr="00DB6631">
              <w:rPr>
                <w:b/>
                <w:bCs/>
              </w:rPr>
              <w:t>-</w:t>
            </w:r>
          </w:p>
        </w:tc>
        <w:tc>
          <w:tcPr>
            <w:tcW w:w="0" w:type="auto"/>
          </w:tcPr>
          <w:p w14:paraId="6ADF463E" w14:textId="77777777" w:rsidR="009E7B94" w:rsidRPr="00DB6631" w:rsidRDefault="00F56B54" w:rsidP="00976FB6">
            <w:pPr>
              <w:pStyle w:val="TableText"/>
              <w:jc w:val="center"/>
              <w:rPr>
                <w:b/>
                <w:bCs/>
              </w:rPr>
            </w:pPr>
            <w:r w:rsidRPr="00DB6631">
              <w:rPr>
                <w:b/>
                <w:bCs/>
              </w:rPr>
              <w:t>-</w:t>
            </w:r>
          </w:p>
        </w:tc>
        <w:tc>
          <w:tcPr>
            <w:tcW w:w="0" w:type="auto"/>
          </w:tcPr>
          <w:p w14:paraId="12969F2E" w14:textId="77777777" w:rsidR="009E7B94" w:rsidRPr="00DB6631" w:rsidRDefault="00F56B54" w:rsidP="00976FB6">
            <w:pPr>
              <w:pStyle w:val="TableText"/>
              <w:jc w:val="center"/>
              <w:rPr>
                <w:b/>
                <w:bCs/>
              </w:rPr>
            </w:pPr>
            <w:r w:rsidRPr="00DB6631">
              <w:rPr>
                <w:b/>
                <w:bCs/>
              </w:rPr>
              <w:t>-</w:t>
            </w:r>
          </w:p>
        </w:tc>
        <w:tc>
          <w:tcPr>
            <w:tcW w:w="0" w:type="auto"/>
          </w:tcPr>
          <w:p w14:paraId="3765557E" w14:textId="77777777" w:rsidR="009E7B94" w:rsidRPr="00DB6631" w:rsidRDefault="00F56B54" w:rsidP="00976FB6">
            <w:pPr>
              <w:pStyle w:val="TableText"/>
              <w:jc w:val="center"/>
              <w:rPr>
                <w:b/>
                <w:bCs/>
              </w:rPr>
            </w:pPr>
            <w:r w:rsidRPr="00DB6631">
              <w:rPr>
                <w:b/>
                <w:bCs/>
              </w:rPr>
              <w:t>-</w:t>
            </w:r>
          </w:p>
        </w:tc>
        <w:tc>
          <w:tcPr>
            <w:tcW w:w="0" w:type="auto"/>
          </w:tcPr>
          <w:p w14:paraId="458D9BF0" w14:textId="77777777" w:rsidR="009E7B94" w:rsidRPr="00DB6631" w:rsidRDefault="00F56B54" w:rsidP="00976FB6">
            <w:pPr>
              <w:pStyle w:val="TableText"/>
              <w:jc w:val="center"/>
              <w:rPr>
                <w:b/>
                <w:bCs/>
              </w:rPr>
            </w:pPr>
            <w:r w:rsidRPr="00DB6631">
              <w:rPr>
                <w:b/>
                <w:bCs/>
              </w:rPr>
              <w:t>-</w:t>
            </w:r>
          </w:p>
        </w:tc>
      </w:tr>
      <w:tr w:rsidR="004F6729" w14:paraId="280420D8" w14:textId="77777777" w:rsidTr="00C61E5A">
        <w:trPr>
          <w:jc w:val="center"/>
        </w:trPr>
        <w:tc>
          <w:tcPr>
            <w:tcW w:w="0" w:type="auto"/>
            <w:gridSpan w:val="11"/>
            <w:tcMar>
              <w:left w:w="108" w:type="dxa"/>
              <w:right w:w="108" w:type="dxa"/>
            </w:tcMar>
          </w:tcPr>
          <w:p w14:paraId="084DB422" w14:textId="77777777" w:rsidR="009600DA" w:rsidRPr="00DB6631" w:rsidRDefault="00F56B54" w:rsidP="003378D5">
            <w:pPr>
              <w:pStyle w:val="TableText"/>
              <w:rPr>
                <w:b/>
                <w:bCs/>
              </w:rPr>
            </w:pPr>
            <w:r>
              <w:t>PPG INDUSTRIES AUSTRALIA PTY LTD</w:t>
            </w:r>
          </w:p>
        </w:tc>
      </w:tr>
      <w:tr w:rsidR="004F6729" w14:paraId="1FEEC6E3" w14:textId="77777777" w:rsidTr="001278A9">
        <w:trPr>
          <w:jc w:val="center"/>
        </w:trPr>
        <w:tc>
          <w:tcPr>
            <w:tcW w:w="0" w:type="auto"/>
            <w:tcMar>
              <w:left w:w="108" w:type="dxa"/>
              <w:right w:w="108" w:type="dxa"/>
            </w:tcMar>
          </w:tcPr>
          <w:p w14:paraId="416CC38E" w14:textId="77777777" w:rsidR="009E7B94" w:rsidRPr="0059616A" w:rsidRDefault="00F56B54" w:rsidP="00976FB6">
            <w:pPr>
              <w:pStyle w:val="Normalsmall"/>
              <w:rPr>
                <w:rFonts w:eastAsia="Times New Roman"/>
                <w:lang w:eastAsia="en-AU"/>
              </w:rPr>
            </w:pPr>
            <w:r>
              <w:t>ABC 3 Antifouling</w:t>
            </w:r>
          </w:p>
        </w:tc>
        <w:tc>
          <w:tcPr>
            <w:tcW w:w="0" w:type="auto"/>
            <w:tcMar>
              <w:left w:w="108" w:type="dxa"/>
              <w:right w:w="108" w:type="dxa"/>
            </w:tcMar>
          </w:tcPr>
          <w:p w14:paraId="0496E433" w14:textId="77777777" w:rsidR="009E7B94" w:rsidRDefault="00F56B54" w:rsidP="00976FB6">
            <w:pPr>
              <w:pStyle w:val="TableText"/>
              <w:jc w:val="right"/>
            </w:pPr>
            <w:r>
              <w:t>55875</w:t>
            </w:r>
          </w:p>
        </w:tc>
        <w:tc>
          <w:tcPr>
            <w:tcW w:w="0" w:type="auto"/>
            <w:tcMar>
              <w:left w:w="108" w:type="dxa"/>
              <w:right w:w="108" w:type="dxa"/>
            </w:tcMar>
          </w:tcPr>
          <w:p w14:paraId="2BBD2230" w14:textId="77777777" w:rsidR="009E7B94" w:rsidRDefault="00F56B54" w:rsidP="00976FB6">
            <w:pPr>
              <w:pStyle w:val="TableText"/>
              <w:jc w:val="right"/>
            </w:pPr>
            <w:r>
              <w:t>2002</w:t>
            </w:r>
          </w:p>
        </w:tc>
        <w:tc>
          <w:tcPr>
            <w:tcW w:w="0" w:type="auto"/>
            <w:tcMar>
              <w:left w:w="108" w:type="dxa"/>
              <w:right w:w="108" w:type="dxa"/>
            </w:tcMar>
          </w:tcPr>
          <w:p w14:paraId="11D564FB"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28FA6FB" w14:textId="77777777" w:rsidR="009E7B94" w:rsidRPr="00DB6631" w:rsidRDefault="00F56B54" w:rsidP="00976FB6">
            <w:pPr>
              <w:pStyle w:val="TableText"/>
              <w:jc w:val="center"/>
              <w:rPr>
                <w:b/>
                <w:bCs/>
              </w:rPr>
            </w:pPr>
            <w:r w:rsidRPr="00DB6631">
              <w:rPr>
                <w:b/>
                <w:bCs/>
              </w:rPr>
              <w:t>-</w:t>
            </w:r>
          </w:p>
        </w:tc>
        <w:tc>
          <w:tcPr>
            <w:tcW w:w="0" w:type="auto"/>
          </w:tcPr>
          <w:p w14:paraId="1C05D50F" w14:textId="77777777" w:rsidR="009E7B94" w:rsidRPr="00DB6631" w:rsidRDefault="00F56B54" w:rsidP="00976FB6">
            <w:pPr>
              <w:pStyle w:val="TableText"/>
              <w:jc w:val="center"/>
              <w:rPr>
                <w:b/>
                <w:bCs/>
              </w:rPr>
            </w:pPr>
            <w:r w:rsidRPr="00DB6631">
              <w:rPr>
                <w:b/>
                <w:bCs/>
              </w:rPr>
              <w:t>-</w:t>
            </w:r>
          </w:p>
        </w:tc>
        <w:tc>
          <w:tcPr>
            <w:tcW w:w="0" w:type="auto"/>
          </w:tcPr>
          <w:p w14:paraId="26CB6D2D" w14:textId="77777777" w:rsidR="009E7B94" w:rsidRPr="00DB6631" w:rsidRDefault="00F56B54" w:rsidP="00976FB6">
            <w:pPr>
              <w:pStyle w:val="TableText"/>
              <w:jc w:val="center"/>
              <w:rPr>
                <w:b/>
                <w:bCs/>
              </w:rPr>
            </w:pPr>
            <w:r w:rsidRPr="00DB6631">
              <w:rPr>
                <w:b/>
                <w:bCs/>
              </w:rPr>
              <w:t>+</w:t>
            </w:r>
          </w:p>
        </w:tc>
        <w:tc>
          <w:tcPr>
            <w:tcW w:w="0" w:type="auto"/>
          </w:tcPr>
          <w:p w14:paraId="6528312F" w14:textId="77777777" w:rsidR="009E7B94" w:rsidRPr="00DB6631" w:rsidRDefault="00F56B54" w:rsidP="00976FB6">
            <w:pPr>
              <w:pStyle w:val="TableText"/>
              <w:jc w:val="center"/>
              <w:rPr>
                <w:b/>
                <w:bCs/>
              </w:rPr>
            </w:pPr>
            <w:r w:rsidRPr="00DB6631">
              <w:rPr>
                <w:b/>
                <w:bCs/>
              </w:rPr>
              <w:t>-</w:t>
            </w:r>
          </w:p>
        </w:tc>
        <w:tc>
          <w:tcPr>
            <w:tcW w:w="0" w:type="auto"/>
          </w:tcPr>
          <w:p w14:paraId="51F3D01C" w14:textId="77777777" w:rsidR="009E7B94" w:rsidRPr="00DB6631" w:rsidRDefault="00F56B54" w:rsidP="00976FB6">
            <w:pPr>
              <w:pStyle w:val="TableText"/>
              <w:jc w:val="center"/>
              <w:rPr>
                <w:b/>
                <w:bCs/>
              </w:rPr>
            </w:pPr>
            <w:r w:rsidRPr="00DB6631">
              <w:rPr>
                <w:b/>
                <w:bCs/>
              </w:rPr>
              <w:t>-</w:t>
            </w:r>
          </w:p>
        </w:tc>
        <w:tc>
          <w:tcPr>
            <w:tcW w:w="0" w:type="auto"/>
          </w:tcPr>
          <w:p w14:paraId="11839B91" w14:textId="77777777" w:rsidR="009E7B94" w:rsidRPr="00DB6631" w:rsidRDefault="00F56B54" w:rsidP="00976FB6">
            <w:pPr>
              <w:pStyle w:val="TableText"/>
              <w:jc w:val="center"/>
              <w:rPr>
                <w:b/>
                <w:bCs/>
              </w:rPr>
            </w:pPr>
            <w:r w:rsidRPr="00DB6631">
              <w:rPr>
                <w:b/>
                <w:bCs/>
              </w:rPr>
              <w:t>-</w:t>
            </w:r>
          </w:p>
        </w:tc>
        <w:tc>
          <w:tcPr>
            <w:tcW w:w="0" w:type="auto"/>
          </w:tcPr>
          <w:p w14:paraId="00F3B18B" w14:textId="77777777" w:rsidR="009E7B94" w:rsidRPr="00DB6631" w:rsidRDefault="00F56B54" w:rsidP="00976FB6">
            <w:pPr>
              <w:pStyle w:val="TableText"/>
              <w:jc w:val="center"/>
              <w:rPr>
                <w:b/>
                <w:bCs/>
              </w:rPr>
            </w:pPr>
            <w:r w:rsidRPr="00DB6631">
              <w:rPr>
                <w:b/>
                <w:bCs/>
              </w:rPr>
              <w:t>-</w:t>
            </w:r>
          </w:p>
        </w:tc>
      </w:tr>
      <w:tr w:rsidR="004F6729" w14:paraId="15BDD68E" w14:textId="77777777" w:rsidTr="001278A9">
        <w:trPr>
          <w:jc w:val="center"/>
        </w:trPr>
        <w:tc>
          <w:tcPr>
            <w:tcW w:w="0" w:type="auto"/>
            <w:tcMar>
              <w:left w:w="108" w:type="dxa"/>
              <w:right w:w="108" w:type="dxa"/>
            </w:tcMar>
          </w:tcPr>
          <w:p w14:paraId="2650BE72" w14:textId="77777777" w:rsidR="009E7B94" w:rsidRPr="003206E2" w:rsidRDefault="00F56B54" w:rsidP="00976FB6">
            <w:pPr>
              <w:pStyle w:val="Normalsmall"/>
              <w:rPr>
                <w:rFonts w:eastAsia="Times New Roman"/>
                <w:lang w:eastAsia="en-AU"/>
              </w:rPr>
            </w:pPr>
            <w:r>
              <w:t>Ecofleet 290 Antifouling</w:t>
            </w:r>
          </w:p>
        </w:tc>
        <w:tc>
          <w:tcPr>
            <w:tcW w:w="0" w:type="auto"/>
            <w:tcMar>
              <w:left w:w="108" w:type="dxa"/>
              <w:right w:w="108" w:type="dxa"/>
            </w:tcMar>
          </w:tcPr>
          <w:p w14:paraId="02A6E170" w14:textId="77777777" w:rsidR="009E7B94" w:rsidRDefault="00F56B54" w:rsidP="00976FB6">
            <w:pPr>
              <w:pStyle w:val="TableText"/>
              <w:jc w:val="right"/>
            </w:pPr>
            <w:r>
              <w:t>63486</w:t>
            </w:r>
          </w:p>
        </w:tc>
        <w:tc>
          <w:tcPr>
            <w:tcW w:w="0" w:type="auto"/>
            <w:tcMar>
              <w:left w:w="108" w:type="dxa"/>
              <w:right w:w="108" w:type="dxa"/>
            </w:tcMar>
          </w:tcPr>
          <w:p w14:paraId="5723427E" w14:textId="77777777" w:rsidR="009E7B94" w:rsidRDefault="00F56B54" w:rsidP="00976FB6">
            <w:pPr>
              <w:pStyle w:val="TableText"/>
              <w:jc w:val="right"/>
            </w:pPr>
            <w:r>
              <w:t>2010</w:t>
            </w:r>
          </w:p>
        </w:tc>
        <w:tc>
          <w:tcPr>
            <w:tcW w:w="0" w:type="auto"/>
            <w:tcMar>
              <w:left w:w="108" w:type="dxa"/>
              <w:right w:w="108" w:type="dxa"/>
            </w:tcMar>
          </w:tcPr>
          <w:p w14:paraId="7EBAB1D4"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5B450734" w14:textId="77777777" w:rsidR="009E7B94" w:rsidRPr="00DB6631" w:rsidRDefault="00F56B54" w:rsidP="00976FB6">
            <w:pPr>
              <w:pStyle w:val="TableText"/>
              <w:jc w:val="center"/>
              <w:rPr>
                <w:b/>
                <w:bCs/>
              </w:rPr>
            </w:pPr>
            <w:r w:rsidRPr="00DB6631">
              <w:rPr>
                <w:b/>
                <w:bCs/>
              </w:rPr>
              <w:t>-</w:t>
            </w:r>
          </w:p>
        </w:tc>
        <w:tc>
          <w:tcPr>
            <w:tcW w:w="0" w:type="auto"/>
          </w:tcPr>
          <w:p w14:paraId="02323308" w14:textId="77777777" w:rsidR="009E7B94" w:rsidRPr="00DB6631" w:rsidRDefault="00F56B54" w:rsidP="00976FB6">
            <w:pPr>
              <w:pStyle w:val="TableText"/>
              <w:jc w:val="center"/>
              <w:rPr>
                <w:b/>
                <w:bCs/>
              </w:rPr>
            </w:pPr>
            <w:r w:rsidRPr="00DB6631">
              <w:rPr>
                <w:b/>
                <w:bCs/>
              </w:rPr>
              <w:t>+</w:t>
            </w:r>
          </w:p>
        </w:tc>
        <w:tc>
          <w:tcPr>
            <w:tcW w:w="0" w:type="auto"/>
          </w:tcPr>
          <w:p w14:paraId="5ADC64EA" w14:textId="77777777" w:rsidR="009E7B94" w:rsidRPr="00DB6631" w:rsidRDefault="00F56B54" w:rsidP="00976FB6">
            <w:pPr>
              <w:pStyle w:val="TableText"/>
              <w:jc w:val="center"/>
              <w:rPr>
                <w:b/>
                <w:bCs/>
              </w:rPr>
            </w:pPr>
            <w:r w:rsidRPr="00DB6631">
              <w:rPr>
                <w:b/>
                <w:bCs/>
              </w:rPr>
              <w:t>-</w:t>
            </w:r>
          </w:p>
        </w:tc>
        <w:tc>
          <w:tcPr>
            <w:tcW w:w="0" w:type="auto"/>
          </w:tcPr>
          <w:p w14:paraId="541848E3" w14:textId="77777777" w:rsidR="009E7B94" w:rsidRPr="00DB6631" w:rsidRDefault="00F56B54" w:rsidP="00976FB6">
            <w:pPr>
              <w:pStyle w:val="TableText"/>
              <w:jc w:val="center"/>
              <w:rPr>
                <w:b/>
                <w:bCs/>
              </w:rPr>
            </w:pPr>
            <w:r w:rsidRPr="00DB6631">
              <w:rPr>
                <w:b/>
                <w:bCs/>
              </w:rPr>
              <w:t>-</w:t>
            </w:r>
          </w:p>
        </w:tc>
        <w:tc>
          <w:tcPr>
            <w:tcW w:w="0" w:type="auto"/>
          </w:tcPr>
          <w:p w14:paraId="42B1222D" w14:textId="77777777" w:rsidR="009E7B94" w:rsidRPr="00DB6631" w:rsidRDefault="00F56B54" w:rsidP="00976FB6">
            <w:pPr>
              <w:pStyle w:val="TableText"/>
              <w:jc w:val="center"/>
              <w:rPr>
                <w:b/>
                <w:bCs/>
              </w:rPr>
            </w:pPr>
            <w:r w:rsidRPr="00DB6631">
              <w:rPr>
                <w:b/>
                <w:bCs/>
              </w:rPr>
              <w:t>-</w:t>
            </w:r>
          </w:p>
        </w:tc>
        <w:tc>
          <w:tcPr>
            <w:tcW w:w="0" w:type="auto"/>
          </w:tcPr>
          <w:p w14:paraId="2078FFE7" w14:textId="77777777" w:rsidR="009E7B94" w:rsidRPr="00DB6631" w:rsidRDefault="00F56B54" w:rsidP="00976FB6">
            <w:pPr>
              <w:pStyle w:val="TableText"/>
              <w:jc w:val="center"/>
              <w:rPr>
                <w:b/>
                <w:bCs/>
              </w:rPr>
            </w:pPr>
            <w:r w:rsidRPr="00DB6631">
              <w:rPr>
                <w:b/>
                <w:bCs/>
              </w:rPr>
              <w:t>-</w:t>
            </w:r>
          </w:p>
        </w:tc>
        <w:tc>
          <w:tcPr>
            <w:tcW w:w="0" w:type="auto"/>
          </w:tcPr>
          <w:p w14:paraId="5CFDF571" w14:textId="77777777" w:rsidR="009E7B94" w:rsidRPr="00DB6631" w:rsidRDefault="00F56B54" w:rsidP="00976FB6">
            <w:pPr>
              <w:pStyle w:val="TableText"/>
              <w:jc w:val="center"/>
              <w:rPr>
                <w:b/>
                <w:bCs/>
              </w:rPr>
            </w:pPr>
            <w:r w:rsidRPr="00DB6631">
              <w:rPr>
                <w:b/>
                <w:bCs/>
              </w:rPr>
              <w:t>-</w:t>
            </w:r>
          </w:p>
        </w:tc>
      </w:tr>
      <w:tr w:rsidR="004F6729" w14:paraId="5F518958" w14:textId="77777777" w:rsidTr="001278A9">
        <w:trPr>
          <w:jc w:val="center"/>
        </w:trPr>
        <w:tc>
          <w:tcPr>
            <w:tcW w:w="0" w:type="auto"/>
            <w:tcMar>
              <w:left w:w="108" w:type="dxa"/>
              <w:right w:w="108" w:type="dxa"/>
            </w:tcMar>
          </w:tcPr>
          <w:p w14:paraId="2EDCCBA5" w14:textId="77777777" w:rsidR="009E7B94" w:rsidRPr="003206E2" w:rsidRDefault="00F56B54" w:rsidP="00976FB6">
            <w:pPr>
              <w:pStyle w:val="Normalsmall"/>
              <w:rPr>
                <w:rFonts w:eastAsia="Times New Roman"/>
                <w:lang w:eastAsia="en-AU"/>
              </w:rPr>
            </w:pPr>
            <w:r>
              <w:t xml:space="preserve">Ecofleet Alloy Antifouling </w:t>
            </w:r>
          </w:p>
        </w:tc>
        <w:tc>
          <w:tcPr>
            <w:tcW w:w="0" w:type="auto"/>
            <w:tcMar>
              <w:left w:w="108" w:type="dxa"/>
              <w:right w:w="108" w:type="dxa"/>
            </w:tcMar>
          </w:tcPr>
          <w:p w14:paraId="677D4C69" w14:textId="77777777" w:rsidR="009E7B94" w:rsidRDefault="00F56B54" w:rsidP="00976FB6">
            <w:pPr>
              <w:pStyle w:val="TableText"/>
              <w:jc w:val="right"/>
            </w:pPr>
            <w:r>
              <w:t>64189</w:t>
            </w:r>
          </w:p>
        </w:tc>
        <w:tc>
          <w:tcPr>
            <w:tcW w:w="0" w:type="auto"/>
            <w:tcMar>
              <w:left w:w="108" w:type="dxa"/>
              <w:right w:w="108" w:type="dxa"/>
            </w:tcMar>
          </w:tcPr>
          <w:p w14:paraId="4CE93F52" w14:textId="77777777" w:rsidR="009E7B94" w:rsidRDefault="00F56B54" w:rsidP="00976FB6">
            <w:pPr>
              <w:pStyle w:val="TableText"/>
              <w:jc w:val="right"/>
            </w:pPr>
            <w:r>
              <w:t>2009</w:t>
            </w:r>
          </w:p>
        </w:tc>
        <w:tc>
          <w:tcPr>
            <w:tcW w:w="0" w:type="auto"/>
            <w:tcMar>
              <w:left w:w="108" w:type="dxa"/>
              <w:right w:w="108" w:type="dxa"/>
            </w:tcMar>
          </w:tcPr>
          <w:p w14:paraId="2B2F0B33"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6CD7845" w14:textId="77777777" w:rsidR="009E7B94" w:rsidRPr="00DB6631" w:rsidRDefault="00F56B54" w:rsidP="00976FB6">
            <w:pPr>
              <w:pStyle w:val="TableText"/>
              <w:jc w:val="center"/>
              <w:rPr>
                <w:b/>
                <w:bCs/>
              </w:rPr>
            </w:pPr>
            <w:r w:rsidRPr="00DB6631">
              <w:rPr>
                <w:b/>
                <w:bCs/>
              </w:rPr>
              <w:t>+</w:t>
            </w:r>
          </w:p>
        </w:tc>
        <w:tc>
          <w:tcPr>
            <w:tcW w:w="0" w:type="auto"/>
          </w:tcPr>
          <w:p w14:paraId="538BD99D" w14:textId="77777777" w:rsidR="009E7B94" w:rsidRPr="00DB6631" w:rsidRDefault="00F56B54" w:rsidP="00976FB6">
            <w:pPr>
              <w:pStyle w:val="TableText"/>
              <w:jc w:val="center"/>
              <w:rPr>
                <w:b/>
                <w:bCs/>
              </w:rPr>
            </w:pPr>
            <w:r w:rsidRPr="00DB6631">
              <w:rPr>
                <w:b/>
                <w:bCs/>
              </w:rPr>
              <w:t>+</w:t>
            </w:r>
          </w:p>
        </w:tc>
        <w:tc>
          <w:tcPr>
            <w:tcW w:w="0" w:type="auto"/>
          </w:tcPr>
          <w:p w14:paraId="3728411D" w14:textId="77777777" w:rsidR="009E7B94" w:rsidRPr="00DB6631" w:rsidRDefault="00F56B54" w:rsidP="00976FB6">
            <w:pPr>
              <w:pStyle w:val="TableText"/>
              <w:jc w:val="center"/>
              <w:rPr>
                <w:b/>
                <w:bCs/>
              </w:rPr>
            </w:pPr>
            <w:r w:rsidRPr="00DB6631">
              <w:rPr>
                <w:b/>
                <w:bCs/>
              </w:rPr>
              <w:t>-</w:t>
            </w:r>
          </w:p>
        </w:tc>
        <w:tc>
          <w:tcPr>
            <w:tcW w:w="0" w:type="auto"/>
          </w:tcPr>
          <w:p w14:paraId="1E56D0A6" w14:textId="77777777" w:rsidR="009E7B94" w:rsidRPr="00DB6631" w:rsidRDefault="00F56B54" w:rsidP="00976FB6">
            <w:pPr>
              <w:pStyle w:val="TableText"/>
              <w:jc w:val="center"/>
              <w:rPr>
                <w:b/>
                <w:bCs/>
              </w:rPr>
            </w:pPr>
            <w:r w:rsidRPr="00DB6631">
              <w:rPr>
                <w:b/>
                <w:bCs/>
              </w:rPr>
              <w:t>-</w:t>
            </w:r>
          </w:p>
        </w:tc>
        <w:tc>
          <w:tcPr>
            <w:tcW w:w="0" w:type="auto"/>
          </w:tcPr>
          <w:p w14:paraId="038F455A" w14:textId="77777777" w:rsidR="009E7B94" w:rsidRPr="00DB6631" w:rsidRDefault="00F56B54" w:rsidP="00976FB6">
            <w:pPr>
              <w:pStyle w:val="TableText"/>
              <w:jc w:val="center"/>
              <w:rPr>
                <w:b/>
                <w:bCs/>
              </w:rPr>
            </w:pPr>
            <w:r w:rsidRPr="00DB6631">
              <w:rPr>
                <w:b/>
                <w:bCs/>
              </w:rPr>
              <w:t>-</w:t>
            </w:r>
          </w:p>
        </w:tc>
        <w:tc>
          <w:tcPr>
            <w:tcW w:w="0" w:type="auto"/>
          </w:tcPr>
          <w:p w14:paraId="2A644764" w14:textId="77777777" w:rsidR="009E7B94" w:rsidRPr="00DB6631" w:rsidRDefault="00F56B54" w:rsidP="00976FB6">
            <w:pPr>
              <w:pStyle w:val="TableText"/>
              <w:jc w:val="center"/>
              <w:rPr>
                <w:b/>
                <w:bCs/>
              </w:rPr>
            </w:pPr>
            <w:r w:rsidRPr="00DB6631">
              <w:rPr>
                <w:b/>
                <w:bCs/>
              </w:rPr>
              <w:t>-</w:t>
            </w:r>
          </w:p>
        </w:tc>
        <w:tc>
          <w:tcPr>
            <w:tcW w:w="0" w:type="auto"/>
          </w:tcPr>
          <w:p w14:paraId="64139BEC" w14:textId="77777777" w:rsidR="009E7B94" w:rsidRPr="00DB6631" w:rsidRDefault="00F56B54" w:rsidP="00976FB6">
            <w:pPr>
              <w:pStyle w:val="TableText"/>
              <w:jc w:val="center"/>
              <w:rPr>
                <w:b/>
                <w:bCs/>
              </w:rPr>
            </w:pPr>
            <w:r w:rsidRPr="00DB6631">
              <w:rPr>
                <w:b/>
                <w:bCs/>
              </w:rPr>
              <w:t>-</w:t>
            </w:r>
          </w:p>
        </w:tc>
      </w:tr>
      <w:tr w:rsidR="004F6729" w14:paraId="140C0B40" w14:textId="77777777" w:rsidTr="00C61E5A">
        <w:trPr>
          <w:jc w:val="center"/>
        </w:trPr>
        <w:tc>
          <w:tcPr>
            <w:tcW w:w="0" w:type="auto"/>
            <w:gridSpan w:val="11"/>
            <w:tcMar>
              <w:left w:w="108" w:type="dxa"/>
              <w:right w:w="108" w:type="dxa"/>
            </w:tcMar>
          </w:tcPr>
          <w:p w14:paraId="560EE24A" w14:textId="77777777" w:rsidR="009600DA" w:rsidRDefault="00F56B54" w:rsidP="003378D5">
            <w:pPr>
              <w:pStyle w:val="TableText"/>
            </w:pPr>
            <w:r>
              <w:t>RESENE PAINTS (AUSTRALIA) LIMITED</w:t>
            </w:r>
          </w:p>
        </w:tc>
      </w:tr>
      <w:tr w:rsidR="004F6729" w14:paraId="0107F730" w14:textId="77777777" w:rsidTr="001278A9">
        <w:trPr>
          <w:jc w:val="center"/>
        </w:trPr>
        <w:tc>
          <w:tcPr>
            <w:tcW w:w="0" w:type="auto"/>
            <w:tcMar>
              <w:left w:w="108" w:type="dxa"/>
              <w:right w:w="108" w:type="dxa"/>
            </w:tcMar>
          </w:tcPr>
          <w:p w14:paraId="2D184BFA" w14:textId="77777777" w:rsidR="009E7B94" w:rsidRPr="003206E2" w:rsidRDefault="00F56B54" w:rsidP="00976FB6">
            <w:pPr>
              <w:pStyle w:val="Normalsmall"/>
              <w:rPr>
                <w:rFonts w:eastAsia="Times New Roman"/>
                <w:lang w:eastAsia="en-AU"/>
              </w:rPr>
            </w:pPr>
            <w:r>
              <w:t>Altex Coatings Industrial &amp; Marine AF3000 Anti-Fouling</w:t>
            </w:r>
          </w:p>
        </w:tc>
        <w:tc>
          <w:tcPr>
            <w:tcW w:w="0" w:type="auto"/>
            <w:tcMar>
              <w:left w:w="108" w:type="dxa"/>
              <w:right w:w="108" w:type="dxa"/>
            </w:tcMar>
          </w:tcPr>
          <w:p w14:paraId="1827725D" w14:textId="77777777" w:rsidR="009E7B94" w:rsidRDefault="00F56B54" w:rsidP="00976FB6">
            <w:pPr>
              <w:pStyle w:val="TableText"/>
              <w:jc w:val="right"/>
            </w:pPr>
            <w:r>
              <w:t>56644</w:t>
            </w:r>
          </w:p>
        </w:tc>
        <w:tc>
          <w:tcPr>
            <w:tcW w:w="0" w:type="auto"/>
            <w:tcMar>
              <w:left w:w="108" w:type="dxa"/>
              <w:right w:w="108" w:type="dxa"/>
            </w:tcMar>
          </w:tcPr>
          <w:p w14:paraId="3C5B2AA2" w14:textId="77777777" w:rsidR="009E7B94" w:rsidRDefault="00F56B54" w:rsidP="00976FB6">
            <w:pPr>
              <w:pStyle w:val="TableText"/>
              <w:jc w:val="right"/>
            </w:pPr>
            <w:r>
              <w:t>2003</w:t>
            </w:r>
          </w:p>
        </w:tc>
        <w:tc>
          <w:tcPr>
            <w:tcW w:w="0" w:type="auto"/>
            <w:tcMar>
              <w:left w:w="108" w:type="dxa"/>
              <w:right w:w="108" w:type="dxa"/>
            </w:tcMar>
          </w:tcPr>
          <w:p w14:paraId="107F6252"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1EB92A0" w14:textId="77777777" w:rsidR="009E7B94" w:rsidRPr="00DB6631" w:rsidRDefault="00F56B54" w:rsidP="00976FB6">
            <w:pPr>
              <w:pStyle w:val="TableText"/>
              <w:jc w:val="center"/>
              <w:rPr>
                <w:b/>
                <w:bCs/>
              </w:rPr>
            </w:pPr>
            <w:r w:rsidRPr="00DB6631">
              <w:rPr>
                <w:b/>
                <w:bCs/>
              </w:rPr>
              <w:t>-</w:t>
            </w:r>
          </w:p>
        </w:tc>
        <w:tc>
          <w:tcPr>
            <w:tcW w:w="0" w:type="auto"/>
          </w:tcPr>
          <w:p w14:paraId="4564A565" w14:textId="77777777" w:rsidR="009E7B94" w:rsidRPr="00DB6631" w:rsidRDefault="00F56B54" w:rsidP="00976FB6">
            <w:pPr>
              <w:pStyle w:val="TableText"/>
              <w:jc w:val="center"/>
              <w:rPr>
                <w:b/>
                <w:bCs/>
              </w:rPr>
            </w:pPr>
            <w:r w:rsidRPr="00DB6631">
              <w:rPr>
                <w:b/>
                <w:bCs/>
              </w:rPr>
              <w:t>-</w:t>
            </w:r>
          </w:p>
        </w:tc>
        <w:tc>
          <w:tcPr>
            <w:tcW w:w="0" w:type="auto"/>
          </w:tcPr>
          <w:p w14:paraId="4129E00C" w14:textId="77777777" w:rsidR="009E7B94" w:rsidRPr="00DB6631" w:rsidRDefault="00F56B54" w:rsidP="00976FB6">
            <w:pPr>
              <w:pStyle w:val="TableText"/>
              <w:jc w:val="center"/>
              <w:rPr>
                <w:b/>
                <w:bCs/>
              </w:rPr>
            </w:pPr>
            <w:r w:rsidRPr="00DB6631">
              <w:rPr>
                <w:b/>
                <w:bCs/>
              </w:rPr>
              <w:t>+</w:t>
            </w:r>
          </w:p>
        </w:tc>
        <w:tc>
          <w:tcPr>
            <w:tcW w:w="0" w:type="auto"/>
          </w:tcPr>
          <w:p w14:paraId="7E84FA5B" w14:textId="77777777" w:rsidR="009E7B94" w:rsidRPr="00DB6631" w:rsidRDefault="00F56B54" w:rsidP="00976FB6">
            <w:pPr>
              <w:pStyle w:val="TableText"/>
              <w:jc w:val="center"/>
              <w:rPr>
                <w:b/>
                <w:bCs/>
              </w:rPr>
            </w:pPr>
            <w:r w:rsidRPr="00DB6631">
              <w:rPr>
                <w:b/>
                <w:bCs/>
              </w:rPr>
              <w:t>-</w:t>
            </w:r>
          </w:p>
        </w:tc>
        <w:tc>
          <w:tcPr>
            <w:tcW w:w="0" w:type="auto"/>
          </w:tcPr>
          <w:p w14:paraId="4E8578A2" w14:textId="77777777" w:rsidR="009E7B94" w:rsidRPr="00DB6631" w:rsidRDefault="00F56B54" w:rsidP="00976FB6">
            <w:pPr>
              <w:pStyle w:val="TableText"/>
              <w:jc w:val="center"/>
              <w:rPr>
                <w:b/>
                <w:bCs/>
              </w:rPr>
            </w:pPr>
            <w:r w:rsidRPr="00DB6631">
              <w:rPr>
                <w:b/>
                <w:bCs/>
              </w:rPr>
              <w:t>-</w:t>
            </w:r>
          </w:p>
        </w:tc>
        <w:tc>
          <w:tcPr>
            <w:tcW w:w="0" w:type="auto"/>
          </w:tcPr>
          <w:p w14:paraId="7171B730" w14:textId="77777777" w:rsidR="009E7B94" w:rsidRPr="00DB6631" w:rsidRDefault="00F56B54" w:rsidP="00976FB6">
            <w:pPr>
              <w:pStyle w:val="TableText"/>
              <w:jc w:val="center"/>
              <w:rPr>
                <w:b/>
                <w:bCs/>
              </w:rPr>
            </w:pPr>
            <w:r w:rsidRPr="00DB6631">
              <w:rPr>
                <w:b/>
                <w:bCs/>
              </w:rPr>
              <w:t>-</w:t>
            </w:r>
          </w:p>
        </w:tc>
        <w:tc>
          <w:tcPr>
            <w:tcW w:w="0" w:type="auto"/>
          </w:tcPr>
          <w:p w14:paraId="328DB28F" w14:textId="77777777" w:rsidR="009E7B94" w:rsidRPr="00DB6631" w:rsidRDefault="00F56B54" w:rsidP="00976FB6">
            <w:pPr>
              <w:pStyle w:val="TableText"/>
              <w:jc w:val="center"/>
              <w:rPr>
                <w:b/>
                <w:bCs/>
              </w:rPr>
            </w:pPr>
            <w:r w:rsidRPr="00DB6631">
              <w:rPr>
                <w:b/>
                <w:bCs/>
              </w:rPr>
              <w:t>-</w:t>
            </w:r>
          </w:p>
        </w:tc>
      </w:tr>
      <w:tr w:rsidR="004F6729" w14:paraId="0EE152EE" w14:textId="77777777" w:rsidTr="001278A9">
        <w:trPr>
          <w:jc w:val="center"/>
        </w:trPr>
        <w:tc>
          <w:tcPr>
            <w:tcW w:w="0" w:type="auto"/>
            <w:tcMar>
              <w:left w:w="108" w:type="dxa"/>
              <w:right w:w="108" w:type="dxa"/>
            </w:tcMar>
          </w:tcPr>
          <w:p w14:paraId="29A29ABF" w14:textId="77777777" w:rsidR="009E7B94" w:rsidRPr="003206E2" w:rsidRDefault="00F56B54" w:rsidP="00976FB6">
            <w:pPr>
              <w:pStyle w:val="Normalsmall"/>
              <w:rPr>
                <w:rFonts w:eastAsia="Times New Roman"/>
                <w:lang w:eastAsia="en-AU"/>
              </w:rPr>
            </w:pPr>
            <w:r>
              <w:t>Altex Yacht &amp; Boat Paint No 5 Antifouling</w:t>
            </w:r>
          </w:p>
        </w:tc>
        <w:tc>
          <w:tcPr>
            <w:tcW w:w="0" w:type="auto"/>
            <w:tcMar>
              <w:left w:w="108" w:type="dxa"/>
              <w:right w:w="108" w:type="dxa"/>
            </w:tcMar>
          </w:tcPr>
          <w:p w14:paraId="5E174E9A" w14:textId="77777777" w:rsidR="009E7B94" w:rsidRDefault="00F56B54" w:rsidP="00976FB6">
            <w:pPr>
              <w:pStyle w:val="TableText"/>
              <w:jc w:val="right"/>
            </w:pPr>
            <w:r>
              <w:t>58058</w:t>
            </w:r>
          </w:p>
        </w:tc>
        <w:tc>
          <w:tcPr>
            <w:tcW w:w="0" w:type="auto"/>
            <w:tcMar>
              <w:left w:w="108" w:type="dxa"/>
              <w:right w:w="108" w:type="dxa"/>
            </w:tcMar>
          </w:tcPr>
          <w:p w14:paraId="3F2F5EA6" w14:textId="77777777" w:rsidR="009E7B94" w:rsidRDefault="00F56B54" w:rsidP="00976FB6">
            <w:pPr>
              <w:pStyle w:val="TableText"/>
              <w:jc w:val="right"/>
            </w:pPr>
            <w:r>
              <w:t>2003</w:t>
            </w:r>
          </w:p>
        </w:tc>
        <w:tc>
          <w:tcPr>
            <w:tcW w:w="0" w:type="auto"/>
            <w:tcMar>
              <w:left w:w="108" w:type="dxa"/>
              <w:right w:w="108" w:type="dxa"/>
            </w:tcMar>
          </w:tcPr>
          <w:p w14:paraId="174EC94B"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48D048F" w14:textId="77777777" w:rsidR="009E7B94" w:rsidRPr="00DB6631" w:rsidRDefault="00F56B54" w:rsidP="00976FB6">
            <w:pPr>
              <w:pStyle w:val="TableText"/>
              <w:jc w:val="center"/>
              <w:rPr>
                <w:b/>
                <w:bCs/>
              </w:rPr>
            </w:pPr>
            <w:r w:rsidRPr="00DB6631">
              <w:rPr>
                <w:b/>
                <w:bCs/>
              </w:rPr>
              <w:t>-</w:t>
            </w:r>
          </w:p>
        </w:tc>
        <w:tc>
          <w:tcPr>
            <w:tcW w:w="0" w:type="auto"/>
          </w:tcPr>
          <w:p w14:paraId="70F4B245" w14:textId="77777777" w:rsidR="009E7B94" w:rsidRPr="00DB6631" w:rsidRDefault="00F56B54" w:rsidP="00976FB6">
            <w:pPr>
              <w:pStyle w:val="TableText"/>
              <w:jc w:val="center"/>
              <w:rPr>
                <w:b/>
                <w:bCs/>
              </w:rPr>
            </w:pPr>
            <w:r w:rsidRPr="00DB6631">
              <w:rPr>
                <w:b/>
                <w:bCs/>
              </w:rPr>
              <w:t>-</w:t>
            </w:r>
          </w:p>
        </w:tc>
        <w:tc>
          <w:tcPr>
            <w:tcW w:w="0" w:type="auto"/>
          </w:tcPr>
          <w:p w14:paraId="7667F67A" w14:textId="77777777" w:rsidR="009E7B94" w:rsidRPr="00DB6631" w:rsidRDefault="00F56B54" w:rsidP="00976FB6">
            <w:pPr>
              <w:pStyle w:val="TableText"/>
              <w:jc w:val="center"/>
              <w:rPr>
                <w:b/>
                <w:bCs/>
              </w:rPr>
            </w:pPr>
            <w:r w:rsidRPr="00DB6631">
              <w:rPr>
                <w:b/>
                <w:bCs/>
              </w:rPr>
              <w:t>+</w:t>
            </w:r>
          </w:p>
        </w:tc>
        <w:tc>
          <w:tcPr>
            <w:tcW w:w="0" w:type="auto"/>
          </w:tcPr>
          <w:p w14:paraId="0D679871" w14:textId="77777777" w:rsidR="009E7B94" w:rsidRPr="00DB6631" w:rsidRDefault="00F56B54" w:rsidP="00976FB6">
            <w:pPr>
              <w:pStyle w:val="TableText"/>
              <w:jc w:val="center"/>
              <w:rPr>
                <w:b/>
                <w:bCs/>
              </w:rPr>
            </w:pPr>
            <w:r w:rsidRPr="00DB6631">
              <w:rPr>
                <w:b/>
                <w:bCs/>
              </w:rPr>
              <w:t>-</w:t>
            </w:r>
          </w:p>
        </w:tc>
        <w:tc>
          <w:tcPr>
            <w:tcW w:w="0" w:type="auto"/>
          </w:tcPr>
          <w:p w14:paraId="5A4FCCBD" w14:textId="77777777" w:rsidR="009E7B94" w:rsidRPr="00DB6631" w:rsidRDefault="00F56B54" w:rsidP="00976FB6">
            <w:pPr>
              <w:pStyle w:val="TableText"/>
              <w:jc w:val="center"/>
              <w:rPr>
                <w:b/>
                <w:bCs/>
              </w:rPr>
            </w:pPr>
            <w:r w:rsidRPr="00DB6631">
              <w:rPr>
                <w:b/>
                <w:bCs/>
              </w:rPr>
              <w:t>-</w:t>
            </w:r>
          </w:p>
        </w:tc>
        <w:tc>
          <w:tcPr>
            <w:tcW w:w="0" w:type="auto"/>
          </w:tcPr>
          <w:p w14:paraId="426E5683" w14:textId="77777777" w:rsidR="009E7B94" w:rsidRPr="00DB6631" w:rsidRDefault="00F56B54" w:rsidP="00976FB6">
            <w:pPr>
              <w:pStyle w:val="TableText"/>
              <w:jc w:val="center"/>
              <w:rPr>
                <w:b/>
                <w:bCs/>
              </w:rPr>
            </w:pPr>
            <w:r w:rsidRPr="00DB6631">
              <w:rPr>
                <w:b/>
                <w:bCs/>
              </w:rPr>
              <w:t>-</w:t>
            </w:r>
          </w:p>
        </w:tc>
        <w:tc>
          <w:tcPr>
            <w:tcW w:w="0" w:type="auto"/>
          </w:tcPr>
          <w:p w14:paraId="1DF9AFFE" w14:textId="77777777" w:rsidR="009E7B94" w:rsidRPr="00DB6631" w:rsidRDefault="00F56B54" w:rsidP="00976FB6">
            <w:pPr>
              <w:pStyle w:val="TableText"/>
              <w:jc w:val="center"/>
              <w:rPr>
                <w:b/>
                <w:bCs/>
              </w:rPr>
            </w:pPr>
            <w:r w:rsidRPr="00DB6631">
              <w:rPr>
                <w:b/>
                <w:bCs/>
              </w:rPr>
              <w:t>-</w:t>
            </w:r>
          </w:p>
        </w:tc>
      </w:tr>
      <w:tr w:rsidR="004F6729" w14:paraId="7A772304" w14:textId="77777777" w:rsidTr="001278A9">
        <w:trPr>
          <w:jc w:val="center"/>
        </w:trPr>
        <w:tc>
          <w:tcPr>
            <w:tcW w:w="0" w:type="auto"/>
            <w:tcMar>
              <w:left w:w="108" w:type="dxa"/>
              <w:right w:w="108" w:type="dxa"/>
            </w:tcMar>
          </w:tcPr>
          <w:p w14:paraId="75373C04" w14:textId="77777777" w:rsidR="009E7B94" w:rsidRPr="003206E2" w:rsidRDefault="00F56B54" w:rsidP="00976FB6">
            <w:pPr>
              <w:pStyle w:val="Normalsmall"/>
              <w:rPr>
                <w:rFonts w:eastAsia="Times New Roman"/>
                <w:lang w:eastAsia="en-AU"/>
              </w:rPr>
            </w:pPr>
            <w:r>
              <w:t>Altex Yacht &amp; Boat Paint No 5 Antifouling Oyster White</w:t>
            </w:r>
          </w:p>
        </w:tc>
        <w:tc>
          <w:tcPr>
            <w:tcW w:w="0" w:type="auto"/>
            <w:tcMar>
              <w:left w:w="108" w:type="dxa"/>
              <w:right w:w="108" w:type="dxa"/>
            </w:tcMar>
          </w:tcPr>
          <w:p w14:paraId="63065133" w14:textId="77777777" w:rsidR="009E7B94" w:rsidRDefault="00F56B54" w:rsidP="00976FB6">
            <w:pPr>
              <w:pStyle w:val="TableText"/>
              <w:jc w:val="right"/>
            </w:pPr>
            <w:r>
              <w:t>58059</w:t>
            </w:r>
          </w:p>
        </w:tc>
        <w:tc>
          <w:tcPr>
            <w:tcW w:w="0" w:type="auto"/>
            <w:tcMar>
              <w:left w:w="108" w:type="dxa"/>
              <w:right w:w="108" w:type="dxa"/>
            </w:tcMar>
          </w:tcPr>
          <w:p w14:paraId="0465F32A" w14:textId="77777777" w:rsidR="009E7B94" w:rsidRDefault="00F56B54" w:rsidP="00976FB6">
            <w:pPr>
              <w:pStyle w:val="TableText"/>
              <w:jc w:val="right"/>
            </w:pPr>
            <w:r>
              <w:t>2004</w:t>
            </w:r>
          </w:p>
        </w:tc>
        <w:tc>
          <w:tcPr>
            <w:tcW w:w="0" w:type="auto"/>
            <w:tcMar>
              <w:left w:w="108" w:type="dxa"/>
              <w:right w:w="108" w:type="dxa"/>
            </w:tcMar>
          </w:tcPr>
          <w:p w14:paraId="562E395F"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65BC44F" w14:textId="77777777" w:rsidR="009E7B94" w:rsidRPr="00DB6631" w:rsidRDefault="00F56B54" w:rsidP="00976FB6">
            <w:pPr>
              <w:pStyle w:val="TableText"/>
              <w:jc w:val="center"/>
              <w:rPr>
                <w:b/>
                <w:bCs/>
              </w:rPr>
            </w:pPr>
            <w:r w:rsidRPr="00DB6631">
              <w:rPr>
                <w:b/>
                <w:bCs/>
              </w:rPr>
              <w:t>-</w:t>
            </w:r>
          </w:p>
        </w:tc>
        <w:tc>
          <w:tcPr>
            <w:tcW w:w="0" w:type="auto"/>
          </w:tcPr>
          <w:p w14:paraId="4986D986" w14:textId="77777777" w:rsidR="009E7B94" w:rsidRPr="00DB6631" w:rsidRDefault="00F56B54" w:rsidP="00976FB6">
            <w:pPr>
              <w:pStyle w:val="TableText"/>
              <w:jc w:val="center"/>
              <w:rPr>
                <w:b/>
                <w:bCs/>
              </w:rPr>
            </w:pPr>
            <w:r w:rsidRPr="00DB6631">
              <w:rPr>
                <w:b/>
                <w:bCs/>
              </w:rPr>
              <w:t>-</w:t>
            </w:r>
          </w:p>
        </w:tc>
        <w:tc>
          <w:tcPr>
            <w:tcW w:w="0" w:type="auto"/>
          </w:tcPr>
          <w:p w14:paraId="5553C6D1" w14:textId="77777777" w:rsidR="009E7B94" w:rsidRPr="00DB6631" w:rsidRDefault="00F56B54" w:rsidP="00976FB6">
            <w:pPr>
              <w:pStyle w:val="TableText"/>
              <w:jc w:val="center"/>
              <w:rPr>
                <w:b/>
                <w:bCs/>
              </w:rPr>
            </w:pPr>
            <w:r w:rsidRPr="00DB6631">
              <w:rPr>
                <w:b/>
                <w:bCs/>
              </w:rPr>
              <w:t>+</w:t>
            </w:r>
          </w:p>
        </w:tc>
        <w:tc>
          <w:tcPr>
            <w:tcW w:w="0" w:type="auto"/>
          </w:tcPr>
          <w:p w14:paraId="09FF114D" w14:textId="77777777" w:rsidR="009E7B94" w:rsidRPr="00DB6631" w:rsidRDefault="00F56B54" w:rsidP="00976FB6">
            <w:pPr>
              <w:pStyle w:val="TableText"/>
              <w:jc w:val="center"/>
              <w:rPr>
                <w:b/>
                <w:bCs/>
              </w:rPr>
            </w:pPr>
            <w:r w:rsidRPr="00DB6631">
              <w:rPr>
                <w:b/>
                <w:bCs/>
              </w:rPr>
              <w:t>-</w:t>
            </w:r>
          </w:p>
        </w:tc>
        <w:tc>
          <w:tcPr>
            <w:tcW w:w="0" w:type="auto"/>
          </w:tcPr>
          <w:p w14:paraId="1947747E" w14:textId="77777777" w:rsidR="009E7B94" w:rsidRPr="00DB6631" w:rsidRDefault="00F56B54" w:rsidP="00976FB6">
            <w:pPr>
              <w:pStyle w:val="TableText"/>
              <w:jc w:val="center"/>
              <w:rPr>
                <w:b/>
                <w:bCs/>
              </w:rPr>
            </w:pPr>
            <w:r w:rsidRPr="00DB6631">
              <w:rPr>
                <w:b/>
                <w:bCs/>
              </w:rPr>
              <w:t>-</w:t>
            </w:r>
          </w:p>
        </w:tc>
        <w:tc>
          <w:tcPr>
            <w:tcW w:w="0" w:type="auto"/>
          </w:tcPr>
          <w:p w14:paraId="654CBE1E" w14:textId="77777777" w:rsidR="009E7B94" w:rsidRPr="00DB6631" w:rsidRDefault="00F56B54" w:rsidP="00976FB6">
            <w:pPr>
              <w:pStyle w:val="TableText"/>
              <w:jc w:val="center"/>
              <w:rPr>
                <w:b/>
                <w:bCs/>
              </w:rPr>
            </w:pPr>
            <w:r w:rsidRPr="00DB6631">
              <w:rPr>
                <w:b/>
                <w:bCs/>
              </w:rPr>
              <w:t>-</w:t>
            </w:r>
          </w:p>
        </w:tc>
        <w:tc>
          <w:tcPr>
            <w:tcW w:w="0" w:type="auto"/>
          </w:tcPr>
          <w:p w14:paraId="4C267584" w14:textId="77777777" w:rsidR="009E7B94" w:rsidRPr="00DB6631" w:rsidRDefault="00F56B54" w:rsidP="00976FB6">
            <w:pPr>
              <w:pStyle w:val="TableText"/>
              <w:jc w:val="center"/>
              <w:rPr>
                <w:b/>
                <w:bCs/>
              </w:rPr>
            </w:pPr>
            <w:r w:rsidRPr="00DB6631">
              <w:rPr>
                <w:b/>
                <w:bCs/>
              </w:rPr>
              <w:t>-</w:t>
            </w:r>
          </w:p>
        </w:tc>
      </w:tr>
      <w:tr w:rsidR="004F6729" w14:paraId="07FEAA23" w14:textId="77777777" w:rsidTr="001278A9">
        <w:trPr>
          <w:jc w:val="center"/>
        </w:trPr>
        <w:tc>
          <w:tcPr>
            <w:tcW w:w="0" w:type="auto"/>
            <w:tcMar>
              <w:left w:w="108" w:type="dxa"/>
              <w:right w:w="108" w:type="dxa"/>
            </w:tcMar>
          </w:tcPr>
          <w:p w14:paraId="47873708" w14:textId="77777777" w:rsidR="009E7B94" w:rsidRPr="003206E2" w:rsidRDefault="00F56B54" w:rsidP="00976FB6">
            <w:pPr>
              <w:pStyle w:val="Normalsmall"/>
              <w:rPr>
                <w:rFonts w:eastAsia="Times New Roman"/>
                <w:lang w:eastAsia="en-AU"/>
              </w:rPr>
            </w:pPr>
            <w:r>
              <w:lastRenderedPageBreak/>
              <w:t>Carboline Sea-Barrier 1000 Antifouling</w:t>
            </w:r>
          </w:p>
        </w:tc>
        <w:tc>
          <w:tcPr>
            <w:tcW w:w="0" w:type="auto"/>
            <w:tcMar>
              <w:left w:w="108" w:type="dxa"/>
              <w:right w:w="108" w:type="dxa"/>
            </w:tcMar>
          </w:tcPr>
          <w:p w14:paraId="2956FB02" w14:textId="77777777" w:rsidR="009E7B94" w:rsidRDefault="00F56B54" w:rsidP="00976FB6">
            <w:pPr>
              <w:pStyle w:val="TableText"/>
              <w:jc w:val="right"/>
            </w:pPr>
            <w:r>
              <w:t>64129</w:t>
            </w:r>
          </w:p>
        </w:tc>
        <w:tc>
          <w:tcPr>
            <w:tcW w:w="0" w:type="auto"/>
            <w:tcMar>
              <w:left w:w="108" w:type="dxa"/>
              <w:right w:w="108" w:type="dxa"/>
            </w:tcMar>
          </w:tcPr>
          <w:p w14:paraId="08E8520C" w14:textId="77777777" w:rsidR="009E7B94" w:rsidRDefault="00F56B54" w:rsidP="00976FB6">
            <w:pPr>
              <w:pStyle w:val="TableText"/>
              <w:jc w:val="right"/>
            </w:pPr>
            <w:r>
              <w:t>2010</w:t>
            </w:r>
          </w:p>
        </w:tc>
        <w:tc>
          <w:tcPr>
            <w:tcW w:w="0" w:type="auto"/>
            <w:tcMar>
              <w:left w:w="108" w:type="dxa"/>
              <w:right w:w="108" w:type="dxa"/>
            </w:tcMar>
          </w:tcPr>
          <w:p w14:paraId="53A0536D"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8AD57DC" w14:textId="77777777" w:rsidR="009E7B94" w:rsidRPr="00DB6631" w:rsidRDefault="00F56B54" w:rsidP="00976FB6">
            <w:pPr>
              <w:pStyle w:val="TableText"/>
              <w:jc w:val="center"/>
              <w:rPr>
                <w:b/>
                <w:bCs/>
              </w:rPr>
            </w:pPr>
            <w:r w:rsidRPr="00DB6631">
              <w:rPr>
                <w:b/>
                <w:bCs/>
              </w:rPr>
              <w:t>-</w:t>
            </w:r>
          </w:p>
        </w:tc>
        <w:tc>
          <w:tcPr>
            <w:tcW w:w="0" w:type="auto"/>
          </w:tcPr>
          <w:p w14:paraId="3D1075E7" w14:textId="77777777" w:rsidR="009E7B94" w:rsidRPr="00DB6631" w:rsidRDefault="00F56B54" w:rsidP="00976FB6">
            <w:pPr>
              <w:pStyle w:val="TableText"/>
              <w:jc w:val="center"/>
              <w:rPr>
                <w:b/>
                <w:bCs/>
              </w:rPr>
            </w:pPr>
            <w:r w:rsidRPr="00DB6631">
              <w:rPr>
                <w:b/>
                <w:bCs/>
              </w:rPr>
              <w:t>-</w:t>
            </w:r>
          </w:p>
        </w:tc>
        <w:tc>
          <w:tcPr>
            <w:tcW w:w="0" w:type="auto"/>
          </w:tcPr>
          <w:p w14:paraId="3B87F6BC" w14:textId="77777777" w:rsidR="009E7B94" w:rsidRPr="00DB6631" w:rsidRDefault="00F56B54" w:rsidP="00976FB6">
            <w:pPr>
              <w:pStyle w:val="TableText"/>
              <w:jc w:val="center"/>
              <w:rPr>
                <w:b/>
                <w:bCs/>
              </w:rPr>
            </w:pPr>
            <w:r w:rsidRPr="00DB6631">
              <w:rPr>
                <w:b/>
                <w:bCs/>
              </w:rPr>
              <w:t>+</w:t>
            </w:r>
          </w:p>
        </w:tc>
        <w:tc>
          <w:tcPr>
            <w:tcW w:w="0" w:type="auto"/>
          </w:tcPr>
          <w:p w14:paraId="6A115FA3" w14:textId="77777777" w:rsidR="009E7B94" w:rsidRPr="00DB6631" w:rsidRDefault="00F56B54" w:rsidP="00976FB6">
            <w:pPr>
              <w:pStyle w:val="TableText"/>
              <w:jc w:val="center"/>
              <w:rPr>
                <w:b/>
                <w:bCs/>
              </w:rPr>
            </w:pPr>
            <w:r w:rsidRPr="00DB6631">
              <w:rPr>
                <w:b/>
                <w:bCs/>
              </w:rPr>
              <w:t>-</w:t>
            </w:r>
          </w:p>
        </w:tc>
        <w:tc>
          <w:tcPr>
            <w:tcW w:w="0" w:type="auto"/>
          </w:tcPr>
          <w:p w14:paraId="378EEC26" w14:textId="77777777" w:rsidR="009E7B94" w:rsidRPr="00DB6631" w:rsidRDefault="00F56B54" w:rsidP="00976FB6">
            <w:pPr>
              <w:pStyle w:val="TableText"/>
              <w:jc w:val="center"/>
              <w:rPr>
                <w:b/>
                <w:bCs/>
              </w:rPr>
            </w:pPr>
            <w:r w:rsidRPr="00DB6631">
              <w:rPr>
                <w:b/>
                <w:bCs/>
              </w:rPr>
              <w:t>-</w:t>
            </w:r>
          </w:p>
        </w:tc>
        <w:tc>
          <w:tcPr>
            <w:tcW w:w="0" w:type="auto"/>
          </w:tcPr>
          <w:p w14:paraId="010631EB" w14:textId="77777777" w:rsidR="009E7B94" w:rsidRPr="00DB6631" w:rsidRDefault="00F56B54" w:rsidP="00976FB6">
            <w:pPr>
              <w:pStyle w:val="TableText"/>
              <w:jc w:val="center"/>
              <w:rPr>
                <w:b/>
                <w:bCs/>
              </w:rPr>
            </w:pPr>
            <w:r w:rsidRPr="00DB6631">
              <w:rPr>
                <w:b/>
                <w:bCs/>
              </w:rPr>
              <w:t>-</w:t>
            </w:r>
          </w:p>
        </w:tc>
        <w:tc>
          <w:tcPr>
            <w:tcW w:w="0" w:type="auto"/>
          </w:tcPr>
          <w:p w14:paraId="65B5BC1E" w14:textId="77777777" w:rsidR="009E7B94" w:rsidRPr="00DB6631" w:rsidRDefault="00F56B54" w:rsidP="00976FB6">
            <w:pPr>
              <w:pStyle w:val="TableText"/>
              <w:jc w:val="center"/>
              <w:rPr>
                <w:b/>
                <w:bCs/>
              </w:rPr>
            </w:pPr>
            <w:r w:rsidRPr="00DB6631">
              <w:rPr>
                <w:b/>
                <w:bCs/>
              </w:rPr>
              <w:t>-</w:t>
            </w:r>
          </w:p>
        </w:tc>
      </w:tr>
      <w:tr w:rsidR="004F6729" w14:paraId="4D4CF774" w14:textId="77777777" w:rsidTr="001278A9">
        <w:trPr>
          <w:jc w:val="center"/>
        </w:trPr>
        <w:tc>
          <w:tcPr>
            <w:tcW w:w="0" w:type="auto"/>
            <w:tcMar>
              <w:left w:w="108" w:type="dxa"/>
              <w:right w:w="108" w:type="dxa"/>
            </w:tcMar>
          </w:tcPr>
          <w:p w14:paraId="4FD1BA7C" w14:textId="77777777" w:rsidR="009E7B94" w:rsidRPr="003206E2" w:rsidRDefault="00F56B54" w:rsidP="00976FB6">
            <w:pPr>
              <w:pStyle w:val="Normalsmall"/>
              <w:rPr>
                <w:rFonts w:eastAsia="Times New Roman"/>
                <w:lang w:eastAsia="en-AU"/>
              </w:rPr>
            </w:pPr>
            <w:r>
              <w:t>Carboline Sea-Barrier 3000 Antifouling</w:t>
            </w:r>
          </w:p>
        </w:tc>
        <w:tc>
          <w:tcPr>
            <w:tcW w:w="0" w:type="auto"/>
            <w:tcMar>
              <w:left w:w="108" w:type="dxa"/>
              <w:right w:w="108" w:type="dxa"/>
            </w:tcMar>
          </w:tcPr>
          <w:p w14:paraId="3BEC029C" w14:textId="77777777" w:rsidR="009E7B94" w:rsidRDefault="00F56B54" w:rsidP="00976FB6">
            <w:pPr>
              <w:pStyle w:val="TableText"/>
              <w:jc w:val="right"/>
            </w:pPr>
            <w:r>
              <w:t>64133</w:t>
            </w:r>
          </w:p>
        </w:tc>
        <w:tc>
          <w:tcPr>
            <w:tcW w:w="0" w:type="auto"/>
            <w:tcMar>
              <w:left w:w="108" w:type="dxa"/>
              <w:right w:w="108" w:type="dxa"/>
            </w:tcMar>
          </w:tcPr>
          <w:p w14:paraId="682CF329" w14:textId="77777777" w:rsidR="009E7B94" w:rsidRDefault="00F56B54" w:rsidP="00976FB6">
            <w:pPr>
              <w:pStyle w:val="TableText"/>
              <w:jc w:val="right"/>
            </w:pPr>
            <w:r>
              <w:t>2009</w:t>
            </w:r>
          </w:p>
        </w:tc>
        <w:tc>
          <w:tcPr>
            <w:tcW w:w="0" w:type="auto"/>
            <w:tcMar>
              <w:left w:w="108" w:type="dxa"/>
              <w:right w:w="108" w:type="dxa"/>
            </w:tcMar>
          </w:tcPr>
          <w:p w14:paraId="1F795998"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D6ECCB3" w14:textId="77777777" w:rsidR="009E7B94" w:rsidRPr="00DB6631" w:rsidRDefault="00F56B54" w:rsidP="00976FB6">
            <w:pPr>
              <w:pStyle w:val="TableText"/>
              <w:jc w:val="center"/>
              <w:rPr>
                <w:b/>
                <w:bCs/>
              </w:rPr>
            </w:pPr>
            <w:r w:rsidRPr="00DB6631">
              <w:rPr>
                <w:b/>
                <w:bCs/>
              </w:rPr>
              <w:t>-</w:t>
            </w:r>
          </w:p>
        </w:tc>
        <w:tc>
          <w:tcPr>
            <w:tcW w:w="0" w:type="auto"/>
          </w:tcPr>
          <w:p w14:paraId="6EAFB682" w14:textId="77777777" w:rsidR="009E7B94" w:rsidRPr="00DB6631" w:rsidRDefault="00F56B54" w:rsidP="00976FB6">
            <w:pPr>
              <w:pStyle w:val="TableText"/>
              <w:jc w:val="center"/>
              <w:rPr>
                <w:b/>
                <w:bCs/>
              </w:rPr>
            </w:pPr>
            <w:r w:rsidRPr="00DB6631">
              <w:rPr>
                <w:b/>
                <w:bCs/>
              </w:rPr>
              <w:t>-</w:t>
            </w:r>
          </w:p>
        </w:tc>
        <w:tc>
          <w:tcPr>
            <w:tcW w:w="0" w:type="auto"/>
          </w:tcPr>
          <w:p w14:paraId="65F97E01" w14:textId="77777777" w:rsidR="009E7B94" w:rsidRPr="00DB6631" w:rsidRDefault="00F56B54" w:rsidP="00976FB6">
            <w:pPr>
              <w:pStyle w:val="TableText"/>
              <w:jc w:val="center"/>
              <w:rPr>
                <w:b/>
                <w:bCs/>
              </w:rPr>
            </w:pPr>
            <w:r w:rsidRPr="00DB6631">
              <w:rPr>
                <w:b/>
                <w:bCs/>
              </w:rPr>
              <w:t>+</w:t>
            </w:r>
          </w:p>
        </w:tc>
        <w:tc>
          <w:tcPr>
            <w:tcW w:w="0" w:type="auto"/>
          </w:tcPr>
          <w:p w14:paraId="2F63D20B" w14:textId="77777777" w:rsidR="009E7B94" w:rsidRPr="00DB6631" w:rsidRDefault="00F56B54" w:rsidP="00976FB6">
            <w:pPr>
              <w:pStyle w:val="TableText"/>
              <w:jc w:val="center"/>
              <w:rPr>
                <w:b/>
                <w:bCs/>
              </w:rPr>
            </w:pPr>
            <w:r w:rsidRPr="00DB6631">
              <w:rPr>
                <w:b/>
                <w:bCs/>
              </w:rPr>
              <w:t>-</w:t>
            </w:r>
          </w:p>
        </w:tc>
        <w:tc>
          <w:tcPr>
            <w:tcW w:w="0" w:type="auto"/>
          </w:tcPr>
          <w:p w14:paraId="237DB622" w14:textId="77777777" w:rsidR="009E7B94" w:rsidRPr="00DB6631" w:rsidRDefault="00F56B54" w:rsidP="00976FB6">
            <w:pPr>
              <w:pStyle w:val="TableText"/>
              <w:jc w:val="center"/>
              <w:rPr>
                <w:b/>
                <w:bCs/>
              </w:rPr>
            </w:pPr>
            <w:r w:rsidRPr="00DB6631">
              <w:rPr>
                <w:b/>
                <w:bCs/>
              </w:rPr>
              <w:t>-</w:t>
            </w:r>
          </w:p>
        </w:tc>
        <w:tc>
          <w:tcPr>
            <w:tcW w:w="0" w:type="auto"/>
          </w:tcPr>
          <w:p w14:paraId="28C0EA6E" w14:textId="77777777" w:rsidR="009E7B94" w:rsidRPr="00DB6631" w:rsidRDefault="00F56B54" w:rsidP="00976FB6">
            <w:pPr>
              <w:pStyle w:val="TableText"/>
              <w:jc w:val="center"/>
              <w:rPr>
                <w:b/>
                <w:bCs/>
              </w:rPr>
            </w:pPr>
            <w:r w:rsidRPr="00DB6631">
              <w:rPr>
                <w:b/>
                <w:bCs/>
              </w:rPr>
              <w:t>-</w:t>
            </w:r>
          </w:p>
        </w:tc>
        <w:tc>
          <w:tcPr>
            <w:tcW w:w="0" w:type="auto"/>
          </w:tcPr>
          <w:p w14:paraId="0BEE3AA8" w14:textId="77777777" w:rsidR="009E7B94" w:rsidRPr="00DB6631" w:rsidRDefault="00F56B54" w:rsidP="00976FB6">
            <w:pPr>
              <w:pStyle w:val="TableText"/>
              <w:jc w:val="center"/>
              <w:rPr>
                <w:b/>
                <w:bCs/>
              </w:rPr>
            </w:pPr>
            <w:r w:rsidRPr="00DB6631">
              <w:rPr>
                <w:b/>
                <w:bCs/>
              </w:rPr>
              <w:t>-</w:t>
            </w:r>
          </w:p>
        </w:tc>
      </w:tr>
      <w:tr w:rsidR="004F6729" w14:paraId="2E38720D" w14:textId="77777777" w:rsidTr="001278A9">
        <w:trPr>
          <w:jc w:val="center"/>
        </w:trPr>
        <w:tc>
          <w:tcPr>
            <w:tcW w:w="0" w:type="auto"/>
            <w:tcMar>
              <w:left w:w="108" w:type="dxa"/>
              <w:right w:w="108" w:type="dxa"/>
            </w:tcMar>
          </w:tcPr>
          <w:p w14:paraId="1CBDEE5E" w14:textId="77777777" w:rsidR="009E7B94" w:rsidRPr="003206E2" w:rsidRDefault="00F56B54" w:rsidP="00976FB6">
            <w:pPr>
              <w:pStyle w:val="Normalsmall"/>
              <w:rPr>
                <w:rFonts w:eastAsia="Times New Roman"/>
                <w:lang w:eastAsia="en-AU"/>
              </w:rPr>
            </w:pPr>
            <w:r>
              <w:t>Petit Marine Paint Vivid Antifouling Paint / Carboline Sea Barrier Alloy 100 AU</w:t>
            </w:r>
          </w:p>
        </w:tc>
        <w:tc>
          <w:tcPr>
            <w:tcW w:w="0" w:type="auto"/>
            <w:tcMar>
              <w:left w:w="108" w:type="dxa"/>
              <w:right w:w="108" w:type="dxa"/>
            </w:tcMar>
          </w:tcPr>
          <w:p w14:paraId="3D6E3BBA" w14:textId="77777777" w:rsidR="009E7B94" w:rsidRDefault="00F56B54" w:rsidP="00976FB6">
            <w:pPr>
              <w:pStyle w:val="TableText"/>
              <w:jc w:val="right"/>
            </w:pPr>
            <w:r>
              <w:t>66263</w:t>
            </w:r>
          </w:p>
        </w:tc>
        <w:tc>
          <w:tcPr>
            <w:tcW w:w="0" w:type="auto"/>
            <w:tcMar>
              <w:left w:w="108" w:type="dxa"/>
              <w:right w:w="108" w:type="dxa"/>
            </w:tcMar>
          </w:tcPr>
          <w:p w14:paraId="48F63586" w14:textId="77777777" w:rsidR="009E7B94" w:rsidRDefault="00F56B54" w:rsidP="00976FB6">
            <w:pPr>
              <w:pStyle w:val="TableText"/>
              <w:jc w:val="right"/>
            </w:pPr>
            <w:r>
              <w:t>2015</w:t>
            </w:r>
          </w:p>
        </w:tc>
        <w:tc>
          <w:tcPr>
            <w:tcW w:w="0" w:type="auto"/>
            <w:tcMar>
              <w:left w:w="108" w:type="dxa"/>
              <w:right w:w="108" w:type="dxa"/>
            </w:tcMar>
          </w:tcPr>
          <w:p w14:paraId="28701F30"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70692F2E" w14:textId="77777777" w:rsidR="009E7B94" w:rsidRPr="00DB6631" w:rsidRDefault="00F56B54" w:rsidP="00976FB6">
            <w:pPr>
              <w:pStyle w:val="TableText"/>
              <w:jc w:val="center"/>
              <w:rPr>
                <w:b/>
                <w:bCs/>
              </w:rPr>
            </w:pPr>
            <w:r w:rsidRPr="00DB6631">
              <w:rPr>
                <w:b/>
                <w:bCs/>
              </w:rPr>
              <w:t>+</w:t>
            </w:r>
          </w:p>
        </w:tc>
        <w:tc>
          <w:tcPr>
            <w:tcW w:w="0" w:type="auto"/>
          </w:tcPr>
          <w:p w14:paraId="0E43E123" w14:textId="77777777" w:rsidR="009E7B94" w:rsidRPr="00DB6631" w:rsidRDefault="00F56B54" w:rsidP="00976FB6">
            <w:pPr>
              <w:pStyle w:val="TableText"/>
              <w:jc w:val="center"/>
              <w:rPr>
                <w:b/>
                <w:bCs/>
              </w:rPr>
            </w:pPr>
            <w:r w:rsidRPr="00DB6631">
              <w:rPr>
                <w:b/>
                <w:bCs/>
              </w:rPr>
              <w:t>-</w:t>
            </w:r>
          </w:p>
        </w:tc>
        <w:tc>
          <w:tcPr>
            <w:tcW w:w="0" w:type="auto"/>
          </w:tcPr>
          <w:p w14:paraId="5D20C511" w14:textId="77777777" w:rsidR="009E7B94" w:rsidRPr="00DB6631" w:rsidRDefault="00F56B54" w:rsidP="00976FB6">
            <w:pPr>
              <w:pStyle w:val="TableText"/>
              <w:jc w:val="center"/>
              <w:rPr>
                <w:b/>
                <w:bCs/>
              </w:rPr>
            </w:pPr>
            <w:r w:rsidRPr="00DB6631">
              <w:rPr>
                <w:b/>
                <w:bCs/>
              </w:rPr>
              <w:t>-</w:t>
            </w:r>
          </w:p>
        </w:tc>
        <w:tc>
          <w:tcPr>
            <w:tcW w:w="0" w:type="auto"/>
          </w:tcPr>
          <w:p w14:paraId="4D3516B6" w14:textId="77777777" w:rsidR="009E7B94" w:rsidRPr="00DB6631" w:rsidRDefault="00F56B54" w:rsidP="00976FB6">
            <w:pPr>
              <w:pStyle w:val="TableText"/>
              <w:jc w:val="center"/>
              <w:rPr>
                <w:b/>
                <w:bCs/>
              </w:rPr>
            </w:pPr>
            <w:r w:rsidRPr="00DB6631">
              <w:rPr>
                <w:b/>
                <w:bCs/>
              </w:rPr>
              <w:t>-</w:t>
            </w:r>
          </w:p>
        </w:tc>
        <w:tc>
          <w:tcPr>
            <w:tcW w:w="0" w:type="auto"/>
          </w:tcPr>
          <w:p w14:paraId="08B50F6C" w14:textId="77777777" w:rsidR="009E7B94" w:rsidRPr="00DB6631" w:rsidRDefault="00F56B54" w:rsidP="00976FB6">
            <w:pPr>
              <w:pStyle w:val="TableText"/>
              <w:jc w:val="center"/>
              <w:rPr>
                <w:b/>
                <w:bCs/>
              </w:rPr>
            </w:pPr>
            <w:r w:rsidRPr="00DB6631">
              <w:rPr>
                <w:b/>
                <w:bCs/>
              </w:rPr>
              <w:t>-</w:t>
            </w:r>
          </w:p>
        </w:tc>
        <w:tc>
          <w:tcPr>
            <w:tcW w:w="0" w:type="auto"/>
          </w:tcPr>
          <w:p w14:paraId="251D6AC4" w14:textId="77777777" w:rsidR="009E7B94" w:rsidRPr="00DB6631" w:rsidRDefault="00F56B54" w:rsidP="00976FB6">
            <w:pPr>
              <w:pStyle w:val="TableText"/>
              <w:jc w:val="center"/>
              <w:rPr>
                <w:b/>
                <w:bCs/>
              </w:rPr>
            </w:pPr>
            <w:r w:rsidRPr="00DB6631">
              <w:rPr>
                <w:b/>
                <w:bCs/>
              </w:rPr>
              <w:t>+</w:t>
            </w:r>
          </w:p>
        </w:tc>
        <w:tc>
          <w:tcPr>
            <w:tcW w:w="0" w:type="auto"/>
          </w:tcPr>
          <w:p w14:paraId="7495B472" w14:textId="77777777" w:rsidR="009E7B94" w:rsidRPr="00DB6631" w:rsidRDefault="00F56B54" w:rsidP="00976FB6">
            <w:pPr>
              <w:pStyle w:val="TableText"/>
              <w:jc w:val="center"/>
              <w:rPr>
                <w:b/>
                <w:bCs/>
              </w:rPr>
            </w:pPr>
            <w:r w:rsidRPr="00DB6631">
              <w:rPr>
                <w:b/>
                <w:bCs/>
              </w:rPr>
              <w:t>-</w:t>
            </w:r>
          </w:p>
        </w:tc>
      </w:tr>
      <w:tr w:rsidR="004F6729" w14:paraId="6E6AEFCC" w14:textId="77777777" w:rsidTr="001278A9">
        <w:trPr>
          <w:jc w:val="center"/>
        </w:trPr>
        <w:tc>
          <w:tcPr>
            <w:tcW w:w="0" w:type="auto"/>
            <w:tcMar>
              <w:left w:w="108" w:type="dxa"/>
              <w:right w:w="108" w:type="dxa"/>
            </w:tcMar>
          </w:tcPr>
          <w:p w14:paraId="467C2148" w14:textId="77777777" w:rsidR="009E7B94" w:rsidRPr="004F1FBA" w:rsidRDefault="00F56B54" w:rsidP="00976FB6">
            <w:pPr>
              <w:pStyle w:val="Normalsmall"/>
              <w:rPr>
                <w:rFonts w:eastAsia="Times New Roman"/>
                <w:lang w:eastAsia="en-AU"/>
              </w:rPr>
            </w:pPr>
            <w:r>
              <w:t>Altex Yacht &amp; Boat Paint No. 5 Plus Antifouling</w:t>
            </w:r>
          </w:p>
        </w:tc>
        <w:tc>
          <w:tcPr>
            <w:tcW w:w="0" w:type="auto"/>
            <w:tcMar>
              <w:left w:w="108" w:type="dxa"/>
              <w:right w:w="108" w:type="dxa"/>
            </w:tcMar>
          </w:tcPr>
          <w:p w14:paraId="2315A8B7" w14:textId="77777777" w:rsidR="009E7B94" w:rsidRDefault="00F56B54" w:rsidP="00976FB6">
            <w:pPr>
              <w:pStyle w:val="TableText"/>
              <w:jc w:val="right"/>
            </w:pPr>
            <w:r>
              <w:t>86349</w:t>
            </w:r>
          </w:p>
        </w:tc>
        <w:tc>
          <w:tcPr>
            <w:tcW w:w="0" w:type="auto"/>
            <w:tcMar>
              <w:left w:w="108" w:type="dxa"/>
              <w:right w:w="108" w:type="dxa"/>
            </w:tcMar>
          </w:tcPr>
          <w:p w14:paraId="10F63AFE" w14:textId="77777777" w:rsidR="009E7B94" w:rsidRDefault="00F56B54" w:rsidP="00976FB6">
            <w:pPr>
              <w:pStyle w:val="TableText"/>
              <w:jc w:val="right"/>
            </w:pPr>
            <w:r>
              <w:t>2018</w:t>
            </w:r>
          </w:p>
        </w:tc>
        <w:tc>
          <w:tcPr>
            <w:tcW w:w="0" w:type="auto"/>
            <w:tcMar>
              <w:left w:w="108" w:type="dxa"/>
              <w:right w:w="108" w:type="dxa"/>
            </w:tcMar>
          </w:tcPr>
          <w:p w14:paraId="5141D2D4"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6541DD77" w14:textId="77777777" w:rsidR="009E7B94" w:rsidRPr="00DB6631" w:rsidRDefault="00F56B54" w:rsidP="00976FB6">
            <w:pPr>
              <w:pStyle w:val="TableText"/>
              <w:jc w:val="center"/>
              <w:rPr>
                <w:b/>
                <w:bCs/>
              </w:rPr>
            </w:pPr>
            <w:r w:rsidRPr="00DB6631">
              <w:rPr>
                <w:b/>
                <w:bCs/>
              </w:rPr>
              <w:t>-</w:t>
            </w:r>
          </w:p>
        </w:tc>
        <w:tc>
          <w:tcPr>
            <w:tcW w:w="0" w:type="auto"/>
          </w:tcPr>
          <w:p w14:paraId="2AD9FEE4" w14:textId="77777777" w:rsidR="009E7B94" w:rsidRPr="00DB6631" w:rsidRDefault="00F56B54" w:rsidP="00976FB6">
            <w:pPr>
              <w:pStyle w:val="TableText"/>
              <w:jc w:val="center"/>
              <w:rPr>
                <w:b/>
                <w:bCs/>
              </w:rPr>
            </w:pPr>
            <w:r w:rsidRPr="00DB6631">
              <w:rPr>
                <w:b/>
                <w:bCs/>
              </w:rPr>
              <w:t>-</w:t>
            </w:r>
          </w:p>
        </w:tc>
        <w:tc>
          <w:tcPr>
            <w:tcW w:w="0" w:type="auto"/>
          </w:tcPr>
          <w:p w14:paraId="08143072" w14:textId="77777777" w:rsidR="009E7B94" w:rsidRPr="00DB6631" w:rsidRDefault="00F56B54" w:rsidP="00976FB6">
            <w:pPr>
              <w:pStyle w:val="TableText"/>
              <w:jc w:val="center"/>
              <w:rPr>
                <w:b/>
                <w:bCs/>
              </w:rPr>
            </w:pPr>
            <w:r w:rsidRPr="00DB6631">
              <w:rPr>
                <w:b/>
                <w:bCs/>
              </w:rPr>
              <w:t>+</w:t>
            </w:r>
          </w:p>
        </w:tc>
        <w:tc>
          <w:tcPr>
            <w:tcW w:w="0" w:type="auto"/>
          </w:tcPr>
          <w:p w14:paraId="09934110" w14:textId="77777777" w:rsidR="009E7B94" w:rsidRPr="00DB6631" w:rsidRDefault="00F56B54" w:rsidP="00976FB6">
            <w:pPr>
              <w:pStyle w:val="TableText"/>
              <w:jc w:val="center"/>
              <w:rPr>
                <w:b/>
                <w:bCs/>
              </w:rPr>
            </w:pPr>
            <w:r w:rsidRPr="00DB6631">
              <w:rPr>
                <w:b/>
                <w:bCs/>
              </w:rPr>
              <w:t>-</w:t>
            </w:r>
          </w:p>
        </w:tc>
        <w:tc>
          <w:tcPr>
            <w:tcW w:w="0" w:type="auto"/>
          </w:tcPr>
          <w:p w14:paraId="7133A667" w14:textId="77777777" w:rsidR="009E7B94" w:rsidRPr="00DB6631" w:rsidRDefault="00F56B54" w:rsidP="00976FB6">
            <w:pPr>
              <w:pStyle w:val="TableText"/>
              <w:jc w:val="center"/>
              <w:rPr>
                <w:b/>
                <w:bCs/>
              </w:rPr>
            </w:pPr>
            <w:r w:rsidRPr="00DB6631">
              <w:rPr>
                <w:b/>
                <w:bCs/>
              </w:rPr>
              <w:t>-</w:t>
            </w:r>
          </w:p>
        </w:tc>
        <w:tc>
          <w:tcPr>
            <w:tcW w:w="0" w:type="auto"/>
          </w:tcPr>
          <w:p w14:paraId="6583A1F8" w14:textId="77777777" w:rsidR="009E7B94" w:rsidRPr="00DB6631" w:rsidRDefault="00F56B54" w:rsidP="00976FB6">
            <w:pPr>
              <w:pStyle w:val="TableText"/>
              <w:jc w:val="center"/>
              <w:rPr>
                <w:b/>
                <w:bCs/>
              </w:rPr>
            </w:pPr>
            <w:r w:rsidRPr="00DB6631">
              <w:rPr>
                <w:b/>
                <w:bCs/>
              </w:rPr>
              <w:t>-</w:t>
            </w:r>
          </w:p>
        </w:tc>
        <w:tc>
          <w:tcPr>
            <w:tcW w:w="0" w:type="auto"/>
          </w:tcPr>
          <w:p w14:paraId="05E99E4F" w14:textId="77777777" w:rsidR="009E7B94" w:rsidRPr="00DB6631" w:rsidRDefault="00F56B54" w:rsidP="00976FB6">
            <w:pPr>
              <w:pStyle w:val="TableText"/>
              <w:jc w:val="center"/>
              <w:rPr>
                <w:b/>
                <w:bCs/>
              </w:rPr>
            </w:pPr>
            <w:r w:rsidRPr="00DB6631">
              <w:rPr>
                <w:b/>
                <w:bCs/>
              </w:rPr>
              <w:t>-</w:t>
            </w:r>
          </w:p>
        </w:tc>
      </w:tr>
      <w:tr w:rsidR="004F6729" w14:paraId="664F47D3" w14:textId="77777777" w:rsidTr="00C61E5A">
        <w:trPr>
          <w:jc w:val="center"/>
        </w:trPr>
        <w:tc>
          <w:tcPr>
            <w:tcW w:w="0" w:type="auto"/>
            <w:gridSpan w:val="11"/>
            <w:tcMar>
              <w:left w:w="108" w:type="dxa"/>
              <w:right w:w="108" w:type="dxa"/>
            </w:tcMar>
          </w:tcPr>
          <w:p w14:paraId="177E60AB" w14:textId="77777777" w:rsidR="009600DA" w:rsidRPr="00DB6631" w:rsidRDefault="00F56B54" w:rsidP="003378D5">
            <w:pPr>
              <w:pStyle w:val="TableText"/>
              <w:rPr>
                <w:b/>
                <w:bCs/>
              </w:rPr>
            </w:pPr>
            <w:r>
              <w:t>TOPLINE PAINT PROPRIETARY LIMITED</w:t>
            </w:r>
          </w:p>
        </w:tc>
      </w:tr>
      <w:tr w:rsidR="004F6729" w14:paraId="0C6A1A00" w14:textId="77777777" w:rsidTr="001278A9">
        <w:trPr>
          <w:jc w:val="center"/>
        </w:trPr>
        <w:tc>
          <w:tcPr>
            <w:tcW w:w="0" w:type="auto"/>
            <w:tcMar>
              <w:left w:w="108" w:type="dxa"/>
              <w:right w:w="108" w:type="dxa"/>
            </w:tcMar>
          </w:tcPr>
          <w:p w14:paraId="0A836357" w14:textId="77777777" w:rsidR="009E7B94" w:rsidRPr="004F1FBA" w:rsidRDefault="00F56B54" w:rsidP="00976FB6">
            <w:pPr>
              <w:pStyle w:val="Normalsmall"/>
              <w:rPr>
                <w:rFonts w:eastAsia="Times New Roman"/>
                <w:lang w:eastAsia="en-AU"/>
              </w:rPr>
            </w:pPr>
            <w:r>
              <w:t>Marine Systems Traditional Copper Based Antifouling</w:t>
            </w:r>
          </w:p>
        </w:tc>
        <w:tc>
          <w:tcPr>
            <w:tcW w:w="0" w:type="auto"/>
            <w:tcMar>
              <w:left w:w="108" w:type="dxa"/>
              <w:right w:w="108" w:type="dxa"/>
            </w:tcMar>
          </w:tcPr>
          <w:p w14:paraId="6D86B37B" w14:textId="77777777" w:rsidR="009E7B94" w:rsidRDefault="00F56B54" w:rsidP="00976FB6">
            <w:pPr>
              <w:pStyle w:val="TableText"/>
              <w:jc w:val="right"/>
            </w:pPr>
            <w:r>
              <w:t>48965</w:t>
            </w:r>
          </w:p>
        </w:tc>
        <w:tc>
          <w:tcPr>
            <w:tcW w:w="0" w:type="auto"/>
            <w:tcMar>
              <w:left w:w="108" w:type="dxa"/>
              <w:right w:w="108" w:type="dxa"/>
            </w:tcMar>
          </w:tcPr>
          <w:p w14:paraId="63A05C55" w14:textId="77777777" w:rsidR="009E7B94" w:rsidRDefault="00F56B54" w:rsidP="00976FB6">
            <w:pPr>
              <w:pStyle w:val="TableText"/>
              <w:jc w:val="right"/>
            </w:pPr>
            <w:r>
              <w:t>1996</w:t>
            </w:r>
          </w:p>
        </w:tc>
        <w:tc>
          <w:tcPr>
            <w:tcW w:w="0" w:type="auto"/>
            <w:tcMar>
              <w:left w:w="108" w:type="dxa"/>
              <w:right w:w="108" w:type="dxa"/>
            </w:tcMar>
          </w:tcPr>
          <w:p w14:paraId="1A032364"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05716622" w14:textId="77777777" w:rsidR="009E7B94" w:rsidRPr="00DB6631" w:rsidRDefault="00F56B54" w:rsidP="00976FB6">
            <w:pPr>
              <w:pStyle w:val="TableText"/>
              <w:jc w:val="center"/>
              <w:rPr>
                <w:b/>
                <w:bCs/>
              </w:rPr>
            </w:pPr>
            <w:r w:rsidRPr="00DB6631">
              <w:rPr>
                <w:b/>
                <w:bCs/>
              </w:rPr>
              <w:t>-</w:t>
            </w:r>
          </w:p>
        </w:tc>
        <w:tc>
          <w:tcPr>
            <w:tcW w:w="0" w:type="auto"/>
          </w:tcPr>
          <w:p w14:paraId="6A67DFAB" w14:textId="77777777" w:rsidR="009E7B94" w:rsidRPr="00DB6631" w:rsidRDefault="00F56B54" w:rsidP="00976FB6">
            <w:pPr>
              <w:pStyle w:val="TableText"/>
              <w:jc w:val="center"/>
              <w:rPr>
                <w:b/>
                <w:bCs/>
              </w:rPr>
            </w:pPr>
            <w:r w:rsidRPr="00DB6631">
              <w:rPr>
                <w:b/>
                <w:bCs/>
              </w:rPr>
              <w:t>-</w:t>
            </w:r>
          </w:p>
        </w:tc>
        <w:tc>
          <w:tcPr>
            <w:tcW w:w="0" w:type="auto"/>
          </w:tcPr>
          <w:p w14:paraId="2DFCA19A" w14:textId="77777777" w:rsidR="009E7B94" w:rsidRPr="00DB6631" w:rsidRDefault="00F56B54" w:rsidP="00976FB6">
            <w:pPr>
              <w:pStyle w:val="TableText"/>
              <w:jc w:val="center"/>
              <w:rPr>
                <w:b/>
                <w:bCs/>
              </w:rPr>
            </w:pPr>
            <w:r w:rsidRPr="00DB6631">
              <w:rPr>
                <w:b/>
                <w:bCs/>
              </w:rPr>
              <w:t>-</w:t>
            </w:r>
          </w:p>
        </w:tc>
        <w:tc>
          <w:tcPr>
            <w:tcW w:w="0" w:type="auto"/>
          </w:tcPr>
          <w:p w14:paraId="4FD05BCC" w14:textId="77777777" w:rsidR="009E7B94" w:rsidRPr="00DB6631" w:rsidRDefault="00F56B54" w:rsidP="00976FB6">
            <w:pPr>
              <w:pStyle w:val="TableText"/>
              <w:jc w:val="center"/>
              <w:rPr>
                <w:b/>
                <w:bCs/>
              </w:rPr>
            </w:pPr>
            <w:r w:rsidRPr="00DB6631">
              <w:rPr>
                <w:b/>
                <w:bCs/>
              </w:rPr>
              <w:t>-</w:t>
            </w:r>
          </w:p>
        </w:tc>
        <w:tc>
          <w:tcPr>
            <w:tcW w:w="0" w:type="auto"/>
          </w:tcPr>
          <w:p w14:paraId="075E8C8F" w14:textId="77777777" w:rsidR="009E7B94" w:rsidRPr="00DB6631" w:rsidRDefault="00F56B54" w:rsidP="00976FB6">
            <w:pPr>
              <w:pStyle w:val="TableText"/>
              <w:jc w:val="center"/>
              <w:rPr>
                <w:b/>
                <w:bCs/>
              </w:rPr>
            </w:pPr>
            <w:r w:rsidRPr="00DB6631">
              <w:rPr>
                <w:b/>
                <w:bCs/>
              </w:rPr>
              <w:t>-</w:t>
            </w:r>
          </w:p>
        </w:tc>
        <w:tc>
          <w:tcPr>
            <w:tcW w:w="0" w:type="auto"/>
          </w:tcPr>
          <w:p w14:paraId="51430F8F" w14:textId="77777777" w:rsidR="009E7B94" w:rsidRPr="00DB6631" w:rsidRDefault="00F56B54" w:rsidP="00976FB6">
            <w:pPr>
              <w:pStyle w:val="TableText"/>
              <w:jc w:val="center"/>
              <w:rPr>
                <w:b/>
                <w:bCs/>
              </w:rPr>
            </w:pPr>
            <w:r w:rsidRPr="00DB6631">
              <w:rPr>
                <w:b/>
                <w:bCs/>
              </w:rPr>
              <w:t>-</w:t>
            </w:r>
          </w:p>
        </w:tc>
        <w:tc>
          <w:tcPr>
            <w:tcW w:w="0" w:type="auto"/>
          </w:tcPr>
          <w:p w14:paraId="14B8B0FA" w14:textId="77777777" w:rsidR="009E7B94" w:rsidRPr="00DB6631" w:rsidRDefault="00F56B54" w:rsidP="00976FB6">
            <w:pPr>
              <w:pStyle w:val="TableText"/>
              <w:jc w:val="center"/>
              <w:rPr>
                <w:b/>
                <w:bCs/>
              </w:rPr>
            </w:pPr>
            <w:r w:rsidRPr="00DB6631">
              <w:rPr>
                <w:b/>
                <w:bCs/>
              </w:rPr>
              <w:t>-</w:t>
            </w:r>
          </w:p>
        </w:tc>
      </w:tr>
      <w:tr w:rsidR="004F6729" w14:paraId="4C27A6FC" w14:textId="77777777" w:rsidTr="00C61E5A">
        <w:trPr>
          <w:jc w:val="center"/>
        </w:trPr>
        <w:tc>
          <w:tcPr>
            <w:tcW w:w="0" w:type="auto"/>
            <w:gridSpan w:val="11"/>
            <w:tcMar>
              <w:left w:w="108" w:type="dxa"/>
              <w:right w:w="108" w:type="dxa"/>
            </w:tcMar>
          </w:tcPr>
          <w:p w14:paraId="5D7427CC" w14:textId="77777777" w:rsidR="009600DA" w:rsidRPr="00DB6631" w:rsidRDefault="00F56B54" w:rsidP="003378D5">
            <w:pPr>
              <w:pStyle w:val="TableText"/>
              <w:rPr>
                <w:b/>
                <w:bCs/>
              </w:rPr>
            </w:pPr>
            <w:r>
              <w:t>VALSPAR PAINT (AUSTRALIA) PTY LTD</w:t>
            </w:r>
          </w:p>
        </w:tc>
      </w:tr>
      <w:tr w:rsidR="004F6729" w14:paraId="1D22653C" w14:textId="77777777" w:rsidTr="001278A9">
        <w:trPr>
          <w:jc w:val="center"/>
        </w:trPr>
        <w:tc>
          <w:tcPr>
            <w:tcW w:w="0" w:type="auto"/>
            <w:tcMar>
              <w:left w:w="108" w:type="dxa"/>
              <w:right w:w="108" w:type="dxa"/>
            </w:tcMar>
          </w:tcPr>
          <w:p w14:paraId="283DDE46" w14:textId="77777777" w:rsidR="009E7B94" w:rsidRPr="004F1FBA" w:rsidRDefault="00F56B54" w:rsidP="00976FB6">
            <w:pPr>
              <w:pStyle w:val="Normalsmall"/>
              <w:rPr>
                <w:rFonts w:eastAsia="Times New Roman"/>
                <w:lang w:eastAsia="en-AU"/>
              </w:rPr>
            </w:pPr>
            <w:r>
              <w:t>Wattyl Protective and Marine Coatings Seapro Cu120 Antifouling</w:t>
            </w:r>
          </w:p>
        </w:tc>
        <w:tc>
          <w:tcPr>
            <w:tcW w:w="0" w:type="auto"/>
            <w:tcMar>
              <w:left w:w="108" w:type="dxa"/>
              <w:right w:w="108" w:type="dxa"/>
            </w:tcMar>
          </w:tcPr>
          <w:p w14:paraId="6884FD44" w14:textId="77777777" w:rsidR="009E7B94" w:rsidRDefault="00F56B54" w:rsidP="00976FB6">
            <w:pPr>
              <w:pStyle w:val="TableText"/>
              <w:jc w:val="right"/>
            </w:pPr>
            <w:r>
              <w:t>52242</w:t>
            </w:r>
          </w:p>
        </w:tc>
        <w:tc>
          <w:tcPr>
            <w:tcW w:w="0" w:type="auto"/>
            <w:tcMar>
              <w:left w:w="108" w:type="dxa"/>
              <w:right w:w="108" w:type="dxa"/>
            </w:tcMar>
          </w:tcPr>
          <w:p w14:paraId="50F511BD" w14:textId="77777777" w:rsidR="009E7B94" w:rsidRDefault="00F56B54" w:rsidP="00976FB6">
            <w:pPr>
              <w:pStyle w:val="TableText"/>
              <w:jc w:val="right"/>
            </w:pPr>
            <w:r>
              <w:t>2000</w:t>
            </w:r>
          </w:p>
        </w:tc>
        <w:tc>
          <w:tcPr>
            <w:tcW w:w="0" w:type="auto"/>
            <w:tcMar>
              <w:left w:w="108" w:type="dxa"/>
              <w:right w:w="108" w:type="dxa"/>
            </w:tcMar>
          </w:tcPr>
          <w:p w14:paraId="64B6590C"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428315F3" w14:textId="77777777" w:rsidR="009E7B94" w:rsidRPr="00DB6631" w:rsidRDefault="00F56B54" w:rsidP="00976FB6">
            <w:pPr>
              <w:pStyle w:val="TableText"/>
              <w:jc w:val="center"/>
              <w:rPr>
                <w:b/>
                <w:bCs/>
              </w:rPr>
            </w:pPr>
            <w:r w:rsidRPr="00DB6631">
              <w:rPr>
                <w:b/>
                <w:bCs/>
              </w:rPr>
              <w:t>-</w:t>
            </w:r>
          </w:p>
        </w:tc>
        <w:tc>
          <w:tcPr>
            <w:tcW w:w="0" w:type="auto"/>
          </w:tcPr>
          <w:p w14:paraId="39EDD708" w14:textId="77777777" w:rsidR="009E7B94" w:rsidRPr="00DB6631" w:rsidRDefault="00F56B54" w:rsidP="00976FB6">
            <w:pPr>
              <w:pStyle w:val="TableText"/>
              <w:jc w:val="center"/>
              <w:rPr>
                <w:b/>
                <w:bCs/>
              </w:rPr>
            </w:pPr>
            <w:r w:rsidRPr="00DB6631">
              <w:rPr>
                <w:b/>
                <w:bCs/>
              </w:rPr>
              <w:t>+</w:t>
            </w:r>
          </w:p>
        </w:tc>
        <w:tc>
          <w:tcPr>
            <w:tcW w:w="0" w:type="auto"/>
          </w:tcPr>
          <w:p w14:paraId="745F19E1" w14:textId="77777777" w:rsidR="009E7B94" w:rsidRPr="00DB6631" w:rsidRDefault="00F56B54" w:rsidP="00976FB6">
            <w:pPr>
              <w:pStyle w:val="TableText"/>
              <w:jc w:val="center"/>
              <w:rPr>
                <w:b/>
                <w:bCs/>
              </w:rPr>
            </w:pPr>
            <w:r w:rsidRPr="00DB6631">
              <w:rPr>
                <w:b/>
                <w:bCs/>
              </w:rPr>
              <w:t>-</w:t>
            </w:r>
          </w:p>
        </w:tc>
        <w:tc>
          <w:tcPr>
            <w:tcW w:w="0" w:type="auto"/>
          </w:tcPr>
          <w:p w14:paraId="7F70D3FB" w14:textId="77777777" w:rsidR="009E7B94" w:rsidRPr="00DB6631" w:rsidRDefault="00F56B54" w:rsidP="00976FB6">
            <w:pPr>
              <w:pStyle w:val="TableText"/>
              <w:jc w:val="center"/>
              <w:rPr>
                <w:b/>
                <w:bCs/>
              </w:rPr>
            </w:pPr>
            <w:r w:rsidRPr="00DB6631">
              <w:rPr>
                <w:b/>
                <w:bCs/>
              </w:rPr>
              <w:t>-</w:t>
            </w:r>
          </w:p>
        </w:tc>
        <w:tc>
          <w:tcPr>
            <w:tcW w:w="0" w:type="auto"/>
          </w:tcPr>
          <w:p w14:paraId="26813F25" w14:textId="77777777" w:rsidR="009E7B94" w:rsidRPr="00DB6631" w:rsidRDefault="00F56B54" w:rsidP="00976FB6">
            <w:pPr>
              <w:pStyle w:val="TableText"/>
              <w:jc w:val="center"/>
              <w:rPr>
                <w:b/>
                <w:bCs/>
              </w:rPr>
            </w:pPr>
            <w:r w:rsidRPr="00DB6631">
              <w:rPr>
                <w:b/>
                <w:bCs/>
              </w:rPr>
              <w:t>-</w:t>
            </w:r>
          </w:p>
        </w:tc>
        <w:tc>
          <w:tcPr>
            <w:tcW w:w="0" w:type="auto"/>
          </w:tcPr>
          <w:p w14:paraId="476024C4" w14:textId="77777777" w:rsidR="009E7B94" w:rsidRPr="00DB6631" w:rsidRDefault="00F56B54" w:rsidP="00976FB6">
            <w:pPr>
              <w:pStyle w:val="TableText"/>
              <w:jc w:val="center"/>
              <w:rPr>
                <w:b/>
                <w:bCs/>
              </w:rPr>
            </w:pPr>
            <w:r w:rsidRPr="00DB6631">
              <w:rPr>
                <w:b/>
                <w:bCs/>
              </w:rPr>
              <w:t>-</w:t>
            </w:r>
          </w:p>
        </w:tc>
        <w:tc>
          <w:tcPr>
            <w:tcW w:w="0" w:type="auto"/>
          </w:tcPr>
          <w:p w14:paraId="4E6F4121" w14:textId="77777777" w:rsidR="009E7B94" w:rsidRPr="00DB6631" w:rsidRDefault="00F56B54" w:rsidP="00976FB6">
            <w:pPr>
              <w:pStyle w:val="TableText"/>
              <w:jc w:val="center"/>
              <w:rPr>
                <w:b/>
                <w:bCs/>
              </w:rPr>
            </w:pPr>
            <w:r w:rsidRPr="00DB6631">
              <w:rPr>
                <w:b/>
                <w:bCs/>
              </w:rPr>
              <w:t>-</w:t>
            </w:r>
          </w:p>
        </w:tc>
      </w:tr>
      <w:tr w:rsidR="004F6729" w14:paraId="27A326FE" w14:textId="77777777" w:rsidTr="001278A9">
        <w:trPr>
          <w:jc w:val="center"/>
        </w:trPr>
        <w:tc>
          <w:tcPr>
            <w:tcW w:w="0" w:type="auto"/>
            <w:tcMar>
              <w:left w:w="108" w:type="dxa"/>
              <w:right w:w="108" w:type="dxa"/>
            </w:tcMar>
          </w:tcPr>
          <w:p w14:paraId="4B9264E5" w14:textId="77777777" w:rsidR="009E7B94" w:rsidRPr="004F1FBA" w:rsidRDefault="00F56B54" w:rsidP="00976FB6">
            <w:pPr>
              <w:pStyle w:val="Normalsmall"/>
              <w:rPr>
                <w:rFonts w:eastAsia="Times New Roman"/>
                <w:lang w:eastAsia="en-AU"/>
              </w:rPr>
            </w:pPr>
            <w:r>
              <w:t>Wattyl Protective and Marine Coatings Seapro Plus 100 Antifouling</w:t>
            </w:r>
          </w:p>
        </w:tc>
        <w:tc>
          <w:tcPr>
            <w:tcW w:w="0" w:type="auto"/>
            <w:tcMar>
              <w:left w:w="108" w:type="dxa"/>
              <w:right w:w="108" w:type="dxa"/>
            </w:tcMar>
          </w:tcPr>
          <w:p w14:paraId="4A358493" w14:textId="77777777" w:rsidR="009E7B94" w:rsidRDefault="00F56B54" w:rsidP="00976FB6">
            <w:pPr>
              <w:pStyle w:val="TableText"/>
              <w:jc w:val="right"/>
            </w:pPr>
            <w:r>
              <w:t>62940</w:t>
            </w:r>
          </w:p>
        </w:tc>
        <w:tc>
          <w:tcPr>
            <w:tcW w:w="0" w:type="auto"/>
            <w:tcMar>
              <w:left w:w="108" w:type="dxa"/>
              <w:right w:w="108" w:type="dxa"/>
            </w:tcMar>
          </w:tcPr>
          <w:p w14:paraId="022BDE03" w14:textId="77777777" w:rsidR="009E7B94" w:rsidRDefault="00F56B54" w:rsidP="00976FB6">
            <w:pPr>
              <w:pStyle w:val="TableText"/>
              <w:jc w:val="right"/>
            </w:pPr>
            <w:r>
              <w:t>2008</w:t>
            </w:r>
          </w:p>
        </w:tc>
        <w:tc>
          <w:tcPr>
            <w:tcW w:w="0" w:type="auto"/>
            <w:tcMar>
              <w:left w:w="108" w:type="dxa"/>
              <w:right w:w="108" w:type="dxa"/>
            </w:tcMar>
          </w:tcPr>
          <w:p w14:paraId="67F0CE10"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1C1E25C4" w14:textId="77777777" w:rsidR="009E7B94" w:rsidRPr="00DB6631" w:rsidRDefault="00F56B54" w:rsidP="00976FB6">
            <w:pPr>
              <w:pStyle w:val="TableText"/>
              <w:jc w:val="center"/>
              <w:rPr>
                <w:b/>
                <w:bCs/>
              </w:rPr>
            </w:pPr>
            <w:r w:rsidRPr="00DB6631">
              <w:rPr>
                <w:b/>
                <w:bCs/>
              </w:rPr>
              <w:t>+</w:t>
            </w:r>
          </w:p>
        </w:tc>
        <w:tc>
          <w:tcPr>
            <w:tcW w:w="0" w:type="auto"/>
          </w:tcPr>
          <w:p w14:paraId="4B9B948A" w14:textId="77777777" w:rsidR="009E7B94" w:rsidRPr="00DB6631" w:rsidRDefault="00F56B54" w:rsidP="00976FB6">
            <w:pPr>
              <w:pStyle w:val="TableText"/>
              <w:jc w:val="center"/>
              <w:rPr>
                <w:b/>
                <w:bCs/>
              </w:rPr>
            </w:pPr>
            <w:r w:rsidRPr="00DB6631">
              <w:rPr>
                <w:b/>
                <w:bCs/>
              </w:rPr>
              <w:t>+</w:t>
            </w:r>
          </w:p>
        </w:tc>
        <w:tc>
          <w:tcPr>
            <w:tcW w:w="0" w:type="auto"/>
          </w:tcPr>
          <w:p w14:paraId="2A9E3EC9" w14:textId="77777777" w:rsidR="009E7B94" w:rsidRPr="00DB6631" w:rsidRDefault="00F56B54" w:rsidP="00976FB6">
            <w:pPr>
              <w:pStyle w:val="TableText"/>
              <w:jc w:val="center"/>
              <w:rPr>
                <w:b/>
                <w:bCs/>
              </w:rPr>
            </w:pPr>
            <w:r w:rsidRPr="00DB6631">
              <w:rPr>
                <w:b/>
                <w:bCs/>
              </w:rPr>
              <w:t>-</w:t>
            </w:r>
          </w:p>
        </w:tc>
        <w:tc>
          <w:tcPr>
            <w:tcW w:w="0" w:type="auto"/>
          </w:tcPr>
          <w:p w14:paraId="13DB77E5" w14:textId="77777777" w:rsidR="009E7B94" w:rsidRPr="00DB6631" w:rsidRDefault="00F56B54" w:rsidP="00976FB6">
            <w:pPr>
              <w:pStyle w:val="TableText"/>
              <w:jc w:val="center"/>
              <w:rPr>
                <w:b/>
                <w:bCs/>
              </w:rPr>
            </w:pPr>
            <w:r w:rsidRPr="00DB6631">
              <w:rPr>
                <w:b/>
                <w:bCs/>
              </w:rPr>
              <w:t>-</w:t>
            </w:r>
          </w:p>
        </w:tc>
        <w:tc>
          <w:tcPr>
            <w:tcW w:w="0" w:type="auto"/>
          </w:tcPr>
          <w:p w14:paraId="65933B9E" w14:textId="77777777" w:rsidR="009E7B94" w:rsidRPr="00DB6631" w:rsidRDefault="00F56B54" w:rsidP="00976FB6">
            <w:pPr>
              <w:pStyle w:val="TableText"/>
              <w:jc w:val="center"/>
              <w:rPr>
                <w:b/>
                <w:bCs/>
              </w:rPr>
            </w:pPr>
            <w:r w:rsidRPr="00DB6631">
              <w:rPr>
                <w:b/>
                <w:bCs/>
              </w:rPr>
              <w:t>-</w:t>
            </w:r>
          </w:p>
        </w:tc>
        <w:tc>
          <w:tcPr>
            <w:tcW w:w="0" w:type="auto"/>
          </w:tcPr>
          <w:p w14:paraId="5C631BC6" w14:textId="77777777" w:rsidR="009E7B94" w:rsidRPr="00DB6631" w:rsidRDefault="00F56B54" w:rsidP="00976FB6">
            <w:pPr>
              <w:pStyle w:val="TableText"/>
              <w:jc w:val="center"/>
              <w:rPr>
                <w:b/>
                <w:bCs/>
              </w:rPr>
            </w:pPr>
            <w:r w:rsidRPr="00DB6631">
              <w:rPr>
                <w:b/>
                <w:bCs/>
              </w:rPr>
              <w:t>-</w:t>
            </w:r>
          </w:p>
        </w:tc>
        <w:tc>
          <w:tcPr>
            <w:tcW w:w="0" w:type="auto"/>
          </w:tcPr>
          <w:p w14:paraId="612D730A" w14:textId="77777777" w:rsidR="009E7B94" w:rsidRPr="00DB6631" w:rsidRDefault="00F56B54" w:rsidP="00976FB6">
            <w:pPr>
              <w:pStyle w:val="TableText"/>
              <w:jc w:val="center"/>
              <w:rPr>
                <w:b/>
                <w:bCs/>
              </w:rPr>
            </w:pPr>
            <w:r w:rsidRPr="00DB6631">
              <w:rPr>
                <w:b/>
                <w:bCs/>
              </w:rPr>
              <w:t>-</w:t>
            </w:r>
          </w:p>
        </w:tc>
      </w:tr>
      <w:tr w:rsidR="004F6729" w14:paraId="75175D5D" w14:textId="77777777" w:rsidTr="00C61E5A">
        <w:trPr>
          <w:jc w:val="center"/>
        </w:trPr>
        <w:tc>
          <w:tcPr>
            <w:tcW w:w="0" w:type="auto"/>
            <w:gridSpan w:val="11"/>
            <w:tcMar>
              <w:left w:w="108" w:type="dxa"/>
              <w:right w:w="108" w:type="dxa"/>
            </w:tcMar>
          </w:tcPr>
          <w:p w14:paraId="391BA861" w14:textId="77777777" w:rsidR="009600DA" w:rsidRPr="00DB6631" w:rsidRDefault="00F56B54" w:rsidP="003378D5">
            <w:pPr>
              <w:pStyle w:val="TableText"/>
              <w:rPr>
                <w:b/>
                <w:bCs/>
              </w:rPr>
            </w:pPr>
            <w:r>
              <w:t>WAGON PAINTS AUSTRALIA PTY LTD</w:t>
            </w:r>
          </w:p>
        </w:tc>
      </w:tr>
      <w:tr w:rsidR="004F6729" w14:paraId="29BDF79A" w14:textId="77777777" w:rsidTr="001278A9">
        <w:trPr>
          <w:jc w:val="center"/>
        </w:trPr>
        <w:tc>
          <w:tcPr>
            <w:tcW w:w="0" w:type="auto"/>
            <w:tcMar>
              <w:left w:w="108" w:type="dxa"/>
              <w:right w:w="108" w:type="dxa"/>
            </w:tcMar>
          </w:tcPr>
          <w:p w14:paraId="1C65A79B" w14:textId="77777777" w:rsidR="009E7B94" w:rsidRPr="004F1FBA" w:rsidRDefault="00F56B54" w:rsidP="00976FB6">
            <w:pPr>
              <w:pStyle w:val="Normalsmall"/>
              <w:rPr>
                <w:rFonts w:eastAsia="Times New Roman"/>
                <w:lang w:eastAsia="en-AU"/>
              </w:rPr>
            </w:pPr>
            <w:r>
              <w:t>Transocean Optima Antifouling 2.32</w:t>
            </w:r>
          </w:p>
        </w:tc>
        <w:tc>
          <w:tcPr>
            <w:tcW w:w="0" w:type="auto"/>
            <w:tcMar>
              <w:left w:w="108" w:type="dxa"/>
              <w:right w:w="108" w:type="dxa"/>
            </w:tcMar>
          </w:tcPr>
          <w:p w14:paraId="02DBB1AA" w14:textId="77777777" w:rsidR="009E7B94" w:rsidRDefault="00F56B54" w:rsidP="00976FB6">
            <w:pPr>
              <w:pStyle w:val="TableText"/>
              <w:jc w:val="right"/>
            </w:pPr>
            <w:r>
              <w:t>84506</w:t>
            </w:r>
          </w:p>
        </w:tc>
        <w:tc>
          <w:tcPr>
            <w:tcW w:w="0" w:type="auto"/>
            <w:tcMar>
              <w:left w:w="108" w:type="dxa"/>
              <w:right w:w="108" w:type="dxa"/>
            </w:tcMar>
          </w:tcPr>
          <w:p w14:paraId="413B7DC1" w14:textId="77777777" w:rsidR="009E7B94" w:rsidRDefault="00F56B54" w:rsidP="00976FB6">
            <w:pPr>
              <w:pStyle w:val="TableText"/>
              <w:jc w:val="right"/>
            </w:pPr>
            <w:r>
              <w:t>2018</w:t>
            </w:r>
          </w:p>
        </w:tc>
        <w:tc>
          <w:tcPr>
            <w:tcW w:w="0" w:type="auto"/>
            <w:tcMar>
              <w:left w:w="108" w:type="dxa"/>
              <w:right w:w="108" w:type="dxa"/>
            </w:tcMar>
          </w:tcPr>
          <w:p w14:paraId="22543B65" w14:textId="77777777" w:rsidR="009E7B94" w:rsidRPr="00DB6631" w:rsidRDefault="00F56B54" w:rsidP="00976FB6">
            <w:pPr>
              <w:pStyle w:val="TableText"/>
              <w:jc w:val="center"/>
              <w:rPr>
                <w:b/>
                <w:bCs/>
              </w:rPr>
            </w:pPr>
            <w:r w:rsidRPr="00DB6631">
              <w:rPr>
                <w:b/>
                <w:bCs/>
              </w:rPr>
              <w:t>+</w:t>
            </w:r>
          </w:p>
        </w:tc>
        <w:tc>
          <w:tcPr>
            <w:tcW w:w="0" w:type="auto"/>
            <w:tcMar>
              <w:left w:w="108" w:type="dxa"/>
              <w:right w:w="108" w:type="dxa"/>
            </w:tcMar>
          </w:tcPr>
          <w:p w14:paraId="147759DA" w14:textId="77777777" w:rsidR="009E7B94" w:rsidRPr="00DB6631" w:rsidRDefault="00F56B54" w:rsidP="00976FB6">
            <w:pPr>
              <w:pStyle w:val="TableText"/>
              <w:jc w:val="center"/>
              <w:rPr>
                <w:b/>
                <w:bCs/>
              </w:rPr>
            </w:pPr>
            <w:r w:rsidRPr="00DB6631">
              <w:rPr>
                <w:b/>
                <w:bCs/>
              </w:rPr>
              <w:t>-</w:t>
            </w:r>
          </w:p>
        </w:tc>
        <w:tc>
          <w:tcPr>
            <w:tcW w:w="0" w:type="auto"/>
          </w:tcPr>
          <w:p w14:paraId="41BEB099" w14:textId="77777777" w:rsidR="009E7B94" w:rsidRPr="00DB6631" w:rsidRDefault="00F56B54" w:rsidP="00976FB6">
            <w:pPr>
              <w:pStyle w:val="TableText"/>
              <w:jc w:val="center"/>
              <w:rPr>
                <w:b/>
                <w:bCs/>
              </w:rPr>
            </w:pPr>
            <w:r w:rsidRPr="00DB6631">
              <w:rPr>
                <w:b/>
                <w:bCs/>
              </w:rPr>
              <w:t>-</w:t>
            </w:r>
          </w:p>
        </w:tc>
        <w:tc>
          <w:tcPr>
            <w:tcW w:w="0" w:type="auto"/>
          </w:tcPr>
          <w:p w14:paraId="4B89C475" w14:textId="77777777" w:rsidR="009E7B94" w:rsidRPr="00DB6631" w:rsidRDefault="00F56B54" w:rsidP="00976FB6">
            <w:pPr>
              <w:pStyle w:val="TableText"/>
              <w:jc w:val="center"/>
              <w:rPr>
                <w:b/>
                <w:bCs/>
              </w:rPr>
            </w:pPr>
            <w:r w:rsidRPr="00DB6631">
              <w:rPr>
                <w:b/>
                <w:bCs/>
              </w:rPr>
              <w:t>-</w:t>
            </w:r>
          </w:p>
        </w:tc>
        <w:tc>
          <w:tcPr>
            <w:tcW w:w="0" w:type="auto"/>
          </w:tcPr>
          <w:p w14:paraId="7F42A566" w14:textId="77777777" w:rsidR="009E7B94" w:rsidRPr="00DB6631" w:rsidRDefault="00F56B54" w:rsidP="00976FB6">
            <w:pPr>
              <w:pStyle w:val="TableText"/>
              <w:jc w:val="center"/>
              <w:rPr>
                <w:b/>
                <w:bCs/>
              </w:rPr>
            </w:pPr>
            <w:r w:rsidRPr="00DB6631">
              <w:rPr>
                <w:b/>
                <w:bCs/>
              </w:rPr>
              <w:t>-</w:t>
            </w:r>
          </w:p>
        </w:tc>
        <w:tc>
          <w:tcPr>
            <w:tcW w:w="0" w:type="auto"/>
          </w:tcPr>
          <w:p w14:paraId="3AD045A6" w14:textId="77777777" w:rsidR="009E7B94" w:rsidRPr="00DB6631" w:rsidRDefault="00F56B54" w:rsidP="00976FB6">
            <w:pPr>
              <w:pStyle w:val="TableText"/>
              <w:jc w:val="center"/>
              <w:rPr>
                <w:b/>
                <w:bCs/>
              </w:rPr>
            </w:pPr>
            <w:r w:rsidRPr="00DB6631">
              <w:rPr>
                <w:b/>
                <w:bCs/>
              </w:rPr>
              <w:t>-</w:t>
            </w:r>
          </w:p>
        </w:tc>
        <w:tc>
          <w:tcPr>
            <w:tcW w:w="0" w:type="auto"/>
          </w:tcPr>
          <w:p w14:paraId="630CB410" w14:textId="77777777" w:rsidR="009E7B94" w:rsidRPr="00DB6631" w:rsidRDefault="00F56B54" w:rsidP="00976FB6">
            <w:pPr>
              <w:pStyle w:val="TableText"/>
              <w:jc w:val="center"/>
              <w:rPr>
                <w:b/>
                <w:bCs/>
              </w:rPr>
            </w:pPr>
            <w:r w:rsidRPr="00DB6631">
              <w:rPr>
                <w:b/>
                <w:bCs/>
              </w:rPr>
              <w:t>-</w:t>
            </w:r>
          </w:p>
        </w:tc>
        <w:tc>
          <w:tcPr>
            <w:tcW w:w="0" w:type="auto"/>
          </w:tcPr>
          <w:p w14:paraId="7964C3F1" w14:textId="77777777" w:rsidR="009E7B94" w:rsidRPr="00DB6631" w:rsidRDefault="00F56B54" w:rsidP="00976FB6">
            <w:pPr>
              <w:pStyle w:val="TableText"/>
              <w:jc w:val="center"/>
              <w:rPr>
                <w:b/>
                <w:bCs/>
              </w:rPr>
            </w:pPr>
            <w:r w:rsidRPr="00DB6631">
              <w:rPr>
                <w:b/>
                <w:bCs/>
              </w:rPr>
              <w:t>-</w:t>
            </w:r>
          </w:p>
        </w:tc>
      </w:tr>
      <w:tr w:rsidR="004F6729" w14:paraId="639FE345" w14:textId="77777777" w:rsidTr="001278A9">
        <w:trPr>
          <w:jc w:val="center"/>
        </w:trPr>
        <w:tc>
          <w:tcPr>
            <w:tcW w:w="0" w:type="auto"/>
            <w:tcMar>
              <w:left w:w="108" w:type="dxa"/>
              <w:right w:w="108" w:type="dxa"/>
            </w:tcMar>
            <w:vAlign w:val="bottom"/>
          </w:tcPr>
          <w:p w14:paraId="77D09CF1" w14:textId="77777777" w:rsidR="009E7B94" w:rsidRDefault="00F56B54" w:rsidP="00976FB6">
            <w:pPr>
              <w:pStyle w:val="Normalsmall"/>
              <w:jc w:val="right"/>
            </w:pPr>
            <w:r>
              <w:t>TOTALS</w:t>
            </w:r>
          </w:p>
        </w:tc>
        <w:tc>
          <w:tcPr>
            <w:tcW w:w="0" w:type="auto"/>
            <w:tcMar>
              <w:left w:w="108" w:type="dxa"/>
              <w:right w:w="108" w:type="dxa"/>
            </w:tcMar>
          </w:tcPr>
          <w:p w14:paraId="1921CD21" w14:textId="77777777" w:rsidR="009E7B94" w:rsidRDefault="00F56B54" w:rsidP="00976FB6">
            <w:pPr>
              <w:pStyle w:val="TableText"/>
              <w:spacing w:after="120"/>
              <w:jc w:val="center"/>
            </w:pPr>
            <w:r>
              <w:t>52</w:t>
            </w:r>
          </w:p>
        </w:tc>
        <w:tc>
          <w:tcPr>
            <w:tcW w:w="0" w:type="auto"/>
            <w:tcMar>
              <w:left w:w="108" w:type="dxa"/>
              <w:right w:w="108" w:type="dxa"/>
            </w:tcMar>
          </w:tcPr>
          <w:p w14:paraId="40C71CF7" w14:textId="77777777" w:rsidR="009E7B94" w:rsidRDefault="009E7B94" w:rsidP="00976FB6">
            <w:pPr>
              <w:pStyle w:val="TableText"/>
              <w:spacing w:after="120"/>
              <w:jc w:val="center"/>
            </w:pPr>
          </w:p>
        </w:tc>
        <w:tc>
          <w:tcPr>
            <w:tcW w:w="0" w:type="auto"/>
            <w:tcMar>
              <w:left w:w="108" w:type="dxa"/>
              <w:right w:w="108" w:type="dxa"/>
            </w:tcMar>
          </w:tcPr>
          <w:p w14:paraId="31AF0F7D" w14:textId="77777777" w:rsidR="009E7B94" w:rsidRDefault="00F56B54" w:rsidP="00976FB6">
            <w:pPr>
              <w:pStyle w:val="TableText"/>
              <w:spacing w:after="120"/>
              <w:jc w:val="center"/>
            </w:pPr>
            <w:r>
              <w:t>41</w:t>
            </w:r>
          </w:p>
        </w:tc>
        <w:tc>
          <w:tcPr>
            <w:tcW w:w="0" w:type="auto"/>
            <w:tcMar>
              <w:left w:w="108" w:type="dxa"/>
              <w:right w:w="108" w:type="dxa"/>
            </w:tcMar>
          </w:tcPr>
          <w:p w14:paraId="23F20D7F" w14:textId="77777777" w:rsidR="009E7B94" w:rsidRDefault="00F56B54" w:rsidP="00976FB6">
            <w:pPr>
              <w:pStyle w:val="TableText"/>
              <w:spacing w:after="120"/>
              <w:jc w:val="center"/>
            </w:pPr>
            <w:r>
              <w:t>9</w:t>
            </w:r>
          </w:p>
        </w:tc>
        <w:tc>
          <w:tcPr>
            <w:tcW w:w="0" w:type="auto"/>
          </w:tcPr>
          <w:p w14:paraId="17FC87DF" w14:textId="77777777" w:rsidR="009E7B94" w:rsidRDefault="00F56B54" w:rsidP="00976FB6">
            <w:pPr>
              <w:pStyle w:val="TableText"/>
              <w:spacing w:after="120"/>
              <w:jc w:val="center"/>
            </w:pPr>
            <w:r>
              <w:t>8</w:t>
            </w:r>
          </w:p>
        </w:tc>
        <w:tc>
          <w:tcPr>
            <w:tcW w:w="0" w:type="auto"/>
          </w:tcPr>
          <w:p w14:paraId="4DF53B78" w14:textId="77777777" w:rsidR="009E7B94" w:rsidRDefault="00F56B54" w:rsidP="00976FB6">
            <w:pPr>
              <w:pStyle w:val="TableText"/>
              <w:spacing w:after="120"/>
              <w:jc w:val="center"/>
            </w:pPr>
            <w:r>
              <w:t>7</w:t>
            </w:r>
          </w:p>
        </w:tc>
        <w:tc>
          <w:tcPr>
            <w:tcW w:w="0" w:type="auto"/>
          </w:tcPr>
          <w:p w14:paraId="53F7530B" w14:textId="77777777" w:rsidR="009E7B94" w:rsidRDefault="00F56B54" w:rsidP="00976FB6">
            <w:pPr>
              <w:pStyle w:val="TableText"/>
              <w:spacing w:after="120"/>
              <w:jc w:val="center"/>
            </w:pPr>
            <w:r>
              <w:t>6</w:t>
            </w:r>
          </w:p>
        </w:tc>
        <w:tc>
          <w:tcPr>
            <w:tcW w:w="0" w:type="auto"/>
          </w:tcPr>
          <w:p w14:paraId="5239AEC7" w14:textId="77777777" w:rsidR="009E7B94" w:rsidRDefault="00F56B54" w:rsidP="00976FB6">
            <w:pPr>
              <w:pStyle w:val="TableText"/>
              <w:spacing w:after="120"/>
              <w:jc w:val="center"/>
            </w:pPr>
            <w:r>
              <w:t>3</w:t>
            </w:r>
          </w:p>
        </w:tc>
        <w:tc>
          <w:tcPr>
            <w:tcW w:w="0" w:type="auto"/>
          </w:tcPr>
          <w:p w14:paraId="09F2E3B6" w14:textId="77777777" w:rsidR="009E7B94" w:rsidRDefault="00F56B54" w:rsidP="00976FB6">
            <w:pPr>
              <w:pStyle w:val="TableText"/>
              <w:spacing w:after="120"/>
              <w:jc w:val="center"/>
            </w:pPr>
            <w:r>
              <w:t>9</w:t>
            </w:r>
          </w:p>
        </w:tc>
        <w:tc>
          <w:tcPr>
            <w:tcW w:w="0" w:type="auto"/>
          </w:tcPr>
          <w:p w14:paraId="4616614F" w14:textId="77777777" w:rsidR="009E7B94" w:rsidRDefault="00F56B54" w:rsidP="00976FB6">
            <w:pPr>
              <w:pStyle w:val="TableText"/>
              <w:spacing w:after="120"/>
              <w:jc w:val="center"/>
            </w:pPr>
            <w:r>
              <w:t>10</w:t>
            </w:r>
          </w:p>
        </w:tc>
      </w:tr>
    </w:tbl>
    <w:p w14:paraId="07DECA87" w14:textId="77777777" w:rsidR="00764D6A" w:rsidRDefault="00F56B54">
      <w:pPr>
        <w:pStyle w:val="FigureTableNoteSource"/>
      </w:pPr>
      <w:r>
        <w:t xml:space="preserve">Source: Australian </w:t>
      </w:r>
      <w:r w:rsidR="006F0813">
        <w:t>Pesticides and Veterinary Medicines Authority</w:t>
      </w:r>
    </w:p>
    <w:p w14:paraId="090C4535" w14:textId="77777777" w:rsidR="00764D6A" w:rsidRDefault="00764D6A" w:rsidP="00732BDA">
      <w:pPr>
        <w:pStyle w:val="Caption"/>
      </w:pPr>
    </w:p>
    <w:p w14:paraId="36C7C384" w14:textId="77777777" w:rsidR="00764D6A" w:rsidRDefault="00764D6A">
      <w:pPr>
        <w:sectPr w:rsidR="00764D6A">
          <w:pgSz w:w="16838" w:h="11906" w:orient="landscape"/>
          <w:pgMar w:top="1418" w:right="1418" w:bottom="1418" w:left="1418" w:header="567" w:footer="283" w:gutter="0"/>
          <w:cols w:space="708"/>
          <w:docGrid w:linePitch="360"/>
        </w:sectPr>
      </w:pPr>
    </w:p>
    <w:p w14:paraId="28A480D0" w14:textId="77777777" w:rsidR="00914497" w:rsidRDefault="00F56B54" w:rsidP="001F288E">
      <w:pPr>
        <w:pStyle w:val="Heading2"/>
        <w:numPr>
          <w:ilvl w:val="0"/>
          <w:numId w:val="0"/>
        </w:numPr>
      </w:pPr>
      <w:bookmarkStart w:id="87" w:name="_Toc50117690"/>
      <w:bookmarkStart w:id="88" w:name="_Toc430782161"/>
      <w:r>
        <w:lastRenderedPageBreak/>
        <w:t xml:space="preserve">Appendix </w:t>
      </w:r>
      <w:r w:rsidR="00CD1C58">
        <w:t>B</w:t>
      </w:r>
      <w:r>
        <w:t xml:space="preserve">: Risk </w:t>
      </w:r>
      <w:r w:rsidR="009E7B94">
        <w:t>a</w:t>
      </w:r>
      <w:r>
        <w:t xml:space="preserve">ssessment of </w:t>
      </w:r>
      <w:r w:rsidR="009E7B94">
        <w:t>c</w:t>
      </w:r>
      <w:r>
        <w:t xml:space="preserve">hemical </w:t>
      </w:r>
      <w:r w:rsidR="009E7B94">
        <w:t>d</w:t>
      </w:r>
      <w:r>
        <w:t xml:space="preserve">ischarge from </w:t>
      </w:r>
      <w:r w:rsidR="009E7B94">
        <w:t>i</w:t>
      </w:r>
      <w:r>
        <w:t>n-</w:t>
      </w:r>
      <w:r w:rsidR="009E7B94">
        <w:t>w</w:t>
      </w:r>
      <w:r>
        <w:t xml:space="preserve">ater </w:t>
      </w:r>
      <w:r w:rsidR="009E7B94">
        <w:t>c</w:t>
      </w:r>
      <w:r>
        <w:t>leaning</w:t>
      </w:r>
      <w:bookmarkEnd w:id="87"/>
    </w:p>
    <w:p w14:paraId="49EE6794" w14:textId="77777777" w:rsidR="008036D4" w:rsidRDefault="00F56B54" w:rsidP="00F008B9">
      <w:pPr>
        <w:pStyle w:val="TOCHeading2"/>
      </w:pPr>
      <w:r>
        <w:t>Application of MAMPEC Modelling</w:t>
      </w:r>
    </w:p>
    <w:p w14:paraId="5A08858F" w14:textId="77777777" w:rsidR="00914497" w:rsidRDefault="00914497" w:rsidP="00914497"/>
    <w:p w14:paraId="13F8B544" w14:textId="77777777" w:rsidR="00914497" w:rsidRDefault="00F56B54" w:rsidP="00914497">
      <w:r>
        <w:t>Included with permission of CleanSubSea, Henderson, WA</w:t>
      </w:r>
    </w:p>
    <w:p w14:paraId="474E9DE9" w14:textId="77777777" w:rsidR="00914497" w:rsidRDefault="00F56B54">
      <w:pPr>
        <w:spacing w:after="0" w:line="240" w:lineRule="auto"/>
      </w:pPr>
      <w:r>
        <w:br w:type="page"/>
      </w:r>
    </w:p>
    <w:p w14:paraId="2E0CD3EE" w14:textId="77777777" w:rsidR="00914497" w:rsidRDefault="00F56B54" w:rsidP="003354C7">
      <w:pPr>
        <w:jc w:val="center"/>
      </w:pPr>
      <w:r>
        <w:rPr>
          <w:noProof/>
          <w:lang w:eastAsia="en-AU"/>
        </w:rPr>
        <w:lastRenderedPageBreak/>
        <w:drawing>
          <wp:inline distT="0" distB="0" distL="0" distR="0" wp14:anchorId="2D57BE90" wp14:editId="1A365968">
            <wp:extent cx="5464867" cy="7930056"/>
            <wp:effectExtent l="19050" t="19050" r="21590" b="139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68005" name="Report Cover.jpg"/>
                    <pic:cNvPicPr/>
                  </pic:nvPicPr>
                  <pic:blipFill>
                    <a:blip r:embed="rId20">
                      <a:extLst>
                        <a:ext uri="{28A0092B-C50C-407E-A947-70E740481C1C}">
                          <a14:useLocalDpi xmlns:a14="http://schemas.microsoft.com/office/drawing/2010/main" val="0"/>
                        </a:ext>
                      </a:extLst>
                    </a:blip>
                    <a:stretch>
                      <a:fillRect/>
                    </a:stretch>
                  </pic:blipFill>
                  <pic:spPr>
                    <a:xfrm>
                      <a:off x="0" y="0"/>
                      <a:ext cx="5485156" cy="7959497"/>
                    </a:xfrm>
                    <a:prstGeom prst="rect">
                      <a:avLst/>
                    </a:prstGeom>
                    <a:ln w="6350">
                      <a:solidFill>
                        <a:schemeClr val="tx1"/>
                      </a:solidFill>
                    </a:ln>
                  </pic:spPr>
                </pic:pic>
              </a:graphicData>
            </a:graphic>
          </wp:inline>
        </w:drawing>
      </w:r>
    </w:p>
    <w:p w14:paraId="3D2B1499" w14:textId="77777777" w:rsidR="00762899" w:rsidRDefault="00F56B54">
      <w:pPr>
        <w:spacing w:after="0" w:line="240" w:lineRule="auto"/>
      </w:pPr>
      <w:r>
        <w:br w:type="page"/>
      </w:r>
    </w:p>
    <w:p w14:paraId="38C201D5" w14:textId="77777777" w:rsidR="00DE21DC" w:rsidRDefault="00F56B54" w:rsidP="00DE21DC">
      <w:pPr>
        <w:pStyle w:val="CoverTitle"/>
        <w:jc w:val="center"/>
        <w:rPr>
          <w:rFonts w:asciiTheme="minorHAnsi" w:hAnsiTheme="minorHAnsi"/>
          <w:sz w:val="28"/>
          <w:szCs w:val="28"/>
        </w:rPr>
      </w:pPr>
      <w:r>
        <w:rPr>
          <w:rFonts w:asciiTheme="minorHAnsi" w:hAnsiTheme="minorHAnsi"/>
          <w:sz w:val="28"/>
          <w:szCs w:val="28"/>
        </w:rPr>
        <w:lastRenderedPageBreak/>
        <w:t>Risk Assessment of Chemical Discharge from In-Water Cleaning</w:t>
      </w:r>
    </w:p>
    <w:p w14:paraId="05CD1077" w14:textId="77777777" w:rsidR="00DE21DC" w:rsidRDefault="00F56B54" w:rsidP="00DE21DC">
      <w:pPr>
        <w:pStyle w:val="CoverTitle"/>
        <w:jc w:val="center"/>
        <w:rPr>
          <w:rFonts w:asciiTheme="minorHAnsi" w:hAnsiTheme="minorHAnsi"/>
          <w:sz w:val="28"/>
          <w:szCs w:val="28"/>
        </w:rPr>
      </w:pPr>
      <w:r>
        <w:rPr>
          <w:rFonts w:asciiTheme="minorHAnsi" w:hAnsiTheme="minorHAnsi"/>
          <w:sz w:val="28"/>
          <w:szCs w:val="28"/>
        </w:rPr>
        <w:t>application of MAMPEC Modelling</w:t>
      </w:r>
    </w:p>
    <w:p w14:paraId="26FD4EAB" w14:textId="77777777" w:rsidR="00DE21DC" w:rsidRDefault="00DE21DC" w:rsidP="00DE21DC">
      <w:pPr>
        <w:pStyle w:val="CoverTitle"/>
        <w:jc w:val="center"/>
        <w:rPr>
          <w:rFonts w:asciiTheme="minorHAnsi" w:hAnsiTheme="minorHAnsi"/>
          <w:sz w:val="28"/>
          <w:szCs w:val="28"/>
        </w:rPr>
      </w:pPr>
    </w:p>
    <w:p w14:paraId="5EBFBAC1" w14:textId="77777777" w:rsidR="00827747" w:rsidRDefault="00F56B54" w:rsidP="00DE21DC">
      <w:pPr>
        <w:pStyle w:val="CoverTitle"/>
        <w:jc w:val="center"/>
        <w:rPr>
          <w:rFonts w:asciiTheme="minorHAnsi" w:hAnsiTheme="minorHAnsi"/>
          <w:caps w:val="0"/>
          <w:sz w:val="28"/>
          <w:szCs w:val="28"/>
        </w:rPr>
      </w:pPr>
      <w:r>
        <w:rPr>
          <w:rFonts w:asciiTheme="minorHAnsi" w:hAnsiTheme="minorHAnsi"/>
          <w:caps w:val="0"/>
          <w:sz w:val="24"/>
          <w:szCs w:val="24"/>
        </w:rPr>
        <w:t>Report to CleanSubSea, Henderson, WA</w:t>
      </w:r>
    </w:p>
    <w:p w14:paraId="7C6C66A3" w14:textId="77777777" w:rsidR="00DE21DC" w:rsidRDefault="00DE21DC" w:rsidP="00DE21DC">
      <w:pPr>
        <w:jc w:val="both"/>
        <w:rPr>
          <w:rFonts w:asciiTheme="minorHAnsi" w:hAnsiTheme="minorHAnsi"/>
        </w:rPr>
      </w:pPr>
    </w:p>
    <w:p w14:paraId="65AA63F6" w14:textId="77777777" w:rsidR="00DE21DC" w:rsidRDefault="00F56B54" w:rsidP="00DE21DC">
      <w:pPr>
        <w:jc w:val="center"/>
        <w:rPr>
          <w:rFonts w:asciiTheme="minorHAnsi" w:hAnsiTheme="minorHAnsi"/>
          <w:sz w:val="20"/>
          <w:szCs w:val="20"/>
        </w:rPr>
      </w:pPr>
      <w:r>
        <w:rPr>
          <w:rFonts w:asciiTheme="minorHAnsi" w:hAnsiTheme="minorHAnsi"/>
          <w:sz w:val="20"/>
          <w:szCs w:val="20"/>
        </w:rPr>
        <w:t>John A Lewis, ES Link Services Pty Ltd</w:t>
      </w:r>
    </w:p>
    <w:p w14:paraId="54C9D22C" w14:textId="77777777" w:rsidR="00DE21DC" w:rsidRDefault="00F56B54" w:rsidP="00DE21DC">
      <w:pPr>
        <w:jc w:val="center"/>
        <w:rPr>
          <w:rFonts w:asciiTheme="minorHAnsi" w:hAnsiTheme="minorHAnsi"/>
          <w:sz w:val="20"/>
          <w:szCs w:val="20"/>
        </w:rPr>
      </w:pPr>
      <w:r>
        <w:rPr>
          <w:rFonts w:asciiTheme="minorHAnsi" w:hAnsiTheme="minorHAnsi"/>
          <w:sz w:val="20"/>
          <w:szCs w:val="20"/>
        </w:rPr>
        <w:t>January 2020</w:t>
      </w:r>
    </w:p>
    <w:p w14:paraId="5D90BAD9" w14:textId="77777777" w:rsidR="00DE21DC" w:rsidRDefault="00F56B54" w:rsidP="00DE21DC">
      <w:pPr>
        <w:jc w:val="both"/>
        <w:rPr>
          <w:rFonts w:asciiTheme="minorHAnsi" w:hAnsiTheme="minorHAnsi"/>
          <w:sz w:val="20"/>
          <w:szCs w:val="20"/>
        </w:rPr>
      </w:pPr>
      <w:r>
        <w:rPr>
          <w:rFonts w:asciiTheme="minorHAnsi" w:hAnsiTheme="minorHAnsi"/>
          <w:sz w:val="20"/>
          <w:szCs w:val="20"/>
        </w:rPr>
        <w:t>In-water cleaning of vessels to remove biofouling is increasingly promoted as a tool to minimise the environmental impact of shipping by reducing hull friction which, in turn, reduces fuel consumption and consequent greenhouse gas emissions, and to minimise the risk of translocating potentially invasive marine species. However, in-water cleaning is considered to itself pose an environmental risk by the release and potential accumulation in the environment of chemical contaminants from the vessel’s hull coating(s), and the release of non-indigenous species (as adults, larvae or viable propagules) into new environments</w:t>
      </w:r>
      <w:r>
        <w:rPr>
          <w:rStyle w:val="FootnoteReference"/>
          <w:rFonts w:asciiTheme="minorHAnsi" w:hAnsiTheme="minorHAnsi"/>
          <w:sz w:val="20"/>
          <w:szCs w:val="20"/>
        </w:rPr>
        <w:footnoteReference w:id="2"/>
      </w:r>
      <w:r>
        <w:rPr>
          <w:rFonts w:asciiTheme="minorHAnsi" w:hAnsiTheme="minorHAnsi"/>
          <w:sz w:val="20"/>
          <w:szCs w:val="20"/>
        </w:rPr>
        <w:t>. The latter concerns have led to restriction or banning of in-water cleaning by some jurisdictions.</w:t>
      </w:r>
    </w:p>
    <w:p w14:paraId="145D0102" w14:textId="77777777" w:rsidR="00827747" w:rsidRDefault="00F56B54" w:rsidP="00DE21DC">
      <w:pPr>
        <w:jc w:val="both"/>
        <w:rPr>
          <w:rFonts w:asciiTheme="minorHAnsi" w:hAnsiTheme="minorHAnsi"/>
          <w:sz w:val="20"/>
          <w:szCs w:val="20"/>
        </w:rPr>
      </w:pPr>
      <w:r>
        <w:rPr>
          <w:rFonts w:asciiTheme="minorHAnsi" w:hAnsiTheme="minorHAnsi"/>
          <w:sz w:val="20"/>
          <w:szCs w:val="20"/>
        </w:rPr>
        <w:t>To address the environmental risks posed by in-water cleaning, the Australian and New Zealand Governments developed guidelines on best practice for the management of biofouling that included the intention of assisting authorities with decisions on the appropriateness of in-water cleaning operations in general, and on a case-by-case basis</w:t>
      </w:r>
      <w:r>
        <w:rPr>
          <w:rStyle w:val="FootnoteReference"/>
          <w:rFonts w:asciiTheme="minorHAnsi" w:hAnsiTheme="minorHAnsi"/>
          <w:sz w:val="20"/>
          <w:szCs w:val="20"/>
        </w:rPr>
        <w:footnoteReference w:id="3"/>
      </w:r>
      <w:r>
        <w:rPr>
          <w:rFonts w:asciiTheme="minorHAnsi" w:hAnsiTheme="minorHAnsi"/>
          <w:sz w:val="20"/>
          <w:szCs w:val="20"/>
        </w:rPr>
        <w:t xml:space="preserve">. The guidelines include “recommendations for decision making on in-water cleaning” and a decision support tool to aid decision making on in-water cleaning based on these recommendations. The emphasis of these recommendations was on the perceived biosecurity risk of biofouling with different requirements for biological waste containment assigned to biofouling of regional, </w:t>
      </w:r>
      <w:proofErr w:type="gramStart"/>
      <w:r>
        <w:rPr>
          <w:rFonts w:asciiTheme="minorHAnsi" w:hAnsiTheme="minorHAnsi"/>
          <w:sz w:val="20"/>
          <w:szCs w:val="20"/>
        </w:rPr>
        <w:t>domestic</w:t>
      </w:r>
      <w:proofErr w:type="gramEnd"/>
      <w:r>
        <w:rPr>
          <w:rFonts w:asciiTheme="minorHAnsi" w:hAnsiTheme="minorHAnsi"/>
          <w:sz w:val="20"/>
          <w:szCs w:val="20"/>
        </w:rPr>
        <w:t xml:space="preserve"> and international origin. For contaminant discharges, the recommendation made was that “contaminant discharges must meet any local standards or requirements”.</w:t>
      </w:r>
    </w:p>
    <w:p w14:paraId="4EFC6BF6" w14:textId="77777777" w:rsidR="00DE21DC" w:rsidRDefault="00F56B54" w:rsidP="00DE21DC">
      <w:pPr>
        <w:jc w:val="both"/>
        <w:rPr>
          <w:rFonts w:asciiTheme="minorHAnsi" w:eastAsia="Arial" w:hAnsiTheme="minorHAnsi" w:cstheme="minorHAnsi"/>
          <w:sz w:val="20"/>
          <w:szCs w:val="20"/>
        </w:rPr>
      </w:pPr>
      <w:r>
        <w:rPr>
          <w:rFonts w:asciiTheme="minorHAnsi" w:hAnsiTheme="minorHAnsi"/>
          <w:sz w:val="20"/>
          <w:szCs w:val="20"/>
        </w:rPr>
        <w:t>Ensuring that contaminant discharges from in-water cleaning are acceptable has proven to be difficult due to the absence of any clear standards or limits for contamination concentrations in discharges.</w:t>
      </w:r>
      <w:r w:rsidR="00827747">
        <w:rPr>
          <w:rFonts w:asciiTheme="minorHAnsi" w:hAnsiTheme="minorHAnsi"/>
          <w:sz w:val="20"/>
          <w:szCs w:val="20"/>
        </w:rPr>
        <w:t xml:space="preserve"> </w:t>
      </w:r>
      <w:r>
        <w:rPr>
          <w:rFonts w:asciiTheme="minorHAnsi" w:hAnsiTheme="minorHAnsi"/>
          <w:sz w:val="20"/>
          <w:szCs w:val="20"/>
        </w:rPr>
        <w:t>Comparisons have been drawn with trigger values in the ANZECC/ARMCANZ Water Quality Guidelines</w:t>
      </w:r>
      <w:r>
        <w:rPr>
          <w:rStyle w:val="FootnoteReference"/>
          <w:rFonts w:asciiTheme="minorHAnsi" w:hAnsiTheme="minorHAnsi"/>
          <w:sz w:val="20"/>
          <w:szCs w:val="20"/>
        </w:rPr>
        <w:footnoteReference w:id="4"/>
      </w:r>
      <w:r>
        <w:rPr>
          <w:rFonts w:asciiTheme="minorHAnsi" w:hAnsiTheme="minorHAnsi"/>
          <w:sz w:val="20"/>
          <w:szCs w:val="20"/>
        </w:rPr>
        <w:t xml:space="preserve">, which </w:t>
      </w:r>
      <w:r w:rsidRPr="00CB43C7">
        <w:rPr>
          <w:rFonts w:asciiTheme="minorHAnsi" w:eastAsia="Arial" w:hAnsiTheme="minorHAnsi" w:cstheme="minorHAnsi"/>
          <w:sz w:val="20"/>
          <w:szCs w:val="20"/>
        </w:rPr>
        <w:t xml:space="preserve">were calculated at four different </w:t>
      </w:r>
      <w:r>
        <w:rPr>
          <w:rFonts w:asciiTheme="minorHAnsi" w:eastAsia="Arial" w:hAnsiTheme="minorHAnsi" w:cstheme="minorHAnsi"/>
          <w:sz w:val="20"/>
          <w:szCs w:val="20"/>
        </w:rPr>
        <w:t xml:space="preserve">species </w:t>
      </w:r>
      <w:r w:rsidRPr="00CB43C7">
        <w:rPr>
          <w:rFonts w:asciiTheme="minorHAnsi" w:eastAsia="Arial" w:hAnsiTheme="minorHAnsi" w:cstheme="minorHAnsi"/>
          <w:sz w:val="20"/>
          <w:szCs w:val="20"/>
        </w:rPr>
        <w:t xml:space="preserve">protection levels, 80%, 90%, 95% and 99%, </w:t>
      </w:r>
      <w:r>
        <w:rPr>
          <w:rFonts w:asciiTheme="minorHAnsi" w:eastAsia="Arial" w:hAnsiTheme="minorHAnsi" w:cstheme="minorHAnsi"/>
          <w:sz w:val="20"/>
          <w:szCs w:val="20"/>
        </w:rPr>
        <w:t>that</w:t>
      </w:r>
      <w:r w:rsidRPr="00CB43C7">
        <w:rPr>
          <w:rFonts w:asciiTheme="minorHAnsi" w:eastAsia="Arial" w:hAnsiTheme="minorHAnsi" w:cstheme="minorHAnsi"/>
          <w:sz w:val="20"/>
          <w:szCs w:val="20"/>
        </w:rPr>
        <w:t xml:space="preserve"> signify the percentage of species expected to be protected.</w:t>
      </w:r>
      <w:r>
        <w:rPr>
          <w:rFonts w:asciiTheme="minorHAnsi" w:eastAsia="Arial" w:hAnsiTheme="minorHAnsi" w:cstheme="minorHAnsi"/>
          <w:sz w:val="20"/>
          <w:szCs w:val="20"/>
        </w:rPr>
        <w:t xml:space="preserve"> However, these trigger values were developed with respect to concentrations in the environment, not in discharges or other inputs into the environment. Dilution of a discharge on release into a receiving water </w:t>
      </w:r>
      <w:r>
        <w:rPr>
          <w:rFonts w:asciiTheme="minorHAnsi" w:eastAsia="Arial" w:hAnsiTheme="minorHAnsi" w:cstheme="minorHAnsi"/>
          <w:sz w:val="20"/>
          <w:szCs w:val="20"/>
        </w:rPr>
        <w:lastRenderedPageBreak/>
        <w:t>body would lower the contribution of the contaminant to the environmental concentration with the extent dependent on the volumes of both the discharge and the receiving environment.</w:t>
      </w:r>
    </w:p>
    <w:p w14:paraId="44C6AC16" w14:textId="77777777" w:rsidR="00DE21DC" w:rsidRPr="00CB43C7" w:rsidRDefault="00F56B54" w:rsidP="00DE21DC">
      <w:pPr>
        <w:jc w:val="both"/>
        <w:rPr>
          <w:rFonts w:asciiTheme="minorHAnsi" w:hAnsiTheme="minorHAnsi" w:cstheme="minorHAnsi"/>
          <w:sz w:val="20"/>
          <w:szCs w:val="20"/>
        </w:rPr>
      </w:pPr>
      <w:r>
        <w:rPr>
          <w:rFonts w:asciiTheme="minorHAnsi" w:eastAsia="Arial" w:hAnsiTheme="minorHAnsi" w:cstheme="minorHAnsi"/>
          <w:sz w:val="20"/>
          <w:szCs w:val="20"/>
        </w:rPr>
        <w:t>The following discussion proposes a method to determine the acceptability of chemical contaminant discharges from in-water cleaning treatment systems.</w:t>
      </w:r>
    </w:p>
    <w:p w14:paraId="14C49B2A" w14:textId="77777777" w:rsidR="00DE21DC" w:rsidRDefault="00F56B54" w:rsidP="00DE21DC">
      <w:pPr>
        <w:jc w:val="both"/>
        <w:rPr>
          <w:rFonts w:asciiTheme="minorHAnsi" w:hAnsiTheme="minorHAnsi"/>
          <w:sz w:val="20"/>
          <w:szCs w:val="20"/>
        </w:rPr>
      </w:pPr>
      <w:r>
        <w:rPr>
          <w:rFonts w:asciiTheme="minorHAnsi" w:hAnsiTheme="minorHAnsi"/>
          <w:sz w:val="20"/>
          <w:szCs w:val="20"/>
          <w:u w:val="single"/>
        </w:rPr>
        <w:t>MAMPEC</w:t>
      </w:r>
    </w:p>
    <w:p w14:paraId="5581658F" w14:textId="77777777" w:rsidR="00DE21DC" w:rsidRDefault="00F56B54" w:rsidP="00DE21DC">
      <w:pPr>
        <w:jc w:val="both"/>
        <w:rPr>
          <w:rFonts w:asciiTheme="minorHAnsi" w:hAnsiTheme="minorHAnsi"/>
          <w:sz w:val="20"/>
          <w:szCs w:val="20"/>
        </w:rPr>
      </w:pPr>
      <w:r>
        <w:rPr>
          <w:rFonts w:asciiTheme="minorHAnsi" w:hAnsiTheme="minorHAnsi"/>
          <w:sz w:val="20"/>
          <w:szCs w:val="20"/>
        </w:rPr>
        <w:t>MAMPEC (Marine Antifouling Model to Predict Environmental Concentrations) is an integrated hydrodynamic and chemical fate model, originally developed to predict environmental concentrations for the exposure assessment of antifouling substances</w:t>
      </w:r>
      <w:r>
        <w:rPr>
          <w:rStyle w:val="FootnoteReference"/>
          <w:rFonts w:asciiTheme="minorHAnsi" w:hAnsiTheme="minorHAnsi"/>
          <w:sz w:val="20"/>
          <w:szCs w:val="20"/>
        </w:rPr>
        <w:footnoteReference w:id="5"/>
      </w:r>
      <w:r>
        <w:rPr>
          <w:rFonts w:asciiTheme="minorHAnsi" w:hAnsiTheme="minorHAnsi"/>
          <w:sz w:val="20"/>
          <w:szCs w:val="20"/>
        </w:rPr>
        <w:t xml:space="preserve">. The model, adopted by the OECD, predicts concentrations of antifouling biocides in generalised “typical” marine environments, including harbours, marinas and the open sea, from the input of emission factors (e.g., biocide leaching rates, shipping intensities, residence times, ship hull underwater surface areas), compound-related properties and processes, and hydrodynamics related to the specific environment. The model has been validated for </w:t>
      </w:r>
      <w:proofErr w:type="gramStart"/>
      <w:r>
        <w:rPr>
          <w:rFonts w:asciiTheme="minorHAnsi" w:hAnsiTheme="minorHAnsi"/>
          <w:sz w:val="20"/>
          <w:szCs w:val="20"/>
        </w:rPr>
        <w:t>a number of</w:t>
      </w:r>
      <w:proofErr w:type="gramEnd"/>
      <w:r>
        <w:rPr>
          <w:rFonts w:asciiTheme="minorHAnsi" w:hAnsiTheme="minorHAnsi"/>
          <w:sz w:val="20"/>
          <w:szCs w:val="20"/>
        </w:rPr>
        <w:t xml:space="preserve"> compounds and has been recognised by regulatory authorities in the EU, other OECD countries, the</w:t>
      </w:r>
      <w:r w:rsidRPr="00EA3B3E">
        <w:rPr>
          <w:rFonts w:asciiTheme="minorHAnsi" w:hAnsiTheme="minorHAnsi"/>
          <w:sz w:val="20"/>
          <w:szCs w:val="20"/>
        </w:rPr>
        <w:t xml:space="preserve"> </w:t>
      </w:r>
      <w:r>
        <w:rPr>
          <w:rFonts w:asciiTheme="minorHAnsi" w:hAnsiTheme="minorHAnsi"/>
          <w:sz w:val="20"/>
          <w:szCs w:val="20"/>
        </w:rPr>
        <w:t>USA, Japan, New Zealand and Australia. In Australia, the Australian Pesticides and Veterinary Medicines Authority (APVMA) accepts MAMPEC modelling for the environmental risk assessment of new antifouling products submitted for approval. Default values for 10 common antifouling biocides are included in the database.</w:t>
      </w:r>
    </w:p>
    <w:p w14:paraId="60220DD7" w14:textId="77777777" w:rsidR="00DE21DC" w:rsidRDefault="00F56B54" w:rsidP="00DE21DC">
      <w:pPr>
        <w:jc w:val="both"/>
        <w:rPr>
          <w:rFonts w:asciiTheme="minorHAnsi" w:hAnsiTheme="minorHAnsi"/>
          <w:sz w:val="20"/>
          <w:szCs w:val="20"/>
        </w:rPr>
      </w:pPr>
      <w:r>
        <w:rPr>
          <w:rFonts w:asciiTheme="minorHAnsi" w:hAnsiTheme="minorHAnsi"/>
          <w:sz w:val="20"/>
          <w:szCs w:val="20"/>
        </w:rPr>
        <w:t>A special version of MAMPEC for ballast water, MAMPEC-BW, was developed for the International Maritime Organization (IMO) to enable exposure assessment of chemicals in ballast water</w:t>
      </w:r>
      <w:r>
        <w:rPr>
          <w:rStyle w:val="FootnoteReference"/>
          <w:rFonts w:asciiTheme="minorHAnsi" w:hAnsiTheme="minorHAnsi"/>
          <w:sz w:val="20"/>
          <w:szCs w:val="20"/>
        </w:rPr>
        <w:footnoteReference w:id="6"/>
      </w:r>
      <w:r>
        <w:rPr>
          <w:rFonts w:asciiTheme="minorHAnsi" w:hAnsiTheme="minorHAnsi"/>
          <w:sz w:val="20"/>
          <w:szCs w:val="20"/>
        </w:rPr>
        <w:t>. The model is used as part of the evaluation methodology for basic and final approval of ballast water treatment systems by the Marine Environment Protection Committee (MEPC) of IMO. The emission values for compounds are calculated from the specification of the ballast water discharge rate (in m</w:t>
      </w:r>
      <w:r>
        <w:rPr>
          <w:rFonts w:asciiTheme="minorHAnsi" w:hAnsiTheme="minorHAnsi"/>
          <w:sz w:val="20"/>
          <w:szCs w:val="20"/>
          <w:vertAlign w:val="superscript"/>
        </w:rPr>
        <w:t>3</w:t>
      </w:r>
      <w:r>
        <w:rPr>
          <w:rFonts w:asciiTheme="minorHAnsi" w:hAnsiTheme="minorHAnsi"/>
          <w:sz w:val="20"/>
          <w:szCs w:val="20"/>
        </w:rPr>
        <w:t>/day) and the concentration of the target compound in the discharge (in mg/L). The database includes more than 40 compounds.</w:t>
      </w:r>
    </w:p>
    <w:p w14:paraId="1579EAB8" w14:textId="77777777" w:rsidR="00DE21DC" w:rsidRDefault="00F56B54" w:rsidP="00DE21DC">
      <w:pPr>
        <w:jc w:val="both"/>
        <w:rPr>
          <w:rFonts w:asciiTheme="minorHAnsi" w:hAnsiTheme="minorHAnsi"/>
          <w:sz w:val="20"/>
          <w:szCs w:val="20"/>
        </w:rPr>
      </w:pPr>
      <w:r>
        <w:rPr>
          <w:rFonts w:asciiTheme="minorHAnsi" w:hAnsiTheme="minorHAnsi"/>
          <w:sz w:val="20"/>
          <w:szCs w:val="20"/>
        </w:rPr>
        <w:t>For antifouling coatings, environmental acceptability is determined by comparing the predicted environmental concentration (PEC), determined using MAMPEC, to the predicted no-effect concentration (PNEC). The latter is calculated using data from acute and chronic toxicological studies and application of an appropriate “safety” factor determined by consideration of uncertainty in the data</w:t>
      </w:r>
      <w:r>
        <w:rPr>
          <w:rStyle w:val="FootnoteReference"/>
          <w:rFonts w:asciiTheme="minorHAnsi" w:hAnsiTheme="minorHAnsi"/>
          <w:sz w:val="20"/>
          <w:szCs w:val="20"/>
        </w:rPr>
        <w:footnoteReference w:id="7"/>
      </w:r>
      <w:r>
        <w:rPr>
          <w:rFonts w:asciiTheme="minorHAnsi" w:hAnsiTheme="minorHAnsi"/>
          <w:sz w:val="20"/>
          <w:szCs w:val="20"/>
        </w:rPr>
        <w:t>. According to the risk characterisation process, if the ratio PEC/PNEC, or Risk Quotient (RQ), is less than unity, the concentration in the environment is likely to be lower than the critical threshold level and risk is considered low.</w:t>
      </w:r>
    </w:p>
    <w:p w14:paraId="012E40C2" w14:textId="77777777" w:rsidR="00DE21DC" w:rsidRDefault="00DE21DC" w:rsidP="00DE21DC">
      <w:pPr>
        <w:jc w:val="both"/>
        <w:rPr>
          <w:rFonts w:asciiTheme="minorHAnsi" w:hAnsiTheme="minorHAnsi"/>
          <w:sz w:val="20"/>
          <w:szCs w:val="20"/>
        </w:rPr>
      </w:pPr>
    </w:p>
    <w:p w14:paraId="6676F085" w14:textId="77777777" w:rsidR="00827747" w:rsidRDefault="00F56B54" w:rsidP="00DE21DC">
      <w:pPr>
        <w:jc w:val="both"/>
        <w:rPr>
          <w:rFonts w:asciiTheme="minorHAnsi" w:hAnsiTheme="minorHAnsi"/>
          <w:sz w:val="20"/>
          <w:szCs w:val="20"/>
        </w:rPr>
      </w:pPr>
      <w:r>
        <w:rPr>
          <w:rFonts w:asciiTheme="minorHAnsi" w:hAnsiTheme="minorHAnsi"/>
          <w:sz w:val="20"/>
          <w:szCs w:val="20"/>
        </w:rPr>
        <w:lastRenderedPageBreak/>
        <w:t>The New Zealand Environmental Protection Authority (NZ EPA) adopted the RQ methodology to characterise the environmental risk of biocides contained in antifouling paints, as adopted by the European Union</w:t>
      </w:r>
      <w:r>
        <w:rPr>
          <w:rStyle w:val="FootnoteReference"/>
          <w:rFonts w:asciiTheme="minorHAnsi" w:hAnsiTheme="minorHAnsi"/>
          <w:sz w:val="20"/>
          <w:szCs w:val="20"/>
        </w:rPr>
        <w:footnoteReference w:id="8"/>
      </w:r>
      <w:r>
        <w:rPr>
          <w:rFonts w:asciiTheme="minorHAnsi" w:hAnsiTheme="minorHAnsi"/>
          <w:sz w:val="20"/>
          <w:szCs w:val="20"/>
        </w:rPr>
        <w:t>. For copper, the PNEC</w:t>
      </w:r>
      <w:r>
        <w:rPr>
          <w:rFonts w:asciiTheme="minorHAnsi" w:hAnsiTheme="minorHAnsi"/>
          <w:sz w:val="20"/>
          <w:szCs w:val="20"/>
          <w:vertAlign w:val="subscript"/>
        </w:rPr>
        <w:t>marine</w:t>
      </w:r>
      <w:r>
        <w:rPr>
          <w:rFonts w:asciiTheme="minorHAnsi" w:hAnsiTheme="minorHAnsi"/>
          <w:sz w:val="20"/>
          <w:szCs w:val="20"/>
        </w:rPr>
        <w:t xml:space="preserve"> value adopted by the NZ EPA in this report was 2.6 </w:t>
      </w:r>
      <w:r>
        <w:rPr>
          <w:rFonts w:asciiTheme="minorHAnsi" w:hAnsiTheme="minorHAnsi" w:cstheme="minorHAnsi"/>
          <w:sz w:val="20"/>
          <w:szCs w:val="20"/>
        </w:rPr>
        <w:t>μ</w:t>
      </w:r>
      <w:r>
        <w:rPr>
          <w:rFonts w:asciiTheme="minorHAnsi" w:hAnsiTheme="minorHAnsi"/>
          <w:sz w:val="20"/>
          <w:szCs w:val="20"/>
        </w:rPr>
        <w:t>g/L.</w:t>
      </w:r>
    </w:p>
    <w:p w14:paraId="7BF6184C" w14:textId="77777777" w:rsidR="00DE21DC" w:rsidRDefault="00F56B54" w:rsidP="00DE21DC">
      <w:pPr>
        <w:jc w:val="both"/>
        <w:rPr>
          <w:rFonts w:asciiTheme="minorHAnsi" w:hAnsiTheme="minorHAnsi"/>
          <w:sz w:val="20"/>
          <w:szCs w:val="20"/>
        </w:rPr>
      </w:pPr>
      <w:r>
        <w:rPr>
          <w:rFonts w:asciiTheme="minorHAnsi" w:hAnsiTheme="minorHAnsi"/>
          <w:sz w:val="20"/>
          <w:szCs w:val="20"/>
        </w:rPr>
        <w:t>The PEC can also be compared to water quality guidelines, as in the Morrisey et al. report</w:t>
      </w:r>
      <w:r>
        <w:rPr>
          <w:rFonts w:asciiTheme="minorHAnsi" w:hAnsiTheme="minorHAnsi"/>
          <w:sz w:val="20"/>
          <w:szCs w:val="20"/>
          <w:vertAlign w:val="superscript"/>
        </w:rPr>
        <w:t>1</w:t>
      </w:r>
      <w:r>
        <w:rPr>
          <w:rFonts w:asciiTheme="minorHAnsi" w:hAnsiTheme="minorHAnsi"/>
          <w:sz w:val="20"/>
          <w:szCs w:val="20"/>
        </w:rPr>
        <w:t>. In this report, low risk was defined as average PEC below the ANZECC 90% protection guideline, medium risk as average PEC above the ANZECC 90% protection guideline but below the USEPA acute criteria, and high risk as average PEC above the USEPA acute criteria.</w:t>
      </w:r>
    </w:p>
    <w:p w14:paraId="2B0F1C30" w14:textId="77777777" w:rsidR="00DE21DC" w:rsidRDefault="00F56B54" w:rsidP="00DE21DC">
      <w:pPr>
        <w:jc w:val="both"/>
        <w:rPr>
          <w:rFonts w:asciiTheme="minorHAnsi" w:hAnsiTheme="minorHAnsi"/>
          <w:sz w:val="20"/>
          <w:szCs w:val="20"/>
        </w:rPr>
      </w:pPr>
      <w:r>
        <w:rPr>
          <w:rFonts w:asciiTheme="minorHAnsi" w:hAnsiTheme="minorHAnsi"/>
          <w:sz w:val="20"/>
          <w:szCs w:val="20"/>
        </w:rPr>
        <w:t>In New Zealand, the NZ EPA commissioned a study to evaluate the OECD Emission Scenario Document, which included running MAMPEC for a range of ports and marinas</w:t>
      </w:r>
      <w:r>
        <w:rPr>
          <w:rStyle w:val="FootnoteReference"/>
          <w:rFonts w:asciiTheme="minorHAnsi" w:hAnsiTheme="minorHAnsi"/>
          <w:sz w:val="20"/>
          <w:szCs w:val="20"/>
        </w:rPr>
        <w:footnoteReference w:id="9"/>
      </w:r>
      <w:r>
        <w:rPr>
          <w:rFonts w:asciiTheme="minorHAnsi" w:hAnsiTheme="minorHAnsi"/>
          <w:sz w:val="20"/>
          <w:szCs w:val="20"/>
        </w:rPr>
        <w:t>. Predictions were run for 11 ports and 13 marinas in New Zealand, which were compared to OECD default scenarios. Differences between outcomes for New Zealand locations and the OECD defaults led to a recommendation that New Zealand ports and marinas be used in assessments. The recommended port was Lyttelton, and the recommended marinas Half Moon Bay (marine) and Kinloch (freshwater). The APVMA in Australia accepts MAMPEC modelling using these New Zealand locations to assess the environmental risk of new antifouling products submitted for APVMA approval.</w:t>
      </w:r>
    </w:p>
    <w:p w14:paraId="7DB92B96" w14:textId="77777777" w:rsidR="00DE21DC" w:rsidRDefault="00F56B54" w:rsidP="00DE21DC">
      <w:pPr>
        <w:jc w:val="both"/>
        <w:rPr>
          <w:rFonts w:asciiTheme="minorHAnsi" w:hAnsiTheme="minorHAnsi"/>
          <w:sz w:val="20"/>
          <w:szCs w:val="20"/>
        </w:rPr>
      </w:pPr>
      <w:r>
        <w:rPr>
          <w:rFonts w:asciiTheme="minorHAnsi" w:hAnsiTheme="minorHAnsi"/>
          <w:sz w:val="20"/>
          <w:szCs w:val="20"/>
          <w:u w:val="single"/>
        </w:rPr>
        <w:t>MAMPEC Modelling of In-Water Cleaning System Discharges</w:t>
      </w:r>
    </w:p>
    <w:p w14:paraId="43CA04A4" w14:textId="77777777" w:rsidR="00827747" w:rsidRDefault="00F56B54" w:rsidP="00DE21DC">
      <w:pPr>
        <w:jc w:val="both"/>
        <w:rPr>
          <w:rFonts w:asciiTheme="minorHAnsi" w:hAnsiTheme="minorHAnsi"/>
          <w:sz w:val="20"/>
          <w:szCs w:val="20"/>
        </w:rPr>
      </w:pPr>
      <w:r>
        <w:rPr>
          <w:rFonts w:asciiTheme="minorHAnsi" w:hAnsiTheme="minorHAnsi"/>
          <w:sz w:val="20"/>
          <w:szCs w:val="20"/>
        </w:rPr>
        <w:t>Measurements undertaken during trials of the CleanSubSea Envirocart system provide data suitable as inputs for MAMPEC modelling.</w:t>
      </w:r>
    </w:p>
    <w:p w14:paraId="3820D7D4" w14:textId="77777777" w:rsidR="00DE21DC" w:rsidRDefault="00F56B54" w:rsidP="00DE21DC">
      <w:pPr>
        <w:jc w:val="both"/>
        <w:rPr>
          <w:rFonts w:asciiTheme="minorHAnsi" w:hAnsiTheme="minorHAnsi"/>
          <w:i/>
          <w:iCs/>
          <w:sz w:val="20"/>
          <w:szCs w:val="20"/>
        </w:rPr>
      </w:pPr>
      <w:r>
        <w:rPr>
          <w:rFonts w:asciiTheme="minorHAnsi" w:hAnsiTheme="minorHAnsi"/>
          <w:i/>
          <w:iCs/>
          <w:sz w:val="20"/>
          <w:szCs w:val="20"/>
        </w:rPr>
        <w:t>Daily discharge volume</w:t>
      </w:r>
    </w:p>
    <w:p w14:paraId="5F04A818" w14:textId="77777777" w:rsidR="00DE21DC" w:rsidRDefault="00F56B54" w:rsidP="00DE21DC">
      <w:pPr>
        <w:jc w:val="both"/>
        <w:rPr>
          <w:rFonts w:asciiTheme="minorHAnsi" w:hAnsiTheme="minorHAnsi"/>
          <w:sz w:val="20"/>
          <w:szCs w:val="20"/>
        </w:rPr>
      </w:pPr>
      <w:r>
        <w:rPr>
          <w:rFonts w:asciiTheme="minorHAnsi" w:hAnsiTheme="minorHAnsi"/>
          <w:sz w:val="20"/>
          <w:szCs w:val="20"/>
        </w:rPr>
        <w:t>In recent cleans undertaken on RAN frigates the average discharge volume of treated wastewater was 69.33 m</w:t>
      </w:r>
      <w:r>
        <w:rPr>
          <w:rFonts w:asciiTheme="minorHAnsi" w:hAnsiTheme="minorHAnsi"/>
          <w:sz w:val="20"/>
          <w:szCs w:val="20"/>
          <w:vertAlign w:val="superscript"/>
        </w:rPr>
        <w:t>3</w:t>
      </w:r>
      <w:r>
        <w:rPr>
          <w:rFonts w:asciiTheme="minorHAnsi" w:hAnsiTheme="minorHAnsi"/>
          <w:sz w:val="20"/>
          <w:szCs w:val="20"/>
        </w:rPr>
        <w:t>/hour and average operation time through a working day was 5.56 hours. Using 70 m</w:t>
      </w:r>
      <w:r>
        <w:rPr>
          <w:rFonts w:asciiTheme="minorHAnsi" w:hAnsiTheme="minorHAnsi"/>
          <w:sz w:val="20"/>
          <w:szCs w:val="20"/>
          <w:vertAlign w:val="superscript"/>
        </w:rPr>
        <w:t>3</w:t>
      </w:r>
      <w:r>
        <w:rPr>
          <w:rFonts w:asciiTheme="minorHAnsi" w:hAnsiTheme="minorHAnsi"/>
          <w:sz w:val="20"/>
          <w:szCs w:val="20"/>
        </w:rPr>
        <w:t>/h for 6.0 h/day, a base value for daily discharge is 420 m</w:t>
      </w:r>
      <w:r>
        <w:rPr>
          <w:rFonts w:asciiTheme="minorHAnsi" w:hAnsiTheme="minorHAnsi"/>
          <w:sz w:val="20"/>
          <w:szCs w:val="20"/>
          <w:vertAlign w:val="superscript"/>
        </w:rPr>
        <w:t>3</w:t>
      </w:r>
      <w:r>
        <w:rPr>
          <w:rFonts w:asciiTheme="minorHAnsi" w:hAnsiTheme="minorHAnsi"/>
          <w:sz w:val="20"/>
          <w:szCs w:val="20"/>
        </w:rPr>
        <w:t>/day.</w:t>
      </w:r>
    </w:p>
    <w:p w14:paraId="50B196E1" w14:textId="77777777" w:rsidR="00DE21DC" w:rsidRDefault="00F56B54" w:rsidP="00DE21DC">
      <w:pPr>
        <w:jc w:val="both"/>
        <w:rPr>
          <w:rFonts w:asciiTheme="minorHAnsi" w:hAnsiTheme="minorHAnsi"/>
          <w:i/>
          <w:iCs/>
          <w:sz w:val="20"/>
          <w:szCs w:val="20"/>
        </w:rPr>
      </w:pPr>
      <w:r>
        <w:rPr>
          <w:rFonts w:asciiTheme="minorHAnsi" w:hAnsiTheme="minorHAnsi"/>
          <w:i/>
          <w:iCs/>
          <w:sz w:val="20"/>
          <w:szCs w:val="20"/>
        </w:rPr>
        <w:t>Contaminant concentration</w:t>
      </w:r>
    </w:p>
    <w:p w14:paraId="47F620BC" w14:textId="77777777" w:rsidR="00DE21DC" w:rsidRDefault="00F56B54" w:rsidP="00DE21DC">
      <w:pPr>
        <w:jc w:val="both"/>
        <w:rPr>
          <w:rFonts w:asciiTheme="minorHAnsi" w:hAnsiTheme="minorHAnsi"/>
          <w:sz w:val="20"/>
          <w:szCs w:val="20"/>
        </w:rPr>
      </w:pPr>
      <w:r>
        <w:rPr>
          <w:rFonts w:asciiTheme="minorHAnsi" w:hAnsiTheme="minorHAnsi"/>
          <w:sz w:val="20"/>
          <w:szCs w:val="20"/>
        </w:rPr>
        <w:t xml:space="preserve">The following copper concentrations have been measured in treated effluent samples during </w:t>
      </w:r>
      <w:r>
        <w:rPr>
          <w:rFonts w:asciiTheme="minorHAnsi" w:hAnsiTheme="minorHAnsi"/>
          <w:i/>
          <w:iCs/>
          <w:sz w:val="20"/>
          <w:szCs w:val="20"/>
        </w:rPr>
        <w:t xml:space="preserve">Envirocart </w:t>
      </w:r>
      <w:r>
        <w:rPr>
          <w:rFonts w:asciiTheme="minorHAnsi" w:hAnsiTheme="minorHAnsi"/>
          <w:sz w:val="20"/>
          <w:szCs w:val="20"/>
        </w:rPr>
        <w:t>trials:</w:t>
      </w:r>
    </w:p>
    <w:p w14:paraId="4852B4D2" w14:textId="77777777" w:rsidR="00DE21DC" w:rsidRDefault="00F56B54" w:rsidP="00DE21DC">
      <w:pPr>
        <w:jc w:val="both"/>
        <w:rPr>
          <w:rFonts w:asciiTheme="minorHAnsi" w:hAnsiTheme="minorHAnsi"/>
          <w:sz w:val="20"/>
          <w:szCs w:val="20"/>
        </w:rPr>
      </w:pPr>
      <w:r>
        <w:rPr>
          <w:rFonts w:asciiTheme="minorHAnsi" w:hAnsiTheme="minorHAnsi"/>
          <w:sz w:val="20"/>
          <w:szCs w:val="20"/>
        </w:rPr>
        <w:tab/>
      </w:r>
    </w:p>
    <w:p w14:paraId="27EFC50A" w14:textId="77777777" w:rsidR="00DE21DC" w:rsidRDefault="00F56B54">
      <w:pPr>
        <w:spacing w:after="0" w:line="240" w:lineRule="auto"/>
        <w:rPr>
          <w:rFonts w:asciiTheme="minorHAnsi" w:hAnsiTheme="minorHAnsi"/>
          <w:sz w:val="20"/>
          <w:szCs w:val="20"/>
        </w:rPr>
      </w:pPr>
      <w:r>
        <w:rPr>
          <w:rFonts w:asciiTheme="minorHAnsi" w:hAnsiTheme="minorHAnsi"/>
          <w:sz w:val="20"/>
          <w:szCs w:val="20"/>
        </w:rPr>
        <w:br w:type="page"/>
      </w:r>
    </w:p>
    <w:p w14:paraId="3466E7ED" w14:textId="77777777" w:rsidR="00DE21DC" w:rsidRDefault="00DE21DC" w:rsidP="00DE21DC">
      <w:pPr>
        <w:jc w:val="both"/>
        <w:rPr>
          <w:rFonts w:asciiTheme="minorHAnsi" w:hAnsiTheme="minorHAnsi"/>
          <w:sz w:val="20"/>
          <w:szCs w:val="20"/>
        </w:rPr>
      </w:pPr>
    </w:p>
    <w:tbl>
      <w:tblPr>
        <w:tblStyle w:val="GridTable4-Accent1"/>
        <w:tblW w:w="0" w:type="auto"/>
        <w:jc w:val="center"/>
        <w:tblLook w:val="04A0" w:firstRow="1" w:lastRow="0" w:firstColumn="1" w:lastColumn="0" w:noHBand="0" w:noVBand="1"/>
        <w:tblCaption w:val="Copper concentrations measured  in treated effluent samples during Envirocart cleaning trials"/>
        <w:tblDescription w:val="This table contains copper concentrations measured  in treated effluent samples during Envirocart cleaning trials of three vessels. Mean effluent copper concentrations ranged from 0.019 to 0.054 micrograms of copper per litre."/>
      </w:tblPr>
      <w:tblGrid>
        <w:gridCol w:w="1951"/>
        <w:gridCol w:w="992"/>
        <w:gridCol w:w="1671"/>
        <w:gridCol w:w="1164"/>
        <w:gridCol w:w="1134"/>
        <w:gridCol w:w="2075"/>
      </w:tblGrid>
      <w:tr w:rsidR="004F6729" w14:paraId="5CC36A18"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6ADC3A06"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Vessel</w:t>
            </w:r>
          </w:p>
        </w:tc>
        <w:tc>
          <w:tcPr>
            <w:tcW w:w="992" w:type="dxa"/>
            <w:vAlign w:val="center"/>
          </w:tcPr>
          <w:p w14:paraId="1DAAEA99"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Date</w:t>
            </w:r>
          </w:p>
        </w:tc>
        <w:tc>
          <w:tcPr>
            <w:tcW w:w="1671" w:type="dxa"/>
            <w:vAlign w:val="center"/>
          </w:tcPr>
          <w:p w14:paraId="40F6B125"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Location</w:t>
            </w:r>
          </w:p>
        </w:tc>
        <w:tc>
          <w:tcPr>
            <w:tcW w:w="4373" w:type="dxa"/>
            <w:gridSpan w:val="3"/>
            <w:vAlign w:val="center"/>
          </w:tcPr>
          <w:p w14:paraId="52F6AFCF"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mg Cu/L</w:t>
            </w:r>
          </w:p>
        </w:tc>
      </w:tr>
      <w:tr w:rsidR="004F6729" w14:paraId="3EF54E24"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FCA0903" w14:textId="77777777" w:rsidR="00DE21DC" w:rsidRDefault="00DE21DC" w:rsidP="00466DC8">
            <w:pPr>
              <w:jc w:val="both"/>
              <w:rPr>
                <w:rFonts w:asciiTheme="minorHAnsi" w:hAnsiTheme="minorHAnsi"/>
                <w:b w:val="0"/>
                <w:bCs w:val="0"/>
                <w:sz w:val="20"/>
                <w:szCs w:val="20"/>
              </w:rPr>
            </w:pPr>
          </w:p>
        </w:tc>
        <w:tc>
          <w:tcPr>
            <w:tcW w:w="992" w:type="dxa"/>
          </w:tcPr>
          <w:p w14:paraId="14C8A051" w14:textId="77777777" w:rsidR="00DE21DC" w:rsidRDefault="00DE21DC" w:rsidP="00466D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671" w:type="dxa"/>
          </w:tcPr>
          <w:p w14:paraId="6FBB104D" w14:textId="77777777" w:rsidR="00DE21DC" w:rsidRDefault="00DE21DC" w:rsidP="00466D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164" w:type="dxa"/>
          </w:tcPr>
          <w:p w14:paraId="766D41BF"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Min</w:t>
            </w:r>
          </w:p>
        </w:tc>
        <w:tc>
          <w:tcPr>
            <w:tcW w:w="1134" w:type="dxa"/>
          </w:tcPr>
          <w:p w14:paraId="58802C41"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Max</w:t>
            </w:r>
          </w:p>
        </w:tc>
        <w:tc>
          <w:tcPr>
            <w:tcW w:w="2075" w:type="dxa"/>
          </w:tcPr>
          <w:p w14:paraId="482E9ACC" w14:textId="77777777" w:rsidR="00DE21DC" w:rsidRPr="002345D8"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Mean </w:t>
            </w:r>
            <w:r>
              <w:rPr>
                <w:rFonts w:asciiTheme="minorHAnsi" w:hAnsiTheme="minorHAnsi"/>
                <w:sz w:val="20"/>
                <w:szCs w:val="20"/>
                <w:u w:val="single"/>
              </w:rPr>
              <w:t>+</w:t>
            </w:r>
            <w:r>
              <w:rPr>
                <w:rFonts w:asciiTheme="minorHAnsi" w:hAnsiTheme="minorHAnsi"/>
                <w:sz w:val="20"/>
                <w:szCs w:val="20"/>
              </w:rPr>
              <w:t xml:space="preserve"> SD</w:t>
            </w:r>
          </w:p>
        </w:tc>
      </w:tr>
      <w:tr w:rsidR="004F6729" w14:paraId="42A35891"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63C3803C" w14:textId="77777777" w:rsidR="00DE21DC" w:rsidRDefault="00F56B54" w:rsidP="00466DC8">
            <w:pPr>
              <w:jc w:val="both"/>
              <w:rPr>
                <w:rFonts w:asciiTheme="minorHAnsi" w:hAnsiTheme="minorHAnsi"/>
                <w:b w:val="0"/>
                <w:bCs w:val="0"/>
                <w:sz w:val="20"/>
                <w:szCs w:val="20"/>
              </w:rPr>
            </w:pPr>
            <w:r>
              <w:rPr>
                <w:rFonts w:asciiTheme="minorHAnsi" w:hAnsiTheme="minorHAnsi"/>
                <w:i/>
                <w:iCs/>
                <w:sz w:val="20"/>
                <w:szCs w:val="20"/>
              </w:rPr>
              <w:t>Svitzer Falcon</w:t>
            </w:r>
          </w:p>
        </w:tc>
        <w:tc>
          <w:tcPr>
            <w:tcW w:w="992" w:type="dxa"/>
          </w:tcPr>
          <w:p w14:paraId="5E1B70BC"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12B5">
              <w:rPr>
                <w:rFonts w:asciiTheme="minorHAnsi" w:hAnsiTheme="minorHAnsi" w:cstheme="minorHAnsi"/>
                <w:sz w:val="20"/>
                <w:szCs w:val="20"/>
              </w:rPr>
              <w:t>2015</w:t>
            </w:r>
            <w:r>
              <w:rPr>
                <w:rStyle w:val="FootnoteReference"/>
                <w:rFonts w:asciiTheme="minorHAnsi" w:hAnsiTheme="minorHAnsi" w:cstheme="minorHAnsi"/>
                <w:sz w:val="20"/>
                <w:szCs w:val="20"/>
              </w:rPr>
              <w:footnoteReference w:id="10"/>
            </w:r>
          </w:p>
        </w:tc>
        <w:tc>
          <w:tcPr>
            <w:tcW w:w="1671" w:type="dxa"/>
          </w:tcPr>
          <w:p w14:paraId="5DC0CE90" w14:textId="77777777" w:rsidR="00DE21DC" w:rsidRDefault="00F56B54" w:rsidP="00466D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Fremantle, WA</w:t>
            </w:r>
          </w:p>
        </w:tc>
        <w:tc>
          <w:tcPr>
            <w:tcW w:w="1164" w:type="dxa"/>
          </w:tcPr>
          <w:p w14:paraId="48C1443A"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0.012</w:t>
            </w:r>
          </w:p>
        </w:tc>
        <w:tc>
          <w:tcPr>
            <w:tcW w:w="1134" w:type="dxa"/>
          </w:tcPr>
          <w:p w14:paraId="39633DB6"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0.037</w:t>
            </w:r>
          </w:p>
        </w:tc>
        <w:tc>
          <w:tcPr>
            <w:tcW w:w="2075" w:type="dxa"/>
          </w:tcPr>
          <w:p w14:paraId="2F434463"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 xml:space="preserve">0.019 </w:t>
            </w:r>
            <w:r>
              <w:rPr>
                <w:rFonts w:asciiTheme="minorHAnsi" w:hAnsiTheme="minorHAnsi" w:cstheme="minorHAnsi"/>
                <w:sz w:val="20"/>
                <w:szCs w:val="20"/>
                <w:u w:val="single"/>
              </w:rPr>
              <w:t>+</w:t>
            </w:r>
            <w:r>
              <w:rPr>
                <w:rFonts w:asciiTheme="minorHAnsi" w:hAnsiTheme="minorHAnsi" w:cstheme="minorHAnsi"/>
                <w:sz w:val="20"/>
                <w:szCs w:val="20"/>
              </w:rPr>
              <w:t xml:space="preserve"> 0.0096</w:t>
            </w:r>
          </w:p>
        </w:tc>
      </w:tr>
      <w:tr w:rsidR="004F6729" w14:paraId="26F49CD7"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0F897AE9" w14:textId="77777777" w:rsidR="00DE21DC" w:rsidRDefault="00F56B54" w:rsidP="00466DC8">
            <w:pPr>
              <w:jc w:val="both"/>
              <w:rPr>
                <w:rFonts w:asciiTheme="minorHAnsi" w:hAnsiTheme="minorHAnsi"/>
                <w:b w:val="0"/>
                <w:bCs w:val="0"/>
                <w:sz w:val="20"/>
                <w:szCs w:val="20"/>
              </w:rPr>
            </w:pPr>
            <w:r>
              <w:rPr>
                <w:rFonts w:asciiTheme="minorHAnsi" w:hAnsiTheme="minorHAnsi"/>
                <w:i/>
                <w:iCs/>
                <w:sz w:val="20"/>
                <w:szCs w:val="20"/>
              </w:rPr>
              <w:t>HMAS Warramunga</w:t>
            </w:r>
          </w:p>
        </w:tc>
        <w:tc>
          <w:tcPr>
            <w:tcW w:w="992" w:type="dxa"/>
          </w:tcPr>
          <w:p w14:paraId="283CF405"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2019</w:t>
            </w:r>
            <w:r>
              <w:rPr>
                <w:rStyle w:val="FootnoteReference"/>
                <w:rFonts w:asciiTheme="minorHAnsi" w:hAnsiTheme="minorHAnsi"/>
                <w:sz w:val="20"/>
                <w:szCs w:val="20"/>
              </w:rPr>
              <w:footnoteReference w:id="11"/>
            </w:r>
          </w:p>
        </w:tc>
        <w:tc>
          <w:tcPr>
            <w:tcW w:w="1671" w:type="dxa"/>
          </w:tcPr>
          <w:p w14:paraId="456A2035" w14:textId="77777777" w:rsidR="00DE21DC" w:rsidRDefault="00F56B54" w:rsidP="00466D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Sydney, NSW</w:t>
            </w:r>
          </w:p>
        </w:tc>
        <w:tc>
          <w:tcPr>
            <w:tcW w:w="1164" w:type="dxa"/>
          </w:tcPr>
          <w:p w14:paraId="13627A88"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0.018</w:t>
            </w:r>
          </w:p>
        </w:tc>
        <w:tc>
          <w:tcPr>
            <w:tcW w:w="1134" w:type="dxa"/>
          </w:tcPr>
          <w:p w14:paraId="44036EC0"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0.05</w:t>
            </w:r>
          </w:p>
        </w:tc>
        <w:tc>
          <w:tcPr>
            <w:tcW w:w="2075" w:type="dxa"/>
          </w:tcPr>
          <w:p w14:paraId="52BC9032"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0.031 </w:t>
            </w:r>
            <w:r>
              <w:rPr>
                <w:rFonts w:asciiTheme="minorHAnsi" w:hAnsiTheme="minorHAnsi"/>
                <w:sz w:val="20"/>
                <w:szCs w:val="20"/>
                <w:u w:val="single"/>
              </w:rPr>
              <w:t>+</w:t>
            </w:r>
            <w:r>
              <w:rPr>
                <w:rFonts w:asciiTheme="minorHAnsi" w:hAnsiTheme="minorHAnsi"/>
                <w:sz w:val="20"/>
                <w:szCs w:val="20"/>
              </w:rPr>
              <w:t xml:space="preserve"> 0.0097</w:t>
            </w:r>
          </w:p>
        </w:tc>
      </w:tr>
      <w:tr w:rsidR="004F6729" w14:paraId="053A9EF3"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1131B34F" w14:textId="77777777" w:rsidR="00DE21DC" w:rsidRDefault="00F56B54" w:rsidP="00466DC8">
            <w:pPr>
              <w:jc w:val="both"/>
              <w:rPr>
                <w:rFonts w:asciiTheme="minorHAnsi" w:hAnsiTheme="minorHAnsi"/>
                <w:b w:val="0"/>
                <w:bCs w:val="0"/>
                <w:sz w:val="20"/>
                <w:szCs w:val="20"/>
              </w:rPr>
            </w:pPr>
            <w:r>
              <w:rPr>
                <w:rFonts w:asciiTheme="minorHAnsi" w:hAnsiTheme="minorHAnsi"/>
                <w:i/>
                <w:iCs/>
                <w:sz w:val="20"/>
                <w:szCs w:val="20"/>
              </w:rPr>
              <w:t>HMAS Arunta</w:t>
            </w:r>
          </w:p>
        </w:tc>
        <w:tc>
          <w:tcPr>
            <w:tcW w:w="992" w:type="dxa"/>
          </w:tcPr>
          <w:p w14:paraId="3AB890F3"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2019</w:t>
            </w:r>
          </w:p>
        </w:tc>
        <w:tc>
          <w:tcPr>
            <w:tcW w:w="1671" w:type="dxa"/>
          </w:tcPr>
          <w:p w14:paraId="559D9D68" w14:textId="77777777" w:rsidR="00DE21DC" w:rsidRDefault="00F56B54" w:rsidP="00466D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Garden I., WA</w:t>
            </w:r>
          </w:p>
        </w:tc>
        <w:tc>
          <w:tcPr>
            <w:tcW w:w="1164" w:type="dxa"/>
          </w:tcPr>
          <w:p w14:paraId="1AAC8489"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0.009</w:t>
            </w:r>
          </w:p>
        </w:tc>
        <w:tc>
          <w:tcPr>
            <w:tcW w:w="1134" w:type="dxa"/>
          </w:tcPr>
          <w:p w14:paraId="676548DE"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0.19</w:t>
            </w:r>
          </w:p>
        </w:tc>
        <w:tc>
          <w:tcPr>
            <w:tcW w:w="2075" w:type="dxa"/>
          </w:tcPr>
          <w:p w14:paraId="33A96955"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0.054 </w:t>
            </w:r>
            <w:r>
              <w:rPr>
                <w:rFonts w:asciiTheme="minorHAnsi" w:hAnsiTheme="minorHAnsi"/>
                <w:sz w:val="20"/>
                <w:szCs w:val="20"/>
                <w:u w:val="single"/>
              </w:rPr>
              <w:t>+</w:t>
            </w:r>
            <w:r>
              <w:rPr>
                <w:rFonts w:asciiTheme="minorHAnsi" w:hAnsiTheme="minorHAnsi"/>
                <w:sz w:val="20"/>
                <w:szCs w:val="20"/>
              </w:rPr>
              <w:t xml:space="preserve"> 0.0677</w:t>
            </w:r>
          </w:p>
        </w:tc>
      </w:tr>
    </w:tbl>
    <w:p w14:paraId="34F0852D" w14:textId="77777777" w:rsidR="00DE21DC" w:rsidRDefault="00DE21DC" w:rsidP="00DE21DC">
      <w:pPr>
        <w:jc w:val="both"/>
        <w:rPr>
          <w:rFonts w:asciiTheme="minorHAnsi" w:hAnsiTheme="minorHAnsi"/>
          <w:sz w:val="20"/>
          <w:szCs w:val="20"/>
        </w:rPr>
      </w:pPr>
    </w:p>
    <w:p w14:paraId="0A31F255" w14:textId="77777777" w:rsidR="00DE21DC" w:rsidRDefault="00F56B54" w:rsidP="00DE21DC">
      <w:pPr>
        <w:jc w:val="both"/>
        <w:rPr>
          <w:rFonts w:asciiTheme="minorHAnsi" w:hAnsiTheme="minorHAnsi"/>
          <w:sz w:val="20"/>
          <w:szCs w:val="20"/>
        </w:rPr>
      </w:pPr>
      <w:r>
        <w:rPr>
          <w:rFonts w:asciiTheme="minorHAnsi" w:hAnsiTheme="minorHAnsi"/>
          <w:sz w:val="20"/>
          <w:szCs w:val="20"/>
        </w:rPr>
        <w:t>From these results, a base value of 0.05 mg Cu/L is proposed for MAMPEC calculations.</w:t>
      </w:r>
    </w:p>
    <w:p w14:paraId="392A5855" w14:textId="77777777" w:rsidR="00DE21DC" w:rsidRDefault="00F56B54" w:rsidP="00DE21DC">
      <w:pPr>
        <w:jc w:val="both"/>
        <w:rPr>
          <w:rFonts w:asciiTheme="minorHAnsi" w:hAnsiTheme="minorHAnsi"/>
          <w:i/>
          <w:iCs/>
          <w:sz w:val="20"/>
          <w:szCs w:val="20"/>
        </w:rPr>
      </w:pPr>
      <w:r>
        <w:rPr>
          <w:rFonts w:asciiTheme="minorHAnsi" w:hAnsiTheme="minorHAnsi"/>
          <w:i/>
          <w:iCs/>
          <w:sz w:val="20"/>
          <w:szCs w:val="20"/>
        </w:rPr>
        <w:t>MAMPEC calculations</w:t>
      </w:r>
    </w:p>
    <w:p w14:paraId="288B8A39" w14:textId="77777777" w:rsidR="00DE21DC" w:rsidRDefault="00F56B54" w:rsidP="00DE21DC">
      <w:pPr>
        <w:jc w:val="both"/>
        <w:rPr>
          <w:rFonts w:asciiTheme="minorHAnsi" w:hAnsiTheme="minorHAnsi"/>
          <w:sz w:val="20"/>
          <w:szCs w:val="20"/>
        </w:rPr>
      </w:pPr>
      <w:r>
        <w:rPr>
          <w:rFonts w:asciiTheme="minorHAnsi" w:hAnsiTheme="minorHAnsi"/>
          <w:sz w:val="20"/>
          <w:szCs w:val="20"/>
        </w:rPr>
        <w:t>Using an emission discharge of 420 m</w:t>
      </w:r>
      <w:r>
        <w:rPr>
          <w:rFonts w:asciiTheme="minorHAnsi" w:hAnsiTheme="minorHAnsi"/>
          <w:sz w:val="20"/>
          <w:szCs w:val="20"/>
          <w:vertAlign w:val="superscript"/>
        </w:rPr>
        <w:t>3</w:t>
      </w:r>
      <w:r>
        <w:rPr>
          <w:rFonts w:asciiTheme="minorHAnsi" w:hAnsiTheme="minorHAnsi"/>
          <w:sz w:val="20"/>
          <w:szCs w:val="20"/>
        </w:rPr>
        <w:t>/day and a copper concentration of 0.05 mg Cu/L, which results in a total emission of 21 g Cu/d, and the environmental parameters for Lyttleton Harbour, the following PECs were calculated using the MAMPEC-BW model:</w:t>
      </w:r>
    </w:p>
    <w:p w14:paraId="0C428247" w14:textId="77777777" w:rsidR="00DE21DC" w:rsidRDefault="00F56B54" w:rsidP="00DE21DC">
      <w:pPr>
        <w:jc w:val="both"/>
        <w:rPr>
          <w:rFonts w:asciiTheme="minorHAnsi" w:hAnsiTheme="minorHAnsi"/>
          <w:i/>
          <w:iCs/>
          <w:sz w:val="20"/>
          <w:szCs w:val="20"/>
          <w:u w:val="single"/>
        </w:rPr>
      </w:pPr>
      <w:r>
        <w:rPr>
          <w:rFonts w:asciiTheme="minorHAnsi" w:hAnsiTheme="minorHAnsi"/>
          <w:i/>
          <w:iCs/>
          <w:sz w:val="20"/>
          <w:szCs w:val="20"/>
          <w:u w:val="single"/>
        </w:rPr>
        <w:t>Harbour</w:t>
      </w:r>
    </w:p>
    <w:p w14:paraId="6E8CA1E6" w14:textId="77777777" w:rsidR="00DE21DC" w:rsidRPr="00C0210B" w:rsidRDefault="00DE21DC" w:rsidP="00DE21DC">
      <w:pPr>
        <w:jc w:val="both"/>
        <w:rPr>
          <w:rFonts w:asciiTheme="minorHAnsi" w:hAnsiTheme="minorHAnsi"/>
          <w:i/>
          <w:iCs/>
          <w:sz w:val="20"/>
          <w:szCs w:val="20"/>
          <w:u w:val="single"/>
        </w:rPr>
      </w:pPr>
    </w:p>
    <w:tbl>
      <w:tblPr>
        <w:tblStyle w:val="GridTable5Dark-Accent1"/>
        <w:tblW w:w="0" w:type="auto"/>
        <w:jc w:val="center"/>
        <w:tblLook w:val="04A0" w:firstRow="1" w:lastRow="0" w:firstColumn="1" w:lastColumn="0" w:noHBand="0" w:noVBand="1"/>
        <w:tblCaption w:val="Predicted Environmental Copper Concentrations for  Lyttleton Harbour"/>
        <w:tblDescription w:val="This table contains the total predicted environmental concentration and the freely dissolved concentration of copper for Lyttelton harbour, calculated using the MAMPEC-BW model and an average copper concentration of 0.05 micrograms of copper per litre.  After the recorded cleans, the average total concentration of copper in Port Lyttelton was predicted to be 0.0214 micrograms per litre, with 0.0141 milligrams per litre of freely dissolved copper"/>
      </w:tblPr>
      <w:tblGrid>
        <w:gridCol w:w="2605"/>
        <w:gridCol w:w="2605"/>
        <w:gridCol w:w="2605"/>
      </w:tblGrid>
      <w:tr w:rsidR="004F6729" w14:paraId="247686F7"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05" w:type="dxa"/>
          </w:tcPr>
          <w:p w14:paraId="242BF908" w14:textId="77777777" w:rsidR="00DE21DC" w:rsidRDefault="00DE21DC" w:rsidP="00466DC8">
            <w:pPr>
              <w:jc w:val="both"/>
              <w:rPr>
                <w:rFonts w:asciiTheme="minorHAnsi" w:hAnsiTheme="minorHAnsi"/>
                <w:b w:val="0"/>
                <w:bCs w:val="0"/>
                <w:sz w:val="20"/>
                <w:szCs w:val="20"/>
              </w:rPr>
            </w:pPr>
          </w:p>
        </w:tc>
        <w:tc>
          <w:tcPr>
            <w:tcW w:w="5210" w:type="dxa"/>
            <w:gridSpan w:val="2"/>
            <w:vAlign w:val="center"/>
          </w:tcPr>
          <w:p w14:paraId="45FD60C7"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μ</w:t>
            </w:r>
            <w:r>
              <w:rPr>
                <w:rFonts w:asciiTheme="minorHAnsi" w:hAnsiTheme="minorHAnsi"/>
                <w:sz w:val="20"/>
                <w:szCs w:val="20"/>
              </w:rPr>
              <w:t>g Cu /L</w:t>
            </w:r>
          </w:p>
        </w:tc>
      </w:tr>
      <w:tr w:rsidR="004F6729" w14:paraId="13645813"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72246EF2" w14:textId="77777777" w:rsidR="00DE21DC" w:rsidRDefault="00DE21DC" w:rsidP="00466DC8">
            <w:pPr>
              <w:jc w:val="both"/>
              <w:rPr>
                <w:rFonts w:asciiTheme="minorHAnsi" w:hAnsiTheme="minorHAnsi"/>
                <w:b w:val="0"/>
                <w:bCs w:val="0"/>
                <w:sz w:val="20"/>
                <w:szCs w:val="20"/>
              </w:rPr>
            </w:pPr>
          </w:p>
        </w:tc>
        <w:tc>
          <w:tcPr>
            <w:tcW w:w="2605" w:type="dxa"/>
          </w:tcPr>
          <w:p w14:paraId="7AC1231C" w14:textId="77777777" w:rsidR="00DE21DC" w:rsidRPr="005D2207"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D2207">
              <w:rPr>
                <w:rFonts w:asciiTheme="minorHAnsi" w:hAnsiTheme="minorHAnsi"/>
                <w:b/>
                <w:bCs/>
                <w:sz w:val="20"/>
                <w:szCs w:val="20"/>
              </w:rPr>
              <w:t>Total conc.</w:t>
            </w:r>
          </w:p>
        </w:tc>
        <w:tc>
          <w:tcPr>
            <w:tcW w:w="2605" w:type="dxa"/>
          </w:tcPr>
          <w:p w14:paraId="5E6CEA46" w14:textId="77777777" w:rsidR="00DE21DC" w:rsidRPr="005D2207"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D2207">
              <w:rPr>
                <w:rFonts w:asciiTheme="minorHAnsi" w:hAnsiTheme="minorHAnsi"/>
                <w:b/>
                <w:bCs/>
                <w:sz w:val="20"/>
                <w:szCs w:val="20"/>
              </w:rPr>
              <w:t>Freely dissolved</w:t>
            </w:r>
          </w:p>
        </w:tc>
      </w:tr>
      <w:tr w:rsidR="004F6729" w14:paraId="2E3E7D21"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0B937FD0"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Maximum conc.</w:t>
            </w:r>
          </w:p>
        </w:tc>
        <w:tc>
          <w:tcPr>
            <w:tcW w:w="2605" w:type="dxa"/>
          </w:tcPr>
          <w:p w14:paraId="349AF6CD"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0.0398</w:t>
            </w:r>
          </w:p>
        </w:tc>
        <w:tc>
          <w:tcPr>
            <w:tcW w:w="2605" w:type="dxa"/>
            <w:vAlign w:val="center"/>
          </w:tcPr>
          <w:p w14:paraId="37FADEB4"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0.0263</w:t>
            </w:r>
          </w:p>
        </w:tc>
      </w:tr>
      <w:tr w:rsidR="004F6729" w14:paraId="29A7C40E"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2E531762"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95% conc.</w:t>
            </w:r>
          </w:p>
        </w:tc>
        <w:tc>
          <w:tcPr>
            <w:tcW w:w="2605" w:type="dxa"/>
            <w:vAlign w:val="center"/>
          </w:tcPr>
          <w:p w14:paraId="44B4CD83"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0.0398</w:t>
            </w:r>
          </w:p>
        </w:tc>
        <w:tc>
          <w:tcPr>
            <w:tcW w:w="2605" w:type="dxa"/>
            <w:vAlign w:val="center"/>
          </w:tcPr>
          <w:p w14:paraId="673CFC4B"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0.0263</w:t>
            </w:r>
          </w:p>
        </w:tc>
      </w:tr>
      <w:tr w:rsidR="004F6729" w14:paraId="77007804"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4191BC3"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Average conc.</w:t>
            </w:r>
          </w:p>
        </w:tc>
        <w:tc>
          <w:tcPr>
            <w:tcW w:w="2605" w:type="dxa"/>
            <w:vAlign w:val="center"/>
          </w:tcPr>
          <w:p w14:paraId="724AD709"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0.0214</w:t>
            </w:r>
          </w:p>
        </w:tc>
        <w:tc>
          <w:tcPr>
            <w:tcW w:w="2605" w:type="dxa"/>
            <w:vAlign w:val="center"/>
          </w:tcPr>
          <w:p w14:paraId="3C28743F"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0.0141</w:t>
            </w:r>
          </w:p>
        </w:tc>
      </w:tr>
      <w:tr w:rsidR="004F6729" w14:paraId="2AF0B016"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68091734"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 xml:space="preserve">Minimum conc. </w:t>
            </w:r>
          </w:p>
        </w:tc>
        <w:tc>
          <w:tcPr>
            <w:tcW w:w="2605" w:type="dxa"/>
            <w:vAlign w:val="center"/>
          </w:tcPr>
          <w:p w14:paraId="3FCC1981"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0.0029</w:t>
            </w:r>
          </w:p>
        </w:tc>
        <w:tc>
          <w:tcPr>
            <w:tcW w:w="2605" w:type="dxa"/>
            <w:vAlign w:val="center"/>
          </w:tcPr>
          <w:p w14:paraId="13FB4E1F"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0.0019</w:t>
            </w:r>
          </w:p>
        </w:tc>
      </w:tr>
    </w:tbl>
    <w:p w14:paraId="6EA01800" w14:textId="77777777" w:rsidR="00DE21DC" w:rsidRDefault="00DE21DC" w:rsidP="00DE21DC">
      <w:pPr>
        <w:jc w:val="both"/>
        <w:rPr>
          <w:rFonts w:asciiTheme="minorHAnsi" w:hAnsiTheme="minorHAnsi"/>
          <w:sz w:val="20"/>
          <w:szCs w:val="20"/>
        </w:rPr>
      </w:pPr>
    </w:p>
    <w:p w14:paraId="0EC5BA4E" w14:textId="77777777" w:rsidR="00DE21DC" w:rsidRDefault="00DE21DC" w:rsidP="00DE21DC">
      <w:pPr>
        <w:jc w:val="both"/>
        <w:rPr>
          <w:rFonts w:asciiTheme="minorHAnsi" w:hAnsiTheme="minorHAnsi"/>
          <w:i/>
          <w:iCs/>
          <w:sz w:val="20"/>
          <w:szCs w:val="20"/>
          <w:u w:val="single"/>
        </w:rPr>
      </w:pPr>
    </w:p>
    <w:p w14:paraId="5288F104" w14:textId="77777777" w:rsidR="00DE21DC" w:rsidRDefault="00DE21DC" w:rsidP="00DE21DC">
      <w:pPr>
        <w:jc w:val="both"/>
        <w:rPr>
          <w:rFonts w:asciiTheme="minorHAnsi" w:hAnsiTheme="minorHAnsi"/>
          <w:i/>
          <w:iCs/>
          <w:sz w:val="20"/>
          <w:szCs w:val="20"/>
          <w:u w:val="single"/>
        </w:rPr>
      </w:pPr>
    </w:p>
    <w:p w14:paraId="6A930682" w14:textId="77777777" w:rsidR="00DE21DC" w:rsidRDefault="00F56B54" w:rsidP="00DE21DC">
      <w:pPr>
        <w:jc w:val="both"/>
        <w:rPr>
          <w:rFonts w:asciiTheme="minorHAnsi" w:hAnsiTheme="minorHAnsi"/>
          <w:i/>
          <w:iCs/>
          <w:sz w:val="20"/>
          <w:szCs w:val="20"/>
          <w:u w:val="single"/>
        </w:rPr>
      </w:pPr>
      <w:r>
        <w:rPr>
          <w:rFonts w:asciiTheme="minorHAnsi" w:hAnsiTheme="minorHAnsi"/>
          <w:i/>
          <w:iCs/>
          <w:sz w:val="20"/>
          <w:szCs w:val="20"/>
          <w:u w:val="single"/>
        </w:rPr>
        <w:lastRenderedPageBreak/>
        <w:t>Surroundings</w:t>
      </w:r>
    </w:p>
    <w:tbl>
      <w:tblPr>
        <w:tblStyle w:val="GridTable5Dark-Accent1"/>
        <w:tblW w:w="0" w:type="auto"/>
        <w:jc w:val="center"/>
        <w:tblLook w:val="04A0" w:firstRow="1" w:lastRow="0" w:firstColumn="1" w:lastColumn="0" w:noHBand="0" w:noVBand="1"/>
        <w:tblCaption w:val="Predicted Environmental Copper Concentrations for  surrounding waters"/>
        <w:tblDescription w:val="This table contains the total predicted environmental concentration and the freely dissolved concentration of copper for surrounding waters, calculated using the MAMPEC-BW model and an average copper concentration of 0.05 milligrams of copper per litre.  After the recorded cleans, the average total concentration of copper in surrounding waters was predicted to be 0.0005 milligrams per litre, with 0.0003 milligrams per litre of freely dissolved copper"/>
      </w:tblPr>
      <w:tblGrid>
        <w:gridCol w:w="2605"/>
        <w:gridCol w:w="2605"/>
        <w:gridCol w:w="2605"/>
      </w:tblGrid>
      <w:tr w:rsidR="004F6729" w14:paraId="16D5D5E6"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05" w:type="dxa"/>
          </w:tcPr>
          <w:p w14:paraId="256DA430" w14:textId="77777777" w:rsidR="00DE21DC" w:rsidRDefault="00DE21DC" w:rsidP="00466DC8">
            <w:pPr>
              <w:jc w:val="both"/>
              <w:rPr>
                <w:rFonts w:asciiTheme="minorHAnsi" w:hAnsiTheme="minorHAnsi"/>
                <w:b w:val="0"/>
                <w:bCs w:val="0"/>
                <w:sz w:val="20"/>
                <w:szCs w:val="20"/>
              </w:rPr>
            </w:pPr>
          </w:p>
        </w:tc>
        <w:tc>
          <w:tcPr>
            <w:tcW w:w="5210" w:type="dxa"/>
            <w:gridSpan w:val="2"/>
            <w:vAlign w:val="center"/>
          </w:tcPr>
          <w:p w14:paraId="7A407BAF"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cstheme="minorHAnsi"/>
                <w:sz w:val="20"/>
                <w:szCs w:val="20"/>
              </w:rPr>
              <w:t>μ</w:t>
            </w:r>
            <w:r>
              <w:rPr>
                <w:rFonts w:asciiTheme="minorHAnsi" w:hAnsiTheme="minorHAnsi"/>
                <w:sz w:val="20"/>
                <w:szCs w:val="20"/>
              </w:rPr>
              <w:t>g Cu /L</w:t>
            </w:r>
          </w:p>
        </w:tc>
      </w:tr>
      <w:tr w:rsidR="004F6729" w14:paraId="76F7B960"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247B8CA2" w14:textId="77777777" w:rsidR="00DE21DC" w:rsidRDefault="00DE21DC" w:rsidP="00466DC8">
            <w:pPr>
              <w:jc w:val="both"/>
              <w:rPr>
                <w:rFonts w:asciiTheme="minorHAnsi" w:hAnsiTheme="minorHAnsi"/>
                <w:b w:val="0"/>
                <w:bCs w:val="0"/>
                <w:sz w:val="20"/>
                <w:szCs w:val="20"/>
              </w:rPr>
            </w:pPr>
          </w:p>
        </w:tc>
        <w:tc>
          <w:tcPr>
            <w:tcW w:w="2605" w:type="dxa"/>
          </w:tcPr>
          <w:p w14:paraId="32CEDF8B" w14:textId="77777777" w:rsidR="00DE21DC" w:rsidRPr="005D2207"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D2207">
              <w:rPr>
                <w:rFonts w:asciiTheme="minorHAnsi" w:hAnsiTheme="minorHAnsi"/>
                <w:b/>
                <w:bCs/>
                <w:sz w:val="20"/>
                <w:szCs w:val="20"/>
              </w:rPr>
              <w:t>Total conc.</w:t>
            </w:r>
          </w:p>
        </w:tc>
        <w:tc>
          <w:tcPr>
            <w:tcW w:w="2605" w:type="dxa"/>
          </w:tcPr>
          <w:p w14:paraId="4562B648" w14:textId="77777777" w:rsidR="00DE21DC" w:rsidRPr="005D2207"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D2207">
              <w:rPr>
                <w:rFonts w:asciiTheme="minorHAnsi" w:hAnsiTheme="minorHAnsi"/>
                <w:b/>
                <w:bCs/>
                <w:sz w:val="20"/>
                <w:szCs w:val="20"/>
              </w:rPr>
              <w:t>Freely dissolved</w:t>
            </w:r>
          </w:p>
        </w:tc>
      </w:tr>
      <w:tr w:rsidR="004F6729" w14:paraId="0B0CF357"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188F942F"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Maximum conc.</w:t>
            </w:r>
          </w:p>
        </w:tc>
        <w:tc>
          <w:tcPr>
            <w:tcW w:w="2605" w:type="dxa"/>
          </w:tcPr>
          <w:p w14:paraId="57348FBC"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0.0023</w:t>
            </w:r>
          </w:p>
        </w:tc>
        <w:tc>
          <w:tcPr>
            <w:tcW w:w="2605" w:type="dxa"/>
            <w:vAlign w:val="center"/>
          </w:tcPr>
          <w:p w14:paraId="167B1623"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0.0015</w:t>
            </w:r>
          </w:p>
        </w:tc>
      </w:tr>
      <w:tr w:rsidR="004F6729" w14:paraId="278B7334"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0AE0140B"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95% conc.</w:t>
            </w:r>
          </w:p>
        </w:tc>
        <w:tc>
          <w:tcPr>
            <w:tcW w:w="2605" w:type="dxa"/>
            <w:vAlign w:val="center"/>
          </w:tcPr>
          <w:p w14:paraId="516DAFC1"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0.0014</w:t>
            </w:r>
          </w:p>
        </w:tc>
        <w:tc>
          <w:tcPr>
            <w:tcW w:w="2605" w:type="dxa"/>
            <w:vAlign w:val="center"/>
          </w:tcPr>
          <w:p w14:paraId="77FC5D12"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0.0009</w:t>
            </w:r>
          </w:p>
        </w:tc>
      </w:tr>
      <w:tr w:rsidR="004F6729" w14:paraId="3E6A2EF4"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2BCF4884"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Average conc.</w:t>
            </w:r>
          </w:p>
        </w:tc>
        <w:tc>
          <w:tcPr>
            <w:tcW w:w="2605" w:type="dxa"/>
            <w:vAlign w:val="center"/>
          </w:tcPr>
          <w:p w14:paraId="4A1DB363"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0.0005</w:t>
            </w:r>
          </w:p>
        </w:tc>
        <w:tc>
          <w:tcPr>
            <w:tcW w:w="2605" w:type="dxa"/>
            <w:vAlign w:val="center"/>
          </w:tcPr>
          <w:p w14:paraId="7077C915"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0.0003</w:t>
            </w:r>
          </w:p>
        </w:tc>
      </w:tr>
      <w:tr w:rsidR="004F6729" w14:paraId="7C83DF4A"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0A981817" w14:textId="77777777" w:rsidR="00DE21DC" w:rsidRDefault="00F56B54" w:rsidP="00466DC8">
            <w:pPr>
              <w:jc w:val="both"/>
              <w:rPr>
                <w:rFonts w:asciiTheme="minorHAnsi" w:hAnsiTheme="minorHAnsi"/>
                <w:b w:val="0"/>
                <w:bCs w:val="0"/>
                <w:sz w:val="20"/>
                <w:szCs w:val="20"/>
              </w:rPr>
            </w:pPr>
            <w:r>
              <w:rPr>
                <w:rFonts w:asciiTheme="minorHAnsi" w:hAnsiTheme="minorHAnsi"/>
                <w:sz w:val="20"/>
                <w:szCs w:val="20"/>
              </w:rPr>
              <w:t xml:space="preserve">Minimum conc. </w:t>
            </w:r>
          </w:p>
        </w:tc>
        <w:tc>
          <w:tcPr>
            <w:tcW w:w="2605" w:type="dxa"/>
            <w:vAlign w:val="center"/>
          </w:tcPr>
          <w:p w14:paraId="07E0EED8"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&lt;0.0001</w:t>
            </w:r>
          </w:p>
        </w:tc>
        <w:tc>
          <w:tcPr>
            <w:tcW w:w="2605" w:type="dxa"/>
            <w:vAlign w:val="center"/>
          </w:tcPr>
          <w:p w14:paraId="5B3788B1"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&lt;0.0001</w:t>
            </w:r>
          </w:p>
        </w:tc>
      </w:tr>
    </w:tbl>
    <w:p w14:paraId="6A1A16C9" w14:textId="77777777" w:rsidR="00DE21DC" w:rsidRDefault="00DE21DC" w:rsidP="00DE21DC">
      <w:pPr>
        <w:jc w:val="both"/>
        <w:rPr>
          <w:rFonts w:asciiTheme="minorHAnsi" w:hAnsiTheme="minorHAnsi"/>
          <w:sz w:val="20"/>
          <w:szCs w:val="20"/>
        </w:rPr>
      </w:pPr>
    </w:p>
    <w:p w14:paraId="05E9156F" w14:textId="77777777" w:rsidR="00DE21DC" w:rsidRDefault="00F56B54" w:rsidP="00DE21DC">
      <w:pPr>
        <w:jc w:val="both"/>
        <w:rPr>
          <w:rFonts w:asciiTheme="minorHAnsi" w:eastAsia="Arial" w:hAnsiTheme="minorHAnsi" w:cstheme="minorHAnsi"/>
          <w:i/>
          <w:iCs/>
          <w:sz w:val="20"/>
          <w:szCs w:val="20"/>
          <w:vertAlign w:val="superscript"/>
        </w:rPr>
      </w:pPr>
      <w:r w:rsidRPr="005D2207">
        <w:rPr>
          <w:rFonts w:asciiTheme="minorHAnsi" w:eastAsia="Arial" w:hAnsiTheme="minorHAnsi" w:cstheme="minorHAnsi"/>
          <w:i/>
          <w:iCs/>
          <w:sz w:val="20"/>
          <w:szCs w:val="20"/>
          <w:u w:val="single"/>
        </w:rPr>
        <w:t xml:space="preserve">Trigger values for </w:t>
      </w:r>
      <w:r>
        <w:rPr>
          <w:rFonts w:asciiTheme="minorHAnsi" w:eastAsia="Arial" w:hAnsiTheme="minorHAnsi" w:cstheme="minorHAnsi"/>
          <w:i/>
          <w:iCs/>
          <w:sz w:val="20"/>
          <w:szCs w:val="20"/>
          <w:u w:val="single"/>
        </w:rPr>
        <w:t xml:space="preserve">copper </w:t>
      </w:r>
      <w:r w:rsidRPr="005D2207">
        <w:rPr>
          <w:rFonts w:asciiTheme="minorHAnsi" w:eastAsia="Arial" w:hAnsiTheme="minorHAnsi" w:cstheme="minorHAnsi"/>
          <w:i/>
          <w:iCs/>
          <w:sz w:val="20"/>
          <w:szCs w:val="20"/>
          <w:u w:val="single"/>
        </w:rPr>
        <w:t>at alternative levels of protection</w:t>
      </w:r>
      <w:r w:rsidRPr="005D2207">
        <w:rPr>
          <w:rFonts w:asciiTheme="minorHAnsi" w:eastAsia="Arial" w:hAnsiTheme="minorHAnsi" w:cstheme="minorHAnsi"/>
          <w:i/>
          <w:iCs/>
          <w:sz w:val="20"/>
          <w:szCs w:val="20"/>
          <w:vertAlign w:val="superscript"/>
        </w:rPr>
        <w:t>3</w:t>
      </w:r>
    </w:p>
    <w:p w14:paraId="59E7F2D4" w14:textId="77777777" w:rsidR="00DE21DC" w:rsidRPr="005D2207" w:rsidRDefault="00DE21DC" w:rsidP="00DE21DC">
      <w:pPr>
        <w:jc w:val="both"/>
        <w:rPr>
          <w:rFonts w:asciiTheme="minorHAnsi" w:hAnsiTheme="minorHAnsi" w:cstheme="minorHAnsi"/>
          <w:i/>
          <w:iCs/>
          <w:sz w:val="20"/>
          <w:szCs w:val="20"/>
          <w:u w:val="single"/>
          <w:vertAlign w:val="superscript"/>
        </w:rPr>
      </w:pPr>
    </w:p>
    <w:tbl>
      <w:tblPr>
        <w:tblStyle w:val="GridTable4-Accent1"/>
        <w:tblW w:w="0" w:type="auto"/>
        <w:jc w:val="center"/>
        <w:tblLook w:val="04A0" w:firstRow="1" w:lastRow="0" w:firstColumn="1" w:lastColumn="0" w:noHBand="0" w:noVBand="1"/>
        <w:tblCaption w:val="Trigger values for Copper under different species protection levels"/>
        <w:tblDescription w:val="This table contains trigger values for copper in marine waters under 4 different species protection levels. Copper concentrations higher than 0.3 micrograms of copper per litre exceed a 99% species protection level. Concentration higher than 3 micrograms of copper per litre would exceed the 90% protection level"/>
      </w:tblPr>
      <w:tblGrid>
        <w:gridCol w:w="1940"/>
        <w:gridCol w:w="1417"/>
        <w:gridCol w:w="1417"/>
        <w:gridCol w:w="1417"/>
      </w:tblGrid>
      <w:tr w:rsidR="004F6729" w14:paraId="7D89C09F"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191" w:type="dxa"/>
            <w:gridSpan w:val="4"/>
          </w:tcPr>
          <w:p w14:paraId="325B8F00" w14:textId="77777777" w:rsidR="00DE21DC" w:rsidRPr="005D2207" w:rsidRDefault="00F56B54" w:rsidP="00466DC8">
            <w:pPr>
              <w:spacing w:line="258" w:lineRule="auto"/>
              <w:jc w:val="center"/>
              <w:rPr>
                <w:rFonts w:asciiTheme="minorHAnsi" w:eastAsia="Arial" w:hAnsiTheme="minorHAnsi" w:cstheme="minorHAnsi"/>
                <w:b w:val="0"/>
                <w:sz w:val="20"/>
                <w:szCs w:val="20"/>
              </w:rPr>
            </w:pPr>
            <w:r w:rsidRPr="005D2207">
              <w:rPr>
                <w:rFonts w:asciiTheme="minorHAnsi" w:eastAsia="Arial" w:hAnsiTheme="minorHAnsi" w:cstheme="minorHAnsi"/>
                <w:bCs w:val="0"/>
                <w:sz w:val="20"/>
                <w:szCs w:val="20"/>
              </w:rPr>
              <w:t>Trigger values for marine water (μg</w:t>
            </w:r>
            <w:r>
              <w:rPr>
                <w:rFonts w:asciiTheme="minorHAnsi" w:eastAsia="Arial" w:hAnsiTheme="minorHAnsi" w:cstheme="minorHAnsi"/>
                <w:bCs w:val="0"/>
                <w:sz w:val="20"/>
                <w:szCs w:val="20"/>
              </w:rPr>
              <w:t xml:space="preserve"> Cu</w:t>
            </w:r>
            <w:r w:rsidRPr="005D2207">
              <w:rPr>
                <w:rFonts w:asciiTheme="minorHAnsi" w:eastAsia="Arial" w:hAnsiTheme="minorHAnsi" w:cstheme="minorHAnsi"/>
                <w:bCs w:val="0"/>
                <w:sz w:val="20"/>
                <w:szCs w:val="20"/>
              </w:rPr>
              <w:t>/L)</w:t>
            </w:r>
          </w:p>
        </w:tc>
      </w:tr>
      <w:tr w:rsidR="004F6729" w14:paraId="73D4B094"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91" w:type="dxa"/>
            <w:gridSpan w:val="4"/>
          </w:tcPr>
          <w:p w14:paraId="28AF9ADC" w14:textId="77777777" w:rsidR="00DE21DC" w:rsidRPr="005D2207" w:rsidRDefault="00F56B54" w:rsidP="00466DC8">
            <w:pPr>
              <w:spacing w:line="258" w:lineRule="auto"/>
              <w:jc w:val="center"/>
              <w:rPr>
                <w:rFonts w:asciiTheme="minorHAnsi" w:eastAsia="Arial" w:hAnsiTheme="minorHAnsi" w:cstheme="minorHAnsi"/>
                <w:b w:val="0"/>
                <w:bCs w:val="0"/>
                <w:sz w:val="20"/>
                <w:szCs w:val="20"/>
              </w:rPr>
            </w:pPr>
            <w:r w:rsidRPr="005D2207">
              <w:rPr>
                <w:rFonts w:asciiTheme="minorHAnsi" w:eastAsia="Arial" w:hAnsiTheme="minorHAnsi" w:cstheme="minorHAnsi"/>
                <w:sz w:val="20"/>
                <w:szCs w:val="20"/>
              </w:rPr>
              <w:t>Species Protection Level</w:t>
            </w:r>
          </w:p>
        </w:tc>
      </w:tr>
      <w:tr w:rsidR="004F6729" w14:paraId="0AFDDCA2"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4187029F" w14:textId="77777777" w:rsidR="00DE21DC" w:rsidRPr="005D2207" w:rsidRDefault="00F56B54" w:rsidP="00466DC8">
            <w:pPr>
              <w:spacing w:line="258" w:lineRule="auto"/>
              <w:jc w:val="center"/>
              <w:rPr>
                <w:rFonts w:asciiTheme="minorHAnsi" w:eastAsia="Arial" w:hAnsiTheme="minorHAnsi" w:cstheme="minorHAnsi"/>
                <w:sz w:val="20"/>
                <w:szCs w:val="20"/>
              </w:rPr>
            </w:pPr>
            <w:r w:rsidRPr="005D2207">
              <w:rPr>
                <w:rFonts w:asciiTheme="minorHAnsi" w:eastAsia="Arial" w:hAnsiTheme="minorHAnsi" w:cstheme="minorHAnsi"/>
                <w:b w:val="0"/>
                <w:bCs w:val="0"/>
                <w:sz w:val="20"/>
                <w:szCs w:val="20"/>
              </w:rPr>
              <w:t>80%</w:t>
            </w:r>
          </w:p>
        </w:tc>
        <w:tc>
          <w:tcPr>
            <w:tcW w:w="1417" w:type="dxa"/>
          </w:tcPr>
          <w:p w14:paraId="737C541E" w14:textId="77777777" w:rsidR="00DE21DC" w:rsidRPr="001419DE" w:rsidRDefault="00F56B54" w:rsidP="00466DC8">
            <w:pPr>
              <w:spacing w:line="25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90%</w:t>
            </w:r>
          </w:p>
        </w:tc>
        <w:tc>
          <w:tcPr>
            <w:tcW w:w="1417" w:type="dxa"/>
          </w:tcPr>
          <w:p w14:paraId="03B3F23F" w14:textId="77777777" w:rsidR="00DE21DC" w:rsidRPr="001419DE" w:rsidRDefault="00F56B54" w:rsidP="00466DC8">
            <w:pPr>
              <w:spacing w:line="25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95%</w:t>
            </w:r>
          </w:p>
        </w:tc>
        <w:tc>
          <w:tcPr>
            <w:tcW w:w="1417" w:type="dxa"/>
          </w:tcPr>
          <w:p w14:paraId="29610B5E" w14:textId="77777777" w:rsidR="00DE21DC" w:rsidRPr="001419DE" w:rsidRDefault="00F56B54" w:rsidP="00466DC8">
            <w:pPr>
              <w:spacing w:line="25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99%</w:t>
            </w:r>
          </w:p>
        </w:tc>
      </w:tr>
      <w:tr w:rsidR="004F6729" w14:paraId="690BF926"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4805F144" w14:textId="77777777" w:rsidR="00DE21DC" w:rsidRPr="005D2207" w:rsidRDefault="00F56B54" w:rsidP="00466DC8">
            <w:pPr>
              <w:spacing w:line="258" w:lineRule="auto"/>
              <w:jc w:val="center"/>
              <w:rPr>
                <w:rFonts w:asciiTheme="minorHAnsi" w:eastAsia="Arial" w:hAnsiTheme="minorHAnsi" w:cstheme="minorHAnsi"/>
                <w:sz w:val="20"/>
                <w:szCs w:val="20"/>
              </w:rPr>
            </w:pPr>
            <w:r w:rsidRPr="005D2207">
              <w:rPr>
                <w:rFonts w:asciiTheme="minorHAnsi" w:eastAsia="Arial" w:hAnsiTheme="minorHAnsi" w:cstheme="minorHAnsi"/>
                <w:b w:val="0"/>
                <w:bCs w:val="0"/>
                <w:sz w:val="20"/>
                <w:szCs w:val="20"/>
              </w:rPr>
              <w:t>8</w:t>
            </w:r>
          </w:p>
        </w:tc>
        <w:tc>
          <w:tcPr>
            <w:tcW w:w="1417" w:type="dxa"/>
          </w:tcPr>
          <w:p w14:paraId="2705A34F" w14:textId="77777777" w:rsidR="00DE21DC" w:rsidRPr="001419DE" w:rsidRDefault="00F56B54" w:rsidP="00466DC8">
            <w:pPr>
              <w:spacing w:line="258"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3</w:t>
            </w:r>
          </w:p>
        </w:tc>
        <w:tc>
          <w:tcPr>
            <w:tcW w:w="1417" w:type="dxa"/>
          </w:tcPr>
          <w:p w14:paraId="1E56CCDE" w14:textId="77777777" w:rsidR="00DE21DC" w:rsidRPr="001419DE" w:rsidRDefault="00F56B54" w:rsidP="00466DC8">
            <w:pPr>
              <w:spacing w:line="258"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1.3</w:t>
            </w:r>
          </w:p>
        </w:tc>
        <w:tc>
          <w:tcPr>
            <w:tcW w:w="1417" w:type="dxa"/>
          </w:tcPr>
          <w:p w14:paraId="02FE18D9" w14:textId="77777777" w:rsidR="00DE21DC" w:rsidRPr="001419DE" w:rsidRDefault="00F56B54" w:rsidP="00466DC8">
            <w:pPr>
              <w:spacing w:line="258"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rPr>
            </w:pPr>
            <w:r w:rsidRPr="001419DE">
              <w:rPr>
                <w:rFonts w:asciiTheme="minorHAnsi" w:eastAsia="Arial" w:hAnsiTheme="minorHAnsi" w:cstheme="minorHAnsi"/>
                <w:sz w:val="20"/>
                <w:szCs w:val="20"/>
              </w:rPr>
              <w:t>0.3</w:t>
            </w:r>
          </w:p>
        </w:tc>
      </w:tr>
    </w:tbl>
    <w:p w14:paraId="0B62091E" w14:textId="77777777" w:rsidR="00DE21DC" w:rsidRDefault="00DE21DC" w:rsidP="00DE21DC">
      <w:pPr>
        <w:jc w:val="both"/>
        <w:rPr>
          <w:rFonts w:asciiTheme="minorHAnsi" w:hAnsiTheme="minorHAnsi"/>
          <w:sz w:val="20"/>
          <w:szCs w:val="20"/>
        </w:rPr>
      </w:pPr>
    </w:p>
    <w:p w14:paraId="4B047401" w14:textId="77777777" w:rsidR="00DE21DC" w:rsidRDefault="00F56B54" w:rsidP="00DE21DC">
      <w:pPr>
        <w:jc w:val="both"/>
        <w:rPr>
          <w:rFonts w:asciiTheme="minorHAnsi" w:hAnsiTheme="minorHAnsi"/>
          <w:sz w:val="20"/>
          <w:szCs w:val="20"/>
        </w:rPr>
      </w:pPr>
      <w:r>
        <w:rPr>
          <w:rFonts w:asciiTheme="minorHAnsi" w:hAnsiTheme="minorHAnsi"/>
          <w:sz w:val="20"/>
          <w:szCs w:val="20"/>
        </w:rPr>
        <w:t>Comparison of the PECs from MAMPEC with the ANZECC/ARMCANZ trigger values shows that copper discharge from one day of cleaning would result in an environmental concentration an order of magnitude below the 99% Species Protection Level, and two orders of magnitude below the 90% Species Protection Level. Using the Morrisey et al. criteria of low risk defined as average PEC below the ANZECC 90% protection guideline, the discharge from a cleaning operation is classified as low risk.</w:t>
      </w:r>
    </w:p>
    <w:p w14:paraId="04E3155F" w14:textId="77777777" w:rsidR="00DE21DC" w:rsidRDefault="00F56B54" w:rsidP="00DE21DC">
      <w:pPr>
        <w:jc w:val="both"/>
        <w:rPr>
          <w:rFonts w:asciiTheme="minorHAnsi" w:hAnsiTheme="minorHAnsi"/>
          <w:sz w:val="20"/>
          <w:szCs w:val="20"/>
        </w:rPr>
      </w:pPr>
      <w:r>
        <w:rPr>
          <w:rFonts w:asciiTheme="minorHAnsi" w:hAnsiTheme="minorHAnsi"/>
          <w:sz w:val="20"/>
          <w:szCs w:val="20"/>
        </w:rPr>
        <w:t>Calculation of RQ from the PECs also results in a low risk determination (i.e. &lt; 1.0):</w:t>
      </w:r>
    </w:p>
    <w:p w14:paraId="16B78A2C" w14:textId="77777777" w:rsidR="00DE21DC" w:rsidRDefault="00F56B54" w:rsidP="00DE21DC">
      <w:pPr>
        <w:ind w:left="1440" w:firstLine="720"/>
        <w:jc w:val="both"/>
        <w:rPr>
          <w:rFonts w:asciiTheme="minorHAnsi" w:hAnsiTheme="minorHAnsi"/>
          <w:sz w:val="20"/>
          <w:szCs w:val="20"/>
        </w:rPr>
      </w:pPr>
      <w:r>
        <w:rPr>
          <w:rFonts w:asciiTheme="minorHAnsi" w:hAnsiTheme="minorHAnsi"/>
          <w:sz w:val="20"/>
          <w:szCs w:val="20"/>
        </w:rPr>
        <w:t>PEC/PNEC = 0.02/2.6</w:t>
      </w:r>
    </w:p>
    <w:p w14:paraId="1A3C775A" w14:textId="77777777" w:rsidR="00DE21DC" w:rsidRDefault="00F56B54" w:rsidP="00DE21DC">
      <w:pPr>
        <w:ind w:left="720" w:firstLine="720"/>
        <w:jc w:val="both"/>
        <w:rPr>
          <w:rFonts w:asciiTheme="minorHAnsi" w:hAnsiTheme="minorHAnsi"/>
          <w:sz w:val="20"/>
          <w:szCs w:val="20"/>
        </w:rPr>
      </w:pPr>
      <w:r>
        <w:rPr>
          <w:rFonts w:asciiTheme="minorHAnsi" w:hAnsiTheme="minorHAnsi"/>
          <w:sz w:val="20"/>
          <w:szCs w:val="20"/>
        </w:rPr>
        <w:tab/>
        <w:t>RQ = 0.0077</w:t>
      </w:r>
    </w:p>
    <w:p w14:paraId="1CBB8878" w14:textId="77777777" w:rsidR="00DE21DC" w:rsidRDefault="00F56B54" w:rsidP="00DE21DC">
      <w:pPr>
        <w:jc w:val="both"/>
        <w:rPr>
          <w:rFonts w:asciiTheme="minorHAnsi" w:hAnsiTheme="minorHAnsi"/>
          <w:i/>
          <w:iCs/>
          <w:sz w:val="20"/>
          <w:szCs w:val="20"/>
        </w:rPr>
      </w:pPr>
      <w:r>
        <w:rPr>
          <w:rFonts w:asciiTheme="minorHAnsi" w:hAnsiTheme="minorHAnsi"/>
          <w:i/>
          <w:iCs/>
          <w:sz w:val="20"/>
          <w:szCs w:val="20"/>
        </w:rPr>
        <w:t>Critical Discharge Concentrations</w:t>
      </w:r>
    </w:p>
    <w:p w14:paraId="616F3617" w14:textId="77777777" w:rsidR="00DE21DC" w:rsidRDefault="00F56B54" w:rsidP="00DE21DC">
      <w:pPr>
        <w:jc w:val="both"/>
        <w:rPr>
          <w:rFonts w:asciiTheme="minorHAnsi" w:hAnsiTheme="minorHAnsi"/>
          <w:sz w:val="20"/>
          <w:szCs w:val="20"/>
        </w:rPr>
      </w:pPr>
      <w:r>
        <w:rPr>
          <w:rFonts w:asciiTheme="minorHAnsi" w:hAnsiTheme="minorHAnsi"/>
          <w:sz w:val="20"/>
          <w:szCs w:val="20"/>
        </w:rPr>
        <w:t xml:space="preserve">The critical concentrations of copper in the discharge can be </w:t>
      </w:r>
      <w:r w:rsidR="00196E7B">
        <w:rPr>
          <w:rFonts w:asciiTheme="minorHAnsi" w:hAnsiTheme="minorHAnsi"/>
          <w:sz w:val="20"/>
          <w:szCs w:val="20"/>
        </w:rPr>
        <w:t>back calculated</w:t>
      </w:r>
      <w:r>
        <w:rPr>
          <w:rFonts w:asciiTheme="minorHAnsi" w:hAnsiTheme="minorHAnsi"/>
          <w:sz w:val="20"/>
          <w:szCs w:val="20"/>
        </w:rPr>
        <w:t xml:space="preserve"> using the MAMPEC model. For the RQ method, a PEC of 2.6 </w:t>
      </w:r>
      <w:r>
        <w:rPr>
          <w:rFonts w:asciiTheme="minorHAnsi" w:hAnsiTheme="minorHAnsi" w:cstheme="minorHAnsi"/>
          <w:sz w:val="20"/>
          <w:szCs w:val="20"/>
        </w:rPr>
        <w:t>μ</w:t>
      </w:r>
      <w:r>
        <w:rPr>
          <w:rFonts w:asciiTheme="minorHAnsi" w:hAnsiTheme="minorHAnsi"/>
          <w:sz w:val="20"/>
          <w:szCs w:val="20"/>
        </w:rPr>
        <w:t xml:space="preserve">g Cu/L would result in an RQ of unity and, applying Species Protection Level trigger values, the PEC should be no more than 3 </w:t>
      </w:r>
      <w:r>
        <w:rPr>
          <w:rFonts w:asciiTheme="minorHAnsi" w:hAnsiTheme="minorHAnsi" w:cstheme="minorHAnsi"/>
          <w:sz w:val="20"/>
          <w:szCs w:val="20"/>
        </w:rPr>
        <w:t>μ</w:t>
      </w:r>
      <w:r>
        <w:rPr>
          <w:rFonts w:asciiTheme="minorHAnsi" w:hAnsiTheme="minorHAnsi"/>
          <w:sz w:val="20"/>
          <w:szCs w:val="20"/>
        </w:rPr>
        <w:t>g Cu/L (90% protection). Running the model for 10-fold increases in the discharge concentration based on trial measurements gives the following results:</w:t>
      </w:r>
    </w:p>
    <w:p w14:paraId="027AE9AD" w14:textId="77777777" w:rsidR="00DE21DC" w:rsidRDefault="00F56B54">
      <w:pPr>
        <w:spacing w:after="0" w:line="240" w:lineRule="auto"/>
        <w:rPr>
          <w:rFonts w:asciiTheme="minorHAnsi" w:hAnsiTheme="minorHAnsi"/>
          <w:sz w:val="20"/>
          <w:szCs w:val="20"/>
        </w:rPr>
      </w:pPr>
      <w:r>
        <w:rPr>
          <w:rFonts w:asciiTheme="minorHAnsi" w:hAnsiTheme="minorHAnsi"/>
          <w:sz w:val="20"/>
          <w:szCs w:val="20"/>
        </w:rPr>
        <w:br w:type="page"/>
      </w:r>
    </w:p>
    <w:p w14:paraId="406332BE" w14:textId="77777777" w:rsidR="00DE21DC" w:rsidRDefault="00DE21DC" w:rsidP="00DE21DC">
      <w:pPr>
        <w:jc w:val="both"/>
        <w:rPr>
          <w:rFonts w:asciiTheme="minorHAnsi" w:hAnsiTheme="minorHAnsi"/>
          <w:sz w:val="20"/>
          <w:szCs w:val="20"/>
        </w:rPr>
      </w:pPr>
    </w:p>
    <w:tbl>
      <w:tblPr>
        <w:tblStyle w:val="GridTable5Dark-Accent1"/>
        <w:tblW w:w="0" w:type="auto"/>
        <w:jc w:val="center"/>
        <w:tblLook w:val="04A0" w:firstRow="1" w:lastRow="0" w:firstColumn="1" w:lastColumn="0" w:noHBand="0" w:noVBand="1"/>
        <w:tblCaption w:val="critical concentrations of copper in in-water cleaning discharge"/>
        <w:tblDescription w:val="The critical concentrations of copper in the discharge can be back-calculated using the MAMPEC model. This table shows the average and maximum predicted environmental concentrations of copper under three different discharge concentrations. "/>
      </w:tblPr>
      <w:tblGrid>
        <w:gridCol w:w="2660"/>
        <w:gridCol w:w="1843"/>
        <w:gridCol w:w="1842"/>
      </w:tblGrid>
      <w:tr w:rsidR="004F6729" w14:paraId="7F34343B"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60" w:type="dxa"/>
          </w:tcPr>
          <w:p w14:paraId="389E72E6"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Discharge Concentration</w:t>
            </w:r>
          </w:p>
        </w:tc>
        <w:tc>
          <w:tcPr>
            <w:tcW w:w="3685" w:type="dxa"/>
            <w:gridSpan w:val="2"/>
          </w:tcPr>
          <w:p w14:paraId="31AAC429"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PEC (ug Cu/L)</w:t>
            </w:r>
          </w:p>
        </w:tc>
      </w:tr>
      <w:tr w:rsidR="004F6729" w14:paraId="30F90558"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10C4A563"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(mg Cu/L)</w:t>
            </w:r>
          </w:p>
        </w:tc>
        <w:tc>
          <w:tcPr>
            <w:tcW w:w="1843" w:type="dxa"/>
            <w:shd w:val="clear" w:color="auto" w:fill="4F81BD" w:themeFill="accent1"/>
          </w:tcPr>
          <w:p w14:paraId="63097472" w14:textId="77777777" w:rsidR="00DE21DC" w:rsidRPr="00012CA1"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 w:val="20"/>
                <w:szCs w:val="20"/>
              </w:rPr>
            </w:pPr>
            <w:r w:rsidRPr="00012CA1">
              <w:rPr>
                <w:rFonts w:asciiTheme="minorHAnsi" w:hAnsiTheme="minorHAnsi"/>
                <w:b/>
                <w:bCs/>
                <w:color w:val="FFFFFF" w:themeColor="background1"/>
                <w:sz w:val="20"/>
                <w:szCs w:val="20"/>
              </w:rPr>
              <w:t>Average</w:t>
            </w:r>
          </w:p>
        </w:tc>
        <w:tc>
          <w:tcPr>
            <w:tcW w:w="1842" w:type="dxa"/>
            <w:shd w:val="clear" w:color="auto" w:fill="4F81BD" w:themeFill="accent1"/>
          </w:tcPr>
          <w:p w14:paraId="7CC51D11" w14:textId="77777777" w:rsidR="00DE21DC" w:rsidRPr="00012CA1"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 w:val="20"/>
                <w:szCs w:val="20"/>
              </w:rPr>
            </w:pPr>
            <w:r w:rsidRPr="00012CA1">
              <w:rPr>
                <w:rFonts w:asciiTheme="minorHAnsi" w:hAnsiTheme="minorHAnsi"/>
                <w:b/>
                <w:bCs/>
                <w:color w:val="FFFFFF" w:themeColor="background1"/>
                <w:sz w:val="20"/>
                <w:szCs w:val="20"/>
              </w:rPr>
              <w:t>Max</w:t>
            </w:r>
          </w:p>
        </w:tc>
      </w:tr>
      <w:tr w:rsidR="004F6729" w14:paraId="40C11121"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5C4ED7A9"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0.05</w:t>
            </w:r>
          </w:p>
        </w:tc>
        <w:tc>
          <w:tcPr>
            <w:tcW w:w="1843" w:type="dxa"/>
          </w:tcPr>
          <w:p w14:paraId="57B44E4D"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0.0214</w:t>
            </w:r>
          </w:p>
        </w:tc>
        <w:tc>
          <w:tcPr>
            <w:tcW w:w="1842" w:type="dxa"/>
          </w:tcPr>
          <w:p w14:paraId="3B2CCCFE"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0.0398</w:t>
            </w:r>
          </w:p>
        </w:tc>
      </w:tr>
      <w:tr w:rsidR="004F6729" w14:paraId="7FDBA29D"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49BAE532"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0.50</w:t>
            </w:r>
          </w:p>
        </w:tc>
        <w:tc>
          <w:tcPr>
            <w:tcW w:w="1843" w:type="dxa"/>
          </w:tcPr>
          <w:p w14:paraId="21F79093"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0.214</w:t>
            </w:r>
          </w:p>
        </w:tc>
        <w:tc>
          <w:tcPr>
            <w:tcW w:w="1842" w:type="dxa"/>
          </w:tcPr>
          <w:p w14:paraId="31720FF9"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0.398</w:t>
            </w:r>
          </w:p>
        </w:tc>
      </w:tr>
      <w:tr w:rsidR="004F6729" w14:paraId="134B72D6"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27FA551A"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5.00</w:t>
            </w:r>
          </w:p>
        </w:tc>
        <w:tc>
          <w:tcPr>
            <w:tcW w:w="1843" w:type="dxa"/>
          </w:tcPr>
          <w:p w14:paraId="499F87DC"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2.14</w:t>
            </w:r>
          </w:p>
        </w:tc>
        <w:tc>
          <w:tcPr>
            <w:tcW w:w="1842" w:type="dxa"/>
          </w:tcPr>
          <w:p w14:paraId="082BCC5B"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3.98</w:t>
            </w:r>
          </w:p>
        </w:tc>
      </w:tr>
    </w:tbl>
    <w:p w14:paraId="508142EC" w14:textId="77777777" w:rsidR="00DE21DC" w:rsidRDefault="00DE21DC" w:rsidP="00DE21DC">
      <w:pPr>
        <w:jc w:val="both"/>
        <w:rPr>
          <w:rFonts w:asciiTheme="minorHAnsi" w:hAnsiTheme="minorHAnsi"/>
          <w:sz w:val="20"/>
          <w:szCs w:val="20"/>
        </w:rPr>
      </w:pPr>
    </w:p>
    <w:p w14:paraId="09F14702" w14:textId="77777777" w:rsidR="00DE21DC" w:rsidRDefault="00F56B54" w:rsidP="00DE21DC">
      <w:pPr>
        <w:jc w:val="both"/>
        <w:rPr>
          <w:rFonts w:asciiTheme="minorHAnsi" w:hAnsiTheme="minorHAnsi"/>
          <w:sz w:val="20"/>
          <w:szCs w:val="20"/>
        </w:rPr>
      </w:pPr>
      <w:r>
        <w:rPr>
          <w:rFonts w:asciiTheme="minorHAnsi" w:hAnsiTheme="minorHAnsi"/>
          <w:sz w:val="20"/>
          <w:szCs w:val="20"/>
        </w:rPr>
        <w:t>Using these results as a guide, and trial and error, running the model for different discharge concentrations enabled the concentrations that would result in critical PECs to be determined as follows:</w:t>
      </w:r>
    </w:p>
    <w:p w14:paraId="083DC117" w14:textId="77777777" w:rsidR="00DE21DC" w:rsidRDefault="00DE21DC" w:rsidP="00DE21DC">
      <w:pPr>
        <w:jc w:val="both"/>
        <w:rPr>
          <w:rFonts w:asciiTheme="minorHAnsi" w:hAnsiTheme="minorHAnsi"/>
          <w:sz w:val="20"/>
          <w:szCs w:val="20"/>
        </w:rPr>
      </w:pPr>
    </w:p>
    <w:tbl>
      <w:tblPr>
        <w:tblStyle w:val="GridTable5Dark-Accent1"/>
        <w:tblW w:w="0" w:type="auto"/>
        <w:jc w:val="center"/>
        <w:tblLook w:val="04A0" w:firstRow="1" w:lastRow="0" w:firstColumn="1" w:lastColumn="0" w:noHBand="0" w:noVBand="1"/>
        <w:tblCaption w:val="Critical Predicted Environmental Copper Concentrations"/>
        <w:tblDescription w:val="This table contains critical predicted environmental copper concentrations under different protection levels. To ensure that copper levels remain below a 99% species protection level only 0.70 milligrams of copper per litre could be contained in the effluent.  A 90% species protection level would require  a discharge concentration of less than 7.05 milligrams of copper per litre."/>
      </w:tblPr>
      <w:tblGrid>
        <w:gridCol w:w="2660"/>
        <w:gridCol w:w="2145"/>
      </w:tblGrid>
      <w:tr w:rsidR="004F6729" w14:paraId="0335FBC8" w14:textId="77777777" w:rsidTr="004F672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60" w:type="dxa"/>
          </w:tcPr>
          <w:p w14:paraId="44254D06" w14:textId="77777777" w:rsidR="00DE21DC" w:rsidRDefault="00F56B54" w:rsidP="00466DC8">
            <w:pPr>
              <w:jc w:val="center"/>
              <w:rPr>
                <w:rFonts w:asciiTheme="minorHAnsi" w:hAnsiTheme="minorHAnsi"/>
                <w:sz w:val="20"/>
                <w:szCs w:val="20"/>
              </w:rPr>
            </w:pPr>
            <w:r>
              <w:rPr>
                <w:rFonts w:asciiTheme="minorHAnsi" w:hAnsiTheme="minorHAnsi"/>
                <w:sz w:val="20"/>
                <w:szCs w:val="20"/>
              </w:rPr>
              <w:t>Critical PEC</w:t>
            </w:r>
          </w:p>
          <w:p w14:paraId="6608A576"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(ug Cu/L)</w:t>
            </w:r>
          </w:p>
        </w:tc>
        <w:tc>
          <w:tcPr>
            <w:tcW w:w="2145" w:type="dxa"/>
          </w:tcPr>
          <w:p w14:paraId="74C0883D" w14:textId="77777777" w:rsidR="00827747"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Discharge Conc.</w:t>
            </w:r>
          </w:p>
          <w:p w14:paraId="19378D57" w14:textId="77777777" w:rsidR="00DE21DC" w:rsidRDefault="00F56B54" w:rsidP="00466D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(mg Cu/L)</w:t>
            </w:r>
          </w:p>
        </w:tc>
      </w:tr>
      <w:tr w:rsidR="004F6729" w14:paraId="5872586C"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4908CB79"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8 [SPL 80%]</w:t>
            </w:r>
          </w:p>
        </w:tc>
        <w:tc>
          <w:tcPr>
            <w:tcW w:w="2145" w:type="dxa"/>
          </w:tcPr>
          <w:p w14:paraId="7172B40D"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18.75</w:t>
            </w:r>
          </w:p>
        </w:tc>
      </w:tr>
      <w:tr w:rsidR="004F6729" w14:paraId="55E5C42D"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35B71142"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3 [SPL 90%]</w:t>
            </w:r>
          </w:p>
        </w:tc>
        <w:tc>
          <w:tcPr>
            <w:tcW w:w="2145" w:type="dxa"/>
          </w:tcPr>
          <w:p w14:paraId="4B1DEBA4"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7.05</w:t>
            </w:r>
          </w:p>
        </w:tc>
      </w:tr>
      <w:tr w:rsidR="004F6729" w14:paraId="20C45B63"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6AA3C4C4"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2.6 [PNEC]</w:t>
            </w:r>
          </w:p>
        </w:tc>
        <w:tc>
          <w:tcPr>
            <w:tcW w:w="2145" w:type="dxa"/>
          </w:tcPr>
          <w:p w14:paraId="27C08BEA"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6.10</w:t>
            </w:r>
          </w:p>
        </w:tc>
      </w:tr>
      <w:tr w:rsidR="004F6729" w14:paraId="5A075DB4" w14:textId="77777777" w:rsidTr="004F6729">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27F2B477"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1.3 [SPL 95%]</w:t>
            </w:r>
          </w:p>
        </w:tc>
        <w:tc>
          <w:tcPr>
            <w:tcW w:w="2145" w:type="dxa"/>
          </w:tcPr>
          <w:p w14:paraId="2502085B" w14:textId="77777777" w:rsidR="00DE21DC" w:rsidRDefault="00F56B54" w:rsidP="00466DC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3.05</w:t>
            </w:r>
          </w:p>
        </w:tc>
      </w:tr>
      <w:tr w:rsidR="004F6729" w14:paraId="1419D0A1" w14:textId="77777777" w:rsidTr="004F67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67A2A9A4" w14:textId="77777777" w:rsidR="00DE21DC" w:rsidRDefault="00F56B54" w:rsidP="00466DC8">
            <w:pPr>
              <w:jc w:val="center"/>
              <w:rPr>
                <w:rFonts w:asciiTheme="minorHAnsi" w:hAnsiTheme="minorHAnsi"/>
                <w:b w:val="0"/>
                <w:bCs w:val="0"/>
                <w:sz w:val="20"/>
                <w:szCs w:val="20"/>
              </w:rPr>
            </w:pPr>
            <w:r>
              <w:rPr>
                <w:rFonts w:asciiTheme="minorHAnsi" w:hAnsiTheme="minorHAnsi"/>
                <w:sz w:val="20"/>
                <w:szCs w:val="20"/>
              </w:rPr>
              <w:t>0.3 [SPL 99%]</w:t>
            </w:r>
          </w:p>
        </w:tc>
        <w:tc>
          <w:tcPr>
            <w:tcW w:w="2145" w:type="dxa"/>
          </w:tcPr>
          <w:p w14:paraId="6652DDF4" w14:textId="77777777" w:rsidR="00DE21DC" w:rsidRDefault="00F56B54" w:rsidP="00466D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0.70</w:t>
            </w:r>
          </w:p>
        </w:tc>
      </w:tr>
    </w:tbl>
    <w:p w14:paraId="3D65750C" w14:textId="77777777" w:rsidR="00DE21DC" w:rsidRDefault="00DE21DC" w:rsidP="00DE21DC">
      <w:pPr>
        <w:jc w:val="both"/>
        <w:rPr>
          <w:rFonts w:asciiTheme="minorHAnsi" w:hAnsiTheme="minorHAnsi"/>
          <w:sz w:val="20"/>
          <w:szCs w:val="20"/>
        </w:rPr>
      </w:pPr>
    </w:p>
    <w:p w14:paraId="78482EEA" w14:textId="77777777" w:rsidR="00827747" w:rsidRDefault="00F56B54" w:rsidP="00DE21DC">
      <w:pPr>
        <w:jc w:val="both"/>
        <w:rPr>
          <w:rFonts w:asciiTheme="minorHAnsi" w:hAnsiTheme="minorHAnsi"/>
          <w:sz w:val="20"/>
          <w:szCs w:val="20"/>
        </w:rPr>
      </w:pPr>
      <w:r>
        <w:rPr>
          <w:rFonts w:asciiTheme="minorHAnsi" w:hAnsiTheme="minorHAnsi"/>
          <w:sz w:val="20"/>
          <w:szCs w:val="20"/>
        </w:rPr>
        <w:t>These values further demonstrate that the concentrations measured in the effluent at discharge during cleaning operations are well below those that could result in an environmental concentration of concern.</w:t>
      </w:r>
    </w:p>
    <w:p w14:paraId="043CB3E2" w14:textId="77777777" w:rsidR="00DE21DC" w:rsidRDefault="00F56B54" w:rsidP="00DE21DC">
      <w:pPr>
        <w:jc w:val="both"/>
        <w:rPr>
          <w:rFonts w:asciiTheme="minorHAnsi" w:hAnsiTheme="minorHAnsi"/>
          <w:sz w:val="20"/>
          <w:szCs w:val="20"/>
        </w:rPr>
      </w:pPr>
      <w:r>
        <w:rPr>
          <w:rFonts w:asciiTheme="minorHAnsi" w:hAnsiTheme="minorHAnsi"/>
          <w:sz w:val="20"/>
          <w:szCs w:val="20"/>
          <w:u w:val="single"/>
        </w:rPr>
        <w:t>Conclusions and Recommendations</w:t>
      </w:r>
    </w:p>
    <w:p w14:paraId="27CD95BB" w14:textId="78D81CC7" w:rsidR="00DE21DC" w:rsidRDefault="00F56B54" w:rsidP="00DE21DC">
      <w:pPr>
        <w:pStyle w:val="ListParagraph"/>
        <w:numPr>
          <w:ilvl w:val="0"/>
          <w:numId w:val="41"/>
        </w:numPr>
        <w:spacing w:after="0" w:line="276" w:lineRule="auto"/>
        <w:jc w:val="both"/>
        <w:rPr>
          <w:rFonts w:asciiTheme="minorHAnsi" w:hAnsiTheme="minorHAnsi"/>
          <w:sz w:val="20"/>
          <w:szCs w:val="20"/>
        </w:rPr>
      </w:pPr>
      <w:r>
        <w:rPr>
          <w:rFonts w:asciiTheme="minorHAnsi" w:hAnsiTheme="minorHAnsi"/>
          <w:sz w:val="20"/>
          <w:szCs w:val="20"/>
        </w:rPr>
        <w:t xml:space="preserve">The MAMPEC-BW model can be used to predict environmental contaminant concentrations for antifouling biocides discharged in the effluent from in-water hull cleaning waste treatment systems during cleaning </w:t>
      </w:r>
      <w:r w:rsidR="00621D86">
        <w:rPr>
          <w:rFonts w:asciiTheme="minorHAnsi" w:hAnsiTheme="minorHAnsi"/>
          <w:sz w:val="20"/>
          <w:szCs w:val="20"/>
        </w:rPr>
        <w:t>operations.</w:t>
      </w:r>
    </w:p>
    <w:p w14:paraId="14F5FC5B" w14:textId="77777777" w:rsidR="00DE21DC" w:rsidRDefault="00F56B54" w:rsidP="00DE21DC">
      <w:pPr>
        <w:pStyle w:val="ListParagraph"/>
        <w:numPr>
          <w:ilvl w:val="0"/>
          <w:numId w:val="41"/>
        </w:numPr>
        <w:spacing w:after="0" w:line="276" w:lineRule="auto"/>
        <w:jc w:val="both"/>
        <w:rPr>
          <w:rFonts w:asciiTheme="minorHAnsi" w:hAnsiTheme="minorHAnsi"/>
          <w:sz w:val="20"/>
          <w:szCs w:val="20"/>
        </w:rPr>
      </w:pPr>
      <w:r>
        <w:rPr>
          <w:rFonts w:asciiTheme="minorHAnsi" w:hAnsiTheme="minorHAnsi"/>
          <w:sz w:val="20"/>
          <w:szCs w:val="20"/>
        </w:rPr>
        <w:t xml:space="preserve">From daily discharge volumes and contaminant concentrations measured during </w:t>
      </w:r>
      <w:r>
        <w:rPr>
          <w:rFonts w:asciiTheme="minorHAnsi" w:hAnsiTheme="minorHAnsi"/>
          <w:i/>
          <w:iCs/>
          <w:sz w:val="20"/>
          <w:szCs w:val="20"/>
        </w:rPr>
        <w:t xml:space="preserve">Envirocart </w:t>
      </w:r>
      <w:r>
        <w:rPr>
          <w:rFonts w:asciiTheme="minorHAnsi" w:hAnsiTheme="minorHAnsi"/>
          <w:sz w:val="20"/>
          <w:szCs w:val="20"/>
        </w:rPr>
        <w:t>trials, and using Lyttelton Harbour as the example port, the resultant PECs for copper were an order of magnitude below that needed to meet the highest protection level in the Australian and New Zealand Guidelines for Fresh and Marine Water Quality</w:t>
      </w:r>
    </w:p>
    <w:p w14:paraId="3BDEE53B" w14:textId="77777777" w:rsidR="00DE21DC" w:rsidRDefault="00F56B54" w:rsidP="00DE21DC">
      <w:pPr>
        <w:pStyle w:val="ListParagraph"/>
        <w:numPr>
          <w:ilvl w:val="0"/>
          <w:numId w:val="41"/>
        </w:numPr>
        <w:spacing w:after="0" w:line="276" w:lineRule="auto"/>
        <w:jc w:val="both"/>
        <w:rPr>
          <w:rFonts w:asciiTheme="minorHAnsi" w:hAnsiTheme="minorHAnsi"/>
          <w:sz w:val="20"/>
          <w:szCs w:val="20"/>
        </w:rPr>
      </w:pPr>
      <w:r>
        <w:rPr>
          <w:rFonts w:asciiTheme="minorHAnsi" w:hAnsiTheme="minorHAnsi"/>
          <w:sz w:val="20"/>
          <w:szCs w:val="20"/>
        </w:rPr>
        <w:t>A shut down trigger value for contaminant concentration has been suggested for use during cleaning operations to ensure that treatment processes are effectively removing contaminants from the waste stream. From the MAMPEC modelling, a trigger concentration of 0.5 mg Cu/</w:t>
      </w:r>
      <w:r w:rsidR="001967C4">
        <w:rPr>
          <w:rFonts w:asciiTheme="minorHAnsi" w:hAnsiTheme="minorHAnsi"/>
          <w:sz w:val="20"/>
          <w:szCs w:val="20"/>
        </w:rPr>
        <w:t>L is</w:t>
      </w:r>
      <w:r>
        <w:rPr>
          <w:rFonts w:asciiTheme="minorHAnsi" w:hAnsiTheme="minorHAnsi"/>
          <w:sz w:val="20"/>
          <w:szCs w:val="20"/>
        </w:rPr>
        <w:t xml:space="preserve"> suggested as providing a suitable and conservative protection level.</w:t>
      </w:r>
    </w:p>
    <w:p w14:paraId="710CEEC8" w14:textId="77777777" w:rsidR="00DE21DC" w:rsidRDefault="00DE21DC" w:rsidP="00DE21DC">
      <w:pPr>
        <w:spacing w:after="0"/>
        <w:jc w:val="both"/>
        <w:rPr>
          <w:rFonts w:asciiTheme="minorHAnsi" w:hAnsiTheme="minorHAnsi"/>
          <w:sz w:val="20"/>
          <w:szCs w:val="20"/>
        </w:rPr>
      </w:pPr>
    </w:p>
    <w:p w14:paraId="18317382" w14:textId="77777777" w:rsidR="00DE21DC" w:rsidRPr="00DE21DC" w:rsidRDefault="00F56B54" w:rsidP="00DE21DC">
      <w:pPr>
        <w:spacing w:after="0"/>
        <w:jc w:val="center"/>
        <w:rPr>
          <w:rFonts w:asciiTheme="minorHAnsi" w:hAnsiTheme="minorHAnsi"/>
          <w:sz w:val="20"/>
          <w:szCs w:val="20"/>
        </w:rPr>
      </w:pPr>
      <w:r>
        <w:rPr>
          <w:rFonts w:asciiTheme="minorHAnsi" w:hAnsiTheme="minorHAnsi"/>
          <w:sz w:val="20"/>
          <w:szCs w:val="20"/>
        </w:rPr>
        <w:t>____________________________________________________________</w:t>
      </w:r>
    </w:p>
    <w:p w14:paraId="3C28F7A7" w14:textId="77777777" w:rsidR="00762899" w:rsidRDefault="00762899" w:rsidP="003354C7">
      <w:pPr>
        <w:jc w:val="center"/>
      </w:pPr>
    </w:p>
    <w:p w14:paraId="0AB188B4" w14:textId="77777777" w:rsidR="00764D6A" w:rsidRDefault="00F56B54">
      <w:pPr>
        <w:pStyle w:val="Heading2"/>
        <w:numPr>
          <w:ilvl w:val="0"/>
          <w:numId w:val="0"/>
        </w:numPr>
        <w:ind w:left="709" w:hanging="709"/>
      </w:pPr>
      <w:bookmarkStart w:id="89" w:name="_Toc50117691"/>
      <w:r>
        <w:lastRenderedPageBreak/>
        <w:t>Glossary</w:t>
      </w:r>
      <w:bookmarkEnd w:id="88"/>
      <w:bookmarkEnd w:id="8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This table contains definitions for key terms used in this report"/>
      </w:tblPr>
      <w:tblGrid>
        <w:gridCol w:w="2266"/>
        <w:gridCol w:w="6804"/>
      </w:tblGrid>
      <w:tr w:rsidR="004F6729" w14:paraId="5576323E" w14:textId="77777777" w:rsidTr="00F008B9">
        <w:trPr>
          <w:tblHeader/>
        </w:trPr>
        <w:tc>
          <w:tcPr>
            <w:tcW w:w="1249" w:type="pct"/>
          </w:tcPr>
          <w:p w14:paraId="57D61C5C" w14:textId="77777777" w:rsidR="00764D6A" w:rsidRDefault="00F56B54">
            <w:pPr>
              <w:pStyle w:val="TableHeading"/>
            </w:pPr>
            <w:r>
              <w:t>Term</w:t>
            </w:r>
          </w:p>
        </w:tc>
        <w:tc>
          <w:tcPr>
            <w:tcW w:w="3751" w:type="pct"/>
          </w:tcPr>
          <w:p w14:paraId="4C0ACD63" w14:textId="77777777" w:rsidR="00764D6A" w:rsidRDefault="00F56B54">
            <w:pPr>
              <w:pStyle w:val="TableHeading"/>
            </w:pPr>
            <w:r>
              <w:t>Definition</w:t>
            </w:r>
          </w:p>
        </w:tc>
      </w:tr>
      <w:tr w:rsidR="004F6729" w14:paraId="3AB6712C" w14:textId="77777777" w:rsidTr="00F008B9">
        <w:tc>
          <w:tcPr>
            <w:tcW w:w="1249" w:type="pct"/>
          </w:tcPr>
          <w:p w14:paraId="32726837" w14:textId="77777777" w:rsidR="008B5FD1" w:rsidRDefault="00F56B54">
            <w:pPr>
              <w:pStyle w:val="TableText"/>
            </w:pPr>
            <w:r>
              <w:t>Hull grooming</w:t>
            </w:r>
          </w:p>
        </w:tc>
        <w:tc>
          <w:tcPr>
            <w:tcW w:w="3751" w:type="pct"/>
          </w:tcPr>
          <w:p w14:paraId="6A14CAD6" w14:textId="77777777" w:rsidR="008B5FD1" w:rsidRDefault="00F56B54">
            <w:pPr>
              <w:pStyle w:val="TableText"/>
            </w:pPr>
            <w:r>
              <w:t>Cleaning of hull surfaces (not niches) to remove primary biofouling and early stages of secondary biofouling</w:t>
            </w:r>
            <w:r w:rsidR="000E3062">
              <w:t xml:space="preserve"> to improve ship performance</w:t>
            </w:r>
          </w:p>
        </w:tc>
      </w:tr>
      <w:tr w:rsidR="004F6729" w14:paraId="74C0F7D2" w14:textId="77777777" w:rsidTr="00F008B9">
        <w:tc>
          <w:tcPr>
            <w:tcW w:w="1249" w:type="pct"/>
          </w:tcPr>
          <w:p w14:paraId="04208160" w14:textId="77777777" w:rsidR="00914497" w:rsidRDefault="00F56B54">
            <w:pPr>
              <w:pStyle w:val="TableText"/>
            </w:pPr>
            <w:r>
              <w:t>IWC</w:t>
            </w:r>
          </w:p>
        </w:tc>
        <w:tc>
          <w:tcPr>
            <w:tcW w:w="3751" w:type="pct"/>
          </w:tcPr>
          <w:p w14:paraId="6E0FF1ED" w14:textId="77777777" w:rsidR="00914497" w:rsidRDefault="00F56B54">
            <w:pPr>
              <w:pStyle w:val="TableText"/>
            </w:pPr>
            <w:r>
              <w:t>In-water cleaning</w:t>
            </w:r>
          </w:p>
        </w:tc>
      </w:tr>
      <w:tr w:rsidR="004F6729" w14:paraId="5EDC7EEC" w14:textId="77777777" w:rsidTr="00F008B9">
        <w:tc>
          <w:tcPr>
            <w:tcW w:w="1249" w:type="pct"/>
          </w:tcPr>
          <w:p w14:paraId="29F034B1" w14:textId="77777777" w:rsidR="00764D6A" w:rsidRDefault="00F56B54">
            <w:pPr>
              <w:pStyle w:val="TableText"/>
            </w:pPr>
            <w:r>
              <w:t>Primary biofouling</w:t>
            </w:r>
          </w:p>
        </w:tc>
        <w:tc>
          <w:tcPr>
            <w:tcW w:w="3751" w:type="pct"/>
          </w:tcPr>
          <w:p w14:paraId="7F223873" w14:textId="77777777" w:rsidR="00914497" w:rsidRDefault="00F56B54" w:rsidP="00914497">
            <w:pPr>
              <w:pStyle w:val="TableText"/>
            </w:pPr>
            <w:r>
              <w:t>Also known as ‘slime’, the layer of microscopic organisms that may include bacteria, diatoms and/or protozoans and the extracellular products they produce</w:t>
            </w:r>
            <w:r w:rsidR="006B4A37">
              <w:t>, and the microscopic, early settlement stages of secondary biofouling organisms</w:t>
            </w:r>
          </w:p>
        </w:tc>
      </w:tr>
      <w:tr w:rsidR="004F6729" w14:paraId="7DC2024E" w14:textId="77777777" w:rsidTr="00F008B9">
        <w:tc>
          <w:tcPr>
            <w:tcW w:w="1249" w:type="pct"/>
          </w:tcPr>
          <w:p w14:paraId="4BFE1A58" w14:textId="77777777" w:rsidR="00914497" w:rsidRDefault="00F56B54">
            <w:pPr>
              <w:pStyle w:val="TableText"/>
            </w:pPr>
            <w:r>
              <w:t>Proactive IWC</w:t>
            </w:r>
          </w:p>
        </w:tc>
        <w:tc>
          <w:tcPr>
            <w:tcW w:w="3751" w:type="pct"/>
          </w:tcPr>
          <w:p w14:paraId="6E459069" w14:textId="77777777" w:rsidR="00914497" w:rsidRDefault="00F56B54" w:rsidP="00914497">
            <w:pPr>
              <w:pStyle w:val="TableText"/>
            </w:pPr>
            <w:r>
              <w:t>Cleaning of hull surfaces and/or niches to remove early stages of biofouling and prevent the growth and maturation of macrofouling organisms</w:t>
            </w:r>
          </w:p>
        </w:tc>
      </w:tr>
      <w:tr w:rsidR="004F6729" w14:paraId="724F4FED" w14:textId="77777777" w:rsidTr="00F008B9">
        <w:tc>
          <w:tcPr>
            <w:tcW w:w="1249" w:type="pct"/>
          </w:tcPr>
          <w:p w14:paraId="16DF5569" w14:textId="77777777" w:rsidR="00914497" w:rsidRDefault="00F56B54">
            <w:pPr>
              <w:pStyle w:val="TableText"/>
            </w:pPr>
            <w:r>
              <w:t>Reactive IWC</w:t>
            </w:r>
          </w:p>
        </w:tc>
        <w:tc>
          <w:tcPr>
            <w:tcW w:w="3751" w:type="pct"/>
          </w:tcPr>
          <w:p w14:paraId="10DC665A" w14:textId="77777777" w:rsidR="00914497" w:rsidRDefault="00F56B54" w:rsidP="00914497">
            <w:pPr>
              <w:pStyle w:val="TableText"/>
            </w:pPr>
            <w:r>
              <w:t xml:space="preserve">Cleaning of hull surfaces and/or niches to remove </w:t>
            </w:r>
            <w:r w:rsidR="000E3062">
              <w:t xml:space="preserve">established </w:t>
            </w:r>
            <w:r>
              <w:t>secondary biofouling and associated tertiary biofouling organisms if present</w:t>
            </w:r>
          </w:p>
        </w:tc>
      </w:tr>
      <w:tr w:rsidR="004F6729" w14:paraId="5638F263" w14:textId="77777777" w:rsidTr="00F008B9">
        <w:tc>
          <w:tcPr>
            <w:tcW w:w="1249" w:type="pct"/>
          </w:tcPr>
          <w:p w14:paraId="67BA3101" w14:textId="77777777" w:rsidR="00764D6A" w:rsidRDefault="00F56B54">
            <w:pPr>
              <w:pStyle w:val="TableText"/>
            </w:pPr>
            <w:bookmarkStart w:id="90" w:name="_Hlk51314127"/>
            <w:r>
              <w:t>Secondary biofouling</w:t>
            </w:r>
          </w:p>
        </w:tc>
        <w:tc>
          <w:tcPr>
            <w:tcW w:w="3751" w:type="pct"/>
          </w:tcPr>
          <w:p w14:paraId="6CF6E195" w14:textId="77777777" w:rsidR="00764D6A" w:rsidRDefault="00F56B54">
            <w:pPr>
              <w:pStyle w:val="TableText"/>
            </w:pPr>
            <w:r>
              <w:t>M</w:t>
            </w:r>
            <w:r w:rsidR="00C1500C">
              <w:t>acroscopic</w:t>
            </w:r>
            <w:r>
              <w:t xml:space="preserve"> </w:t>
            </w:r>
            <w:r w:rsidR="00C1500C">
              <w:t xml:space="preserve">sessile </w:t>
            </w:r>
            <w:r>
              <w:t>organisms, visible to the naked eye, that are attached directly to the substrate.</w:t>
            </w:r>
          </w:p>
        </w:tc>
      </w:tr>
      <w:tr w:rsidR="004F6729" w14:paraId="6A536A4C" w14:textId="77777777" w:rsidTr="00F008B9">
        <w:tc>
          <w:tcPr>
            <w:tcW w:w="1249" w:type="pct"/>
          </w:tcPr>
          <w:p w14:paraId="61B7911C" w14:textId="77777777" w:rsidR="00764D6A" w:rsidRDefault="00F56B54">
            <w:pPr>
              <w:pStyle w:val="TableText"/>
            </w:pPr>
            <w:r>
              <w:t>Tertiary stage biofouling</w:t>
            </w:r>
          </w:p>
        </w:tc>
        <w:tc>
          <w:tcPr>
            <w:tcW w:w="3751" w:type="pct"/>
          </w:tcPr>
          <w:p w14:paraId="5A46D482" w14:textId="77777777" w:rsidR="00764D6A" w:rsidRDefault="00F56B54">
            <w:pPr>
              <w:pStyle w:val="TableText"/>
            </w:pPr>
            <w:r>
              <w:t xml:space="preserve">Secondary biofouling with additional macroscopic sessile or mobile organisms growing on or in interstices between the secondary </w:t>
            </w:r>
            <w:r w:rsidR="000E3062">
              <w:t xml:space="preserve">biofouling </w:t>
            </w:r>
            <w:r>
              <w:t>organisms</w:t>
            </w:r>
          </w:p>
        </w:tc>
      </w:tr>
    </w:tbl>
    <w:p w14:paraId="1D21D51B" w14:textId="77777777" w:rsidR="00764D6A" w:rsidRDefault="00F56B54">
      <w:pPr>
        <w:pStyle w:val="Heading2"/>
        <w:numPr>
          <w:ilvl w:val="0"/>
          <w:numId w:val="0"/>
        </w:numPr>
        <w:ind w:left="709" w:hanging="709"/>
      </w:pPr>
      <w:bookmarkStart w:id="91" w:name="_Toc430782162"/>
      <w:bookmarkStart w:id="92" w:name="_Toc50117692"/>
      <w:bookmarkEnd w:id="90"/>
      <w:r>
        <w:lastRenderedPageBreak/>
        <w:t>References</w:t>
      </w:r>
      <w:bookmarkEnd w:id="91"/>
      <w:bookmarkEnd w:id="92"/>
    </w:p>
    <w:p w14:paraId="35F92B13" w14:textId="77777777" w:rsidR="00936442" w:rsidRDefault="00F56B54" w:rsidP="0083428A">
      <w:pPr>
        <w:pStyle w:val="FootnoteText"/>
        <w:spacing w:after="0" w:line="276" w:lineRule="auto"/>
        <w:rPr>
          <w:sz w:val="22"/>
          <w:szCs w:val="22"/>
        </w:rPr>
      </w:pPr>
      <w:r>
        <w:rPr>
          <w:sz w:val="22"/>
          <w:szCs w:val="22"/>
        </w:rPr>
        <w:t>ABS 2007</w:t>
      </w:r>
      <w:r w:rsidRPr="0083428A">
        <w:rPr>
          <w:sz w:val="22"/>
          <w:szCs w:val="22"/>
        </w:rPr>
        <w:t>, Guidance notes on the inspection and application</w:t>
      </w:r>
      <w:r w:rsidR="0083428A" w:rsidRPr="0083428A">
        <w:rPr>
          <w:sz w:val="22"/>
          <w:szCs w:val="22"/>
        </w:rPr>
        <w:t xml:space="preserve"> of marine coating systems</w:t>
      </w:r>
      <w:r w:rsidR="0083428A">
        <w:rPr>
          <w:sz w:val="22"/>
          <w:szCs w:val="22"/>
        </w:rPr>
        <w:t>, Third edition, American Bureau of Shipping, Houston, TX.</w:t>
      </w:r>
    </w:p>
    <w:p w14:paraId="32F64F92" w14:textId="77777777" w:rsidR="00822A5B" w:rsidRDefault="00F56B54" w:rsidP="0083428A">
      <w:pPr>
        <w:pStyle w:val="FootnoteText"/>
        <w:spacing w:before="240" w:line="276" w:lineRule="auto"/>
        <w:rPr>
          <w:sz w:val="22"/>
          <w:szCs w:val="22"/>
        </w:rPr>
      </w:pPr>
      <w:r>
        <w:rPr>
          <w:sz w:val="22"/>
          <w:szCs w:val="22"/>
        </w:rPr>
        <w:t>Akzo Nobel 2016, Organotins in Intersleek 29</w:t>
      </w:r>
      <w:r w:rsidRPr="00822A5B">
        <w:rPr>
          <w:sz w:val="22"/>
          <w:szCs w:val="22"/>
          <w:vertAlign w:val="superscript"/>
        </w:rPr>
        <w:t>th</w:t>
      </w:r>
      <w:r>
        <w:rPr>
          <w:sz w:val="22"/>
          <w:szCs w:val="22"/>
        </w:rPr>
        <w:t xml:space="preserve"> </w:t>
      </w:r>
      <w:r w:rsidR="001967C4">
        <w:rPr>
          <w:sz w:val="22"/>
          <w:szCs w:val="22"/>
        </w:rPr>
        <w:t>July</w:t>
      </w:r>
      <w:r>
        <w:rPr>
          <w:sz w:val="22"/>
          <w:szCs w:val="22"/>
        </w:rPr>
        <w:t xml:space="preserve"> 2016, Akzo Nobel, Felling, UK.</w:t>
      </w:r>
    </w:p>
    <w:p w14:paraId="2E575B72" w14:textId="77777777" w:rsidR="00FC26F1" w:rsidRDefault="00F56B54" w:rsidP="0083428A">
      <w:pPr>
        <w:pStyle w:val="FootnoteText"/>
        <w:spacing w:before="240" w:line="276" w:lineRule="auto"/>
        <w:rPr>
          <w:sz w:val="22"/>
          <w:szCs w:val="22"/>
        </w:rPr>
      </w:pPr>
      <w:r>
        <w:rPr>
          <w:sz w:val="22"/>
          <w:szCs w:val="22"/>
        </w:rPr>
        <w:t xml:space="preserve">Almeida, E, Diamantino, TC &amp; de Sousa, O 2007, Marine paints: the </w:t>
      </w:r>
      <w:proofErr w:type="gramStart"/>
      <w:r>
        <w:rPr>
          <w:sz w:val="22"/>
          <w:szCs w:val="22"/>
        </w:rPr>
        <w:t>particular case</w:t>
      </w:r>
      <w:proofErr w:type="gramEnd"/>
      <w:r>
        <w:rPr>
          <w:sz w:val="22"/>
          <w:szCs w:val="22"/>
        </w:rPr>
        <w:t xml:space="preserve"> of antifouling paints’, Progress in Organic Coatings, 59, 2-20.</w:t>
      </w:r>
    </w:p>
    <w:p w14:paraId="685C0239" w14:textId="77777777" w:rsidR="003934BF" w:rsidRDefault="00F56B54" w:rsidP="00822A5B">
      <w:pPr>
        <w:pStyle w:val="FootnoteText"/>
        <w:spacing w:before="240" w:line="276" w:lineRule="auto"/>
        <w:rPr>
          <w:sz w:val="22"/>
          <w:szCs w:val="22"/>
        </w:rPr>
      </w:pPr>
      <w:r>
        <w:rPr>
          <w:sz w:val="22"/>
          <w:szCs w:val="22"/>
        </w:rPr>
        <w:t>Al-Saydeh, SA, El-Naas, MH &amp; Zaidi, SJ 2017, ‘Copper removal from industrial wastewater: A comprehensive review’, Journal of Industrial and Engineering Chemistry, 56, 35-44.</w:t>
      </w:r>
    </w:p>
    <w:p w14:paraId="2CCE2E6F" w14:textId="77777777" w:rsidR="00B705BC" w:rsidRDefault="00F56B54" w:rsidP="00822A5B">
      <w:pPr>
        <w:pStyle w:val="FootnoteText"/>
        <w:spacing w:before="240" w:line="276" w:lineRule="auto"/>
        <w:rPr>
          <w:sz w:val="22"/>
          <w:szCs w:val="22"/>
        </w:rPr>
      </w:pPr>
      <w:r>
        <w:rPr>
          <w:sz w:val="22"/>
          <w:szCs w:val="22"/>
        </w:rPr>
        <w:t>Amara</w:t>
      </w:r>
      <w:r w:rsidR="00541A20">
        <w:rPr>
          <w:sz w:val="22"/>
          <w:szCs w:val="22"/>
        </w:rPr>
        <w:t>,</w:t>
      </w:r>
      <w:r>
        <w:rPr>
          <w:sz w:val="22"/>
          <w:szCs w:val="22"/>
        </w:rPr>
        <w:t xml:space="preserve"> I, Miled</w:t>
      </w:r>
      <w:r w:rsidR="00541A20">
        <w:rPr>
          <w:sz w:val="22"/>
          <w:szCs w:val="22"/>
        </w:rPr>
        <w:t>,</w:t>
      </w:r>
      <w:r>
        <w:rPr>
          <w:sz w:val="22"/>
          <w:szCs w:val="22"/>
        </w:rPr>
        <w:t xml:space="preserve"> W, Ben Slama</w:t>
      </w:r>
      <w:r w:rsidR="00541A20">
        <w:rPr>
          <w:sz w:val="22"/>
          <w:szCs w:val="22"/>
        </w:rPr>
        <w:t>,</w:t>
      </w:r>
      <w:r>
        <w:rPr>
          <w:sz w:val="22"/>
          <w:szCs w:val="22"/>
        </w:rPr>
        <w:t xml:space="preserve"> R &amp; Ladhari</w:t>
      </w:r>
      <w:r w:rsidR="00541A20">
        <w:rPr>
          <w:sz w:val="22"/>
          <w:szCs w:val="22"/>
        </w:rPr>
        <w:t>,</w:t>
      </w:r>
      <w:r>
        <w:rPr>
          <w:sz w:val="22"/>
          <w:szCs w:val="22"/>
        </w:rPr>
        <w:t xml:space="preserve"> N 2018, ‘Antifouling processes and toxicity effects of antifouling paints on marine environment: A review’, Environmental Toxicology and Pharmacology, 57, 115-130.</w:t>
      </w:r>
    </w:p>
    <w:p w14:paraId="7CD8171C" w14:textId="77777777" w:rsidR="00827747" w:rsidRDefault="00F56B54" w:rsidP="00831CD4">
      <w:pPr>
        <w:pStyle w:val="FootnoteText"/>
        <w:spacing w:before="240" w:line="276" w:lineRule="auto"/>
        <w:rPr>
          <w:sz w:val="22"/>
          <w:szCs w:val="22"/>
        </w:rPr>
      </w:pPr>
      <w:r w:rsidRPr="00A30EF1">
        <w:rPr>
          <w:sz w:val="22"/>
          <w:szCs w:val="22"/>
        </w:rPr>
        <w:t>ANZECC/ARMCANZ 2000, Australian and New Zealand Guidelines for Fresh and Marine Water Quality</w:t>
      </w:r>
      <w:r>
        <w:rPr>
          <w:sz w:val="22"/>
          <w:szCs w:val="22"/>
        </w:rPr>
        <w:t>,</w:t>
      </w:r>
      <w:r w:rsidRPr="00A30EF1">
        <w:rPr>
          <w:sz w:val="22"/>
          <w:szCs w:val="22"/>
        </w:rPr>
        <w:t xml:space="preserve"> Australian and New Zealand Environment and Conservation Council &amp; Agriculture and Resource Management Council of Australia and New Zealand.</w:t>
      </w:r>
    </w:p>
    <w:p w14:paraId="08FB959F" w14:textId="77777777" w:rsidR="00B63DA6" w:rsidRDefault="00F56B54" w:rsidP="00831CD4">
      <w:pPr>
        <w:pStyle w:val="FootnoteText"/>
        <w:spacing w:before="240" w:line="276" w:lineRule="auto"/>
        <w:rPr>
          <w:sz w:val="22"/>
          <w:szCs w:val="22"/>
        </w:rPr>
      </w:pPr>
      <w:r>
        <w:rPr>
          <w:sz w:val="22"/>
          <w:szCs w:val="22"/>
        </w:rPr>
        <w:t>APVMA 2005</w:t>
      </w:r>
      <w:r w:rsidR="002B5237">
        <w:rPr>
          <w:sz w:val="22"/>
          <w:szCs w:val="22"/>
        </w:rPr>
        <w:t>, Notice: copper pyrithione, Commonwealth of Australia Gazette no. APVMA 2, 1 February 2005, 12.</w:t>
      </w:r>
    </w:p>
    <w:p w14:paraId="36A79F66" w14:textId="2717612E" w:rsidR="00827747" w:rsidRDefault="00F56B54" w:rsidP="00831CD4">
      <w:pPr>
        <w:spacing w:before="240"/>
      </w:pPr>
      <w:r>
        <w:t>APVMA 2015</w:t>
      </w:r>
      <w:r w:rsidR="005356CA">
        <w:t>a</w:t>
      </w:r>
      <w:r>
        <w:t xml:space="preserve">, </w:t>
      </w:r>
      <w:r w:rsidRPr="0068115E">
        <w:t>Diuron Chemical Review</w:t>
      </w:r>
      <w:r>
        <w:t xml:space="preserve">, Australian </w:t>
      </w:r>
      <w:r w:rsidR="00621D86">
        <w:t>Government,</w:t>
      </w:r>
      <w:r>
        <w:t xml:space="preserve"> Australian Pesticides and Veterinary Medicines Authority, accessed 21 March 2020.</w:t>
      </w:r>
    </w:p>
    <w:p w14:paraId="579ACD17" w14:textId="2E21B3F2" w:rsidR="00827747" w:rsidRDefault="00F56B54" w:rsidP="005356CA">
      <w:r>
        <w:t xml:space="preserve">APVMA 2015b, </w:t>
      </w:r>
      <w:r w:rsidRPr="005356CA">
        <w:t>Dithiocarbamates – priority 1</w:t>
      </w:r>
      <w:r>
        <w:t xml:space="preserve">, Australian </w:t>
      </w:r>
      <w:r w:rsidR="00621D86">
        <w:t>Government,</w:t>
      </w:r>
      <w:r>
        <w:t xml:space="preserve"> Australian Pesticides and Veterinary Medicines Authority, accessed 21 March 2020.</w:t>
      </w:r>
    </w:p>
    <w:p w14:paraId="68BADEAB" w14:textId="6A650EE2" w:rsidR="00795447" w:rsidRDefault="00F56B54" w:rsidP="005356CA">
      <w:r>
        <w:t>APVMA 2020</w:t>
      </w:r>
      <w:r w:rsidR="00B2504F">
        <w:t>a</w:t>
      </w:r>
      <w:r>
        <w:t xml:space="preserve">, </w:t>
      </w:r>
      <w:r w:rsidRPr="007B31EF">
        <w:t>Anti-fouling paint for use on boat hulls: guidance document</w:t>
      </w:r>
      <w:r w:rsidR="00BA51E5" w:rsidRPr="007B31EF">
        <w:t>, March 2020</w:t>
      </w:r>
      <w:r w:rsidR="00BA51E5">
        <w:t xml:space="preserve">, Australian </w:t>
      </w:r>
      <w:r w:rsidR="00621D86">
        <w:t>Government,</w:t>
      </w:r>
      <w:r w:rsidR="00BA51E5">
        <w:t xml:space="preserve"> Australian Pesticides and Veterinary Medicines Authority, Sydney, NSW.</w:t>
      </w:r>
    </w:p>
    <w:p w14:paraId="63FD34DD" w14:textId="01EA3DC0" w:rsidR="00B2504F" w:rsidRDefault="00F56B54" w:rsidP="00B2504F">
      <w:r>
        <w:t xml:space="preserve">APVMA 2020b, </w:t>
      </w:r>
      <w:r w:rsidRPr="00B2504F">
        <w:t>Anti-fouling paint for use on boat hulls: Environmental assessment, March 2020</w:t>
      </w:r>
      <w:r>
        <w:t xml:space="preserve">, Australian </w:t>
      </w:r>
      <w:r w:rsidR="00621D86">
        <w:t>Government,</w:t>
      </w:r>
      <w:r>
        <w:t xml:space="preserve"> Australian Pesticides and Veterinary Medicines Authority, Sydney, NSW.</w:t>
      </w:r>
    </w:p>
    <w:p w14:paraId="03E1EDF6" w14:textId="77777777" w:rsidR="00637BE5" w:rsidRDefault="00F56B54" w:rsidP="00B2504F">
      <w:r>
        <w:t xml:space="preserve">APVMA 2020c, </w:t>
      </w:r>
      <w:r w:rsidRPr="00637BE5">
        <w:t>Public Chemical Registration Information System Search</w:t>
      </w:r>
      <w:r>
        <w:t>, Australian Pesticides and Veterinary Medicines Authority.</w:t>
      </w:r>
    </w:p>
    <w:p w14:paraId="0D72AA85" w14:textId="77777777" w:rsidR="00EB1DEE" w:rsidRDefault="00F56B54" w:rsidP="00B2504F">
      <w:r>
        <w:t xml:space="preserve">APVMA 2020d, </w:t>
      </w:r>
      <w:r w:rsidRPr="00EB1DEE">
        <w:t>Agriculture data guidelines; Environment (Part 7)</w:t>
      </w:r>
      <w:r>
        <w:t>, Australian Pesticides and Veterinary Medicines Authority.</w:t>
      </w:r>
    </w:p>
    <w:p w14:paraId="030473FB" w14:textId="77777777" w:rsidR="001578C7" w:rsidRDefault="00F56B54" w:rsidP="00B2504F">
      <w:pPr>
        <w:rPr>
          <w:rFonts w:asciiTheme="majorHAnsi" w:hAnsiTheme="majorHAnsi" w:cs="Arial"/>
          <w:shd w:val="clear" w:color="auto" w:fill="FFFFFF"/>
        </w:rPr>
      </w:pPr>
      <w:r w:rsidRPr="001578C7">
        <w:rPr>
          <w:rFonts w:asciiTheme="majorHAnsi" w:hAnsiTheme="majorHAnsi" w:cs="Arial"/>
          <w:shd w:val="clear" w:color="auto" w:fill="FFFFFF"/>
        </w:rPr>
        <w:t>Atlar</w:t>
      </w:r>
      <w:r>
        <w:rPr>
          <w:rFonts w:asciiTheme="majorHAnsi" w:hAnsiTheme="majorHAnsi" w:cs="Arial"/>
          <w:shd w:val="clear" w:color="auto" w:fill="FFFFFF"/>
        </w:rPr>
        <w:t>,</w:t>
      </w:r>
      <w:r w:rsidRPr="001578C7">
        <w:rPr>
          <w:rFonts w:asciiTheme="majorHAnsi" w:hAnsiTheme="majorHAnsi" w:cs="Arial"/>
          <w:shd w:val="clear" w:color="auto" w:fill="FFFFFF"/>
        </w:rPr>
        <w:t xml:space="preserve"> M, Glover</w:t>
      </w:r>
      <w:r>
        <w:rPr>
          <w:rFonts w:asciiTheme="majorHAnsi" w:hAnsiTheme="majorHAnsi" w:cs="Arial"/>
          <w:shd w:val="clear" w:color="auto" w:fill="FFFFFF"/>
        </w:rPr>
        <w:t>,</w:t>
      </w:r>
      <w:r w:rsidRPr="001578C7">
        <w:rPr>
          <w:rFonts w:asciiTheme="majorHAnsi" w:hAnsiTheme="majorHAnsi" w:cs="Arial"/>
          <w:shd w:val="clear" w:color="auto" w:fill="FFFFFF"/>
        </w:rPr>
        <w:t xml:space="preserve"> E, Candries</w:t>
      </w:r>
      <w:r>
        <w:rPr>
          <w:rFonts w:asciiTheme="majorHAnsi" w:hAnsiTheme="majorHAnsi" w:cs="Arial"/>
          <w:shd w:val="clear" w:color="auto" w:fill="FFFFFF"/>
        </w:rPr>
        <w:t>,</w:t>
      </w:r>
      <w:r w:rsidRPr="001578C7">
        <w:rPr>
          <w:rFonts w:asciiTheme="majorHAnsi" w:hAnsiTheme="majorHAnsi" w:cs="Arial"/>
          <w:shd w:val="clear" w:color="auto" w:fill="FFFFFF"/>
        </w:rPr>
        <w:t xml:space="preserve"> M, Mutton</w:t>
      </w:r>
      <w:r>
        <w:rPr>
          <w:rFonts w:asciiTheme="majorHAnsi" w:hAnsiTheme="majorHAnsi" w:cs="Arial"/>
          <w:shd w:val="clear" w:color="auto" w:fill="FFFFFF"/>
        </w:rPr>
        <w:t>,</w:t>
      </w:r>
      <w:r w:rsidRPr="001578C7">
        <w:rPr>
          <w:rFonts w:asciiTheme="majorHAnsi" w:hAnsiTheme="majorHAnsi" w:cs="Arial"/>
          <w:shd w:val="clear" w:color="auto" w:fill="FFFFFF"/>
        </w:rPr>
        <w:t xml:space="preserve"> R</w:t>
      </w:r>
      <w:r>
        <w:rPr>
          <w:rFonts w:asciiTheme="majorHAnsi" w:hAnsiTheme="majorHAnsi" w:cs="Arial"/>
          <w:shd w:val="clear" w:color="auto" w:fill="FFFFFF"/>
        </w:rPr>
        <w:t xml:space="preserve"> &amp;</w:t>
      </w:r>
      <w:r w:rsidRPr="001578C7">
        <w:rPr>
          <w:rFonts w:asciiTheme="majorHAnsi" w:hAnsiTheme="majorHAnsi" w:cs="Arial"/>
          <w:shd w:val="clear" w:color="auto" w:fill="FFFFFF"/>
        </w:rPr>
        <w:t xml:space="preserve"> Anderson</w:t>
      </w:r>
      <w:r>
        <w:rPr>
          <w:rFonts w:asciiTheme="majorHAnsi" w:hAnsiTheme="majorHAnsi" w:cs="Arial"/>
          <w:shd w:val="clear" w:color="auto" w:fill="FFFFFF"/>
        </w:rPr>
        <w:t>,</w:t>
      </w:r>
      <w:r w:rsidRPr="001578C7">
        <w:rPr>
          <w:rFonts w:asciiTheme="majorHAnsi" w:hAnsiTheme="majorHAnsi" w:cs="Arial"/>
          <w:shd w:val="clear" w:color="auto" w:fill="FFFFFF"/>
        </w:rPr>
        <w:t xml:space="preserve"> C</w:t>
      </w:r>
      <w:r>
        <w:rPr>
          <w:rFonts w:asciiTheme="majorHAnsi" w:hAnsiTheme="majorHAnsi" w:cs="Arial"/>
          <w:shd w:val="clear" w:color="auto" w:fill="FFFFFF"/>
        </w:rPr>
        <w:t xml:space="preserve"> 2002,</w:t>
      </w:r>
      <w:r w:rsidRPr="001578C7">
        <w:rPr>
          <w:rFonts w:asciiTheme="majorHAnsi" w:hAnsiTheme="majorHAnsi" w:cs="Arial"/>
          <w:shd w:val="clear" w:color="auto" w:fill="FFFFFF"/>
        </w:rPr>
        <w:t xml:space="preserve"> The effect of a foul release coating on propeller performance</w:t>
      </w:r>
      <w:r>
        <w:rPr>
          <w:rFonts w:asciiTheme="majorHAnsi" w:hAnsiTheme="majorHAnsi" w:cs="Arial"/>
          <w:shd w:val="clear" w:color="auto" w:fill="FFFFFF"/>
        </w:rPr>
        <w:t>, in</w:t>
      </w:r>
      <w:r w:rsidRPr="001578C7">
        <w:rPr>
          <w:rFonts w:asciiTheme="majorHAnsi" w:hAnsiTheme="majorHAnsi" w:cs="Arial"/>
          <w:shd w:val="clear" w:color="auto" w:fill="FFFFFF"/>
        </w:rPr>
        <w:t xml:space="preserve"> Marine Science and Technology for Environmental Sustainability, Proceedings</w:t>
      </w:r>
      <w:r>
        <w:rPr>
          <w:rFonts w:asciiTheme="majorHAnsi" w:hAnsiTheme="majorHAnsi" w:cs="Arial"/>
          <w:shd w:val="clear" w:color="auto" w:fill="FFFFFF"/>
        </w:rPr>
        <w:t>,</w:t>
      </w:r>
      <w:r w:rsidRPr="001578C7">
        <w:rPr>
          <w:rFonts w:asciiTheme="majorHAnsi" w:hAnsiTheme="majorHAnsi" w:cs="Arial"/>
          <w:shd w:val="clear" w:color="auto" w:fill="FFFFFF"/>
        </w:rPr>
        <w:t xml:space="preserve"> University of Newcastle upon Tyne</w:t>
      </w:r>
      <w:r>
        <w:rPr>
          <w:rFonts w:asciiTheme="majorHAnsi" w:hAnsiTheme="majorHAnsi" w:cs="Arial"/>
          <w:shd w:val="clear" w:color="auto" w:fill="FFFFFF"/>
        </w:rPr>
        <w:t>,</w:t>
      </w:r>
      <w:r w:rsidRPr="001578C7">
        <w:rPr>
          <w:rFonts w:asciiTheme="majorHAnsi" w:hAnsiTheme="majorHAnsi" w:cs="Arial"/>
          <w:shd w:val="clear" w:color="auto" w:fill="FFFFFF"/>
        </w:rPr>
        <w:t xml:space="preserve"> Newcastle upon Tyne, </w:t>
      </w:r>
      <w:r>
        <w:rPr>
          <w:rFonts w:asciiTheme="majorHAnsi" w:hAnsiTheme="majorHAnsi" w:cs="Arial"/>
          <w:shd w:val="clear" w:color="auto" w:fill="FFFFFF"/>
        </w:rPr>
        <w:t>UK</w:t>
      </w:r>
      <w:r w:rsidRPr="001578C7">
        <w:rPr>
          <w:rFonts w:asciiTheme="majorHAnsi" w:hAnsiTheme="majorHAnsi" w:cs="Arial"/>
          <w:shd w:val="clear" w:color="auto" w:fill="FFFFFF"/>
        </w:rPr>
        <w:t>.</w:t>
      </w:r>
    </w:p>
    <w:p w14:paraId="5CE2187B" w14:textId="77777777" w:rsidR="00E33291" w:rsidRDefault="00F56B54" w:rsidP="00E33291">
      <w:r>
        <w:t>Ayers, JC &amp; Turner, HJ 1952, ‘The principal fouling organisms’, pp. 118-164 in, Woods Hole Oceanographic Institution, Marine fouling and its prevention, United States Naval Institute, Annapolis, MA.</w:t>
      </w:r>
    </w:p>
    <w:p w14:paraId="68D21EA5" w14:textId="77777777" w:rsidR="00827747" w:rsidRDefault="00F56B54" w:rsidP="00B2504F">
      <w:r>
        <w:lastRenderedPageBreak/>
        <w:t>Batra, SN 2014. ‘</w:t>
      </w:r>
      <w:r w:rsidRPr="00476523">
        <w:t>A guide to hull painting of ships’, Marine Insight</w:t>
      </w:r>
      <w:r>
        <w:t>, Bangalore, India.</w:t>
      </w:r>
    </w:p>
    <w:p w14:paraId="5FEE895D" w14:textId="77777777" w:rsidR="003026A4" w:rsidRDefault="00F56B54" w:rsidP="00B2504F">
      <w:r>
        <w:t>Blossom, N, Anderson, C, Lewis, J &amp; Stuchik, A 2016, ‘Copper in antifoulings: going from strength to strength’, Paint &amp; Coatings Industry Magazine, August 2016, 34-38.</w:t>
      </w:r>
    </w:p>
    <w:p w14:paraId="5D18A46D" w14:textId="77777777" w:rsidR="000F608D" w:rsidRDefault="00F56B54" w:rsidP="00B2504F">
      <w:r>
        <w:t>Blunden</w:t>
      </w:r>
      <w:r w:rsidR="00541A20">
        <w:t>,</w:t>
      </w:r>
      <w:r>
        <w:t xml:space="preserve"> SJ &amp; Chapman</w:t>
      </w:r>
      <w:r w:rsidR="00541A20">
        <w:t>,</w:t>
      </w:r>
      <w:r>
        <w:t xml:space="preserve"> A 1986, ‘Organotin compounds in the environment’, pp. 111-159 in, Craig</w:t>
      </w:r>
      <w:r w:rsidR="00541A20">
        <w:t>,</w:t>
      </w:r>
      <w:r>
        <w:t xml:space="preserve"> PJ, Organometallic compounds in the environment: principles and reactions, Wiley, New York.</w:t>
      </w:r>
    </w:p>
    <w:p w14:paraId="1568DC2A" w14:textId="77777777" w:rsidR="00920311" w:rsidRDefault="00F56B54" w:rsidP="00B2504F">
      <w:r>
        <w:t>Bohlander, J 2009, Review of options for in-water cleaning of ships, MAF Biosecurity New Zealand Paper No: 2009/42, MAF Biosecurity New Zealand, Wellington, NZ.</w:t>
      </w:r>
    </w:p>
    <w:p w14:paraId="72D306AE" w14:textId="77777777" w:rsidR="00827747" w:rsidRDefault="00F56B54" w:rsidP="00B2504F">
      <w:r>
        <w:t>Bohnes, H &amp; Franke, G 1997, ‘Galavanic (sacrificial) anodes’, pp. 179-206 in, Prinz, W, von Baeckmann, W &amp; Schwenk, W, Handbook of corrosion protection, Gulf Publishing Company, Houston, TX.</w:t>
      </w:r>
    </w:p>
    <w:p w14:paraId="24B42FBB" w14:textId="77777777" w:rsidR="009F09F6" w:rsidRDefault="00F56B54" w:rsidP="009F09F6">
      <w:r>
        <w:t>Bressy</w:t>
      </w:r>
      <w:r w:rsidR="00541A20">
        <w:t>,</w:t>
      </w:r>
      <w:r>
        <w:t xml:space="preserve"> C, Margaillan</w:t>
      </w:r>
      <w:r w:rsidR="00541A20">
        <w:t>,</w:t>
      </w:r>
      <w:r>
        <w:t xml:space="preserve"> A, Faÿ</w:t>
      </w:r>
      <w:r w:rsidR="00541A20">
        <w:t>,</w:t>
      </w:r>
      <w:r>
        <w:t xml:space="preserve"> F, Linnossier</w:t>
      </w:r>
      <w:r w:rsidR="00541A20">
        <w:t>,</w:t>
      </w:r>
      <w:r>
        <w:t xml:space="preserve"> I &amp; Réhel</w:t>
      </w:r>
      <w:r w:rsidR="00541A20">
        <w:t>,</w:t>
      </w:r>
      <w:r>
        <w:t xml:space="preserve"> K 2009, ‘Tin-free self-polishing marine antifouling coatings’, pp. 445-491 in, Hellio</w:t>
      </w:r>
      <w:r w:rsidR="00541A20">
        <w:t>,</w:t>
      </w:r>
      <w:r>
        <w:t xml:space="preserve"> C &amp; Yebra</w:t>
      </w:r>
      <w:r w:rsidR="00541A20">
        <w:t>,</w:t>
      </w:r>
      <w:r>
        <w:t xml:space="preserve"> D, Advances in marine antifouling coatings and technologies, Woodhead Publishing Limited, Cambridge, UK.</w:t>
      </w:r>
    </w:p>
    <w:p w14:paraId="2F97EFC7" w14:textId="77777777" w:rsidR="00383830" w:rsidRDefault="00F56B54" w:rsidP="00383830">
      <w:r>
        <w:t xml:space="preserve">Brooks, S &amp; Waldock, M, 2009a, ‘Copper biocides in the marine environment’, pp. 413-428 in, </w:t>
      </w:r>
      <w:r w:rsidR="00A271FE">
        <w:t xml:space="preserve">Arai,T, Harino, H, Ohji, M </w:t>
      </w:r>
      <w:r>
        <w:t xml:space="preserve">&amp; </w:t>
      </w:r>
      <w:r w:rsidR="00A271FE">
        <w:t>Langston, WH</w:t>
      </w:r>
      <w:r>
        <w:t xml:space="preserve">, </w:t>
      </w:r>
      <w:r w:rsidR="00A271FE">
        <w:t>Ecotoxicology of antifouling biocides</w:t>
      </w:r>
      <w:r>
        <w:t xml:space="preserve">, </w:t>
      </w:r>
      <w:r w:rsidR="00A271FE">
        <w:t>Springer, Tokyo, Berlin, Heidelberg, New York</w:t>
      </w:r>
      <w:r>
        <w:t>.</w:t>
      </w:r>
    </w:p>
    <w:p w14:paraId="72D66CC6" w14:textId="77777777" w:rsidR="00C72746" w:rsidRDefault="00F56B54" w:rsidP="00451491">
      <w:r>
        <w:t>Brooks, S &amp; Waldock, M, 2009</w:t>
      </w:r>
      <w:r w:rsidR="00383830">
        <w:t>b</w:t>
      </w:r>
      <w:r>
        <w:t>, ‘The use of copper as a biocide in marine antifouling paints</w:t>
      </w:r>
      <w:r w:rsidR="00F91F2F">
        <w:t>’</w:t>
      </w:r>
      <w:r>
        <w:t>, pp. 492-521 in, Hellio, C &amp; Yebra, D, Advances in marine antifouling coatings and technologie</w:t>
      </w:r>
      <w:r w:rsidR="00C4677B">
        <w:t>s</w:t>
      </w:r>
      <w:r>
        <w:t>, Woodhead Publishing Limited, Cambridge, UK.</w:t>
      </w:r>
    </w:p>
    <w:p w14:paraId="2717CCB6" w14:textId="77777777" w:rsidR="00B42B35" w:rsidRDefault="00F56B54" w:rsidP="00451491">
      <w:r>
        <w:t xml:space="preserve">California Water Boards 2013, In-water vessel hull cleaning: </w:t>
      </w:r>
      <w:r w:rsidR="003934BF">
        <w:t>B</w:t>
      </w:r>
      <w:r>
        <w:t xml:space="preserve">est management </w:t>
      </w:r>
      <w:r w:rsidR="00392DBD">
        <w:t>practice, Fact Sheet – July 2013, State Water Resources Control Board, Sacramento, CA.</w:t>
      </w:r>
    </w:p>
    <w:p w14:paraId="5715216E" w14:textId="77777777" w:rsidR="00B83080" w:rsidRDefault="00F56B54" w:rsidP="00451491">
      <w:r>
        <w:t>Cassé, F &amp; Swain GW 2006, ‘The development of microfouling on four commercial antifouling coatings under static and dynamic conditions’, International Biodeterioration &amp; Biodegradation, 57, 179-185.</w:t>
      </w:r>
    </w:p>
    <w:p w14:paraId="60B06575" w14:textId="77777777" w:rsidR="001772A2" w:rsidRDefault="00F56B54" w:rsidP="00451491">
      <w:r>
        <w:t xml:space="preserve">Callow, ME 1990, ‘Ship fouling: problems and solutions’, Chemistry </w:t>
      </w:r>
      <w:r w:rsidR="00FF3A50">
        <w:t>&amp; Industry, 5 March 1990, 123-127.</w:t>
      </w:r>
    </w:p>
    <w:p w14:paraId="6A3113F1" w14:textId="77777777" w:rsidR="007B3DD0" w:rsidRDefault="00F56B54" w:rsidP="00451491">
      <w:r>
        <w:t>Callow, ME 1996, ‘Ship fouling: the problem and methods of control’, Biodeterioration Abstracts, 10, 411-421.</w:t>
      </w:r>
    </w:p>
    <w:p w14:paraId="77D6E79A" w14:textId="77777777" w:rsidR="008F54F8" w:rsidRDefault="00F56B54" w:rsidP="00451491">
      <w:r>
        <w:t>Carlton, JS 2019, Marine propellers and propulsion, 4</w:t>
      </w:r>
      <w:r w:rsidRPr="008F54F8">
        <w:rPr>
          <w:vertAlign w:val="superscript"/>
        </w:rPr>
        <w:t>th</w:t>
      </w:r>
      <w:r>
        <w:t xml:space="preserve"> Edition, Butterworth-Heinemann, Oxford, UK.</w:t>
      </w:r>
    </w:p>
    <w:p w14:paraId="0A800419" w14:textId="77777777" w:rsidR="0073545B" w:rsidRDefault="00F56B54" w:rsidP="00451491">
      <w:r>
        <w:t>Chasse, KR, Scardino, AJ &amp; Swain, GW 2020, ‘Corrosion and fouling study of copper-based antifouling on 5083 aluminium alloy’, Progress in Organic Coatings, 141, 105555.</w:t>
      </w:r>
    </w:p>
    <w:p w14:paraId="6C29DE03" w14:textId="77777777" w:rsidR="00392DBD" w:rsidRDefault="00F56B54" w:rsidP="00451491">
      <w:r>
        <w:t>Chouyyok, W, Shin, Y, Davidson, J, Samuels, WDE, Lafemina, NH, Rutledge, RD &amp; Fryxell, GE, 2010, ‘Selective re</w:t>
      </w:r>
      <w:r w:rsidR="003934BF">
        <w:t>moval of copper(II) from natural waters by nanoporous sorbents functionalized with chelating diamines’, Environmental Science &amp; Technology, 44, 6390-6395.</w:t>
      </w:r>
    </w:p>
    <w:p w14:paraId="1D371C5E" w14:textId="77777777" w:rsidR="0073545B" w:rsidRDefault="00F56B54" w:rsidP="0073545B">
      <w:r>
        <w:lastRenderedPageBreak/>
        <w:t xml:space="preserve">CoA 2009, </w:t>
      </w:r>
      <w:r w:rsidRPr="00E3560C">
        <w:t>National assessment guidelines for dredging</w:t>
      </w:r>
      <w:r>
        <w:t>, Commonwealth of Australia, Canberra, ACT.</w:t>
      </w:r>
    </w:p>
    <w:p w14:paraId="6647FE9D" w14:textId="77777777" w:rsidR="00836924" w:rsidRDefault="00F56B54" w:rsidP="0073545B">
      <w:r>
        <w:t>Coutts, ADM &amp; Dodgshun, TJ 2007, ‘The nature and extent of organisms in vessel sea-chests: a protected mechanism for marine invasions’, Marine Pollution Bulletin 54, 875-886.</w:t>
      </w:r>
    </w:p>
    <w:p w14:paraId="72FFBD46" w14:textId="77777777" w:rsidR="00D84131" w:rsidRDefault="00F56B54" w:rsidP="0073545B">
      <w:r>
        <w:t>Crawl</w:t>
      </w:r>
      <w:r w:rsidR="00541A20">
        <w:t>,</w:t>
      </w:r>
      <w:r>
        <w:t xml:space="preserve"> F 2014, ‘Selektope in antifouling fast lane’, International Bulk Journal, 5, 51-52.</w:t>
      </w:r>
    </w:p>
    <w:p w14:paraId="580D2A61" w14:textId="77777777" w:rsidR="00451491" w:rsidRDefault="00F56B54" w:rsidP="00451491">
      <w:r>
        <w:t>Dafforn, KA, Lewis, JA &amp; Johnston, EL, 2011, ‘Antifouling strategies: history and regulation, ecological impacts and mitigation’, Marine Pollution Bulletin, 62, 453-465.</w:t>
      </w:r>
    </w:p>
    <w:p w14:paraId="0C1FA023" w14:textId="77777777" w:rsidR="009711A9" w:rsidRDefault="00F56B54" w:rsidP="00451491">
      <w:r>
        <w:t>Davidson, I, Scianni, C, Hewitt, C, Everett, R, Holm, E, Tamburri, M &amp; Ruiz, G 2016, ‘Mini-review: Assessing the drivers of ship biofouling management – aligning industry and biosecurity goals’, Biofouling, 32, 411-428.</w:t>
      </w:r>
    </w:p>
    <w:p w14:paraId="344F0A79" w14:textId="77777777" w:rsidR="00570C56" w:rsidRDefault="00F56B54" w:rsidP="00451491">
      <w:r>
        <w:t>Davies</w:t>
      </w:r>
      <w:r w:rsidR="00541A20">
        <w:t>,</w:t>
      </w:r>
      <w:r>
        <w:t xml:space="preserve"> AG 20</w:t>
      </w:r>
      <w:r w:rsidR="00EF0FFB">
        <w:t>10</w:t>
      </w:r>
      <w:r>
        <w:t>, ‘Organotin</w:t>
      </w:r>
      <w:r w:rsidR="00EF0FFB">
        <w:t xml:space="preserve"> compounds in technology and industry</w:t>
      </w:r>
      <w:r>
        <w:t>’,</w:t>
      </w:r>
      <w:r w:rsidR="00EF0FFB">
        <w:t xml:space="preserve"> Journal of Chemical Research, 34, 181-190</w:t>
      </w:r>
      <w:r w:rsidR="002A5DC9">
        <w:t>.</w:t>
      </w:r>
    </w:p>
    <w:p w14:paraId="5751A0CB" w14:textId="77777777" w:rsidR="002A5DC9" w:rsidRDefault="00F56B54" w:rsidP="00451491">
      <w:r>
        <w:t xml:space="preserve">DNV-GL 2020, </w:t>
      </w:r>
      <w:r w:rsidRPr="002A5DC9">
        <w:t>IMO Sub-Committee on Pollution Prevention and Response</w:t>
      </w:r>
      <w:r>
        <w:t>, Technical Regulatory News No.04/2020 – Statutory, DNV GL, Hamburg, Germany.</w:t>
      </w:r>
    </w:p>
    <w:p w14:paraId="7192679B" w14:textId="77777777" w:rsidR="00CB7ED3" w:rsidRDefault="00F56B54" w:rsidP="00451491">
      <w:r>
        <w:t>DoA</w:t>
      </w:r>
      <w:r w:rsidR="00A30EF1">
        <w:t>/NZMPI</w:t>
      </w:r>
      <w:r>
        <w:t xml:space="preserve"> 2015</w:t>
      </w:r>
      <w:r w:rsidR="00A30EF1">
        <w:t>,</w:t>
      </w:r>
      <w:r w:rsidR="00C4677B">
        <w:t xml:space="preserve"> </w:t>
      </w:r>
      <w:r w:rsidR="00A30EF1" w:rsidRPr="00A30EF1">
        <w:t>Department of the Environment and New Zealand Ministry for P</w:t>
      </w:r>
      <w:r w:rsidR="003934BF">
        <w:t>r</w:t>
      </w:r>
      <w:r w:rsidR="00A30EF1" w:rsidRPr="00A30EF1">
        <w:t>imary Industries, Anti-fouling and in-water cleaning guidelines, April 2015</w:t>
      </w:r>
      <w:r w:rsidR="00A30EF1">
        <w:t>, Department of Agriculture, Canberra, ACT.</w:t>
      </w:r>
    </w:p>
    <w:p w14:paraId="189D99AD" w14:textId="77777777" w:rsidR="00827747" w:rsidRDefault="00F56B54" w:rsidP="00451491">
      <w:r>
        <w:t>Doi, H 1982, ‘Takata ‘Sea Queen’ anti-slime A/F developed’, Zosen, 26 (13), 34-40.</w:t>
      </w:r>
    </w:p>
    <w:p w14:paraId="711D38C4" w14:textId="77777777" w:rsidR="008B5C22" w:rsidRDefault="00F56B54" w:rsidP="008B5C22">
      <w:r>
        <w:t>D</w:t>
      </w:r>
      <w:r>
        <w:rPr>
          <w:rFonts w:ascii="Calibri" w:hAnsi="Calibri" w:cs="Calibri"/>
        </w:rPr>
        <w:t>ü</w:t>
      </w:r>
      <w:r>
        <w:t>rr, S 2010, ‘Preface’,</w:t>
      </w:r>
      <w:r w:rsidRPr="008B5C22">
        <w:t xml:space="preserve"> </w:t>
      </w:r>
      <w:r>
        <w:t>pp. xv-xix in, D</w:t>
      </w:r>
      <w:r>
        <w:rPr>
          <w:rFonts w:ascii="Calibri" w:hAnsi="Calibri" w:cs="Calibri"/>
        </w:rPr>
        <w:t>ü</w:t>
      </w:r>
      <w:r>
        <w:t>rr, S &amp; Thomason, JC, Biofouling, Wiley-Blackwell, Chichester, UK.</w:t>
      </w:r>
    </w:p>
    <w:p w14:paraId="0917BCE1" w14:textId="77777777" w:rsidR="00827747" w:rsidRDefault="00F56B54" w:rsidP="008B5C22">
      <w:r>
        <w:t xml:space="preserve">Ecology WA 2019, </w:t>
      </w:r>
      <w:r w:rsidRPr="009A1154">
        <w:t>Antifouling paints in Washington State: Report and recommendations, Report the legislature pursuant to SHB 2634 (2018)</w:t>
      </w:r>
      <w:r>
        <w:t>, Publication 19-04-020, Department of Ecology, State of Washington, USA.</w:t>
      </w:r>
    </w:p>
    <w:p w14:paraId="6EB5B903" w14:textId="77777777" w:rsidR="00827747" w:rsidRDefault="00F56B54" w:rsidP="008B5C22">
      <w:r>
        <w:t>Edyvean, RGJ &amp; Silk, NJ 1988, ‘The sulphide induced discoloration of copper containing antifouling paints’, Biofouling, 1, 269-277.</w:t>
      </w:r>
    </w:p>
    <w:p w14:paraId="4C87878C" w14:textId="77777777" w:rsidR="00F461A6" w:rsidRDefault="00F56B54" w:rsidP="00F461A6">
      <w:r>
        <w:t xml:space="preserve">EPA 2013a, </w:t>
      </w:r>
      <w:r w:rsidRPr="00F461A6">
        <w:t>Application for the reassessment of a group of hazardous substances: APP201051 – Antifouling paints</w:t>
      </w:r>
      <w:r>
        <w:t>, Environmental Protection Authority, New Zealand Government, January 2013.</w:t>
      </w:r>
    </w:p>
    <w:p w14:paraId="0667EF96" w14:textId="77777777" w:rsidR="001278A9" w:rsidRDefault="00F56B54" w:rsidP="00451491">
      <w:r>
        <w:t>EPA 2013</w:t>
      </w:r>
      <w:r w:rsidR="00F461A6">
        <w:t>b</w:t>
      </w:r>
      <w:r>
        <w:t xml:space="preserve">, </w:t>
      </w:r>
      <w:r w:rsidRPr="007B31EF">
        <w:t>Evaluation and review report: APP201051 – Antifouling paints</w:t>
      </w:r>
      <w:r>
        <w:t>, Environmental Protection Authority, New Zealand Government, May 2013.</w:t>
      </w:r>
    </w:p>
    <w:p w14:paraId="5C5F0C48" w14:textId="77777777" w:rsidR="007E63BB" w:rsidRDefault="00F56B54" w:rsidP="007E63BB">
      <w:r>
        <w:t xml:space="preserve">EPA 2013c, Decision: </w:t>
      </w:r>
      <w:r w:rsidRPr="007E63BB">
        <w:t>Application for the reassessment of a group of hazardous substances: APP201051 – Antifouling paints</w:t>
      </w:r>
      <w:r>
        <w:t>, Environmental Protection Authority, New Zealand Government, June 2013.</w:t>
      </w:r>
    </w:p>
    <w:p w14:paraId="4567083D" w14:textId="7ED4A357" w:rsidR="00284638" w:rsidRDefault="00F56B54" w:rsidP="00451491">
      <w:r>
        <w:t xml:space="preserve">EPA 2020, </w:t>
      </w:r>
      <w:r w:rsidRPr="00A92E7C">
        <w:t xml:space="preserve">Is your boat paint legal to import and </w:t>
      </w:r>
      <w:r w:rsidR="00621D86" w:rsidRPr="00A92E7C">
        <w:t>manufacture?</w:t>
      </w:r>
      <w:r w:rsidR="00A92E7C">
        <w:t xml:space="preserve"> Environmental Protection Authority, New Zealand Government, accessed 21 March 2020.</w:t>
      </w:r>
    </w:p>
    <w:p w14:paraId="1CB3DD16" w14:textId="77777777" w:rsidR="001772A2" w:rsidRDefault="00F56B54" w:rsidP="00451491">
      <w:r>
        <w:lastRenderedPageBreak/>
        <w:t>Fent, K &amp; Hunn, J 1995, ‘Organotins in freshwater harbors and rivers: temporal distribution, annual trends and fate’, Environmental Toxicology and Chemistry, 14, 1123-1132.</w:t>
      </w:r>
    </w:p>
    <w:p w14:paraId="3B354F10" w14:textId="77777777" w:rsidR="00C016D2" w:rsidRDefault="00F56B54" w:rsidP="00C016D2">
      <w:r>
        <w:t>Ferry, JD &amp; Ketchum, BH 1952, ‘Mechanism of release of toxics from paints”, pp. 277-301 in, Woods Hole Oceanographic Institution, Marine fouling and its prevention, United States Naval Institute, Annapolis, MA.</w:t>
      </w:r>
    </w:p>
    <w:p w14:paraId="0726E9E4" w14:textId="77777777" w:rsidR="003020DD" w:rsidRDefault="00F56B54" w:rsidP="003020DD">
      <w:pPr>
        <w:rPr>
          <w:rFonts w:cs="Calibri"/>
        </w:rPr>
      </w:pPr>
      <w:r w:rsidRPr="00451E47">
        <w:rPr>
          <w:rFonts w:cs="Calibri"/>
        </w:rPr>
        <w:t>Finnie, AA 2006</w:t>
      </w:r>
      <w:r>
        <w:rPr>
          <w:rFonts w:cs="Calibri"/>
        </w:rPr>
        <w:t>,</w:t>
      </w:r>
      <w:r w:rsidRPr="00451E47">
        <w:rPr>
          <w:rFonts w:cs="Calibri"/>
        </w:rPr>
        <w:t xml:space="preserve"> </w:t>
      </w:r>
      <w:r>
        <w:rPr>
          <w:rFonts w:cs="Calibri"/>
        </w:rPr>
        <w:t>‘</w:t>
      </w:r>
      <w:r w:rsidRPr="00451E47">
        <w:rPr>
          <w:rFonts w:cs="Calibri"/>
        </w:rPr>
        <w:t>Improved estimates of environmental copper release rates from antifouling products</w:t>
      </w:r>
      <w:r>
        <w:rPr>
          <w:rFonts w:cs="Calibri"/>
        </w:rPr>
        <w:t>’,</w:t>
      </w:r>
      <w:r w:rsidRPr="00451E47">
        <w:rPr>
          <w:rFonts w:cs="Calibri"/>
        </w:rPr>
        <w:t xml:space="preserve"> </w:t>
      </w:r>
      <w:r w:rsidRPr="003020DD">
        <w:rPr>
          <w:rFonts w:cs="Calibri"/>
          <w:iCs/>
        </w:rPr>
        <w:t>Biofouling</w:t>
      </w:r>
      <w:r>
        <w:rPr>
          <w:rFonts w:cs="Calibri"/>
          <w:iCs/>
        </w:rPr>
        <w:t>,</w:t>
      </w:r>
      <w:r w:rsidRPr="005D6884">
        <w:rPr>
          <w:rFonts w:cs="Calibri"/>
          <w:i/>
        </w:rPr>
        <w:t xml:space="preserve"> </w:t>
      </w:r>
      <w:r w:rsidRPr="00D22B1F">
        <w:rPr>
          <w:rFonts w:cs="Calibri"/>
        </w:rPr>
        <w:t>22</w:t>
      </w:r>
      <w:r w:rsidRPr="005D6884">
        <w:rPr>
          <w:rFonts w:cs="Calibri"/>
        </w:rPr>
        <w:t>, 279-291.</w:t>
      </w:r>
    </w:p>
    <w:p w14:paraId="7AE77178" w14:textId="77777777" w:rsidR="0073545B" w:rsidRDefault="00F56B54" w:rsidP="0073545B">
      <w:r>
        <w:t>Finnie, AA &amp; Williams DN 2010, ‘Paints and coatings technology for the control of marine fouling’,</w:t>
      </w:r>
      <w:r w:rsidRPr="008B5C22">
        <w:t xml:space="preserve"> </w:t>
      </w:r>
      <w:r>
        <w:t>pp. 185-206 in, D</w:t>
      </w:r>
      <w:r>
        <w:rPr>
          <w:rFonts w:ascii="Calibri" w:hAnsi="Calibri" w:cs="Calibri"/>
        </w:rPr>
        <w:t>ü</w:t>
      </w:r>
      <w:r>
        <w:t>rr, S &amp; Thomason, JC, ‘Biofouling’, Wiley-Blackwell, Chichester, UK.</w:t>
      </w:r>
    </w:p>
    <w:p w14:paraId="1BF8F7CA" w14:textId="77777777" w:rsidR="000961B5" w:rsidRDefault="00F56B54" w:rsidP="003020DD">
      <w:pPr>
        <w:rPr>
          <w:rFonts w:cs="Calibri"/>
        </w:rPr>
      </w:pPr>
      <w:r>
        <w:rPr>
          <w:rFonts w:cs="Calibri"/>
        </w:rPr>
        <w:t>Fitzsimons</w:t>
      </w:r>
      <w:r w:rsidR="00541A20">
        <w:rPr>
          <w:rFonts w:cs="Calibri"/>
        </w:rPr>
        <w:t>,</w:t>
      </w:r>
      <w:r>
        <w:rPr>
          <w:rFonts w:cs="Calibri"/>
        </w:rPr>
        <w:t xml:space="preserve"> B 2011, Fitz’s Atlas 2 of coating defect, MPI Group, Farnham, UK.</w:t>
      </w:r>
    </w:p>
    <w:p w14:paraId="3946C924" w14:textId="77777777" w:rsidR="002026CA" w:rsidRPr="002026CA" w:rsidRDefault="00F56B54" w:rsidP="002026CA">
      <w:pPr>
        <w:pStyle w:val="BodyTextIndent2"/>
        <w:ind w:left="0" w:firstLine="0"/>
        <w:rPr>
          <w:rFonts w:asciiTheme="majorHAnsi" w:hAnsiTheme="majorHAnsi"/>
          <w:sz w:val="22"/>
          <w:szCs w:val="22"/>
        </w:rPr>
      </w:pPr>
      <w:r w:rsidRPr="002026CA">
        <w:rPr>
          <w:rFonts w:asciiTheme="majorHAnsi" w:hAnsiTheme="majorHAnsi"/>
          <w:sz w:val="22"/>
          <w:szCs w:val="22"/>
        </w:rPr>
        <w:t>Fletcher, LE &amp; Lewis, J 1999</w:t>
      </w:r>
      <w:r>
        <w:rPr>
          <w:rFonts w:asciiTheme="majorHAnsi" w:hAnsiTheme="majorHAnsi"/>
          <w:sz w:val="22"/>
          <w:szCs w:val="22"/>
        </w:rPr>
        <w:t>,</w:t>
      </w:r>
      <w:r w:rsidRPr="002026CA">
        <w:rPr>
          <w:rFonts w:asciiTheme="majorHAnsi" w:hAnsiTheme="majorHAnsi"/>
          <w:sz w:val="22"/>
          <w:szCs w:val="22"/>
        </w:rPr>
        <w:t xml:space="preserve"> </w:t>
      </w:r>
      <w:r>
        <w:rPr>
          <w:rFonts w:asciiTheme="majorHAnsi" w:hAnsiTheme="majorHAnsi"/>
          <w:sz w:val="22"/>
          <w:szCs w:val="22"/>
        </w:rPr>
        <w:t>‘</w:t>
      </w:r>
      <w:r w:rsidRPr="002026CA">
        <w:rPr>
          <w:rFonts w:asciiTheme="majorHAnsi" w:hAnsiTheme="majorHAnsi"/>
          <w:sz w:val="22"/>
          <w:szCs w:val="22"/>
        </w:rPr>
        <w:t>Regulation of shipyard discharges in Australia and the potential of UV oxidation for TBT degradation in washdown water</w:t>
      </w:r>
      <w:r>
        <w:rPr>
          <w:rFonts w:asciiTheme="majorHAnsi" w:hAnsiTheme="majorHAnsi"/>
          <w:sz w:val="22"/>
          <w:szCs w:val="22"/>
        </w:rPr>
        <w:t>’, p</w:t>
      </w:r>
      <w:r w:rsidRPr="002026CA">
        <w:rPr>
          <w:rFonts w:asciiTheme="majorHAnsi" w:hAnsiTheme="majorHAnsi"/>
          <w:sz w:val="22"/>
          <w:szCs w:val="22"/>
        </w:rPr>
        <w:t xml:space="preserve">p. 27-36 </w:t>
      </w:r>
      <w:r>
        <w:rPr>
          <w:rFonts w:asciiTheme="majorHAnsi" w:hAnsiTheme="majorHAnsi"/>
          <w:sz w:val="22"/>
          <w:szCs w:val="22"/>
        </w:rPr>
        <w:t>i</w:t>
      </w:r>
      <w:r w:rsidRPr="002026CA">
        <w:rPr>
          <w:rFonts w:asciiTheme="majorHAnsi" w:hAnsiTheme="majorHAnsi"/>
          <w:sz w:val="22"/>
          <w:szCs w:val="22"/>
        </w:rPr>
        <w:t>n, Champ, MA, Fox, TJ &amp; Mearns, AJ, Proceedings of the Special Sessions held at Oceans ’99 in Seattle, Washington, Sept 13-16, 1999 on: Treatment of Regulated Discharges from Shipyards and Drydocks</w:t>
      </w:r>
      <w:r>
        <w:rPr>
          <w:rFonts w:asciiTheme="majorHAnsi" w:hAnsiTheme="majorHAnsi"/>
          <w:sz w:val="22"/>
          <w:szCs w:val="22"/>
        </w:rPr>
        <w:t>,</w:t>
      </w:r>
      <w:r w:rsidRPr="002026CA">
        <w:rPr>
          <w:rFonts w:asciiTheme="majorHAnsi" w:hAnsiTheme="majorHAnsi"/>
          <w:sz w:val="22"/>
          <w:szCs w:val="22"/>
        </w:rPr>
        <w:t xml:space="preserve"> Volume No. 4</w:t>
      </w:r>
      <w:r>
        <w:rPr>
          <w:rFonts w:asciiTheme="majorHAnsi" w:hAnsiTheme="majorHAnsi"/>
          <w:sz w:val="22"/>
          <w:szCs w:val="22"/>
        </w:rPr>
        <w:t>,</w:t>
      </w:r>
      <w:r w:rsidRPr="002026CA">
        <w:rPr>
          <w:rFonts w:asciiTheme="majorHAnsi" w:hAnsiTheme="majorHAnsi"/>
          <w:sz w:val="22"/>
          <w:szCs w:val="22"/>
        </w:rPr>
        <w:t xml:space="preserve"> The Marine Technology Society, Washington, DC.</w:t>
      </w:r>
    </w:p>
    <w:p w14:paraId="6B9F2BDD" w14:textId="77777777" w:rsidR="009534E6" w:rsidRDefault="00F56B54" w:rsidP="00AD3151">
      <w:pPr>
        <w:rPr>
          <w:noProof/>
        </w:rPr>
      </w:pPr>
      <w:r>
        <w:rPr>
          <w:noProof/>
        </w:rPr>
        <w:t xml:space="preserve">Floerl, O, Inglis, GJ &amp; Hayden, BJ 2005, ‘A risk-based predictive tool to prevent accidental introductions of nonindigenous marine species’, </w:t>
      </w:r>
      <w:r w:rsidRPr="00AD3151">
        <w:rPr>
          <w:iCs/>
          <w:noProof/>
        </w:rPr>
        <w:t>Environmental Management</w:t>
      </w:r>
      <w:r>
        <w:rPr>
          <w:noProof/>
        </w:rPr>
        <w:t>,</w:t>
      </w:r>
      <w:r w:rsidRPr="00AD3151">
        <w:rPr>
          <w:noProof/>
        </w:rPr>
        <w:t xml:space="preserve"> </w:t>
      </w:r>
      <w:r w:rsidRPr="00D22B1F">
        <w:rPr>
          <w:noProof/>
        </w:rPr>
        <w:t>35</w:t>
      </w:r>
      <w:r>
        <w:rPr>
          <w:noProof/>
        </w:rPr>
        <w:t>, 765-778.</w:t>
      </w:r>
    </w:p>
    <w:p w14:paraId="5462A98E" w14:textId="77777777" w:rsidR="00A61DC4" w:rsidRDefault="00F56B54" w:rsidP="00A61DC4">
      <w:r>
        <w:t>Francis, R 2012, ‘Galvanic corrosion’, pp. 74-89 in, Powell, C &amp; Francis, R, The corrosion performance of metals for the marine environment: as basic guide, Maney Publishing, Leeds, UK.</w:t>
      </w:r>
    </w:p>
    <w:p w14:paraId="680F988E" w14:textId="77777777" w:rsidR="00836924" w:rsidRDefault="00F56B54" w:rsidP="00A61DC4">
      <w:r>
        <w:t>Frey, MA, Simard, N, Robichaud, DD, Martin, JL &amp; Therriault, TW 2014, ‘</w:t>
      </w:r>
      <w:r w:rsidR="00F95E49">
        <w:rPr>
          <w:rFonts w:ascii="Arial" w:eastAsia="Cambria" w:hAnsi="Arial" w:cs="Arial"/>
          <w:sz w:val="20"/>
          <w:szCs w:val="20"/>
          <w:lang w:eastAsia="en-AU"/>
        </w:rPr>
        <w:t>Fouling around: vessel sea-chests as a vector for the introduction and spread of aquatic invasive species’, Management of Biological Invasions, 5, 21-30.</w:t>
      </w:r>
    </w:p>
    <w:p w14:paraId="395C75F9" w14:textId="77777777" w:rsidR="000961B5" w:rsidRDefault="00F56B54" w:rsidP="000961B5">
      <w:r>
        <w:t>Gadd, J, Depree, C &amp; Hickey, C 2011,</w:t>
      </w:r>
      <w:r w:rsidR="009534E6">
        <w:t xml:space="preserve"> </w:t>
      </w:r>
      <w:r>
        <w:t>Relevance to New Zealand of the OECD Emission Scenario Document for Antifouling Products: Phase 2 Repor</w:t>
      </w:r>
      <w:r w:rsidR="00EF6605">
        <w:t>t</w:t>
      </w:r>
      <w:r>
        <w:t>, NIWA Client Report HAM 2011-005, National Institute of Water &amp; Atmospheric Research Ltd, Hamilton, NZ.</w:t>
      </w:r>
    </w:p>
    <w:p w14:paraId="2B26AAFF" w14:textId="77777777" w:rsidR="005D6926" w:rsidRDefault="00F56B54" w:rsidP="000961B5">
      <w:r>
        <w:t>Georgiades, E, Growcott, A &amp; Kluza, D 2018. Technical guidance on biofouling management for vessels arriving to New Zealand, MPI Technical Paper No; 2018/07, Ministry for Primary Industries, Wellington, NZ.</w:t>
      </w:r>
    </w:p>
    <w:p w14:paraId="057AD4CD" w14:textId="77777777" w:rsidR="0070073E" w:rsidRDefault="00F56B54" w:rsidP="000961B5">
      <w:r>
        <w:t>Goldie</w:t>
      </w:r>
      <w:r w:rsidR="00541A20">
        <w:t>,</w:t>
      </w:r>
      <w:r>
        <w:t xml:space="preserve"> B 2015, ‘Nontoxic barnacle antifouling’, Journal of Protective Coatings &amp; Linings, 32, 65-70.</w:t>
      </w:r>
    </w:p>
    <w:p w14:paraId="54427FFB" w14:textId="77777777" w:rsidR="00AF3A67" w:rsidRPr="00AF3A67" w:rsidRDefault="00F56B54" w:rsidP="00AF3A67">
      <w:r>
        <w:t>Hearin, J, Hunsucker, KZ, Swain, G, Stephens</w:t>
      </w:r>
      <w:r w:rsidR="00C86A17">
        <w:t xml:space="preserve">, </w:t>
      </w:r>
      <w:r>
        <w:t>A</w:t>
      </w:r>
      <w:r w:rsidR="00C86A17">
        <w:t>,</w:t>
      </w:r>
      <w:r w:rsidR="00C86A17" w:rsidRPr="00C86A17">
        <w:t xml:space="preserve"> </w:t>
      </w:r>
      <w:r w:rsidR="00C86A17">
        <w:t>Gardner, H,</w:t>
      </w:r>
      <w:r>
        <w:t xml:space="preserve"> Lieberman, K</w:t>
      </w:r>
      <w:r w:rsidR="00C86A17">
        <w:t xml:space="preserve"> &amp; Harper, M</w:t>
      </w:r>
      <w:r>
        <w:t xml:space="preserve"> 2015, ‘</w:t>
      </w:r>
      <w:r w:rsidRPr="00750050">
        <w:t xml:space="preserve">Analysis of </w:t>
      </w:r>
      <w:r w:rsidR="00C86A17">
        <w:t xml:space="preserve">long term </w:t>
      </w:r>
      <w:r w:rsidRPr="00750050">
        <w:t>mechanical grooming on large</w:t>
      </w:r>
      <w:r w:rsidR="00C86A17">
        <w:t>-</w:t>
      </w:r>
      <w:r w:rsidRPr="00750050">
        <w:t>scale test panel</w:t>
      </w:r>
      <w:r w:rsidR="00C86A17">
        <w:t>s</w:t>
      </w:r>
      <w:r w:rsidRPr="00750050">
        <w:t xml:space="preserve"> coated with a</w:t>
      </w:r>
      <w:r w:rsidR="00C86A17">
        <w:t>n antifouling and a</w:t>
      </w:r>
      <w:r w:rsidR="00827747">
        <w:t xml:space="preserve"> </w:t>
      </w:r>
      <w:r w:rsidRPr="00750050">
        <w:t>fouling</w:t>
      </w:r>
      <w:r w:rsidR="00C86A17">
        <w:t xml:space="preserve"> </w:t>
      </w:r>
      <w:r w:rsidRPr="00750050">
        <w:t>release coating</w:t>
      </w:r>
      <w:r>
        <w:t>’, Biofouling, 3</w:t>
      </w:r>
      <w:r w:rsidR="00C86A17">
        <w:t>1</w:t>
      </w:r>
      <w:r>
        <w:t xml:space="preserve">, </w:t>
      </w:r>
      <w:r w:rsidR="00C86A17">
        <w:t>625</w:t>
      </w:r>
      <w:r>
        <w:t>-</w:t>
      </w:r>
      <w:r w:rsidR="00C86A17">
        <w:t>638</w:t>
      </w:r>
      <w:r>
        <w:t>.</w:t>
      </w:r>
    </w:p>
    <w:p w14:paraId="1634B347" w14:textId="77777777" w:rsidR="00AF3A67" w:rsidRDefault="00F56B54" w:rsidP="000961B5">
      <w:r>
        <w:t>Hearin, J, Hunsucker, KZ, Swain, G, Gardner, H</w:t>
      </w:r>
      <w:r w:rsidR="00C86A17">
        <w:t>,</w:t>
      </w:r>
      <w:r>
        <w:t xml:space="preserve"> Stephens</w:t>
      </w:r>
      <w:r w:rsidR="00C86A17">
        <w:t>,</w:t>
      </w:r>
      <w:r>
        <w:t xml:space="preserve"> A &amp; Lieberman, K 2016, ‘</w:t>
      </w:r>
      <w:r w:rsidRPr="00230C64">
        <w:t>Analysis of mechanical grooming at various frequencies on a large scale test panel coated with a fouling-release coating</w:t>
      </w:r>
      <w:r>
        <w:t>’, Biofouling, 32, 561-569.</w:t>
      </w:r>
    </w:p>
    <w:p w14:paraId="7ECE5E44" w14:textId="77777777" w:rsidR="00952723" w:rsidRDefault="00F56B54" w:rsidP="000961B5">
      <w:r>
        <w:t>HSE 2004, Operational Circular OC 730/15: marine anti-fouling coatings, Health and Safety Executive, UK.</w:t>
      </w:r>
    </w:p>
    <w:p w14:paraId="4E034EBD" w14:textId="77777777" w:rsidR="00852C87" w:rsidRPr="00AF3A67" w:rsidRDefault="00F56B54" w:rsidP="000961B5">
      <w:r>
        <w:lastRenderedPageBreak/>
        <w:t xml:space="preserve">HSE 2020, </w:t>
      </w:r>
      <w:r w:rsidRPr="00852C87">
        <w:t>UK Active Substance Database</w:t>
      </w:r>
      <w:r>
        <w:t>, Health and Safety Executive, UK.</w:t>
      </w:r>
    </w:p>
    <w:p w14:paraId="6FF08232" w14:textId="77777777" w:rsidR="00AF3A67" w:rsidRPr="00AF3A67" w:rsidRDefault="00F56B54" w:rsidP="00852C87">
      <w:pPr>
        <w:tabs>
          <w:tab w:val="left" w:pos="1418"/>
        </w:tabs>
      </w:pPr>
      <w:r>
        <w:t>Hunsucker, KZ, Vora, GJ, Hunsucker, JT, Gardner, H, Leary, DH, Kim, S, Lin, B &amp; Swain, G 2018, ‘</w:t>
      </w:r>
      <w:r w:rsidRPr="00230C64">
        <w:t>Biofilm community structure and the associated drag penalties of a groomed fouling release ship hull coating</w:t>
      </w:r>
      <w:r>
        <w:t>’, Biofouling, 34, 162-172.</w:t>
      </w:r>
    </w:p>
    <w:p w14:paraId="78BFBAB0" w14:textId="7EA9BDDF" w:rsidR="007B31EF" w:rsidRDefault="00F56B54" w:rsidP="00451491">
      <w:r>
        <w:t>Hydrex 2012,</w:t>
      </w:r>
      <w:r w:rsidR="00EF6605">
        <w:t xml:space="preserve"> </w:t>
      </w:r>
      <w:r w:rsidRPr="007B31EF">
        <w:t xml:space="preserve">Ship propeller maintenance: polish or </w:t>
      </w:r>
      <w:r w:rsidR="00621D86" w:rsidRPr="007B31EF">
        <w:t>clean?</w:t>
      </w:r>
      <w:r>
        <w:t xml:space="preserve"> Hydrex nv, Antwerp, Belgium.</w:t>
      </w:r>
    </w:p>
    <w:p w14:paraId="6E69DBF5" w14:textId="77777777" w:rsidR="00AB3F2C" w:rsidRDefault="00F56B54" w:rsidP="00451491">
      <w:r>
        <w:t>IMO 2005, Anti-fouling syste</w:t>
      </w:r>
      <w:r w:rsidR="00F91F2F">
        <w:t>ms: International Convention on the Control of Harmful Anti-Fouling Systems on Ships, 2005 Edition, International Maritime Organization, London, UK.</w:t>
      </w:r>
    </w:p>
    <w:p w14:paraId="6E28471A" w14:textId="77777777" w:rsidR="00E05790" w:rsidRDefault="00F56B54" w:rsidP="00451491">
      <w:r>
        <w:t xml:space="preserve">IMO 2020, </w:t>
      </w:r>
      <w:r w:rsidRPr="00E05790">
        <w:t>Status of Treaties</w:t>
      </w:r>
      <w:r>
        <w:t xml:space="preserve"> (18/05/2020), International Maritime Organization.</w:t>
      </w:r>
    </w:p>
    <w:p w14:paraId="1A3CAF74" w14:textId="77777777" w:rsidR="0024188B" w:rsidRDefault="00F56B54" w:rsidP="00451491">
      <w:r>
        <w:t>IPPIC 2012, Function of zinc oxide in antifouling paints, International Paint &amp; Printing Ink Council, Washington DC, USA.</w:t>
      </w:r>
    </w:p>
    <w:p w14:paraId="2523A41F" w14:textId="77777777" w:rsidR="003020DD" w:rsidRDefault="00F56B54" w:rsidP="003020DD">
      <w:pPr>
        <w:rPr>
          <w:rFonts w:cs="Calibri"/>
        </w:rPr>
      </w:pPr>
      <w:r w:rsidRPr="00451E47">
        <w:rPr>
          <w:rFonts w:cs="Calibri"/>
        </w:rPr>
        <w:t>ISO 2010</w:t>
      </w:r>
      <w:r>
        <w:rPr>
          <w:rFonts w:cs="Calibri"/>
        </w:rPr>
        <w:t>,</w:t>
      </w:r>
      <w:r w:rsidRPr="00451E47">
        <w:rPr>
          <w:rFonts w:cs="Calibri"/>
        </w:rPr>
        <w:t xml:space="preserve"> </w:t>
      </w:r>
      <w:proofErr w:type="gramStart"/>
      <w:r w:rsidRPr="003020DD">
        <w:rPr>
          <w:rFonts w:cs="Calibri"/>
          <w:iCs/>
        </w:rPr>
        <w:t>Paints</w:t>
      </w:r>
      <w:proofErr w:type="gramEnd"/>
      <w:r w:rsidRPr="003020DD">
        <w:rPr>
          <w:rFonts w:cs="Calibri"/>
          <w:iCs/>
        </w:rPr>
        <w:t xml:space="preserve"> and varnishes – modelling of biocide release rate from antifouling paints by mass-balance calculation</w:t>
      </w:r>
      <w:r>
        <w:rPr>
          <w:rFonts w:cs="Calibri"/>
          <w:iCs/>
        </w:rPr>
        <w:t>,</w:t>
      </w:r>
      <w:r w:rsidRPr="00451E47">
        <w:rPr>
          <w:rFonts w:cs="Calibri"/>
        </w:rPr>
        <w:t xml:space="preserve"> International Standard ISO 10890:2010</w:t>
      </w:r>
      <w:r>
        <w:rPr>
          <w:rFonts w:cs="Calibri"/>
        </w:rPr>
        <w:t>,</w:t>
      </w:r>
      <w:r w:rsidRPr="00451E47">
        <w:rPr>
          <w:rFonts w:cs="Calibri"/>
        </w:rPr>
        <w:t xml:space="preserve"> International Organization for Standardization, Geneva, Switzerland.</w:t>
      </w:r>
    </w:p>
    <w:p w14:paraId="635C0ED4" w14:textId="77777777" w:rsidR="0070073E" w:rsidRDefault="00F56B54" w:rsidP="003020DD">
      <w:pPr>
        <w:rPr>
          <w:rFonts w:cs="Calibri"/>
        </w:rPr>
      </w:pPr>
      <w:r>
        <w:rPr>
          <w:rFonts w:cs="Calibri"/>
        </w:rPr>
        <w:t xml:space="preserve">I-Tech 2020, </w:t>
      </w:r>
      <w:r w:rsidRPr="0070073E">
        <w:rPr>
          <w:rFonts w:cs="Calibri"/>
        </w:rPr>
        <w:t>Selektope®</w:t>
      </w:r>
      <w:r>
        <w:rPr>
          <w:rFonts w:cs="Calibri"/>
        </w:rPr>
        <w:t>, I-Tech AB, Mölndal, Sweden.</w:t>
      </w:r>
    </w:p>
    <w:p w14:paraId="5DB1C57D" w14:textId="77777777" w:rsidR="00CB7ED3" w:rsidRDefault="00F56B54" w:rsidP="003020DD">
      <w:pPr>
        <w:rPr>
          <w:rFonts w:cs="Calibri"/>
        </w:rPr>
      </w:pPr>
      <w:r>
        <w:rPr>
          <w:rFonts w:cs="Calibri"/>
        </w:rPr>
        <w:t>Jackson, SM &amp; Jones, EBG 1988, ‘Fouling film development on antifouling paints with special reference to film thickness’, International Biodeterioration, 24, 277-287.</w:t>
      </w:r>
    </w:p>
    <w:p w14:paraId="07F22A86" w14:textId="77777777" w:rsidR="00B54982" w:rsidRDefault="00F56B54" w:rsidP="003020DD">
      <w:pPr>
        <w:rPr>
          <w:rFonts w:cs="Calibri"/>
        </w:rPr>
      </w:pPr>
      <w:r>
        <w:rPr>
          <w:rFonts w:cs="Calibri"/>
        </w:rPr>
        <w:t>Janssen 2016, Econea</w:t>
      </w:r>
      <w:r w:rsidRPr="00B54982">
        <w:rPr>
          <w:rFonts w:cs="Calibri"/>
          <w:vertAlign w:val="superscript"/>
        </w:rPr>
        <w:t>®</w:t>
      </w:r>
      <w:r>
        <w:rPr>
          <w:rFonts w:cs="Calibri"/>
        </w:rPr>
        <w:t xml:space="preserve">, Marine Antifouling Agent, Janssen </w:t>
      </w:r>
      <w:r w:rsidR="001967C4">
        <w:rPr>
          <w:rFonts w:cs="Calibri"/>
        </w:rPr>
        <w:t>Pharmaceutica,</w:t>
      </w:r>
      <w:r>
        <w:rPr>
          <w:rFonts w:cs="Calibri"/>
        </w:rPr>
        <w:t xml:space="preserve"> Beerse, Belgium.</w:t>
      </w:r>
    </w:p>
    <w:p w14:paraId="70560F8C" w14:textId="77777777" w:rsidR="004C2E1A" w:rsidRDefault="00F56B54" w:rsidP="003020DD">
      <w:pPr>
        <w:rPr>
          <w:rFonts w:cs="Calibri"/>
        </w:rPr>
      </w:pPr>
      <w:r>
        <w:rPr>
          <w:rFonts w:cs="Calibri"/>
        </w:rPr>
        <w:t xml:space="preserve">Jotun 2020, </w:t>
      </w:r>
      <w:r w:rsidRPr="005478A6">
        <w:rPr>
          <w:rFonts w:cs="Calibri"/>
        </w:rPr>
        <w:t>Jotun Hull Skating Solutions: Join the REVHULLUTION</w:t>
      </w:r>
      <w:r>
        <w:rPr>
          <w:rFonts w:cs="Calibri"/>
        </w:rPr>
        <w:t>, Jotun</w:t>
      </w:r>
      <w:r w:rsidR="005478A6">
        <w:rPr>
          <w:rFonts w:cs="Calibri"/>
        </w:rPr>
        <w:t xml:space="preserve"> A/S</w:t>
      </w:r>
      <w:r>
        <w:rPr>
          <w:rFonts w:cs="Calibri"/>
        </w:rPr>
        <w:t xml:space="preserve">, </w:t>
      </w:r>
      <w:r w:rsidR="005478A6">
        <w:rPr>
          <w:rFonts w:cs="Calibri"/>
        </w:rPr>
        <w:t>Sanderfjord, Norway.</w:t>
      </w:r>
    </w:p>
    <w:p w14:paraId="309F68E5" w14:textId="77777777" w:rsidR="003934BF" w:rsidRDefault="00F56B54" w:rsidP="003020DD">
      <w:pPr>
        <w:rPr>
          <w:rFonts w:cs="Calibri"/>
        </w:rPr>
      </w:pPr>
      <w:r>
        <w:rPr>
          <w:rFonts w:cs="Calibri"/>
        </w:rPr>
        <w:t>Khulbe, KC &amp; Matsuura, T 2018, ‘Removal of heavy metals and pollutants by membrane adsorption techniques’, Applied Water Science, 8, 19.</w:t>
      </w:r>
    </w:p>
    <w:p w14:paraId="6E87D68E" w14:textId="77777777" w:rsidR="000717CA" w:rsidRDefault="00F56B54" w:rsidP="003020DD">
      <w:pPr>
        <w:rPr>
          <w:rFonts w:cs="Calibri"/>
        </w:rPr>
      </w:pPr>
      <w:r>
        <w:rPr>
          <w:rFonts w:cs="Calibri"/>
        </w:rPr>
        <w:t>Konstantinou, IK &amp; Albanis, TA 2004, ‘Worldwide occurrence and effects of antifouling paint booster biocides in the aquatic environment: a review’, Environment International, 30, 235-248.</w:t>
      </w:r>
    </w:p>
    <w:p w14:paraId="6C3EFCB8" w14:textId="77777777" w:rsidR="00757CBE" w:rsidRDefault="00F56B54" w:rsidP="003020DD">
      <w:pPr>
        <w:rPr>
          <w:rFonts w:cs="Calibri"/>
        </w:rPr>
      </w:pPr>
      <w:r w:rsidRPr="00D6728E">
        <w:t>Korkut, E &amp; Atlar, M 2012, ‘An experimental investigation of the effect of foul release coating application on performance, noise and cavitation characteristics of marine propellers’, Ocean Engineering, 41, 1-12</w:t>
      </w:r>
      <w:r>
        <w:rPr>
          <w:rFonts w:cs="Calibri"/>
        </w:rPr>
        <w:t>Lee</w:t>
      </w:r>
      <w:r w:rsidR="00541A20">
        <w:rPr>
          <w:rFonts w:cs="Calibri"/>
        </w:rPr>
        <w:t>,</w:t>
      </w:r>
      <w:r>
        <w:rPr>
          <w:rFonts w:cs="Calibri"/>
        </w:rPr>
        <w:t xml:space="preserve"> RF 1996, ‘Metabolism of tributyltin by aquatic organisms’, pp. 369-382 in, Champ MA &amp; Seligman PF, ‘Organotin’, </w:t>
      </w:r>
      <w:r w:rsidR="000F608D">
        <w:rPr>
          <w:rFonts w:cs="Calibri"/>
        </w:rPr>
        <w:t>Chapman &amp; Hall, London</w:t>
      </w:r>
      <w:r>
        <w:rPr>
          <w:rFonts w:cs="Calibri"/>
        </w:rPr>
        <w:t>.</w:t>
      </w:r>
    </w:p>
    <w:p w14:paraId="477217DA" w14:textId="77777777" w:rsidR="00822A5B" w:rsidRPr="00451E47" w:rsidRDefault="00F56B54" w:rsidP="003020DD">
      <w:pPr>
        <w:rPr>
          <w:rFonts w:cs="Calibri"/>
        </w:rPr>
      </w:pPr>
      <w:r>
        <w:rPr>
          <w:rFonts w:cs="Calibri"/>
        </w:rPr>
        <w:t>Lejars</w:t>
      </w:r>
      <w:r w:rsidR="00541A20">
        <w:rPr>
          <w:rFonts w:cs="Calibri"/>
        </w:rPr>
        <w:t>,</w:t>
      </w:r>
      <w:r>
        <w:rPr>
          <w:rFonts w:cs="Calibri"/>
        </w:rPr>
        <w:t xml:space="preserve"> M, Maragaillan</w:t>
      </w:r>
      <w:r w:rsidR="00541A20">
        <w:rPr>
          <w:rFonts w:cs="Calibri"/>
        </w:rPr>
        <w:t>,</w:t>
      </w:r>
      <w:r>
        <w:rPr>
          <w:rFonts w:cs="Calibri"/>
        </w:rPr>
        <w:t xml:space="preserve"> A &amp; Bressy</w:t>
      </w:r>
      <w:r w:rsidR="00541A20">
        <w:rPr>
          <w:rFonts w:cs="Calibri"/>
        </w:rPr>
        <w:t>,</w:t>
      </w:r>
      <w:r>
        <w:rPr>
          <w:rFonts w:cs="Calibri"/>
        </w:rPr>
        <w:t xml:space="preserve"> C 2012, ‘Fouling release coatings; a nontoxic alternative to biocidal antifouling coatings’, Chemical Reviews, 112, 4347-4390.</w:t>
      </w:r>
    </w:p>
    <w:p w14:paraId="7F09ED85" w14:textId="77777777" w:rsidR="00827747" w:rsidRDefault="00F56B54" w:rsidP="00451491">
      <w:r>
        <w:t>Lewis, JA 1998, ‘Marine biofouling an its prevention on underwater surfaces’, Materials Forum, 22, 41-61.</w:t>
      </w:r>
    </w:p>
    <w:p w14:paraId="3AE9F3AA" w14:textId="77777777" w:rsidR="007600A0" w:rsidRDefault="00F56B54" w:rsidP="00451491">
      <w:r>
        <w:t>Lewis, JA 2002, Hull fouling as a vector for the translocation of marine organisms: Report 2 – The significance of the prospective ban on tribu</w:t>
      </w:r>
      <w:r w:rsidR="003934BF">
        <w:t>t</w:t>
      </w:r>
      <w:r>
        <w:t>y</w:t>
      </w:r>
      <w:r w:rsidR="00472E22">
        <w:t>l</w:t>
      </w:r>
      <w:r>
        <w:t>tin antifouling paints on the introduction and translocation of marine pests in Australia, Ballast Water Research Series, Report no. 15, Department of Agriculture, Fisheries and Forestry, Canberra, ACT.</w:t>
      </w:r>
    </w:p>
    <w:p w14:paraId="3C358D69" w14:textId="77777777" w:rsidR="0078127D" w:rsidRDefault="00F56B54" w:rsidP="0078127D">
      <w:r>
        <w:lastRenderedPageBreak/>
        <w:t>Lewis, JA 2009, ‘Non-silicone biocide-free antifouling solutions’, pp. 709-724 in, Hellio C &amp; Yebr</w:t>
      </w:r>
      <w:r w:rsidR="00757CBE">
        <w:t>a</w:t>
      </w:r>
      <w:r>
        <w:t xml:space="preserve"> D, Advances in marine antifouling coatings and technologies, Woodhead Publishing Limited, Cambridge, UK.</w:t>
      </w:r>
    </w:p>
    <w:p w14:paraId="6D7EC803" w14:textId="77777777" w:rsidR="002235C0" w:rsidRDefault="00F56B54" w:rsidP="00451491">
      <w:r>
        <w:t xml:space="preserve">Lewis, JA 2010, Review of the ANZECC Code: antifouling coatings technical summary, Report to Ministry of Agriculture and Forestry, New Zealand, </w:t>
      </w:r>
      <w:r w:rsidR="00C07B41">
        <w:t xml:space="preserve">by </w:t>
      </w:r>
      <w:r>
        <w:t>ES Link Services Pty Ltd, Castlemaine, Vic.</w:t>
      </w:r>
    </w:p>
    <w:p w14:paraId="33CC173F" w14:textId="77777777" w:rsidR="00E202DA" w:rsidRDefault="00F56B54" w:rsidP="00451491">
      <w:r>
        <w:t>Lewis, JA 2013, In-water hull cleaning and filtration system: in-water cleaning trials, 26-28 November 2012, Fisheries Occasional Publication No. 114, Department of Fisheries, Perth, WA.</w:t>
      </w:r>
    </w:p>
    <w:p w14:paraId="37A4A4FA" w14:textId="77777777" w:rsidR="00541A20" w:rsidRDefault="00F56B54" w:rsidP="00451491">
      <w:r>
        <w:t>Lewis, JA 2016, Project 16214, Assessment of preventative biofouling management measures, MPI Technical Paper No: 2016/69, Ministry for Primary Industries, Wellington, NZ.</w:t>
      </w:r>
    </w:p>
    <w:p w14:paraId="4259E389" w14:textId="77777777" w:rsidR="00DC23A4" w:rsidRDefault="00F56B54" w:rsidP="00451491">
      <w:r>
        <w:t>Lewis, JA 2018, ‘Battling biofouling with, and without, biocides’, Chemistry in Australia, June 2018, 26-29.</w:t>
      </w:r>
    </w:p>
    <w:p w14:paraId="0D7ADB02" w14:textId="77777777" w:rsidR="00A438FD" w:rsidRDefault="00F56B54" w:rsidP="00451491">
      <w:r>
        <w:t>Lindner, E 1988, ‘Failure mechanism of copper antifouling coatings’, International Biodeterioration, 24, 247-253.</w:t>
      </w:r>
    </w:p>
    <w:p w14:paraId="3D30A635" w14:textId="77777777" w:rsidR="002F5E8B" w:rsidRDefault="00F56B54" w:rsidP="00451491">
      <w:r>
        <w:t>Luoma, SN &amp; Rainbow, PS 2008, Metal contamination in aquatic environments: science and lateral management, Cambridge University Press, New York</w:t>
      </w:r>
    </w:p>
    <w:p w14:paraId="0E6507DD" w14:textId="77777777" w:rsidR="00CA0DC8" w:rsidRDefault="00F56B54" w:rsidP="00451491">
      <w:r>
        <w:t xml:space="preserve">MME 2020, </w:t>
      </w:r>
      <w:r w:rsidRPr="00CA0DC8">
        <w:t>Sacrificial anodes</w:t>
      </w:r>
      <w:r>
        <w:t>, MME Group, Ridderkerk, The Netherlands.</w:t>
      </w:r>
    </w:p>
    <w:p w14:paraId="54EB5D22" w14:textId="77777777" w:rsidR="00B83080" w:rsidRDefault="00F56B54" w:rsidP="00451491">
      <w:r>
        <w:t>Molino, PJ &amp; Wetherbee, R 2008, ‘The biology of biofouling diatoms and their role in the development of microbial slimes”, Biofouling, 24, 365-379.</w:t>
      </w:r>
    </w:p>
    <w:p w14:paraId="6460D5DD" w14:textId="77777777" w:rsidR="009E1A21" w:rsidRDefault="00F56B54" w:rsidP="00451491">
      <w:r>
        <w:t>Morgan</w:t>
      </w:r>
      <w:r w:rsidR="00541A20">
        <w:t>,</w:t>
      </w:r>
      <w:r>
        <w:t xml:space="preserve"> JH 1987, Cathodic protection, 2</w:t>
      </w:r>
      <w:r w:rsidRPr="009E1A21">
        <w:rPr>
          <w:vertAlign w:val="superscript"/>
        </w:rPr>
        <w:t>nd</w:t>
      </w:r>
      <w:r>
        <w:t xml:space="preserve"> edition, NACE International, Houston, TX.</w:t>
      </w:r>
    </w:p>
    <w:p w14:paraId="71F96A6E" w14:textId="77777777" w:rsidR="00451491" w:rsidRDefault="00F56B54" w:rsidP="00451491">
      <w:r>
        <w:t>Morrisey, D, Gadd, J, Page, M, Floerl, O, Woods, C, Lewis, J, Bell, A &amp; G</w:t>
      </w:r>
      <w:r w:rsidR="00B85FA1">
        <w:t>e</w:t>
      </w:r>
      <w:r>
        <w:t>orgiades, E 2013</w:t>
      </w:r>
      <w:r w:rsidR="00DC23A4">
        <w:t>, In-water cleaning of vessels: biosecurity and chemical contamination risks, MPI Technical Paper No: 2013/11, Ministry for Primary Industries, Wellington</w:t>
      </w:r>
      <w:r w:rsidR="007600A0">
        <w:t>, NZ</w:t>
      </w:r>
      <w:r w:rsidR="00DC23A4">
        <w:t>.</w:t>
      </w:r>
    </w:p>
    <w:p w14:paraId="0874F46D" w14:textId="77777777" w:rsidR="008F54F8" w:rsidRDefault="00F56B54" w:rsidP="00451491">
      <w:r>
        <w:t>Morrisey, D &amp; Woods, C 2015, In-water cleaning technologies: review of information, MPI Technical Paper No: 2015/38, Ministry for Primary Industries, Wellington, NZ.</w:t>
      </w:r>
    </w:p>
    <w:p w14:paraId="09D1B3D2" w14:textId="77777777" w:rsidR="000717CA" w:rsidRDefault="00F56B54" w:rsidP="000717CA">
      <w:pPr>
        <w:pStyle w:val="FootnoteText"/>
        <w:spacing w:before="240" w:line="276" w:lineRule="auto"/>
        <w:rPr>
          <w:sz w:val="22"/>
          <w:szCs w:val="22"/>
        </w:rPr>
      </w:pPr>
      <w:r>
        <w:rPr>
          <w:sz w:val="22"/>
          <w:szCs w:val="22"/>
        </w:rPr>
        <w:t>NRA 2001, Public release summary on evaluation of the new active zinc pyrithione in the product International Intersmooth 360 Ecoloflex Antifouling, National Registration Authority for Agricultural and Veterinary Chemicals, Canberra.</w:t>
      </w:r>
    </w:p>
    <w:p w14:paraId="4CEC37EF" w14:textId="77777777" w:rsidR="00C056AC" w:rsidRDefault="00F56B54" w:rsidP="008C693E">
      <w:pPr>
        <w:spacing w:before="240"/>
      </w:pPr>
      <w:r>
        <w:t>NSSC 2006, Naval Ship’s Technical Manual, Chapter 081, Waterborne underwater hull cleaning of navy ships, Naval Sea Systems Command, United States Navy.</w:t>
      </w:r>
    </w:p>
    <w:p w14:paraId="1D2AB1F4" w14:textId="77777777" w:rsidR="00CD5C65" w:rsidRDefault="00F56B54" w:rsidP="00451491">
      <w:r>
        <w:t>Oliveira, DR &amp; Granhag, L 2020, ‘Ship hull in-water cleaning and its effects on fouling-control coatings’, Biofouling, 3e6, 332-350.</w:t>
      </w:r>
    </w:p>
    <w:p w14:paraId="09F9A739" w14:textId="77777777" w:rsidR="00472E22" w:rsidRDefault="00F56B54" w:rsidP="00472E22">
      <w:r>
        <w:t>Omae, I 2006, ‘Chemistry and fate of organotin antifouling biocides in the environment’, pp. 17-50 in, Konstantinou, I, The Handbook of Environmental Chemistry 5.0, Antifouling paint biocides, Springer Verlag, Berlin Heidelberg.</w:t>
      </w:r>
    </w:p>
    <w:p w14:paraId="4990F76B" w14:textId="77777777" w:rsidR="00940ABA" w:rsidRDefault="00F56B54" w:rsidP="00472E22">
      <w:r>
        <w:t xml:space="preserve">OSHA 2014, </w:t>
      </w:r>
      <w:hyperlink r:id="rId21" w:anchor=":~:text=Dibutyltin%20dilaurate%20is%20used%20as,to%20treat%20tapeworms%20in%20chickens." w:history="1">
        <w:r w:rsidRPr="00940ABA">
          <w:rPr>
            <w:rStyle w:val="Hyperlink"/>
          </w:rPr>
          <w:t>Dibutyltin Dilaurate as Sn</w:t>
        </w:r>
      </w:hyperlink>
      <w:r>
        <w:t>, Occupational Safety &amp; Health Administration, United States Department of Labor, Washington, DC.</w:t>
      </w:r>
    </w:p>
    <w:p w14:paraId="5970A92C" w14:textId="77777777" w:rsidR="00850E1B" w:rsidRDefault="00F56B54" w:rsidP="00850E1B">
      <w:r>
        <w:lastRenderedPageBreak/>
        <w:t>Powell, C 2012, ‘Introduction’, pp.</w:t>
      </w:r>
      <w:r w:rsidR="00A61DC4">
        <w:t xml:space="preserve"> 1-2</w:t>
      </w:r>
      <w:r>
        <w:t xml:space="preserve"> in, Powell, C &amp; Francis, R, The corrosion performance of metals for the marine environment: as basic guide, Maney Publishing, Leeds, UK.</w:t>
      </w:r>
    </w:p>
    <w:p w14:paraId="5216ED00" w14:textId="77777777" w:rsidR="0036679A" w:rsidRDefault="00F56B54" w:rsidP="00472E22">
      <w:r>
        <w:t>Powell, C &amp; Webster, P 2012, ‘Copper alloys’, pp. 26-41 in, Powell</w:t>
      </w:r>
      <w:r w:rsidR="00A558BF">
        <w:t xml:space="preserve">, </w:t>
      </w:r>
      <w:r>
        <w:t xml:space="preserve">C </w:t>
      </w:r>
      <w:r w:rsidR="00A558BF">
        <w:t>&amp; Francis, R, The corrosion performance of metals for the marine environment: as basic guide, Maney Publishing, Leeds, UK.</w:t>
      </w:r>
    </w:p>
    <w:p w14:paraId="548F080B" w14:textId="77777777" w:rsidR="00C4677B" w:rsidRDefault="00F56B54" w:rsidP="00472E22">
      <w:r>
        <w:t xml:space="preserve">RD Instruments 2002, </w:t>
      </w:r>
      <w:r w:rsidRPr="00C4677B">
        <w:t>Using acoustic windows</w:t>
      </w:r>
      <w:r>
        <w:t>, Application Note FSA-010 (December 2002), RD Instruments.</w:t>
      </w:r>
    </w:p>
    <w:p w14:paraId="0E346F2E" w14:textId="77777777" w:rsidR="009534E6" w:rsidRDefault="00F56B54" w:rsidP="00472E22">
      <w:r>
        <w:t xml:space="preserve">Redfield, </w:t>
      </w:r>
      <w:r w:rsidR="00A558BF">
        <w:t>AC 1952, ‘The fouling of metallic surfaces”, pp. 349-364 in, Woods Hole Oceanographic Institution, Marine fouling and its prevention, United States Naval Institute, Annapolis, MA.</w:t>
      </w:r>
    </w:p>
    <w:p w14:paraId="0C9A01BE" w14:textId="77777777" w:rsidR="00563F2A" w:rsidRDefault="00F56B54" w:rsidP="00472E22">
      <w:r>
        <w:t>Rolands</w:t>
      </w:r>
      <w:r w:rsidR="00541A20">
        <w:t>,</w:t>
      </w:r>
      <w:r>
        <w:t xml:space="preserve"> JC &amp; Angell</w:t>
      </w:r>
      <w:r w:rsidR="00541A20">
        <w:t>,</w:t>
      </w:r>
      <w:r>
        <w:t xml:space="preserve"> B 1976, Corrosion for marine and offshore engineers, IMarEST, London.</w:t>
      </w:r>
    </w:p>
    <w:p w14:paraId="0B419B30" w14:textId="77777777" w:rsidR="001B011A" w:rsidRDefault="00F56B54" w:rsidP="00472E22">
      <w:r>
        <w:t xml:space="preserve">Scarlett, A, Donkin, P, Fileman, TW, Evans, SV &amp; Donkin, ME 1999a, ‘Risk posed by the antifouling agent Irgarol 1051 to the seagrass, </w:t>
      </w:r>
      <w:r>
        <w:rPr>
          <w:i/>
          <w:iCs/>
        </w:rPr>
        <w:t>Zostera mari</w:t>
      </w:r>
      <w:r w:rsidR="00E66BFD">
        <w:rPr>
          <w:i/>
          <w:iCs/>
        </w:rPr>
        <w:t>na</w:t>
      </w:r>
      <w:r w:rsidR="00E66BFD">
        <w:t>’, Aquatic Toxicology, 45, 159-170.</w:t>
      </w:r>
    </w:p>
    <w:p w14:paraId="6EEB26A6" w14:textId="77777777" w:rsidR="00827747" w:rsidRDefault="00F56B54" w:rsidP="00472E22">
      <w:r>
        <w:t>Scarlett, A, Donkin, P, Fileman, TW &amp; Morris, RJ 1999b, ‘Occurrence of the antifouling herbicide, Irgarol 1051, within coastal-water seagrasses from Queensland’, Marine Pollution Bulletin, 38</w:t>
      </w:r>
      <w:r w:rsidR="00D84131">
        <w:t>, 687-691</w:t>
      </w:r>
      <w:r>
        <w:t>.</w:t>
      </w:r>
    </w:p>
    <w:p w14:paraId="4E36A092" w14:textId="77777777" w:rsidR="00D55844" w:rsidRPr="00D55844" w:rsidRDefault="00F56B54" w:rsidP="00472E22">
      <w:r>
        <w:t xml:space="preserve">Sea Hawk 2020, </w:t>
      </w:r>
      <w:r w:rsidRPr="00D55844">
        <w:t>Product information: Islands 44 Plus</w:t>
      </w:r>
      <w:r w:rsidRPr="00D55844">
        <w:rPr>
          <w:vertAlign w:val="superscript"/>
        </w:rPr>
        <w:t>TM</w:t>
      </w:r>
      <w:r w:rsidRPr="00D55844">
        <w:t xml:space="preserve"> HARDER</w:t>
      </w:r>
      <w:r>
        <w:t>, Sea Hawk, Clearwater, USA</w:t>
      </w:r>
    </w:p>
    <w:p w14:paraId="20BADB08" w14:textId="77777777" w:rsidR="00D84131" w:rsidRDefault="00F56B54" w:rsidP="00472E22">
      <w:r>
        <w:t xml:space="preserve">Selektope 2020, </w:t>
      </w:r>
      <w:r w:rsidRPr="00D84131">
        <w:t>Commercial marine coatings that contain Selektope</w:t>
      </w:r>
      <w:r>
        <w:t>, I-Tech AB, Mölndal, Sweden.</w:t>
      </w:r>
    </w:p>
    <w:p w14:paraId="3B717B27" w14:textId="77777777" w:rsidR="000F608D" w:rsidRPr="00451E47" w:rsidRDefault="00F56B54" w:rsidP="000F608D">
      <w:pPr>
        <w:rPr>
          <w:rFonts w:cs="Calibri"/>
        </w:rPr>
      </w:pPr>
      <w:r>
        <w:rPr>
          <w:rFonts w:cs="Calibri"/>
        </w:rPr>
        <w:t>Seligman</w:t>
      </w:r>
      <w:r w:rsidR="00541A20">
        <w:rPr>
          <w:rFonts w:cs="Calibri"/>
        </w:rPr>
        <w:t>,</w:t>
      </w:r>
      <w:r>
        <w:rPr>
          <w:rFonts w:cs="Calibri"/>
        </w:rPr>
        <w:t xml:space="preserve"> PF, Maguire</w:t>
      </w:r>
      <w:r w:rsidR="00541A20">
        <w:rPr>
          <w:rFonts w:cs="Calibri"/>
        </w:rPr>
        <w:t>,</w:t>
      </w:r>
      <w:r>
        <w:rPr>
          <w:rFonts w:cs="Calibri"/>
        </w:rPr>
        <w:t xml:space="preserve"> RJ, Lee</w:t>
      </w:r>
      <w:r w:rsidR="00541A20">
        <w:rPr>
          <w:rFonts w:cs="Calibri"/>
        </w:rPr>
        <w:t>,</w:t>
      </w:r>
      <w:r>
        <w:rPr>
          <w:rFonts w:cs="Calibri"/>
        </w:rPr>
        <w:t xml:space="preserve"> RF, Hinga</w:t>
      </w:r>
      <w:r w:rsidR="00541A20">
        <w:rPr>
          <w:rFonts w:cs="Calibri"/>
        </w:rPr>
        <w:t>,</w:t>
      </w:r>
      <w:r>
        <w:rPr>
          <w:rFonts w:cs="Calibri"/>
        </w:rPr>
        <w:t xml:space="preserve"> KR, Valkirs</w:t>
      </w:r>
      <w:r w:rsidR="00541A20">
        <w:rPr>
          <w:rFonts w:cs="Calibri"/>
        </w:rPr>
        <w:t>,</w:t>
      </w:r>
      <w:r>
        <w:rPr>
          <w:rFonts w:cs="Calibri"/>
        </w:rPr>
        <w:t xml:space="preserve"> AO &amp; Stang</w:t>
      </w:r>
      <w:r w:rsidR="00541A20">
        <w:rPr>
          <w:rFonts w:cs="Calibri"/>
        </w:rPr>
        <w:t>,</w:t>
      </w:r>
      <w:r>
        <w:rPr>
          <w:rFonts w:cs="Calibri"/>
        </w:rPr>
        <w:t xml:space="preserve"> PM 1996, ‘Persistence and fate of tributyltin in aquatic systems’, pp. 429-457in, Champ MA &amp; Seligman PF,</w:t>
      </w:r>
      <w:r w:rsidR="007512E9">
        <w:rPr>
          <w:rFonts w:cs="Calibri"/>
        </w:rPr>
        <w:t xml:space="preserve"> </w:t>
      </w:r>
      <w:r>
        <w:rPr>
          <w:rFonts w:cs="Calibri"/>
        </w:rPr>
        <w:t>Organotin, Chapman &amp; Hall, London.</w:t>
      </w:r>
    </w:p>
    <w:p w14:paraId="0B8E5852" w14:textId="77777777" w:rsidR="00563F2A" w:rsidRDefault="00F56B54" w:rsidP="00563F2A">
      <w:r>
        <w:t>Shilton</w:t>
      </w:r>
      <w:r w:rsidR="00541A20">
        <w:t>,</w:t>
      </w:r>
      <w:r>
        <w:t xml:space="preserve"> C 1997, ‘Mechanism of action of tin-free antifouling paints: Intersmooth 360 Ecoloflex’, Pitture e Vernici, 73, 10-18.</w:t>
      </w:r>
    </w:p>
    <w:p w14:paraId="6EDEEA66" w14:textId="77777777" w:rsidR="0070073E" w:rsidRDefault="00F56B54" w:rsidP="00472E22">
      <w:r>
        <w:t>Sinclair</w:t>
      </w:r>
      <w:r w:rsidR="00541A20">
        <w:t>,</w:t>
      </w:r>
      <w:r>
        <w:t xml:space="preserve"> MD 2003, ‘A review of the physiological effects of α</w:t>
      </w:r>
      <w:r>
        <w:rPr>
          <w:vertAlign w:val="subscript"/>
        </w:rPr>
        <w:t>2</w:t>
      </w:r>
      <w:r>
        <w:t>-agonists related to the clinical use of me</w:t>
      </w:r>
      <w:r w:rsidR="00B27FDB">
        <w:t>d</w:t>
      </w:r>
      <w:r>
        <w:t xml:space="preserve">etomidine </w:t>
      </w:r>
      <w:r w:rsidR="00B27FDB">
        <w:t>in small animal practice’, The Canadian Veterinary Journal, 44, 885-897.</w:t>
      </w:r>
    </w:p>
    <w:p w14:paraId="78D33620" w14:textId="77777777" w:rsidR="00DD5420" w:rsidRDefault="00F56B54" w:rsidP="00472E22">
      <w:r>
        <w:t>Soroldoni, S, da Silva, SV, Castro, IB, Martins, CMG &amp; Pinho, GLL 2020, ‘Antifouling paint particles cause toxicity to benthic organisms: effects on two species with different feeding modes’, Chemosphere, 238, 124610.</w:t>
      </w:r>
    </w:p>
    <w:p w14:paraId="59D05931" w14:textId="77777777" w:rsidR="00430280" w:rsidRDefault="00F56B54" w:rsidP="00472E22">
      <w:r>
        <w:t>Standards Australia 2016, Australian Standard AS 2239-2003 (R2016), Galvanic (sacrificial) anodes for cathodic protection, Standards Australia International Ltd, Sydney.</w:t>
      </w:r>
    </w:p>
    <w:p w14:paraId="28FA9879" w14:textId="77777777" w:rsidR="00E202DA" w:rsidRDefault="00F56B54" w:rsidP="00472E22">
      <w:r>
        <w:t xml:space="preserve">Subsea World News 2019, </w:t>
      </w:r>
      <w:r w:rsidRPr="00E202DA">
        <w:t>HullWiper set to launch hull cleaning services in Qatar</w:t>
      </w:r>
      <w:r>
        <w:t xml:space="preserve">, </w:t>
      </w:r>
      <w:r w:rsidR="00734BAE">
        <w:t>www.offshore-energy.biz.</w:t>
      </w:r>
    </w:p>
    <w:p w14:paraId="30B83479" w14:textId="77777777" w:rsidR="00FC6248" w:rsidRDefault="00F56B54" w:rsidP="00451491">
      <w:r>
        <w:t>Swain</w:t>
      </w:r>
      <w:r w:rsidR="00541A20">
        <w:t>,</w:t>
      </w:r>
      <w:r>
        <w:t xml:space="preserve"> G 2019, ‘In-water grooming to maintain ship hulls: from research to reality’, Presentation 12-1, 4</w:t>
      </w:r>
      <w:r w:rsidRPr="00FC6248">
        <w:rPr>
          <w:vertAlign w:val="superscript"/>
        </w:rPr>
        <w:t>th</w:t>
      </w:r>
      <w:r>
        <w:t xml:space="preserve"> ANZPAC Workshop on Biofouling Management for Sustainable Shipping / 1</w:t>
      </w:r>
      <w:r w:rsidRPr="00FC6248">
        <w:rPr>
          <w:vertAlign w:val="superscript"/>
        </w:rPr>
        <w:t>st</w:t>
      </w:r>
      <w:r>
        <w:t xml:space="preserve"> GEF-UNDP-IMO GloFouling R&amp;D Forum and Exhibition on Biofouling Management, Melbourne, Vic, October </w:t>
      </w:r>
      <w:r w:rsidR="002508CF">
        <w:t>2019.</w:t>
      </w:r>
    </w:p>
    <w:p w14:paraId="25C1C99F" w14:textId="77777777" w:rsidR="00920311" w:rsidRDefault="00F56B54" w:rsidP="00451491">
      <w:r>
        <w:lastRenderedPageBreak/>
        <w:t>Takahashi, CK, Turner, A, Millwards, GE &amp; Glegg, GA 2012, ‘Persi</w:t>
      </w:r>
      <w:r w:rsidR="0096293B">
        <w:t>s</w:t>
      </w:r>
      <w:r>
        <w:t>tence and metallic composition of paint particles in sediments from a tidal inlet’, Marine Pollution Bulletin, 64, 133-137.</w:t>
      </w:r>
    </w:p>
    <w:p w14:paraId="16608D11" w14:textId="77777777" w:rsidR="0096293B" w:rsidRDefault="00F56B54" w:rsidP="00451491">
      <w:r>
        <w:t>Tamburri, MN, Davidson, IC, First, MR, Scianni, C, Newcomer, K, Inglis, GJ, Georgiades, ET, Barnes, JM &amp; Ruiz, GM 2020, ‘In-water cleaning and capture to remove ship biofouling: an initial evaluation of efficacy and environmental safety’, Frontiers in Marine Science, 7, 437.</w:t>
      </w:r>
    </w:p>
    <w:p w14:paraId="1110706A" w14:textId="77777777" w:rsidR="001772A2" w:rsidRDefault="00F56B54" w:rsidP="00451491">
      <w:r>
        <w:t>Taylor, GE &amp; Evans, LV 1976, ‘The biology of slime films, Part 1’, Shipping World &amp; Shipbuilder, October 1976, 857-858.</w:t>
      </w:r>
    </w:p>
    <w:p w14:paraId="3EB53E91" w14:textId="77777777" w:rsidR="00827747" w:rsidRDefault="00F56B54" w:rsidP="00451491">
      <w:r>
        <w:t>TCS 2004, Antifouling performance standards for the maritime industry: Development of a framework for the assessment, approval and relevance of effective products, A consultancy for the Natural Heritage Trust, Thompson Clarke Shipping Pty. Ltd. in association with CTI Consultants Pty. Ltd. and Mr John A. Lewis.</w:t>
      </w:r>
    </w:p>
    <w:p w14:paraId="4A2E1306" w14:textId="77777777" w:rsidR="00E33291" w:rsidRDefault="00F56B54" w:rsidP="00451491">
      <w:r>
        <w:t>The Iron and Steel Institute 1944, Fouling of ships’ bottoms: identification of marine growths, The Iron and Steel Institute, London, UK.</w:t>
      </w:r>
    </w:p>
    <w:p w14:paraId="649C988E" w14:textId="77777777" w:rsidR="00734BAE" w:rsidRDefault="00F56B54" w:rsidP="00451491">
      <w:r>
        <w:t xml:space="preserve">The Maritime Executive 2020, </w:t>
      </w:r>
      <w:r w:rsidRPr="00734BAE">
        <w:t>ECOsubsea gains further foothold in major European ports</w:t>
      </w:r>
      <w:r>
        <w:t>, www.maritime-executive.com.</w:t>
      </w:r>
    </w:p>
    <w:p w14:paraId="66957572" w14:textId="77777777" w:rsidR="00B705BC" w:rsidRDefault="00F56B54" w:rsidP="00B705BC">
      <w:r>
        <w:t>Thomas</w:t>
      </w:r>
      <w:r w:rsidR="00541A20">
        <w:t>,</w:t>
      </w:r>
      <w:r>
        <w:t xml:space="preserve"> K 2009, ‘The use of broad-spectrum organic biocides in marine antifouling paints’, pp. 522-553 in, Hellio C &amp; Yebra D, Advances in marine antifouling coatings and technologies, Woodhead Publishing Limited, Cambridge, UK.</w:t>
      </w:r>
    </w:p>
    <w:p w14:paraId="0EC78BE8" w14:textId="77777777" w:rsidR="002B16F9" w:rsidRDefault="00F56B54" w:rsidP="00B705BC">
      <w:r>
        <w:t xml:space="preserve">Thomas, KV &amp; Brooks, S 2010, ‘The environmental fate and effects of antifouling </w:t>
      </w:r>
      <w:r w:rsidR="008538A4">
        <w:t>paint biocides’, Biofouling, 26, 73-88.</w:t>
      </w:r>
    </w:p>
    <w:p w14:paraId="184EEF91" w14:textId="77777777" w:rsidR="001772A2" w:rsidRDefault="00F56B54" w:rsidP="00B705BC">
      <w:r>
        <w:t>Thomas, TE &amp; Robinson, MG 1986, ‘The physiological effects of the leachates from a self-polishing organotin antifouling paint on marine diatoms’, Marine Environmental Research, 18, 215-229</w:t>
      </w:r>
      <w:r w:rsidR="008C693E">
        <w:t>.</w:t>
      </w:r>
    </w:p>
    <w:p w14:paraId="27494E91" w14:textId="77777777" w:rsidR="008C693E" w:rsidRDefault="00F56B54" w:rsidP="008C693E">
      <w:r>
        <w:t>Thomason, JC 2010, ‘Fouling on shipping: data-mining the world’s largest antifouling archive’,</w:t>
      </w:r>
      <w:r w:rsidRPr="008B5C22">
        <w:t xml:space="preserve"> </w:t>
      </w:r>
      <w:r>
        <w:t>pp. 207-</w:t>
      </w:r>
      <w:r w:rsidR="002058D6">
        <w:t>216</w:t>
      </w:r>
      <w:r>
        <w:t xml:space="preserve"> in, D</w:t>
      </w:r>
      <w:r>
        <w:rPr>
          <w:rFonts w:ascii="Calibri" w:hAnsi="Calibri" w:cs="Calibri"/>
        </w:rPr>
        <w:t>ü</w:t>
      </w:r>
      <w:r>
        <w:t>rr, S &amp; Thomason, JC, ‘Biofouling’, Wiley-Blackwell, Chichester, UK.</w:t>
      </w:r>
    </w:p>
    <w:p w14:paraId="4257CFB1" w14:textId="77777777" w:rsidR="00FC6248" w:rsidRDefault="00F56B54" w:rsidP="00451491">
      <w:r>
        <w:t>Tribou, M &amp; Swain, G 2010, ‘The use of proactive in-water grooming to improve the performance of ship hull antifouling coatings’, Biofouling, 26, 47-56.</w:t>
      </w:r>
    </w:p>
    <w:p w14:paraId="3DC789ED" w14:textId="77777777" w:rsidR="00B9630E" w:rsidRDefault="00F56B54" w:rsidP="00B9630E">
      <w:r>
        <w:t xml:space="preserve">Tribou, M &amp; Swain, G 2017, ‘The effects of grooming on a copper ablative coating: a </w:t>
      </w:r>
      <w:r w:rsidR="001967C4">
        <w:t>six-year</w:t>
      </w:r>
      <w:r>
        <w:t xml:space="preserve"> study’, Biofouling, 33, 494-504.</w:t>
      </w:r>
    </w:p>
    <w:p w14:paraId="2B030DA9" w14:textId="77777777" w:rsidR="00920311" w:rsidRDefault="00F56B54" w:rsidP="00B9630E">
      <w:r>
        <w:t>Turner, A 2010, ‘Marine pollution from antifouling paint particles’, Marine Pollution Bulletin, 60, 159-171.</w:t>
      </w:r>
    </w:p>
    <w:p w14:paraId="2F2FC797" w14:textId="77777777" w:rsidR="00F653D4" w:rsidRDefault="00F56B54" w:rsidP="00F653D4">
      <w:pPr>
        <w:rPr>
          <w:rFonts w:cs="Calibri"/>
        </w:rPr>
      </w:pPr>
      <w:r>
        <w:rPr>
          <w:rFonts w:cs="Calibri"/>
        </w:rPr>
        <w:t>US EPA</w:t>
      </w:r>
      <w:r w:rsidRPr="00721F4E">
        <w:rPr>
          <w:rFonts w:cs="Calibri"/>
        </w:rPr>
        <w:t xml:space="preserve"> </w:t>
      </w:r>
      <w:r>
        <w:rPr>
          <w:rFonts w:cs="Calibri"/>
        </w:rPr>
        <w:t>1995,</w:t>
      </w:r>
      <w:r w:rsidRPr="00721F4E">
        <w:rPr>
          <w:rFonts w:cs="Calibri"/>
        </w:rPr>
        <w:t xml:space="preserve"> </w:t>
      </w:r>
      <w:r w:rsidRPr="00D22B1F">
        <w:rPr>
          <w:rFonts w:cs="Calibri"/>
        </w:rPr>
        <w:t>Ambient water quality criteria-saltwater copper addendum (Draft)</w:t>
      </w:r>
      <w:r w:rsidRPr="009D438C">
        <w:rPr>
          <w:rFonts w:cs="Calibri"/>
        </w:rPr>
        <w:t>, A</w:t>
      </w:r>
      <w:r w:rsidRPr="00721F4E">
        <w:rPr>
          <w:rFonts w:cs="Calibri"/>
        </w:rPr>
        <w:t>pril 14</w:t>
      </w:r>
      <w:r>
        <w:rPr>
          <w:rFonts w:cs="Calibri"/>
        </w:rPr>
        <w:t>,</w:t>
      </w:r>
      <w:r w:rsidRPr="00721F4E">
        <w:rPr>
          <w:rFonts w:cs="Calibri"/>
        </w:rPr>
        <w:t xml:space="preserve"> Office of Water, Office of Science and Technology, United States Environmental Protection Agency, Washington, DC</w:t>
      </w:r>
      <w:r w:rsidR="006F06F3">
        <w:rPr>
          <w:rFonts w:cs="Calibri"/>
        </w:rPr>
        <w:t>.</w:t>
      </w:r>
    </w:p>
    <w:p w14:paraId="5708B25D" w14:textId="77777777" w:rsidR="006F06F3" w:rsidRPr="00721F4E" w:rsidRDefault="00F56B54" w:rsidP="00F653D4">
      <w:pPr>
        <w:rPr>
          <w:rFonts w:cs="Calibri"/>
        </w:rPr>
      </w:pPr>
      <w:r>
        <w:rPr>
          <w:rFonts w:cs="Calibri"/>
        </w:rPr>
        <w:t xml:space="preserve">US EPA 2007, </w:t>
      </w:r>
      <w:r w:rsidRPr="006F06F3">
        <w:rPr>
          <w:rFonts w:cs="Calibri"/>
        </w:rPr>
        <w:t>Notice of Pesticide Registration, EPA Reg. Number: 43813-27, Econea Technica</w:t>
      </w:r>
      <w:r>
        <w:rPr>
          <w:rFonts w:cs="Calibri"/>
        </w:rPr>
        <w:t>l, U</w:t>
      </w:r>
      <w:r w:rsidR="004B6386">
        <w:rPr>
          <w:rFonts w:cs="Calibri"/>
        </w:rPr>
        <w:t>nited States</w:t>
      </w:r>
      <w:r>
        <w:rPr>
          <w:rFonts w:cs="Calibri"/>
        </w:rPr>
        <w:t xml:space="preserve"> Environmental Protection Agency, Office of Pesticides Programs, Washington, DC.</w:t>
      </w:r>
    </w:p>
    <w:p w14:paraId="03AF70B5" w14:textId="77777777" w:rsidR="006F06F3" w:rsidRPr="00721F4E" w:rsidRDefault="00F56B54" w:rsidP="006F06F3">
      <w:pPr>
        <w:rPr>
          <w:rFonts w:cs="Calibri"/>
        </w:rPr>
      </w:pPr>
      <w:r>
        <w:rPr>
          <w:rFonts w:cs="Calibri"/>
        </w:rPr>
        <w:lastRenderedPageBreak/>
        <w:t xml:space="preserve">US EPA 2019, </w:t>
      </w:r>
      <w:r w:rsidRPr="004B6386">
        <w:rPr>
          <w:rFonts w:cs="Calibri"/>
        </w:rPr>
        <w:t>Label Amendment, Pettit Hydrocoat ECO Copper Free Multi-Season Ablative, EPA Registration Number: 60061-137</w:t>
      </w:r>
      <w:r w:rsidR="004B6386">
        <w:rPr>
          <w:rFonts w:cs="Calibri"/>
        </w:rPr>
        <w:t>,</w:t>
      </w:r>
      <w:r>
        <w:rPr>
          <w:rFonts w:cs="Calibri"/>
        </w:rPr>
        <w:t xml:space="preserve"> </w:t>
      </w:r>
      <w:r w:rsidR="004B6386">
        <w:rPr>
          <w:rFonts w:cs="Calibri"/>
        </w:rPr>
        <w:t xml:space="preserve">United States </w:t>
      </w:r>
      <w:r>
        <w:rPr>
          <w:rFonts w:cs="Calibri"/>
        </w:rPr>
        <w:t xml:space="preserve">Environmental Protection Agency, Office of </w:t>
      </w:r>
      <w:r w:rsidR="004B6386">
        <w:rPr>
          <w:rFonts w:cs="Calibri"/>
        </w:rPr>
        <w:t>Chemical Safety and Pollution Prevention</w:t>
      </w:r>
      <w:r>
        <w:rPr>
          <w:rFonts w:cs="Calibri"/>
        </w:rPr>
        <w:t>, Washington, DC.</w:t>
      </w:r>
    </w:p>
    <w:p w14:paraId="7C8377D6" w14:textId="77777777" w:rsidR="00A53C00" w:rsidRDefault="00F56B54" w:rsidP="00A53C00">
      <w:r>
        <w:t>van Hattum, B, van Gils, J, Markus, A, Jansen, M &amp; Baart, A 2016,</w:t>
      </w:r>
      <w:r w:rsidR="007512E9">
        <w:t xml:space="preserve"> </w:t>
      </w:r>
      <w:r w:rsidRPr="00963E90">
        <w:t>MAMPEC 3.1 Handbook, Technical documentation</w:t>
      </w:r>
      <w:r w:rsidR="00963E90">
        <w:t>, Deltares, Delft, The Netherlands.</w:t>
      </w:r>
    </w:p>
    <w:p w14:paraId="5A9953C3" w14:textId="77777777" w:rsidR="00ED460F" w:rsidRDefault="00F56B54" w:rsidP="00A53C00">
      <w:r>
        <w:t xml:space="preserve">van Hattum, B, van Gils, J, Markus, A, Elzinga, H, Kleisse, F &amp; Baart, A 2018, </w:t>
      </w:r>
      <w:r w:rsidRPr="009B7132">
        <w:t>User manual – quick guide, MAMPEC 3.1, MAMPEC-BW 3.1</w:t>
      </w:r>
      <w:r>
        <w:t>,</w:t>
      </w:r>
      <w:r w:rsidRPr="00ED460F">
        <w:t xml:space="preserve"> </w:t>
      </w:r>
      <w:r>
        <w:t>Deltares, Delft, The Netherlands.</w:t>
      </w:r>
    </w:p>
    <w:p w14:paraId="472F45F8" w14:textId="77777777" w:rsidR="00541A20" w:rsidRDefault="00F56B54" w:rsidP="00A53C00">
      <w:r>
        <w:t>Vardhan, DH, Ramesh, A &amp; Reddy, BCM 2019, ‘A review on materials used for marine propellers’, Materials Today: Proceedings, 18, 4482-4490.</w:t>
      </w:r>
    </w:p>
    <w:p w14:paraId="7B9C04AC" w14:textId="77777777" w:rsidR="00AB17C6" w:rsidRDefault="00F56B54" w:rsidP="00A53C00">
      <w:r>
        <w:t xml:space="preserve">Widdows, J &amp; Page, DS 1993, ‘Effects of tributyltin and dibutyltin on the physiological energetics of the mussel </w:t>
      </w:r>
      <w:r>
        <w:rPr>
          <w:i/>
          <w:iCs/>
        </w:rPr>
        <w:t xml:space="preserve">Mytilus edulis’, </w:t>
      </w:r>
      <w:r>
        <w:t>Marine Environmental Research, 35, 233-249.</w:t>
      </w:r>
    </w:p>
    <w:p w14:paraId="2B6C2290" w14:textId="77777777" w:rsidR="00CF1C34" w:rsidRPr="00CF1C34" w:rsidRDefault="00F56B54" w:rsidP="00A53C00">
      <w:pPr>
        <w:rPr>
          <w:rFonts w:asciiTheme="majorHAnsi" w:hAnsiTheme="majorHAnsi"/>
        </w:rPr>
      </w:pPr>
      <w:r w:rsidRPr="00CF1C34">
        <w:rPr>
          <w:rFonts w:asciiTheme="majorHAnsi" w:hAnsiTheme="majorHAnsi"/>
        </w:rPr>
        <w:t>Wisely, B 1958, ‘T</w:t>
      </w:r>
      <w:r w:rsidRPr="00CF1C34">
        <w:rPr>
          <w:rFonts w:asciiTheme="majorHAnsi" w:eastAsia="Cambria" w:hAnsiTheme="majorHAnsi" w:cs="Arial"/>
          <w:lang w:eastAsia="en-AU"/>
        </w:rPr>
        <w:t xml:space="preserve">he settling and some experimental reactions of a bryozoan larva, </w:t>
      </w:r>
      <w:r w:rsidRPr="00CF1C34">
        <w:rPr>
          <w:rFonts w:asciiTheme="majorHAnsi" w:eastAsia="Cambria" w:hAnsiTheme="majorHAnsi" w:cs="Arial"/>
          <w:i/>
          <w:iCs/>
          <w:lang w:eastAsia="en-AU"/>
        </w:rPr>
        <w:t>Watersipora cucullata</w:t>
      </w:r>
      <w:r w:rsidRPr="00CF1C34">
        <w:rPr>
          <w:rFonts w:asciiTheme="majorHAnsi" w:eastAsia="Cambria" w:hAnsiTheme="majorHAnsi" w:cs="Arial"/>
          <w:lang w:eastAsia="en-AU"/>
        </w:rPr>
        <w:t xml:space="preserve"> (Busk)’, Australian Journal of </w:t>
      </w:r>
      <w:r>
        <w:rPr>
          <w:rFonts w:asciiTheme="majorHAnsi" w:eastAsia="Cambria" w:hAnsiTheme="majorHAnsi" w:cs="Arial"/>
          <w:lang w:eastAsia="en-AU"/>
        </w:rPr>
        <w:t>Marine and Freshwater Research, 9, 362-371.</w:t>
      </w:r>
    </w:p>
    <w:p w14:paraId="6E76AD53" w14:textId="77777777" w:rsidR="00E33291" w:rsidRDefault="00F56B54" w:rsidP="00A53C00">
      <w:r>
        <w:t>Wood, EJF &amp; Allen, FE 1958, Common marine fouling organisms of Australian waters, Navy Office, Melbourne.</w:t>
      </w:r>
    </w:p>
    <w:p w14:paraId="59E44023" w14:textId="77777777" w:rsidR="008C693E" w:rsidRDefault="00F56B54" w:rsidP="00A53C00">
      <w:r>
        <w:t>Woods, DC, Fletcher, RL &amp; Jones, EBG 1988, ‘Microfouling film composition, thickness</w:t>
      </w:r>
      <w:r w:rsidR="00CB7ED3">
        <w:t>, and roughness on ship trial antifouling paints’, pp. 49-56 in, Houghton, DR, Smith, RN &amp; Eggins, HOW, Biodeterioration 7, Elsevier Applied Science, London &amp; New York.</w:t>
      </w:r>
    </w:p>
    <w:p w14:paraId="247D69A4" w14:textId="77777777" w:rsidR="008C693E" w:rsidRDefault="00F56B54" w:rsidP="00A53C00">
      <w:r>
        <w:t>Yebra, DM, Kiil, S &amp; Dam-Johansen, K 2004, ‘Antifouling technology – past, present and future steps towards efficient and environmentally friendly antifouling coatings, Progress in Organic Coatings, 50, 75-104.</w:t>
      </w:r>
    </w:p>
    <w:p w14:paraId="7A4A73C5" w14:textId="77777777" w:rsidR="00CB7ED3" w:rsidRDefault="00F56B54" w:rsidP="00A53C00">
      <w:r>
        <w:t>Yebra, DM, Kiil, S, Weinell, CE &amp; Dam-Johansen, K 2006, ‘Presence and effects of marine microfilms on biocide-based antifouling paints’, Biofouling, 22, 33-41.</w:t>
      </w:r>
    </w:p>
    <w:p w14:paraId="15483971" w14:textId="77777777" w:rsidR="00B9630E" w:rsidRDefault="00F56B54" w:rsidP="00451491">
      <w:r>
        <w:t>Zainzinger</w:t>
      </w:r>
      <w:r w:rsidR="00541A20">
        <w:t>,</w:t>
      </w:r>
      <w:r>
        <w:t xml:space="preserve"> V 2019, ‘</w:t>
      </w:r>
      <w:r w:rsidRPr="00ED042B">
        <w:t>Antifouling coatings cling to copper</w:t>
      </w:r>
      <w:r w:rsidR="00ED042B">
        <w:t>’, Chemistry World, 21 January 2019.</w:t>
      </w:r>
    </w:p>
    <w:sectPr w:rsidR="00B9630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6493D" w14:textId="77777777" w:rsidR="0007161F" w:rsidRDefault="0007161F">
      <w:pPr>
        <w:spacing w:after="0" w:line="240" w:lineRule="auto"/>
      </w:pPr>
      <w:r>
        <w:separator/>
      </w:r>
    </w:p>
  </w:endnote>
  <w:endnote w:type="continuationSeparator" w:id="0">
    <w:p w14:paraId="48D74A9D" w14:textId="77777777" w:rsidR="0007161F" w:rsidRDefault="0007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0BD9" w14:textId="77777777" w:rsidR="00F56B54" w:rsidRDefault="00F56B54">
    <w:pPr>
      <w:pStyle w:val="Footer"/>
    </w:pPr>
    <w:r>
      <w:t xml:space="preserve">Department of Agriculture, </w:t>
    </w:r>
    <w:proofErr w:type="gramStart"/>
    <w:r>
      <w:t>Water</w:t>
    </w:r>
    <w:proofErr w:type="gramEnd"/>
    <w:r>
      <w:t xml:space="preserve"> and the Environment</w:t>
    </w:r>
  </w:p>
  <w:p w14:paraId="10AC4BEB" w14:textId="77777777" w:rsidR="00F56B54" w:rsidRDefault="0007161F" w:rsidP="009B605F">
    <w:pPr>
      <w:pStyle w:val="Footer"/>
    </w:pPr>
    <w:sdt>
      <w:sdtPr>
        <w:id w:val="-2138090498"/>
        <w:docPartObj>
          <w:docPartGallery w:val="Page Numbers (Bottom of Page)"/>
          <w:docPartUnique/>
        </w:docPartObj>
      </w:sdtPr>
      <w:sdtEndPr>
        <w:rPr>
          <w:noProof/>
        </w:rPr>
      </w:sdtEndPr>
      <w:sdtContent>
        <w:r w:rsidR="00F56B54">
          <w:fldChar w:fldCharType="begin"/>
        </w:r>
        <w:r w:rsidR="00F56B54">
          <w:instrText xml:space="preserve"> PAGE   \* MERGEFORMAT </w:instrText>
        </w:r>
        <w:r w:rsidR="00F56B54">
          <w:fldChar w:fldCharType="separate"/>
        </w:r>
        <w:r w:rsidR="00F56B54">
          <w:rPr>
            <w:noProof/>
          </w:rPr>
          <w:t>ix</w:t>
        </w:r>
        <w:r w:rsidR="00F56B5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0970" w14:textId="77777777" w:rsidR="00F56B54" w:rsidRDefault="00F56B54">
    <w:pPr>
      <w:pStyle w:val="Footer"/>
    </w:pPr>
    <w:r>
      <w:t xml:space="preserve">Department of Agriculture, </w:t>
    </w:r>
    <w:proofErr w:type="gramStart"/>
    <w:r>
      <w:t>Water</w:t>
    </w:r>
    <w:proofErr w:type="gramEnd"/>
    <w:r>
      <w:t xml:space="preserve"> and the Environment</w:t>
    </w:r>
  </w:p>
  <w:p w14:paraId="4D78D9BD" w14:textId="77777777" w:rsidR="00F56B54" w:rsidRDefault="00F56B54">
    <w:pPr>
      <w:pStyle w:val="Footer"/>
    </w:pPr>
    <w:r>
      <w:fldChar w:fldCharType="begin"/>
    </w:r>
    <w:r>
      <w:instrText xml:space="preserve"> PAGE   \* MERGEFORMAT </w:instrText>
    </w:r>
    <w:r>
      <w:fldChar w:fldCharType="separate"/>
    </w:r>
    <w:r>
      <w:rPr>
        <w:noProof/>
      </w:rPr>
      <w:t>67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60AB7" w14:textId="77777777" w:rsidR="0007161F" w:rsidRDefault="0007161F">
      <w:r>
        <w:separator/>
      </w:r>
    </w:p>
    <w:p w14:paraId="69F5DD27" w14:textId="77777777" w:rsidR="0007161F" w:rsidRDefault="0007161F"/>
    <w:p w14:paraId="183216BC" w14:textId="77777777" w:rsidR="0007161F" w:rsidRDefault="0007161F"/>
  </w:footnote>
  <w:footnote w:type="continuationSeparator" w:id="0">
    <w:p w14:paraId="6DA626FD" w14:textId="77777777" w:rsidR="0007161F" w:rsidRDefault="0007161F">
      <w:r>
        <w:continuationSeparator/>
      </w:r>
    </w:p>
    <w:p w14:paraId="1A329DAA" w14:textId="77777777" w:rsidR="0007161F" w:rsidRDefault="0007161F"/>
    <w:p w14:paraId="22D75003" w14:textId="77777777" w:rsidR="0007161F" w:rsidRDefault="0007161F"/>
  </w:footnote>
  <w:footnote w:type="continuationNotice" w:id="1">
    <w:p w14:paraId="653AB85F" w14:textId="77777777" w:rsidR="0007161F" w:rsidRDefault="0007161F">
      <w:pPr>
        <w:pStyle w:val="Footer"/>
      </w:pPr>
    </w:p>
    <w:p w14:paraId="18BFF087" w14:textId="77777777" w:rsidR="0007161F" w:rsidRDefault="0007161F"/>
    <w:p w14:paraId="167B209F" w14:textId="77777777" w:rsidR="0007161F" w:rsidRDefault="0007161F"/>
  </w:footnote>
  <w:footnote w:id="2">
    <w:p w14:paraId="29EC23BA" w14:textId="77777777" w:rsidR="00F56B54" w:rsidRPr="008628BD"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Morrisey et al. 2013. In-water cleaning of vessels: Biosecurity and chemical contamination risks. MPI Technical Paper No: 2013/11. New Zealand Government Ministry of Primary Industries, Wellington, New Zealand.</w:t>
      </w:r>
    </w:p>
  </w:footnote>
  <w:footnote w:id="3">
    <w:p w14:paraId="63235DFA" w14:textId="77777777" w:rsidR="00F56B54" w:rsidRPr="00F962F9"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Department of the Environment and New Zealand Ministry of Primary Industries. 2015. Anti-fouling and in-water cleaning guidelines. Department of Agriculture, Canberra, ACT.</w:t>
      </w:r>
    </w:p>
  </w:footnote>
  <w:footnote w:id="4">
    <w:p w14:paraId="5ED91DA1" w14:textId="77777777" w:rsidR="00F56B54" w:rsidRPr="00CB43C7" w:rsidRDefault="00F56B54" w:rsidP="00DE21DC">
      <w:pPr>
        <w:pStyle w:val="FootnoteText"/>
        <w:rPr>
          <w:rFonts w:asciiTheme="minorHAnsi" w:eastAsiaTheme="minorEastAsia" w:hAnsiTheme="minorHAnsi"/>
          <w:sz w:val="18"/>
          <w:szCs w:val="18"/>
        </w:rPr>
      </w:pPr>
      <w:r>
        <w:rPr>
          <w:rStyle w:val="FootnoteReference"/>
        </w:rPr>
        <w:footnoteRef/>
      </w:r>
      <w:r>
        <w:t xml:space="preserve"> </w:t>
      </w:r>
      <w:r w:rsidRPr="00DB6E82">
        <w:rPr>
          <w:rFonts w:asciiTheme="minorHAnsi" w:eastAsiaTheme="minorEastAsia" w:hAnsiTheme="minorHAnsi"/>
        </w:rPr>
        <w:t xml:space="preserve">[Section] 3.4 Water quality guidelines for toxicants. In, ANZECC &amp; ARMCANZ (2000). </w:t>
      </w:r>
      <w:r w:rsidRPr="00DB6E82">
        <w:rPr>
          <w:rFonts w:asciiTheme="minorHAnsi" w:eastAsia="Arial" w:hAnsiTheme="minorHAnsi" w:cs="Arial"/>
          <w:i/>
        </w:rPr>
        <w:t xml:space="preserve">Australian and New Zealand Guidelines for Fresh and Marine Water Quality. </w:t>
      </w:r>
      <w:r w:rsidRPr="00DB6E82">
        <w:rPr>
          <w:rFonts w:asciiTheme="minorHAnsi" w:eastAsia="Arial" w:hAnsiTheme="minorHAnsi" w:cs="Arial"/>
        </w:rPr>
        <w:t>Australian and New Zealand Environment and Conservation Council &amp; Agriculture and Resource Management Council of Australia and New Zealand</w:t>
      </w:r>
      <w:r w:rsidRPr="00CB43C7">
        <w:rPr>
          <w:rFonts w:asciiTheme="minorHAnsi" w:eastAsia="Arial" w:hAnsiTheme="minorHAnsi" w:cs="Arial"/>
          <w:sz w:val="18"/>
          <w:szCs w:val="18"/>
        </w:rPr>
        <w:t>.</w:t>
      </w:r>
    </w:p>
  </w:footnote>
  <w:footnote w:id="5">
    <w:p w14:paraId="4A529336" w14:textId="77777777" w:rsidR="00F56B54" w:rsidRPr="00CA0651"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van Hattum et al. 2016. MAMPEC 3.1 Handbook. Deltares, The Netherlands.</w:t>
      </w:r>
    </w:p>
  </w:footnote>
  <w:footnote w:id="6">
    <w:p w14:paraId="5CE663C5" w14:textId="77777777" w:rsidR="00F56B54" w:rsidRDefault="00F56B54" w:rsidP="00DE21DC">
      <w:pPr>
        <w:pStyle w:val="FootnoteText"/>
      </w:pPr>
      <w:r>
        <w:rPr>
          <w:rStyle w:val="FootnoteReference"/>
        </w:rPr>
        <w:footnoteRef/>
      </w:r>
      <w:r>
        <w:t xml:space="preserve"> </w:t>
      </w:r>
      <w:r>
        <w:rPr>
          <w:rFonts w:asciiTheme="minorHAnsi" w:hAnsiTheme="minorHAnsi" w:cstheme="minorHAnsi"/>
        </w:rPr>
        <w:t>van Hattum et al. 2018. User Manual – Quick Guide. MAMPEC 3.1 / MAMPEC-BW 3.1. Version 3.1.0.5. Deltares, The Netherlands.</w:t>
      </w:r>
    </w:p>
  </w:footnote>
  <w:footnote w:id="7">
    <w:p w14:paraId="0D8E5EA7" w14:textId="77777777" w:rsidR="00F56B54" w:rsidRPr="00DE0CBE"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 xml:space="preserve">Senda, T. 2009. International trends in regulatory aspects. In, Arai et al., </w:t>
      </w:r>
      <w:r>
        <w:rPr>
          <w:rFonts w:asciiTheme="minorHAnsi" w:hAnsiTheme="minorHAnsi" w:cstheme="minorHAnsi"/>
          <w:i/>
          <w:iCs/>
        </w:rPr>
        <w:t xml:space="preserve">Ecotoxicology of Antifouling Biocides. </w:t>
      </w:r>
      <w:r>
        <w:rPr>
          <w:rFonts w:asciiTheme="minorHAnsi" w:hAnsiTheme="minorHAnsi" w:cstheme="minorHAnsi"/>
        </w:rPr>
        <w:t>Springer.</w:t>
      </w:r>
    </w:p>
  </w:footnote>
  <w:footnote w:id="8">
    <w:p w14:paraId="29D1D73B" w14:textId="77777777" w:rsidR="00F56B54" w:rsidRPr="00ED2386"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Preliminary Risk Assessment: Antifouling paints reassessment. June 2012. Environmental Protection Authority, New Zealand Government.</w:t>
      </w:r>
    </w:p>
  </w:footnote>
  <w:footnote w:id="9">
    <w:p w14:paraId="723AAC80" w14:textId="77777777" w:rsidR="00F56B54" w:rsidRPr="0077007F" w:rsidRDefault="00F56B54" w:rsidP="00DE21DC">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Gadd, J., Depree, C., Hickey, C. 2011. Relevance to New Zealand of the OECD Emission Scenario Document for Antifouling Products: Phase 2 Report. NIWA Client Report HAM 2011-005. National Institute of Water &amp; Atmospheric Research Ltd, Hamilton, NZ.</w:t>
      </w:r>
    </w:p>
  </w:footnote>
  <w:footnote w:id="10">
    <w:p w14:paraId="4FF8A1EF" w14:textId="77777777" w:rsidR="00F56B54" w:rsidRPr="00811172" w:rsidRDefault="00F56B54" w:rsidP="00DE21DC">
      <w:pPr>
        <w:pStyle w:val="FootnoteText"/>
        <w:rPr>
          <w:rFonts w:asciiTheme="minorHAnsi" w:hAnsiTheme="minorHAnsi" w:cstheme="minorHAnsi"/>
        </w:rPr>
      </w:pPr>
      <w:r w:rsidRPr="00811172">
        <w:rPr>
          <w:rStyle w:val="FootnoteReference"/>
          <w:rFonts w:asciiTheme="minorHAnsi" w:hAnsiTheme="minorHAnsi" w:cstheme="minorHAnsi"/>
        </w:rPr>
        <w:footnoteRef/>
      </w:r>
      <w:r w:rsidRPr="00811172">
        <w:rPr>
          <w:rFonts w:asciiTheme="minorHAnsi" w:hAnsiTheme="minorHAnsi" w:cstheme="minorHAnsi"/>
        </w:rPr>
        <w:t xml:space="preserve"> Lewis JA (2016), Envirocart Trial – October 2015: 1. Environmental Discharge. Report prepared for GRD-Franmarine Holdings Ltd. ES Link Services Pty Ltd.</w:t>
      </w:r>
    </w:p>
  </w:footnote>
  <w:footnote w:id="11">
    <w:p w14:paraId="10693C59" w14:textId="77777777" w:rsidR="00F56B54" w:rsidRPr="00811172" w:rsidRDefault="00F56B54" w:rsidP="00DE21DC">
      <w:pPr>
        <w:pStyle w:val="FootnoteText"/>
        <w:rPr>
          <w:rFonts w:asciiTheme="minorHAnsi" w:hAnsiTheme="minorHAnsi" w:cstheme="minorHAnsi"/>
        </w:rPr>
      </w:pPr>
      <w:r>
        <w:rPr>
          <w:rStyle w:val="FootnoteReference"/>
        </w:rPr>
        <w:footnoteRef/>
      </w:r>
      <w:r>
        <w:t xml:space="preserve"> </w:t>
      </w:r>
      <w:r w:rsidRPr="00811172">
        <w:rPr>
          <w:rFonts w:asciiTheme="minorHAnsi" w:hAnsiTheme="minorHAnsi" w:cstheme="minorHAnsi"/>
        </w:rPr>
        <w:t>Lewis JA (201</w:t>
      </w:r>
      <w:r>
        <w:rPr>
          <w:rFonts w:asciiTheme="minorHAnsi" w:hAnsiTheme="minorHAnsi" w:cstheme="minorHAnsi"/>
        </w:rPr>
        <w:t>9</w:t>
      </w:r>
      <w:r w:rsidRPr="00811172">
        <w:rPr>
          <w:rFonts w:asciiTheme="minorHAnsi" w:hAnsiTheme="minorHAnsi" w:cstheme="minorHAnsi"/>
        </w:rPr>
        <w:t>),</w:t>
      </w:r>
      <w:r>
        <w:rPr>
          <w:rFonts w:asciiTheme="minorHAnsi" w:hAnsiTheme="minorHAnsi" w:cstheme="minorHAnsi"/>
        </w:rPr>
        <w:t xml:space="preserve"> In-Water Hull Cleaning </w:t>
      </w:r>
      <w:r w:rsidRPr="00811172">
        <w:rPr>
          <w:rFonts w:asciiTheme="minorHAnsi" w:hAnsiTheme="minorHAnsi" w:cstheme="minorHAnsi"/>
        </w:rPr>
        <w:t>Trial</w:t>
      </w:r>
      <w:r>
        <w:rPr>
          <w:rFonts w:asciiTheme="minorHAnsi" w:hAnsiTheme="minorHAnsi" w:cstheme="minorHAnsi"/>
        </w:rPr>
        <w:t>: Sydney, February 2019: Water Quality Monitoring of Discharges</w:t>
      </w:r>
      <w:r w:rsidRPr="00811172">
        <w:rPr>
          <w:rFonts w:asciiTheme="minorHAnsi" w:hAnsiTheme="minorHAnsi" w:cstheme="minorHAnsi"/>
        </w:rPr>
        <w:t xml:space="preserve">. Report prepared for </w:t>
      </w:r>
      <w:r>
        <w:rPr>
          <w:rFonts w:asciiTheme="minorHAnsi" w:hAnsiTheme="minorHAnsi" w:cstheme="minorHAnsi"/>
        </w:rPr>
        <w:t>CleanSubSea, Henderson, WA</w:t>
      </w:r>
      <w:r w:rsidRPr="00811172">
        <w:rPr>
          <w:rFonts w:asciiTheme="minorHAnsi" w:hAnsiTheme="minorHAnsi" w:cstheme="minorHAnsi"/>
        </w:rPr>
        <w:t>. ES Link Services Pty Ltd.</w:t>
      </w:r>
    </w:p>
    <w:p w14:paraId="303CD2BD" w14:textId="77777777" w:rsidR="00F56B54" w:rsidRDefault="00F56B54" w:rsidP="00DE21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83FD2" w14:textId="77777777" w:rsidR="00F56B54" w:rsidRPr="003B0B2B" w:rsidRDefault="00F56B54" w:rsidP="003B0B2B">
    <w:pPr>
      <w:pStyle w:val="Header"/>
    </w:pPr>
    <w:r>
      <w:t>Chemical Contaminant Risks Associated with In-Water Cleaning of Vessels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60CD5" w14:textId="77777777" w:rsidR="00F56B54" w:rsidRDefault="00F56B54" w:rsidP="001F288E">
    <w:pPr>
      <w:pStyle w:val="Header"/>
      <w:jc w:val="left"/>
    </w:pPr>
    <w:r>
      <w:rPr>
        <w:noProof/>
        <w:lang w:eastAsia="en-AU"/>
      </w:rPr>
      <w:drawing>
        <wp:inline distT="0" distB="0" distL="0" distR="0" wp14:anchorId="7B935A32" wp14:editId="5EF83802">
          <wp:extent cx="2417064" cy="725424"/>
          <wp:effectExtent l="0" t="0" r="2540" b="0"/>
          <wp:docPr id="5" name="Picture 5" descr="Australian Government Department of Agriculture, Water and th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38305"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599AC" w14:textId="77777777" w:rsidR="00F56B54" w:rsidRDefault="00F56B54">
    <w:pPr>
      <w:pStyle w:val="Header"/>
    </w:pPr>
    <w:r>
      <w:t>Contaminant Risks Associated with In-Water Cleaning of Vessel Hulls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DE4FE" w14:textId="77777777" w:rsidR="00F56B54" w:rsidRDefault="00F56B54" w:rsidP="00F31FB6">
    <w:pPr>
      <w:pStyle w:val="Header"/>
    </w:pPr>
    <w:r>
      <w:rPr>
        <w:noProof/>
        <w:lang w:eastAsia="en-AU"/>
      </w:rPr>
      <w:drawing>
        <wp:inline distT="0" distB="0" distL="0" distR="0" wp14:anchorId="73898AB3" wp14:editId="7E9AFD65">
          <wp:extent cx="2123264" cy="63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t xml:space="preserve">                           </w:t>
    </w:r>
    <w:r>
      <w:rPr>
        <w:noProof/>
        <w:lang w:eastAsia="en-AU"/>
      </w:rPr>
      <w:drawing>
        <wp:inline distT="0" distB="0" distL="0" distR="0" wp14:anchorId="1AF7FC03" wp14:editId="368BBD5B">
          <wp:extent cx="2109271" cy="547960"/>
          <wp:effectExtent l="0" t="0" r="5715" b="508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8438" name="ESLinkServices_300dpi.jpg"/>
                  <pic:cNvPicPr/>
                </pic:nvPicPr>
                <pic:blipFill>
                  <a:blip r:embed="rId2">
                    <a:extLst>
                      <a:ext uri="{28A0092B-C50C-407E-A947-70E740481C1C}">
                        <a14:useLocalDpi xmlns:a14="http://schemas.microsoft.com/office/drawing/2010/main" val="0"/>
                      </a:ext>
                    </a:extLst>
                  </a:blip>
                  <a:stretch>
                    <a:fillRect/>
                  </a:stretch>
                </pic:blipFill>
                <pic:spPr>
                  <a:xfrm>
                    <a:off x="0" y="0"/>
                    <a:ext cx="2154071" cy="5595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9A2828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4D6FD10"/>
    <w:lvl w:ilvl="0">
      <w:start w:val="1"/>
      <w:numFmt w:val="decimal"/>
      <w:lvlText w:val="%1."/>
      <w:lvlJc w:val="left"/>
      <w:pPr>
        <w:tabs>
          <w:tab w:val="num" w:pos="360"/>
        </w:tabs>
        <w:ind w:left="360" w:hanging="360"/>
      </w:pPr>
    </w:lvl>
  </w:abstractNum>
  <w:abstractNum w:abstractNumId="2" w15:restartNumberingAfterBreak="0">
    <w:nsid w:val="0685562F"/>
    <w:multiLevelType w:val="hybridMultilevel"/>
    <w:tmpl w:val="169CC2A6"/>
    <w:lvl w:ilvl="0" w:tplc="1E4CD122">
      <w:start w:val="1"/>
      <w:numFmt w:val="bullet"/>
      <w:lvlText w:val=""/>
      <w:lvlJc w:val="left"/>
      <w:pPr>
        <w:ind w:left="720" w:hanging="360"/>
      </w:pPr>
      <w:rPr>
        <w:rFonts w:ascii="Symbol" w:hAnsi="Symbol" w:cs="Symbol" w:hint="default"/>
      </w:rPr>
    </w:lvl>
    <w:lvl w:ilvl="1" w:tplc="9196B222" w:tentative="1">
      <w:start w:val="1"/>
      <w:numFmt w:val="bullet"/>
      <w:lvlText w:val="o"/>
      <w:lvlJc w:val="left"/>
      <w:pPr>
        <w:ind w:left="1440" w:hanging="360"/>
      </w:pPr>
      <w:rPr>
        <w:rFonts w:ascii="Courier New" w:hAnsi="Courier New" w:cs="Courier New" w:hint="default"/>
      </w:rPr>
    </w:lvl>
    <w:lvl w:ilvl="2" w:tplc="443ABAD8" w:tentative="1">
      <w:start w:val="1"/>
      <w:numFmt w:val="bullet"/>
      <w:lvlText w:val=""/>
      <w:lvlJc w:val="left"/>
      <w:pPr>
        <w:ind w:left="2160" w:hanging="360"/>
      </w:pPr>
      <w:rPr>
        <w:rFonts w:ascii="Wingdings" w:hAnsi="Wingdings" w:cs="Wingdings" w:hint="default"/>
      </w:rPr>
    </w:lvl>
    <w:lvl w:ilvl="3" w:tplc="A1105FAA" w:tentative="1">
      <w:start w:val="1"/>
      <w:numFmt w:val="bullet"/>
      <w:lvlText w:val=""/>
      <w:lvlJc w:val="left"/>
      <w:pPr>
        <w:ind w:left="2880" w:hanging="360"/>
      </w:pPr>
      <w:rPr>
        <w:rFonts w:ascii="Symbol" w:hAnsi="Symbol" w:cs="Symbol" w:hint="default"/>
      </w:rPr>
    </w:lvl>
    <w:lvl w:ilvl="4" w:tplc="80C6C1A6" w:tentative="1">
      <w:start w:val="1"/>
      <w:numFmt w:val="bullet"/>
      <w:lvlText w:val="o"/>
      <w:lvlJc w:val="left"/>
      <w:pPr>
        <w:ind w:left="3600" w:hanging="360"/>
      </w:pPr>
      <w:rPr>
        <w:rFonts w:ascii="Courier New" w:hAnsi="Courier New" w:cs="Courier New" w:hint="default"/>
      </w:rPr>
    </w:lvl>
    <w:lvl w:ilvl="5" w:tplc="B88C4EDA" w:tentative="1">
      <w:start w:val="1"/>
      <w:numFmt w:val="bullet"/>
      <w:lvlText w:val=""/>
      <w:lvlJc w:val="left"/>
      <w:pPr>
        <w:ind w:left="4320" w:hanging="360"/>
      </w:pPr>
      <w:rPr>
        <w:rFonts w:ascii="Wingdings" w:hAnsi="Wingdings" w:cs="Wingdings" w:hint="default"/>
      </w:rPr>
    </w:lvl>
    <w:lvl w:ilvl="6" w:tplc="8446D7A2" w:tentative="1">
      <w:start w:val="1"/>
      <w:numFmt w:val="bullet"/>
      <w:lvlText w:val=""/>
      <w:lvlJc w:val="left"/>
      <w:pPr>
        <w:ind w:left="5040" w:hanging="360"/>
      </w:pPr>
      <w:rPr>
        <w:rFonts w:ascii="Symbol" w:hAnsi="Symbol" w:cs="Symbol" w:hint="default"/>
      </w:rPr>
    </w:lvl>
    <w:lvl w:ilvl="7" w:tplc="05305B3E" w:tentative="1">
      <w:start w:val="1"/>
      <w:numFmt w:val="bullet"/>
      <w:lvlText w:val="o"/>
      <w:lvlJc w:val="left"/>
      <w:pPr>
        <w:ind w:left="5760" w:hanging="360"/>
      </w:pPr>
      <w:rPr>
        <w:rFonts w:ascii="Courier New" w:hAnsi="Courier New" w:cs="Courier New" w:hint="default"/>
      </w:rPr>
    </w:lvl>
    <w:lvl w:ilvl="8" w:tplc="D01C5B50" w:tentative="1">
      <w:start w:val="1"/>
      <w:numFmt w:val="bullet"/>
      <w:lvlText w:val=""/>
      <w:lvlJc w:val="left"/>
      <w:pPr>
        <w:ind w:left="6480" w:hanging="360"/>
      </w:pPr>
      <w:rPr>
        <w:rFonts w:ascii="Wingdings" w:hAnsi="Wingdings" w:cs="Wingdings" w:hint="default"/>
      </w:rPr>
    </w:lvl>
  </w:abstractNum>
  <w:abstractNum w:abstractNumId="3" w15:restartNumberingAfterBreak="0">
    <w:nsid w:val="0AFC18F4"/>
    <w:multiLevelType w:val="hybridMultilevel"/>
    <w:tmpl w:val="809C5ED8"/>
    <w:lvl w:ilvl="0" w:tplc="6EE6D524">
      <w:start w:val="3"/>
      <w:numFmt w:val="bullet"/>
      <w:lvlText w:val="-"/>
      <w:lvlJc w:val="left"/>
      <w:pPr>
        <w:ind w:left="786" w:hanging="360"/>
      </w:pPr>
      <w:rPr>
        <w:rFonts w:ascii="Cambria" w:eastAsiaTheme="minorHAnsi" w:hAnsi="Cambria" w:cstheme="minorBidi" w:hint="default"/>
      </w:rPr>
    </w:lvl>
    <w:lvl w:ilvl="1" w:tplc="4C2495E6" w:tentative="1">
      <w:start w:val="1"/>
      <w:numFmt w:val="bullet"/>
      <w:lvlText w:val="o"/>
      <w:lvlJc w:val="left"/>
      <w:pPr>
        <w:ind w:left="1506" w:hanging="360"/>
      </w:pPr>
      <w:rPr>
        <w:rFonts w:ascii="Courier New" w:hAnsi="Courier New" w:cs="Courier New" w:hint="default"/>
      </w:rPr>
    </w:lvl>
    <w:lvl w:ilvl="2" w:tplc="153C094A" w:tentative="1">
      <w:start w:val="1"/>
      <w:numFmt w:val="bullet"/>
      <w:lvlText w:val=""/>
      <w:lvlJc w:val="left"/>
      <w:pPr>
        <w:ind w:left="2226" w:hanging="360"/>
      </w:pPr>
      <w:rPr>
        <w:rFonts w:ascii="Wingdings" w:hAnsi="Wingdings" w:hint="default"/>
      </w:rPr>
    </w:lvl>
    <w:lvl w:ilvl="3" w:tplc="BB9AAE30" w:tentative="1">
      <w:start w:val="1"/>
      <w:numFmt w:val="bullet"/>
      <w:lvlText w:val=""/>
      <w:lvlJc w:val="left"/>
      <w:pPr>
        <w:ind w:left="2946" w:hanging="360"/>
      </w:pPr>
      <w:rPr>
        <w:rFonts w:ascii="Symbol" w:hAnsi="Symbol" w:hint="default"/>
      </w:rPr>
    </w:lvl>
    <w:lvl w:ilvl="4" w:tplc="F1F84E38" w:tentative="1">
      <w:start w:val="1"/>
      <w:numFmt w:val="bullet"/>
      <w:lvlText w:val="o"/>
      <w:lvlJc w:val="left"/>
      <w:pPr>
        <w:ind w:left="3666" w:hanging="360"/>
      </w:pPr>
      <w:rPr>
        <w:rFonts w:ascii="Courier New" w:hAnsi="Courier New" w:cs="Courier New" w:hint="default"/>
      </w:rPr>
    </w:lvl>
    <w:lvl w:ilvl="5" w:tplc="3190DB78" w:tentative="1">
      <w:start w:val="1"/>
      <w:numFmt w:val="bullet"/>
      <w:lvlText w:val=""/>
      <w:lvlJc w:val="left"/>
      <w:pPr>
        <w:ind w:left="4386" w:hanging="360"/>
      </w:pPr>
      <w:rPr>
        <w:rFonts w:ascii="Wingdings" w:hAnsi="Wingdings" w:hint="default"/>
      </w:rPr>
    </w:lvl>
    <w:lvl w:ilvl="6" w:tplc="0694B9CC" w:tentative="1">
      <w:start w:val="1"/>
      <w:numFmt w:val="bullet"/>
      <w:lvlText w:val=""/>
      <w:lvlJc w:val="left"/>
      <w:pPr>
        <w:ind w:left="5106" w:hanging="360"/>
      </w:pPr>
      <w:rPr>
        <w:rFonts w:ascii="Symbol" w:hAnsi="Symbol" w:hint="default"/>
      </w:rPr>
    </w:lvl>
    <w:lvl w:ilvl="7" w:tplc="6B6ED012" w:tentative="1">
      <w:start w:val="1"/>
      <w:numFmt w:val="bullet"/>
      <w:lvlText w:val="o"/>
      <w:lvlJc w:val="left"/>
      <w:pPr>
        <w:ind w:left="5826" w:hanging="360"/>
      </w:pPr>
      <w:rPr>
        <w:rFonts w:ascii="Courier New" w:hAnsi="Courier New" w:cs="Courier New" w:hint="default"/>
      </w:rPr>
    </w:lvl>
    <w:lvl w:ilvl="8" w:tplc="B76A13FE" w:tentative="1">
      <w:start w:val="1"/>
      <w:numFmt w:val="bullet"/>
      <w:lvlText w:val=""/>
      <w:lvlJc w:val="left"/>
      <w:pPr>
        <w:ind w:left="6546" w:hanging="360"/>
      </w:pPr>
      <w:rPr>
        <w:rFonts w:ascii="Wingdings" w:hAnsi="Wingdings" w:hint="default"/>
      </w:rPr>
    </w:lvl>
  </w:abstractNum>
  <w:abstractNum w:abstractNumId="4" w15:restartNumberingAfterBreak="0">
    <w:nsid w:val="12056DAA"/>
    <w:multiLevelType w:val="hybridMultilevel"/>
    <w:tmpl w:val="C5CCCECC"/>
    <w:lvl w:ilvl="0" w:tplc="C7A809F0">
      <w:start w:val="1"/>
      <w:numFmt w:val="bullet"/>
      <w:pStyle w:val="TableBullet2"/>
      <w:lvlText w:val=""/>
      <w:lvlJc w:val="left"/>
      <w:pPr>
        <w:ind w:left="1004" w:hanging="360"/>
      </w:pPr>
      <w:rPr>
        <w:rFonts w:ascii="Symbol" w:hAnsi="Symbol" w:hint="default"/>
      </w:rPr>
    </w:lvl>
    <w:lvl w:ilvl="1" w:tplc="928EB506" w:tentative="1">
      <w:start w:val="1"/>
      <w:numFmt w:val="bullet"/>
      <w:lvlText w:val="o"/>
      <w:lvlJc w:val="left"/>
      <w:pPr>
        <w:ind w:left="1724" w:hanging="360"/>
      </w:pPr>
      <w:rPr>
        <w:rFonts w:ascii="Courier New" w:hAnsi="Courier New" w:cs="Courier New" w:hint="default"/>
      </w:rPr>
    </w:lvl>
    <w:lvl w:ilvl="2" w:tplc="3BD029B0" w:tentative="1">
      <w:start w:val="1"/>
      <w:numFmt w:val="bullet"/>
      <w:lvlText w:val=""/>
      <w:lvlJc w:val="left"/>
      <w:pPr>
        <w:ind w:left="2444" w:hanging="360"/>
      </w:pPr>
      <w:rPr>
        <w:rFonts w:ascii="Wingdings" w:hAnsi="Wingdings" w:hint="default"/>
      </w:rPr>
    </w:lvl>
    <w:lvl w:ilvl="3" w:tplc="B9B4A694" w:tentative="1">
      <w:start w:val="1"/>
      <w:numFmt w:val="bullet"/>
      <w:lvlText w:val=""/>
      <w:lvlJc w:val="left"/>
      <w:pPr>
        <w:ind w:left="3164" w:hanging="360"/>
      </w:pPr>
      <w:rPr>
        <w:rFonts w:ascii="Symbol" w:hAnsi="Symbol" w:hint="default"/>
      </w:rPr>
    </w:lvl>
    <w:lvl w:ilvl="4" w:tplc="1EA06A5E" w:tentative="1">
      <w:start w:val="1"/>
      <w:numFmt w:val="bullet"/>
      <w:lvlText w:val="o"/>
      <w:lvlJc w:val="left"/>
      <w:pPr>
        <w:ind w:left="3884" w:hanging="360"/>
      </w:pPr>
      <w:rPr>
        <w:rFonts w:ascii="Courier New" w:hAnsi="Courier New" w:cs="Courier New" w:hint="default"/>
      </w:rPr>
    </w:lvl>
    <w:lvl w:ilvl="5" w:tplc="38D25C62" w:tentative="1">
      <w:start w:val="1"/>
      <w:numFmt w:val="bullet"/>
      <w:lvlText w:val=""/>
      <w:lvlJc w:val="left"/>
      <w:pPr>
        <w:ind w:left="4604" w:hanging="360"/>
      </w:pPr>
      <w:rPr>
        <w:rFonts w:ascii="Wingdings" w:hAnsi="Wingdings" w:hint="default"/>
      </w:rPr>
    </w:lvl>
    <w:lvl w:ilvl="6" w:tplc="6E9237F2" w:tentative="1">
      <w:start w:val="1"/>
      <w:numFmt w:val="bullet"/>
      <w:lvlText w:val=""/>
      <w:lvlJc w:val="left"/>
      <w:pPr>
        <w:ind w:left="5324" w:hanging="360"/>
      </w:pPr>
      <w:rPr>
        <w:rFonts w:ascii="Symbol" w:hAnsi="Symbol" w:hint="default"/>
      </w:rPr>
    </w:lvl>
    <w:lvl w:ilvl="7" w:tplc="B602DE00" w:tentative="1">
      <w:start w:val="1"/>
      <w:numFmt w:val="bullet"/>
      <w:lvlText w:val="o"/>
      <w:lvlJc w:val="left"/>
      <w:pPr>
        <w:ind w:left="6044" w:hanging="360"/>
      </w:pPr>
      <w:rPr>
        <w:rFonts w:ascii="Courier New" w:hAnsi="Courier New" w:cs="Courier New" w:hint="default"/>
      </w:rPr>
    </w:lvl>
    <w:lvl w:ilvl="8" w:tplc="36C0F27A" w:tentative="1">
      <w:start w:val="1"/>
      <w:numFmt w:val="bullet"/>
      <w:lvlText w:val=""/>
      <w:lvlJc w:val="left"/>
      <w:pPr>
        <w:ind w:left="6764" w:hanging="360"/>
      </w:pPr>
      <w:rPr>
        <w:rFonts w:ascii="Wingdings" w:hAnsi="Wingdings" w:hint="default"/>
      </w:rPr>
    </w:lvl>
  </w:abstractNum>
  <w:abstractNum w:abstractNumId="5" w15:restartNumberingAfterBreak="0">
    <w:nsid w:val="13195C52"/>
    <w:multiLevelType w:val="hybridMultilevel"/>
    <w:tmpl w:val="01E4BF8C"/>
    <w:lvl w:ilvl="0" w:tplc="CB0C10F4">
      <w:start w:val="3"/>
      <w:numFmt w:val="bullet"/>
      <w:lvlText w:val="-"/>
      <w:lvlJc w:val="left"/>
      <w:pPr>
        <w:ind w:left="785" w:hanging="360"/>
      </w:pPr>
      <w:rPr>
        <w:rFonts w:ascii="Cambria" w:eastAsiaTheme="minorHAnsi" w:hAnsi="Cambria" w:cstheme="minorBidi" w:hint="default"/>
      </w:rPr>
    </w:lvl>
    <w:lvl w:ilvl="1" w:tplc="C362FE62" w:tentative="1">
      <w:start w:val="1"/>
      <w:numFmt w:val="bullet"/>
      <w:lvlText w:val="o"/>
      <w:lvlJc w:val="left"/>
      <w:pPr>
        <w:ind w:left="1440" w:hanging="360"/>
      </w:pPr>
      <w:rPr>
        <w:rFonts w:ascii="Courier New" w:hAnsi="Courier New" w:cs="Courier New" w:hint="default"/>
      </w:rPr>
    </w:lvl>
    <w:lvl w:ilvl="2" w:tplc="AC0CE0E2" w:tentative="1">
      <w:start w:val="1"/>
      <w:numFmt w:val="bullet"/>
      <w:lvlText w:val=""/>
      <w:lvlJc w:val="left"/>
      <w:pPr>
        <w:ind w:left="2160" w:hanging="360"/>
      </w:pPr>
      <w:rPr>
        <w:rFonts w:ascii="Wingdings" w:hAnsi="Wingdings" w:cs="Wingdings" w:hint="default"/>
      </w:rPr>
    </w:lvl>
    <w:lvl w:ilvl="3" w:tplc="DD8CF8D8" w:tentative="1">
      <w:start w:val="1"/>
      <w:numFmt w:val="bullet"/>
      <w:lvlText w:val=""/>
      <w:lvlJc w:val="left"/>
      <w:pPr>
        <w:ind w:left="2880" w:hanging="360"/>
      </w:pPr>
      <w:rPr>
        <w:rFonts w:ascii="Symbol" w:hAnsi="Symbol" w:cs="Symbol" w:hint="default"/>
      </w:rPr>
    </w:lvl>
    <w:lvl w:ilvl="4" w:tplc="247E7A8A" w:tentative="1">
      <w:start w:val="1"/>
      <w:numFmt w:val="bullet"/>
      <w:lvlText w:val="o"/>
      <w:lvlJc w:val="left"/>
      <w:pPr>
        <w:ind w:left="3600" w:hanging="360"/>
      </w:pPr>
      <w:rPr>
        <w:rFonts w:ascii="Courier New" w:hAnsi="Courier New" w:cs="Courier New" w:hint="default"/>
      </w:rPr>
    </w:lvl>
    <w:lvl w:ilvl="5" w:tplc="9B244D9A" w:tentative="1">
      <w:start w:val="1"/>
      <w:numFmt w:val="bullet"/>
      <w:lvlText w:val=""/>
      <w:lvlJc w:val="left"/>
      <w:pPr>
        <w:ind w:left="4320" w:hanging="360"/>
      </w:pPr>
      <w:rPr>
        <w:rFonts w:ascii="Wingdings" w:hAnsi="Wingdings" w:cs="Wingdings" w:hint="default"/>
      </w:rPr>
    </w:lvl>
    <w:lvl w:ilvl="6" w:tplc="93444416" w:tentative="1">
      <w:start w:val="1"/>
      <w:numFmt w:val="bullet"/>
      <w:lvlText w:val=""/>
      <w:lvlJc w:val="left"/>
      <w:pPr>
        <w:ind w:left="5040" w:hanging="360"/>
      </w:pPr>
      <w:rPr>
        <w:rFonts w:ascii="Symbol" w:hAnsi="Symbol" w:cs="Symbol" w:hint="default"/>
      </w:rPr>
    </w:lvl>
    <w:lvl w:ilvl="7" w:tplc="7402FF1E" w:tentative="1">
      <w:start w:val="1"/>
      <w:numFmt w:val="bullet"/>
      <w:lvlText w:val="o"/>
      <w:lvlJc w:val="left"/>
      <w:pPr>
        <w:ind w:left="5760" w:hanging="360"/>
      </w:pPr>
      <w:rPr>
        <w:rFonts w:ascii="Courier New" w:hAnsi="Courier New" w:cs="Courier New" w:hint="default"/>
      </w:rPr>
    </w:lvl>
    <w:lvl w:ilvl="8" w:tplc="B708440E" w:tentative="1">
      <w:start w:val="1"/>
      <w:numFmt w:val="bullet"/>
      <w:lvlText w:val=""/>
      <w:lvlJc w:val="left"/>
      <w:pPr>
        <w:ind w:left="6480" w:hanging="360"/>
      </w:pPr>
      <w:rPr>
        <w:rFonts w:ascii="Wingdings" w:hAnsi="Wingdings" w:cs="Wingdings" w:hint="default"/>
      </w:rPr>
    </w:lvl>
  </w:abstractNum>
  <w:abstractNum w:abstractNumId="6" w15:restartNumberingAfterBreak="0">
    <w:nsid w:val="163117B2"/>
    <w:multiLevelType w:val="hybridMultilevel"/>
    <w:tmpl w:val="63AA1120"/>
    <w:lvl w:ilvl="0" w:tplc="A0D0F586">
      <w:start w:val="1"/>
      <w:numFmt w:val="bullet"/>
      <w:lvlText w:val=""/>
      <w:lvlJc w:val="left"/>
      <w:pPr>
        <w:ind w:left="785" w:hanging="360"/>
      </w:pPr>
      <w:rPr>
        <w:rFonts w:ascii="Symbol" w:hAnsi="Symbol" w:hint="default"/>
      </w:rPr>
    </w:lvl>
    <w:lvl w:ilvl="1" w:tplc="A9B8A02E" w:tentative="1">
      <w:start w:val="1"/>
      <w:numFmt w:val="bullet"/>
      <w:lvlText w:val="o"/>
      <w:lvlJc w:val="left"/>
      <w:pPr>
        <w:ind w:left="1505" w:hanging="360"/>
      </w:pPr>
      <w:rPr>
        <w:rFonts w:ascii="Courier New" w:hAnsi="Courier New" w:cs="Courier New" w:hint="default"/>
      </w:rPr>
    </w:lvl>
    <w:lvl w:ilvl="2" w:tplc="7842E9DA" w:tentative="1">
      <w:start w:val="1"/>
      <w:numFmt w:val="bullet"/>
      <w:lvlText w:val=""/>
      <w:lvlJc w:val="left"/>
      <w:pPr>
        <w:ind w:left="2225" w:hanging="360"/>
      </w:pPr>
      <w:rPr>
        <w:rFonts w:ascii="Wingdings" w:hAnsi="Wingdings" w:hint="default"/>
      </w:rPr>
    </w:lvl>
    <w:lvl w:ilvl="3" w:tplc="D54ECA3A" w:tentative="1">
      <w:start w:val="1"/>
      <w:numFmt w:val="bullet"/>
      <w:lvlText w:val=""/>
      <w:lvlJc w:val="left"/>
      <w:pPr>
        <w:ind w:left="2945" w:hanging="360"/>
      </w:pPr>
      <w:rPr>
        <w:rFonts w:ascii="Symbol" w:hAnsi="Symbol" w:hint="default"/>
      </w:rPr>
    </w:lvl>
    <w:lvl w:ilvl="4" w:tplc="9A1A794E" w:tentative="1">
      <w:start w:val="1"/>
      <w:numFmt w:val="bullet"/>
      <w:lvlText w:val="o"/>
      <w:lvlJc w:val="left"/>
      <w:pPr>
        <w:ind w:left="3665" w:hanging="360"/>
      </w:pPr>
      <w:rPr>
        <w:rFonts w:ascii="Courier New" w:hAnsi="Courier New" w:cs="Courier New" w:hint="default"/>
      </w:rPr>
    </w:lvl>
    <w:lvl w:ilvl="5" w:tplc="134E1686" w:tentative="1">
      <w:start w:val="1"/>
      <w:numFmt w:val="bullet"/>
      <w:lvlText w:val=""/>
      <w:lvlJc w:val="left"/>
      <w:pPr>
        <w:ind w:left="4385" w:hanging="360"/>
      </w:pPr>
      <w:rPr>
        <w:rFonts w:ascii="Wingdings" w:hAnsi="Wingdings" w:hint="default"/>
      </w:rPr>
    </w:lvl>
    <w:lvl w:ilvl="6" w:tplc="5C0EE102" w:tentative="1">
      <w:start w:val="1"/>
      <w:numFmt w:val="bullet"/>
      <w:lvlText w:val=""/>
      <w:lvlJc w:val="left"/>
      <w:pPr>
        <w:ind w:left="5105" w:hanging="360"/>
      </w:pPr>
      <w:rPr>
        <w:rFonts w:ascii="Symbol" w:hAnsi="Symbol" w:hint="default"/>
      </w:rPr>
    </w:lvl>
    <w:lvl w:ilvl="7" w:tplc="A7E47D5A" w:tentative="1">
      <w:start w:val="1"/>
      <w:numFmt w:val="bullet"/>
      <w:lvlText w:val="o"/>
      <w:lvlJc w:val="left"/>
      <w:pPr>
        <w:ind w:left="5825" w:hanging="360"/>
      </w:pPr>
      <w:rPr>
        <w:rFonts w:ascii="Courier New" w:hAnsi="Courier New" w:cs="Courier New" w:hint="default"/>
      </w:rPr>
    </w:lvl>
    <w:lvl w:ilvl="8" w:tplc="7638CB32" w:tentative="1">
      <w:start w:val="1"/>
      <w:numFmt w:val="bullet"/>
      <w:lvlText w:val=""/>
      <w:lvlJc w:val="left"/>
      <w:pPr>
        <w:ind w:left="6545" w:hanging="360"/>
      </w:pPr>
      <w:rPr>
        <w:rFonts w:ascii="Wingdings" w:hAnsi="Wingdings" w:hint="default"/>
      </w:rPr>
    </w:lvl>
  </w:abstractNum>
  <w:abstractNum w:abstractNumId="7" w15:restartNumberingAfterBreak="0">
    <w:nsid w:val="16840D93"/>
    <w:multiLevelType w:val="hybridMultilevel"/>
    <w:tmpl w:val="C0FAA8BC"/>
    <w:lvl w:ilvl="0" w:tplc="0F163CB0">
      <w:start w:val="1"/>
      <w:numFmt w:val="bullet"/>
      <w:lvlText w:val=""/>
      <w:lvlJc w:val="left"/>
      <w:pPr>
        <w:ind w:left="720" w:hanging="360"/>
      </w:pPr>
      <w:rPr>
        <w:rFonts w:ascii="Symbol" w:hAnsi="Symbol" w:hint="default"/>
      </w:rPr>
    </w:lvl>
    <w:lvl w:ilvl="1" w:tplc="B810DFD0" w:tentative="1">
      <w:start w:val="1"/>
      <w:numFmt w:val="bullet"/>
      <w:lvlText w:val="o"/>
      <w:lvlJc w:val="left"/>
      <w:pPr>
        <w:ind w:left="1440" w:hanging="360"/>
      </w:pPr>
      <w:rPr>
        <w:rFonts w:ascii="Courier New" w:hAnsi="Courier New" w:cs="Courier New" w:hint="default"/>
      </w:rPr>
    </w:lvl>
    <w:lvl w:ilvl="2" w:tplc="E1680282" w:tentative="1">
      <w:start w:val="1"/>
      <w:numFmt w:val="bullet"/>
      <w:lvlText w:val=""/>
      <w:lvlJc w:val="left"/>
      <w:pPr>
        <w:ind w:left="2160" w:hanging="360"/>
      </w:pPr>
      <w:rPr>
        <w:rFonts w:ascii="Wingdings" w:hAnsi="Wingdings" w:hint="default"/>
      </w:rPr>
    </w:lvl>
    <w:lvl w:ilvl="3" w:tplc="6E0672BE" w:tentative="1">
      <w:start w:val="1"/>
      <w:numFmt w:val="bullet"/>
      <w:lvlText w:val=""/>
      <w:lvlJc w:val="left"/>
      <w:pPr>
        <w:ind w:left="2880" w:hanging="360"/>
      </w:pPr>
      <w:rPr>
        <w:rFonts w:ascii="Symbol" w:hAnsi="Symbol" w:hint="default"/>
      </w:rPr>
    </w:lvl>
    <w:lvl w:ilvl="4" w:tplc="3D86C822" w:tentative="1">
      <w:start w:val="1"/>
      <w:numFmt w:val="bullet"/>
      <w:lvlText w:val="o"/>
      <w:lvlJc w:val="left"/>
      <w:pPr>
        <w:ind w:left="3600" w:hanging="360"/>
      </w:pPr>
      <w:rPr>
        <w:rFonts w:ascii="Courier New" w:hAnsi="Courier New" w:cs="Courier New" w:hint="default"/>
      </w:rPr>
    </w:lvl>
    <w:lvl w:ilvl="5" w:tplc="64021644" w:tentative="1">
      <w:start w:val="1"/>
      <w:numFmt w:val="bullet"/>
      <w:lvlText w:val=""/>
      <w:lvlJc w:val="left"/>
      <w:pPr>
        <w:ind w:left="4320" w:hanging="360"/>
      </w:pPr>
      <w:rPr>
        <w:rFonts w:ascii="Wingdings" w:hAnsi="Wingdings" w:hint="default"/>
      </w:rPr>
    </w:lvl>
    <w:lvl w:ilvl="6" w:tplc="85AC8A4E" w:tentative="1">
      <w:start w:val="1"/>
      <w:numFmt w:val="bullet"/>
      <w:lvlText w:val=""/>
      <w:lvlJc w:val="left"/>
      <w:pPr>
        <w:ind w:left="5040" w:hanging="360"/>
      </w:pPr>
      <w:rPr>
        <w:rFonts w:ascii="Symbol" w:hAnsi="Symbol" w:hint="default"/>
      </w:rPr>
    </w:lvl>
    <w:lvl w:ilvl="7" w:tplc="37343F22" w:tentative="1">
      <w:start w:val="1"/>
      <w:numFmt w:val="bullet"/>
      <w:lvlText w:val="o"/>
      <w:lvlJc w:val="left"/>
      <w:pPr>
        <w:ind w:left="5760" w:hanging="360"/>
      </w:pPr>
      <w:rPr>
        <w:rFonts w:ascii="Courier New" w:hAnsi="Courier New" w:cs="Courier New" w:hint="default"/>
      </w:rPr>
    </w:lvl>
    <w:lvl w:ilvl="8" w:tplc="64D0EF7A"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733A18C6">
      <w:start w:val="1"/>
      <w:numFmt w:val="bullet"/>
      <w:pStyle w:val="TableBullet1"/>
      <w:lvlText w:val=""/>
      <w:lvlJc w:val="left"/>
      <w:pPr>
        <w:ind w:left="720" w:hanging="360"/>
      </w:pPr>
      <w:rPr>
        <w:rFonts w:ascii="Symbol" w:hAnsi="Symbol" w:hint="default"/>
      </w:rPr>
    </w:lvl>
    <w:lvl w:ilvl="1" w:tplc="AACCD930" w:tentative="1">
      <w:start w:val="1"/>
      <w:numFmt w:val="bullet"/>
      <w:lvlText w:val="o"/>
      <w:lvlJc w:val="left"/>
      <w:pPr>
        <w:ind w:left="1440" w:hanging="360"/>
      </w:pPr>
      <w:rPr>
        <w:rFonts w:ascii="Courier New" w:hAnsi="Courier New" w:cs="Courier New" w:hint="default"/>
      </w:rPr>
    </w:lvl>
    <w:lvl w:ilvl="2" w:tplc="ADB68D3E" w:tentative="1">
      <w:start w:val="1"/>
      <w:numFmt w:val="bullet"/>
      <w:lvlText w:val=""/>
      <w:lvlJc w:val="left"/>
      <w:pPr>
        <w:ind w:left="2160" w:hanging="360"/>
      </w:pPr>
      <w:rPr>
        <w:rFonts w:ascii="Wingdings" w:hAnsi="Wingdings" w:hint="default"/>
      </w:rPr>
    </w:lvl>
    <w:lvl w:ilvl="3" w:tplc="033A189E" w:tentative="1">
      <w:start w:val="1"/>
      <w:numFmt w:val="bullet"/>
      <w:lvlText w:val=""/>
      <w:lvlJc w:val="left"/>
      <w:pPr>
        <w:ind w:left="2880" w:hanging="360"/>
      </w:pPr>
      <w:rPr>
        <w:rFonts w:ascii="Symbol" w:hAnsi="Symbol" w:hint="default"/>
      </w:rPr>
    </w:lvl>
    <w:lvl w:ilvl="4" w:tplc="C5003532" w:tentative="1">
      <w:start w:val="1"/>
      <w:numFmt w:val="bullet"/>
      <w:lvlText w:val="o"/>
      <w:lvlJc w:val="left"/>
      <w:pPr>
        <w:ind w:left="3600" w:hanging="360"/>
      </w:pPr>
      <w:rPr>
        <w:rFonts w:ascii="Courier New" w:hAnsi="Courier New" w:cs="Courier New" w:hint="default"/>
      </w:rPr>
    </w:lvl>
    <w:lvl w:ilvl="5" w:tplc="20EC4484" w:tentative="1">
      <w:start w:val="1"/>
      <w:numFmt w:val="bullet"/>
      <w:lvlText w:val=""/>
      <w:lvlJc w:val="left"/>
      <w:pPr>
        <w:ind w:left="4320" w:hanging="360"/>
      </w:pPr>
      <w:rPr>
        <w:rFonts w:ascii="Wingdings" w:hAnsi="Wingdings" w:hint="default"/>
      </w:rPr>
    </w:lvl>
    <w:lvl w:ilvl="6" w:tplc="D878F64E" w:tentative="1">
      <w:start w:val="1"/>
      <w:numFmt w:val="bullet"/>
      <w:lvlText w:val=""/>
      <w:lvlJc w:val="left"/>
      <w:pPr>
        <w:ind w:left="5040" w:hanging="360"/>
      </w:pPr>
      <w:rPr>
        <w:rFonts w:ascii="Symbol" w:hAnsi="Symbol" w:hint="default"/>
      </w:rPr>
    </w:lvl>
    <w:lvl w:ilvl="7" w:tplc="94A4C34A" w:tentative="1">
      <w:start w:val="1"/>
      <w:numFmt w:val="bullet"/>
      <w:lvlText w:val="o"/>
      <w:lvlJc w:val="left"/>
      <w:pPr>
        <w:ind w:left="5760" w:hanging="360"/>
      </w:pPr>
      <w:rPr>
        <w:rFonts w:ascii="Courier New" w:hAnsi="Courier New" w:cs="Courier New" w:hint="default"/>
      </w:rPr>
    </w:lvl>
    <w:lvl w:ilvl="8" w:tplc="645CBDC0"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3E6AD458"/>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AFA61DF"/>
    <w:multiLevelType w:val="hybridMultilevel"/>
    <w:tmpl w:val="E7EAA104"/>
    <w:lvl w:ilvl="0" w:tplc="C90C68DC">
      <w:start w:val="1"/>
      <w:numFmt w:val="bullet"/>
      <w:lvlText w:val=""/>
      <w:lvlJc w:val="left"/>
      <w:pPr>
        <w:ind w:left="1485" w:hanging="360"/>
      </w:pPr>
      <w:rPr>
        <w:rFonts w:ascii="Symbol" w:hAnsi="Symbol" w:hint="default"/>
      </w:rPr>
    </w:lvl>
    <w:lvl w:ilvl="1" w:tplc="248EAB30" w:tentative="1">
      <w:start w:val="1"/>
      <w:numFmt w:val="bullet"/>
      <w:lvlText w:val="o"/>
      <w:lvlJc w:val="left"/>
      <w:pPr>
        <w:ind w:left="2205" w:hanging="360"/>
      </w:pPr>
      <w:rPr>
        <w:rFonts w:ascii="Courier New" w:hAnsi="Courier New" w:cs="Courier New" w:hint="default"/>
      </w:rPr>
    </w:lvl>
    <w:lvl w:ilvl="2" w:tplc="F0DEFD00" w:tentative="1">
      <w:start w:val="1"/>
      <w:numFmt w:val="bullet"/>
      <w:lvlText w:val=""/>
      <w:lvlJc w:val="left"/>
      <w:pPr>
        <w:ind w:left="2925" w:hanging="360"/>
      </w:pPr>
      <w:rPr>
        <w:rFonts w:ascii="Wingdings" w:hAnsi="Wingdings" w:hint="default"/>
      </w:rPr>
    </w:lvl>
    <w:lvl w:ilvl="3" w:tplc="72D24E2E" w:tentative="1">
      <w:start w:val="1"/>
      <w:numFmt w:val="bullet"/>
      <w:lvlText w:val=""/>
      <w:lvlJc w:val="left"/>
      <w:pPr>
        <w:ind w:left="3645" w:hanging="360"/>
      </w:pPr>
      <w:rPr>
        <w:rFonts w:ascii="Symbol" w:hAnsi="Symbol" w:hint="default"/>
      </w:rPr>
    </w:lvl>
    <w:lvl w:ilvl="4" w:tplc="8E8617C4" w:tentative="1">
      <w:start w:val="1"/>
      <w:numFmt w:val="bullet"/>
      <w:lvlText w:val="o"/>
      <w:lvlJc w:val="left"/>
      <w:pPr>
        <w:ind w:left="4365" w:hanging="360"/>
      </w:pPr>
      <w:rPr>
        <w:rFonts w:ascii="Courier New" w:hAnsi="Courier New" w:cs="Courier New" w:hint="default"/>
      </w:rPr>
    </w:lvl>
    <w:lvl w:ilvl="5" w:tplc="069CEF6C" w:tentative="1">
      <w:start w:val="1"/>
      <w:numFmt w:val="bullet"/>
      <w:lvlText w:val=""/>
      <w:lvlJc w:val="left"/>
      <w:pPr>
        <w:ind w:left="5085" w:hanging="360"/>
      </w:pPr>
      <w:rPr>
        <w:rFonts w:ascii="Wingdings" w:hAnsi="Wingdings" w:hint="default"/>
      </w:rPr>
    </w:lvl>
    <w:lvl w:ilvl="6" w:tplc="B024FB20" w:tentative="1">
      <w:start w:val="1"/>
      <w:numFmt w:val="bullet"/>
      <w:lvlText w:val=""/>
      <w:lvlJc w:val="left"/>
      <w:pPr>
        <w:ind w:left="5805" w:hanging="360"/>
      </w:pPr>
      <w:rPr>
        <w:rFonts w:ascii="Symbol" w:hAnsi="Symbol" w:hint="default"/>
      </w:rPr>
    </w:lvl>
    <w:lvl w:ilvl="7" w:tplc="9DC6545A" w:tentative="1">
      <w:start w:val="1"/>
      <w:numFmt w:val="bullet"/>
      <w:lvlText w:val="o"/>
      <w:lvlJc w:val="left"/>
      <w:pPr>
        <w:ind w:left="6525" w:hanging="360"/>
      </w:pPr>
      <w:rPr>
        <w:rFonts w:ascii="Courier New" w:hAnsi="Courier New" w:cs="Courier New" w:hint="default"/>
      </w:rPr>
    </w:lvl>
    <w:lvl w:ilvl="8" w:tplc="5784F7B6" w:tentative="1">
      <w:start w:val="1"/>
      <w:numFmt w:val="bullet"/>
      <w:lvlText w:val=""/>
      <w:lvlJc w:val="left"/>
      <w:pPr>
        <w:ind w:left="7245" w:hanging="360"/>
      </w:pPr>
      <w:rPr>
        <w:rFonts w:ascii="Wingdings" w:hAnsi="Wingdings" w:hint="default"/>
      </w:rPr>
    </w:lvl>
  </w:abstractNum>
  <w:abstractNum w:abstractNumId="12" w15:restartNumberingAfterBreak="0">
    <w:nsid w:val="2E327C77"/>
    <w:multiLevelType w:val="hybridMultilevel"/>
    <w:tmpl w:val="845A133A"/>
    <w:lvl w:ilvl="0" w:tplc="BF74411C">
      <w:start w:val="1"/>
      <w:numFmt w:val="bullet"/>
      <w:lvlText w:val=""/>
      <w:lvlJc w:val="left"/>
      <w:pPr>
        <w:ind w:left="720" w:hanging="360"/>
      </w:pPr>
      <w:rPr>
        <w:rFonts w:ascii="Symbol" w:hAnsi="Symbol" w:cs="Symbol" w:hint="default"/>
      </w:rPr>
    </w:lvl>
    <w:lvl w:ilvl="1" w:tplc="4A5659F0" w:tentative="1">
      <w:start w:val="1"/>
      <w:numFmt w:val="bullet"/>
      <w:lvlText w:val="o"/>
      <w:lvlJc w:val="left"/>
      <w:pPr>
        <w:ind w:left="1440" w:hanging="360"/>
      </w:pPr>
      <w:rPr>
        <w:rFonts w:ascii="Courier New" w:hAnsi="Courier New" w:cs="Courier New" w:hint="default"/>
      </w:rPr>
    </w:lvl>
    <w:lvl w:ilvl="2" w:tplc="D3B41DD8" w:tentative="1">
      <w:start w:val="1"/>
      <w:numFmt w:val="bullet"/>
      <w:lvlText w:val=""/>
      <w:lvlJc w:val="left"/>
      <w:pPr>
        <w:ind w:left="2160" w:hanging="360"/>
      </w:pPr>
      <w:rPr>
        <w:rFonts w:ascii="Wingdings" w:hAnsi="Wingdings" w:cs="Wingdings" w:hint="default"/>
      </w:rPr>
    </w:lvl>
    <w:lvl w:ilvl="3" w:tplc="46A8F19A" w:tentative="1">
      <w:start w:val="1"/>
      <w:numFmt w:val="bullet"/>
      <w:lvlText w:val=""/>
      <w:lvlJc w:val="left"/>
      <w:pPr>
        <w:ind w:left="2880" w:hanging="360"/>
      </w:pPr>
      <w:rPr>
        <w:rFonts w:ascii="Symbol" w:hAnsi="Symbol" w:cs="Symbol" w:hint="default"/>
      </w:rPr>
    </w:lvl>
    <w:lvl w:ilvl="4" w:tplc="5D24CC7E" w:tentative="1">
      <w:start w:val="1"/>
      <w:numFmt w:val="bullet"/>
      <w:lvlText w:val="o"/>
      <w:lvlJc w:val="left"/>
      <w:pPr>
        <w:ind w:left="3600" w:hanging="360"/>
      </w:pPr>
      <w:rPr>
        <w:rFonts w:ascii="Courier New" w:hAnsi="Courier New" w:cs="Courier New" w:hint="default"/>
      </w:rPr>
    </w:lvl>
    <w:lvl w:ilvl="5" w:tplc="798C76FA" w:tentative="1">
      <w:start w:val="1"/>
      <w:numFmt w:val="bullet"/>
      <w:lvlText w:val=""/>
      <w:lvlJc w:val="left"/>
      <w:pPr>
        <w:ind w:left="4320" w:hanging="360"/>
      </w:pPr>
      <w:rPr>
        <w:rFonts w:ascii="Wingdings" w:hAnsi="Wingdings" w:cs="Wingdings" w:hint="default"/>
      </w:rPr>
    </w:lvl>
    <w:lvl w:ilvl="6" w:tplc="B0705DD4" w:tentative="1">
      <w:start w:val="1"/>
      <w:numFmt w:val="bullet"/>
      <w:lvlText w:val=""/>
      <w:lvlJc w:val="left"/>
      <w:pPr>
        <w:ind w:left="5040" w:hanging="360"/>
      </w:pPr>
      <w:rPr>
        <w:rFonts w:ascii="Symbol" w:hAnsi="Symbol" w:cs="Symbol" w:hint="default"/>
      </w:rPr>
    </w:lvl>
    <w:lvl w:ilvl="7" w:tplc="FE72162C" w:tentative="1">
      <w:start w:val="1"/>
      <w:numFmt w:val="bullet"/>
      <w:lvlText w:val="o"/>
      <w:lvlJc w:val="left"/>
      <w:pPr>
        <w:ind w:left="5760" w:hanging="360"/>
      </w:pPr>
      <w:rPr>
        <w:rFonts w:ascii="Courier New" w:hAnsi="Courier New" w:cs="Courier New" w:hint="default"/>
      </w:rPr>
    </w:lvl>
    <w:lvl w:ilvl="8" w:tplc="16B4434A" w:tentative="1">
      <w:start w:val="1"/>
      <w:numFmt w:val="bullet"/>
      <w:lvlText w:val=""/>
      <w:lvlJc w:val="left"/>
      <w:pPr>
        <w:ind w:left="6480" w:hanging="360"/>
      </w:pPr>
      <w:rPr>
        <w:rFonts w:ascii="Wingdings" w:hAnsi="Wingdings" w:cs="Wingdings" w:hint="default"/>
      </w:rPr>
    </w:lvl>
  </w:abstractNum>
  <w:abstractNum w:abstractNumId="13" w15:restartNumberingAfterBreak="0">
    <w:nsid w:val="2FF61CF1"/>
    <w:multiLevelType w:val="hybridMultilevel"/>
    <w:tmpl w:val="FEDAA158"/>
    <w:lvl w:ilvl="0" w:tplc="FE70AD38">
      <w:start w:val="1"/>
      <w:numFmt w:val="bullet"/>
      <w:lvlText w:val=""/>
      <w:lvlJc w:val="left"/>
      <w:pPr>
        <w:ind w:left="720" w:hanging="360"/>
      </w:pPr>
      <w:rPr>
        <w:rFonts w:ascii="Symbol" w:hAnsi="Symbol" w:hint="default"/>
      </w:rPr>
    </w:lvl>
    <w:lvl w:ilvl="1" w:tplc="EFE85820" w:tentative="1">
      <w:start w:val="1"/>
      <w:numFmt w:val="bullet"/>
      <w:lvlText w:val="o"/>
      <w:lvlJc w:val="left"/>
      <w:pPr>
        <w:ind w:left="1440" w:hanging="360"/>
      </w:pPr>
      <w:rPr>
        <w:rFonts w:ascii="Courier New" w:hAnsi="Courier New" w:cs="Courier New" w:hint="default"/>
      </w:rPr>
    </w:lvl>
    <w:lvl w:ilvl="2" w:tplc="52BEB55A" w:tentative="1">
      <w:start w:val="1"/>
      <w:numFmt w:val="bullet"/>
      <w:lvlText w:val=""/>
      <w:lvlJc w:val="left"/>
      <w:pPr>
        <w:ind w:left="2160" w:hanging="360"/>
      </w:pPr>
      <w:rPr>
        <w:rFonts w:ascii="Wingdings" w:hAnsi="Wingdings" w:hint="default"/>
      </w:rPr>
    </w:lvl>
    <w:lvl w:ilvl="3" w:tplc="D5049858" w:tentative="1">
      <w:start w:val="1"/>
      <w:numFmt w:val="bullet"/>
      <w:lvlText w:val=""/>
      <w:lvlJc w:val="left"/>
      <w:pPr>
        <w:ind w:left="2880" w:hanging="360"/>
      </w:pPr>
      <w:rPr>
        <w:rFonts w:ascii="Symbol" w:hAnsi="Symbol" w:hint="default"/>
      </w:rPr>
    </w:lvl>
    <w:lvl w:ilvl="4" w:tplc="D7042C74" w:tentative="1">
      <w:start w:val="1"/>
      <w:numFmt w:val="bullet"/>
      <w:lvlText w:val="o"/>
      <w:lvlJc w:val="left"/>
      <w:pPr>
        <w:ind w:left="3600" w:hanging="360"/>
      </w:pPr>
      <w:rPr>
        <w:rFonts w:ascii="Courier New" w:hAnsi="Courier New" w:cs="Courier New" w:hint="default"/>
      </w:rPr>
    </w:lvl>
    <w:lvl w:ilvl="5" w:tplc="D57C9F3C" w:tentative="1">
      <w:start w:val="1"/>
      <w:numFmt w:val="bullet"/>
      <w:lvlText w:val=""/>
      <w:lvlJc w:val="left"/>
      <w:pPr>
        <w:ind w:left="4320" w:hanging="360"/>
      </w:pPr>
      <w:rPr>
        <w:rFonts w:ascii="Wingdings" w:hAnsi="Wingdings" w:hint="default"/>
      </w:rPr>
    </w:lvl>
    <w:lvl w:ilvl="6" w:tplc="55CCCCF6" w:tentative="1">
      <w:start w:val="1"/>
      <w:numFmt w:val="bullet"/>
      <w:lvlText w:val=""/>
      <w:lvlJc w:val="left"/>
      <w:pPr>
        <w:ind w:left="5040" w:hanging="360"/>
      </w:pPr>
      <w:rPr>
        <w:rFonts w:ascii="Symbol" w:hAnsi="Symbol" w:hint="default"/>
      </w:rPr>
    </w:lvl>
    <w:lvl w:ilvl="7" w:tplc="740209E6" w:tentative="1">
      <w:start w:val="1"/>
      <w:numFmt w:val="bullet"/>
      <w:lvlText w:val="o"/>
      <w:lvlJc w:val="left"/>
      <w:pPr>
        <w:ind w:left="5760" w:hanging="360"/>
      </w:pPr>
      <w:rPr>
        <w:rFonts w:ascii="Courier New" w:hAnsi="Courier New" w:cs="Courier New" w:hint="default"/>
      </w:rPr>
    </w:lvl>
    <w:lvl w:ilvl="8" w:tplc="2A72E4AC" w:tentative="1">
      <w:start w:val="1"/>
      <w:numFmt w:val="bullet"/>
      <w:lvlText w:val=""/>
      <w:lvlJc w:val="left"/>
      <w:pPr>
        <w:ind w:left="6480" w:hanging="360"/>
      </w:pPr>
      <w:rPr>
        <w:rFonts w:ascii="Wingdings" w:hAnsi="Wingdings" w:hint="default"/>
      </w:rPr>
    </w:lvl>
  </w:abstractNum>
  <w:abstractNum w:abstractNumId="14" w15:restartNumberingAfterBreak="0">
    <w:nsid w:val="394A15FE"/>
    <w:multiLevelType w:val="multilevel"/>
    <w:tmpl w:val="F36C17E8"/>
    <w:numStyleLink w:val="Headinglist"/>
  </w:abstractNum>
  <w:abstractNum w:abstractNumId="15" w15:restartNumberingAfterBreak="0">
    <w:nsid w:val="39900221"/>
    <w:multiLevelType w:val="hybridMultilevel"/>
    <w:tmpl w:val="D48A43CA"/>
    <w:lvl w:ilvl="0" w:tplc="2230F3CC">
      <w:start w:val="1"/>
      <w:numFmt w:val="bullet"/>
      <w:lvlText w:val=""/>
      <w:lvlJc w:val="left"/>
      <w:pPr>
        <w:ind w:left="720" w:hanging="360"/>
      </w:pPr>
      <w:rPr>
        <w:rFonts w:ascii="Symbol" w:hAnsi="Symbol" w:hint="default"/>
      </w:rPr>
    </w:lvl>
    <w:lvl w:ilvl="1" w:tplc="A2AC0DA6" w:tentative="1">
      <w:start w:val="1"/>
      <w:numFmt w:val="bullet"/>
      <w:lvlText w:val="o"/>
      <w:lvlJc w:val="left"/>
      <w:pPr>
        <w:ind w:left="1440" w:hanging="360"/>
      </w:pPr>
      <w:rPr>
        <w:rFonts w:ascii="Courier New" w:hAnsi="Courier New" w:cs="Courier New" w:hint="default"/>
      </w:rPr>
    </w:lvl>
    <w:lvl w:ilvl="2" w:tplc="FC7A6CEA" w:tentative="1">
      <w:start w:val="1"/>
      <w:numFmt w:val="bullet"/>
      <w:lvlText w:val=""/>
      <w:lvlJc w:val="left"/>
      <w:pPr>
        <w:ind w:left="2160" w:hanging="360"/>
      </w:pPr>
      <w:rPr>
        <w:rFonts w:ascii="Wingdings" w:hAnsi="Wingdings" w:hint="default"/>
      </w:rPr>
    </w:lvl>
    <w:lvl w:ilvl="3" w:tplc="E366488E" w:tentative="1">
      <w:start w:val="1"/>
      <w:numFmt w:val="bullet"/>
      <w:lvlText w:val=""/>
      <w:lvlJc w:val="left"/>
      <w:pPr>
        <w:ind w:left="2880" w:hanging="360"/>
      </w:pPr>
      <w:rPr>
        <w:rFonts w:ascii="Symbol" w:hAnsi="Symbol" w:hint="default"/>
      </w:rPr>
    </w:lvl>
    <w:lvl w:ilvl="4" w:tplc="D50471CE" w:tentative="1">
      <w:start w:val="1"/>
      <w:numFmt w:val="bullet"/>
      <w:lvlText w:val="o"/>
      <w:lvlJc w:val="left"/>
      <w:pPr>
        <w:ind w:left="3600" w:hanging="360"/>
      </w:pPr>
      <w:rPr>
        <w:rFonts w:ascii="Courier New" w:hAnsi="Courier New" w:cs="Courier New" w:hint="default"/>
      </w:rPr>
    </w:lvl>
    <w:lvl w:ilvl="5" w:tplc="4D4E3F48" w:tentative="1">
      <w:start w:val="1"/>
      <w:numFmt w:val="bullet"/>
      <w:lvlText w:val=""/>
      <w:lvlJc w:val="left"/>
      <w:pPr>
        <w:ind w:left="4320" w:hanging="360"/>
      </w:pPr>
      <w:rPr>
        <w:rFonts w:ascii="Wingdings" w:hAnsi="Wingdings" w:hint="default"/>
      </w:rPr>
    </w:lvl>
    <w:lvl w:ilvl="6" w:tplc="197ACD8A" w:tentative="1">
      <w:start w:val="1"/>
      <w:numFmt w:val="bullet"/>
      <w:lvlText w:val=""/>
      <w:lvlJc w:val="left"/>
      <w:pPr>
        <w:ind w:left="5040" w:hanging="360"/>
      </w:pPr>
      <w:rPr>
        <w:rFonts w:ascii="Symbol" w:hAnsi="Symbol" w:hint="default"/>
      </w:rPr>
    </w:lvl>
    <w:lvl w:ilvl="7" w:tplc="A21EDC68" w:tentative="1">
      <w:start w:val="1"/>
      <w:numFmt w:val="bullet"/>
      <w:lvlText w:val="o"/>
      <w:lvlJc w:val="left"/>
      <w:pPr>
        <w:ind w:left="5760" w:hanging="360"/>
      </w:pPr>
      <w:rPr>
        <w:rFonts w:ascii="Courier New" w:hAnsi="Courier New" w:cs="Courier New" w:hint="default"/>
      </w:rPr>
    </w:lvl>
    <w:lvl w:ilvl="8" w:tplc="2C8E8928" w:tentative="1">
      <w:start w:val="1"/>
      <w:numFmt w:val="bullet"/>
      <w:lvlText w:val=""/>
      <w:lvlJc w:val="left"/>
      <w:pPr>
        <w:ind w:left="6480" w:hanging="360"/>
      </w:pPr>
      <w:rPr>
        <w:rFonts w:ascii="Wingdings" w:hAnsi="Wingdings" w:hint="default"/>
      </w:rPr>
    </w:lvl>
  </w:abstractNum>
  <w:abstractNum w:abstractNumId="16" w15:restartNumberingAfterBreak="0">
    <w:nsid w:val="3D0E0DF6"/>
    <w:multiLevelType w:val="hybridMultilevel"/>
    <w:tmpl w:val="489ACCBE"/>
    <w:lvl w:ilvl="0" w:tplc="1980A3B8">
      <w:start w:val="1"/>
      <w:numFmt w:val="bullet"/>
      <w:lvlText w:val=""/>
      <w:lvlJc w:val="left"/>
      <w:pPr>
        <w:ind w:left="786" w:hanging="360"/>
      </w:pPr>
      <w:rPr>
        <w:rFonts w:ascii="Symbol" w:hAnsi="Symbol" w:hint="default"/>
      </w:rPr>
    </w:lvl>
    <w:lvl w:ilvl="1" w:tplc="68E80844" w:tentative="1">
      <w:start w:val="1"/>
      <w:numFmt w:val="bullet"/>
      <w:lvlText w:val="o"/>
      <w:lvlJc w:val="left"/>
      <w:pPr>
        <w:ind w:left="1506" w:hanging="360"/>
      </w:pPr>
      <w:rPr>
        <w:rFonts w:ascii="Courier New" w:hAnsi="Courier New" w:cs="Courier New" w:hint="default"/>
      </w:rPr>
    </w:lvl>
    <w:lvl w:ilvl="2" w:tplc="6EECDF28" w:tentative="1">
      <w:start w:val="1"/>
      <w:numFmt w:val="bullet"/>
      <w:lvlText w:val=""/>
      <w:lvlJc w:val="left"/>
      <w:pPr>
        <w:ind w:left="2226" w:hanging="360"/>
      </w:pPr>
      <w:rPr>
        <w:rFonts w:ascii="Wingdings" w:hAnsi="Wingdings" w:hint="default"/>
      </w:rPr>
    </w:lvl>
    <w:lvl w:ilvl="3" w:tplc="847AD554" w:tentative="1">
      <w:start w:val="1"/>
      <w:numFmt w:val="bullet"/>
      <w:lvlText w:val=""/>
      <w:lvlJc w:val="left"/>
      <w:pPr>
        <w:ind w:left="2946" w:hanging="360"/>
      </w:pPr>
      <w:rPr>
        <w:rFonts w:ascii="Symbol" w:hAnsi="Symbol" w:hint="default"/>
      </w:rPr>
    </w:lvl>
    <w:lvl w:ilvl="4" w:tplc="83CEFE44" w:tentative="1">
      <w:start w:val="1"/>
      <w:numFmt w:val="bullet"/>
      <w:lvlText w:val="o"/>
      <w:lvlJc w:val="left"/>
      <w:pPr>
        <w:ind w:left="3666" w:hanging="360"/>
      </w:pPr>
      <w:rPr>
        <w:rFonts w:ascii="Courier New" w:hAnsi="Courier New" w:cs="Courier New" w:hint="default"/>
      </w:rPr>
    </w:lvl>
    <w:lvl w:ilvl="5" w:tplc="2FA4F9E6" w:tentative="1">
      <w:start w:val="1"/>
      <w:numFmt w:val="bullet"/>
      <w:lvlText w:val=""/>
      <w:lvlJc w:val="left"/>
      <w:pPr>
        <w:ind w:left="4386" w:hanging="360"/>
      </w:pPr>
      <w:rPr>
        <w:rFonts w:ascii="Wingdings" w:hAnsi="Wingdings" w:hint="default"/>
      </w:rPr>
    </w:lvl>
    <w:lvl w:ilvl="6" w:tplc="9C665D26" w:tentative="1">
      <w:start w:val="1"/>
      <w:numFmt w:val="bullet"/>
      <w:lvlText w:val=""/>
      <w:lvlJc w:val="left"/>
      <w:pPr>
        <w:ind w:left="5106" w:hanging="360"/>
      </w:pPr>
      <w:rPr>
        <w:rFonts w:ascii="Symbol" w:hAnsi="Symbol" w:hint="default"/>
      </w:rPr>
    </w:lvl>
    <w:lvl w:ilvl="7" w:tplc="F8268F10" w:tentative="1">
      <w:start w:val="1"/>
      <w:numFmt w:val="bullet"/>
      <w:lvlText w:val="o"/>
      <w:lvlJc w:val="left"/>
      <w:pPr>
        <w:ind w:left="5826" w:hanging="360"/>
      </w:pPr>
      <w:rPr>
        <w:rFonts w:ascii="Courier New" w:hAnsi="Courier New" w:cs="Courier New" w:hint="default"/>
      </w:rPr>
    </w:lvl>
    <w:lvl w:ilvl="8" w:tplc="E85E17A2" w:tentative="1">
      <w:start w:val="1"/>
      <w:numFmt w:val="bullet"/>
      <w:lvlText w:val=""/>
      <w:lvlJc w:val="left"/>
      <w:pPr>
        <w:ind w:left="6546" w:hanging="360"/>
      </w:pPr>
      <w:rPr>
        <w:rFonts w:ascii="Wingdings" w:hAnsi="Wingdings" w:hint="default"/>
      </w:rPr>
    </w:lvl>
  </w:abstractNum>
  <w:abstractNum w:abstractNumId="17" w15:restartNumberingAfterBreak="0">
    <w:nsid w:val="3DA5359A"/>
    <w:multiLevelType w:val="hybridMultilevel"/>
    <w:tmpl w:val="49C80748"/>
    <w:lvl w:ilvl="0" w:tplc="BC0CA59C">
      <w:start w:val="1"/>
      <w:numFmt w:val="bullet"/>
      <w:lvlText w:val=""/>
      <w:lvlJc w:val="left"/>
      <w:pPr>
        <w:ind w:left="1145" w:hanging="360"/>
      </w:pPr>
      <w:rPr>
        <w:rFonts w:ascii="Symbol" w:hAnsi="Symbol" w:hint="default"/>
      </w:rPr>
    </w:lvl>
    <w:lvl w:ilvl="1" w:tplc="FE0A6344" w:tentative="1">
      <w:start w:val="1"/>
      <w:numFmt w:val="bullet"/>
      <w:lvlText w:val="o"/>
      <w:lvlJc w:val="left"/>
      <w:pPr>
        <w:ind w:left="1865" w:hanging="360"/>
      </w:pPr>
      <w:rPr>
        <w:rFonts w:ascii="Courier New" w:hAnsi="Courier New" w:cs="Courier New" w:hint="default"/>
      </w:rPr>
    </w:lvl>
    <w:lvl w:ilvl="2" w:tplc="B74EC7DC" w:tentative="1">
      <w:start w:val="1"/>
      <w:numFmt w:val="bullet"/>
      <w:lvlText w:val=""/>
      <w:lvlJc w:val="left"/>
      <w:pPr>
        <w:ind w:left="2585" w:hanging="360"/>
      </w:pPr>
      <w:rPr>
        <w:rFonts w:ascii="Wingdings" w:hAnsi="Wingdings" w:hint="default"/>
      </w:rPr>
    </w:lvl>
    <w:lvl w:ilvl="3" w:tplc="B6E2A8EE" w:tentative="1">
      <w:start w:val="1"/>
      <w:numFmt w:val="bullet"/>
      <w:lvlText w:val=""/>
      <w:lvlJc w:val="left"/>
      <w:pPr>
        <w:ind w:left="3305" w:hanging="360"/>
      </w:pPr>
      <w:rPr>
        <w:rFonts w:ascii="Symbol" w:hAnsi="Symbol" w:hint="default"/>
      </w:rPr>
    </w:lvl>
    <w:lvl w:ilvl="4" w:tplc="22F431E2" w:tentative="1">
      <w:start w:val="1"/>
      <w:numFmt w:val="bullet"/>
      <w:lvlText w:val="o"/>
      <w:lvlJc w:val="left"/>
      <w:pPr>
        <w:ind w:left="4025" w:hanging="360"/>
      </w:pPr>
      <w:rPr>
        <w:rFonts w:ascii="Courier New" w:hAnsi="Courier New" w:cs="Courier New" w:hint="default"/>
      </w:rPr>
    </w:lvl>
    <w:lvl w:ilvl="5" w:tplc="3886C484" w:tentative="1">
      <w:start w:val="1"/>
      <w:numFmt w:val="bullet"/>
      <w:lvlText w:val=""/>
      <w:lvlJc w:val="left"/>
      <w:pPr>
        <w:ind w:left="4745" w:hanging="360"/>
      </w:pPr>
      <w:rPr>
        <w:rFonts w:ascii="Wingdings" w:hAnsi="Wingdings" w:hint="default"/>
      </w:rPr>
    </w:lvl>
    <w:lvl w:ilvl="6" w:tplc="8A9AC41E" w:tentative="1">
      <w:start w:val="1"/>
      <w:numFmt w:val="bullet"/>
      <w:lvlText w:val=""/>
      <w:lvlJc w:val="left"/>
      <w:pPr>
        <w:ind w:left="5465" w:hanging="360"/>
      </w:pPr>
      <w:rPr>
        <w:rFonts w:ascii="Symbol" w:hAnsi="Symbol" w:hint="default"/>
      </w:rPr>
    </w:lvl>
    <w:lvl w:ilvl="7" w:tplc="6B784326" w:tentative="1">
      <w:start w:val="1"/>
      <w:numFmt w:val="bullet"/>
      <w:lvlText w:val="o"/>
      <w:lvlJc w:val="left"/>
      <w:pPr>
        <w:ind w:left="6185" w:hanging="360"/>
      </w:pPr>
      <w:rPr>
        <w:rFonts w:ascii="Courier New" w:hAnsi="Courier New" w:cs="Courier New" w:hint="default"/>
      </w:rPr>
    </w:lvl>
    <w:lvl w:ilvl="8" w:tplc="6D666220" w:tentative="1">
      <w:start w:val="1"/>
      <w:numFmt w:val="bullet"/>
      <w:lvlText w:val=""/>
      <w:lvlJc w:val="left"/>
      <w:pPr>
        <w:ind w:left="6905" w:hanging="360"/>
      </w:pPr>
      <w:rPr>
        <w:rFonts w:ascii="Wingdings" w:hAnsi="Wingdings" w:hint="default"/>
      </w:rPr>
    </w:lvl>
  </w:abstractNum>
  <w:abstractNum w:abstractNumId="18" w15:restartNumberingAfterBreak="0">
    <w:nsid w:val="40177B0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A31A67"/>
    <w:multiLevelType w:val="hybridMultilevel"/>
    <w:tmpl w:val="464A1648"/>
    <w:lvl w:ilvl="0" w:tplc="02FCDB8A">
      <w:start w:val="1"/>
      <w:numFmt w:val="bullet"/>
      <w:lvlText w:val=""/>
      <w:lvlJc w:val="left"/>
      <w:pPr>
        <w:ind w:left="720" w:hanging="360"/>
      </w:pPr>
      <w:rPr>
        <w:rFonts w:ascii="Symbol" w:hAnsi="Symbol" w:hint="default"/>
      </w:rPr>
    </w:lvl>
    <w:lvl w:ilvl="1" w:tplc="FE76AB5E" w:tentative="1">
      <w:start w:val="1"/>
      <w:numFmt w:val="bullet"/>
      <w:lvlText w:val="o"/>
      <w:lvlJc w:val="left"/>
      <w:pPr>
        <w:ind w:left="1440" w:hanging="360"/>
      </w:pPr>
      <w:rPr>
        <w:rFonts w:ascii="Courier New" w:hAnsi="Courier New" w:cs="Courier New" w:hint="default"/>
      </w:rPr>
    </w:lvl>
    <w:lvl w:ilvl="2" w:tplc="BC5A7622" w:tentative="1">
      <w:start w:val="1"/>
      <w:numFmt w:val="bullet"/>
      <w:lvlText w:val=""/>
      <w:lvlJc w:val="left"/>
      <w:pPr>
        <w:ind w:left="2160" w:hanging="360"/>
      </w:pPr>
      <w:rPr>
        <w:rFonts w:ascii="Wingdings" w:hAnsi="Wingdings" w:hint="default"/>
      </w:rPr>
    </w:lvl>
    <w:lvl w:ilvl="3" w:tplc="959E67BE" w:tentative="1">
      <w:start w:val="1"/>
      <w:numFmt w:val="bullet"/>
      <w:lvlText w:val=""/>
      <w:lvlJc w:val="left"/>
      <w:pPr>
        <w:ind w:left="2880" w:hanging="360"/>
      </w:pPr>
      <w:rPr>
        <w:rFonts w:ascii="Symbol" w:hAnsi="Symbol" w:hint="default"/>
      </w:rPr>
    </w:lvl>
    <w:lvl w:ilvl="4" w:tplc="410CDC58" w:tentative="1">
      <w:start w:val="1"/>
      <w:numFmt w:val="bullet"/>
      <w:lvlText w:val="o"/>
      <w:lvlJc w:val="left"/>
      <w:pPr>
        <w:ind w:left="3600" w:hanging="360"/>
      </w:pPr>
      <w:rPr>
        <w:rFonts w:ascii="Courier New" w:hAnsi="Courier New" w:cs="Courier New" w:hint="default"/>
      </w:rPr>
    </w:lvl>
    <w:lvl w:ilvl="5" w:tplc="DECEFF3E" w:tentative="1">
      <w:start w:val="1"/>
      <w:numFmt w:val="bullet"/>
      <w:lvlText w:val=""/>
      <w:lvlJc w:val="left"/>
      <w:pPr>
        <w:ind w:left="4320" w:hanging="360"/>
      </w:pPr>
      <w:rPr>
        <w:rFonts w:ascii="Wingdings" w:hAnsi="Wingdings" w:hint="default"/>
      </w:rPr>
    </w:lvl>
    <w:lvl w:ilvl="6" w:tplc="8348D740" w:tentative="1">
      <w:start w:val="1"/>
      <w:numFmt w:val="bullet"/>
      <w:lvlText w:val=""/>
      <w:lvlJc w:val="left"/>
      <w:pPr>
        <w:ind w:left="5040" w:hanging="360"/>
      </w:pPr>
      <w:rPr>
        <w:rFonts w:ascii="Symbol" w:hAnsi="Symbol" w:hint="default"/>
      </w:rPr>
    </w:lvl>
    <w:lvl w:ilvl="7" w:tplc="4EEABDF0" w:tentative="1">
      <w:start w:val="1"/>
      <w:numFmt w:val="bullet"/>
      <w:lvlText w:val="o"/>
      <w:lvlJc w:val="left"/>
      <w:pPr>
        <w:ind w:left="5760" w:hanging="360"/>
      </w:pPr>
      <w:rPr>
        <w:rFonts w:ascii="Courier New" w:hAnsi="Courier New" w:cs="Courier New" w:hint="default"/>
      </w:rPr>
    </w:lvl>
    <w:lvl w:ilvl="8" w:tplc="405EE030" w:tentative="1">
      <w:start w:val="1"/>
      <w:numFmt w:val="bullet"/>
      <w:lvlText w:val=""/>
      <w:lvlJc w:val="left"/>
      <w:pPr>
        <w:ind w:left="6480" w:hanging="360"/>
      </w:pPr>
      <w:rPr>
        <w:rFonts w:ascii="Wingdings" w:hAnsi="Wingdings" w:hint="default"/>
      </w:rPr>
    </w:lvl>
  </w:abstractNum>
  <w:abstractNum w:abstractNumId="20" w15:restartNumberingAfterBreak="0">
    <w:nsid w:val="48DE2E4A"/>
    <w:multiLevelType w:val="hybridMultilevel"/>
    <w:tmpl w:val="B7086130"/>
    <w:lvl w:ilvl="0" w:tplc="659C92E8">
      <w:start w:val="1"/>
      <w:numFmt w:val="bullet"/>
      <w:pStyle w:val="BoxTextBullet"/>
      <w:lvlText w:val=""/>
      <w:lvlJc w:val="left"/>
      <w:pPr>
        <w:ind w:left="720" w:hanging="360"/>
      </w:pPr>
      <w:rPr>
        <w:rFonts w:ascii="Symbol" w:hAnsi="Symbol" w:hint="default"/>
      </w:rPr>
    </w:lvl>
    <w:lvl w:ilvl="1" w:tplc="5C92A81E" w:tentative="1">
      <w:start w:val="1"/>
      <w:numFmt w:val="bullet"/>
      <w:lvlText w:val="o"/>
      <w:lvlJc w:val="left"/>
      <w:pPr>
        <w:ind w:left="1440" w:hanging="360"/>
      </w:pPr>
      <w:rPr>
        <w:rFonts w:ascii="Courier New" w:hAnsi="Courier New" w:cs="Courier New" w:hint="default"/>
      </w:rPr>
    </w:lvl>
    <w:lvl w:ilvl="2" w:tplc="12FCD3A2" w:tentative="1">
      <w:start w:val="1"/>
      <w:numFmt w:val="bullet"/>
      <w:lvlText w:val=""/>
      <w:lvlJc w:val="left"/>
      <w:pPr>
        <w:ind w:left="2160" w:hanging="360"/>
      </w:pPr>
      <w:rPr>
        <w:rFonts w:ascii="Wingdings" w:hAnsi="Wingdings" w:hint="default"/>
      </w:rPr>
    </w:lvl>
    <w:lvl w:ilvl="3" w:tplc="A14EC762" w:tentative="1">
      <w:start w:val="1"/>
      <w:numFmt w:val="bullet"/>
      <w:lvlText w:val=""/>
      <w:lvlJc w:val="left"/>
      <w:pPr>
        <w:ind w:left="2880" w:hanging="360"/>
      </w:pPr>
      <w:rPr>
        <w:rFonts w:ascii="Symbol" w:hAnsi="Symbol" w:hint="default"/>
      </w:rPr>
    </w:lvl>
    <w:lvl w:ilvl="4" w:tplc="AEDE066A" w:tentative="1">
      <w:start w:val="1"/>
      <w:numFmt w:val="bullet"/>
      <w:lvlText w:val="o"/>
      <w:lvlJc w:val="left"/>
      <w:pPr>
        <w:ind w:left="3600" w:hanging="360"/>
      </w:pPr>
      <w:rPr>
        <w:rFonts w:ascii="Courier New" w:hAnsi="Courier New" w:cs="Courier New" w:hint="default"/>
      </w:rPr>
    </w:lvl>
    <w:lvl w:ilvl="5" w:tplc="56E85B7C" w:tentative="1">
      <w:start w:val="1"/>
      <w:numFmt w:val="bullet"/>
      <w:lvlText w:val=""/>
      <w:lvlJc w:val="left"/>
      <w:pPr>
        <w:ind w:left="4320" w:hanging="360"/>
      </w:pPr>
      <w:rPr>
        <w:rFonts w:ascii="Wingdings" w:hAnsi="Wingdings" w:hint="default"/>
      </w:rPr>
    </w:lvl>
    <w:lvl w:ilvl="6" w:tplc="155E37F0" w:tentative="1">
      <w:start w:val="1"/>
      <w:numFmt w:val="bullet"/>
      <w:lvlText w:val=""/>
      <w:lvlJc w:val="left"/>
      <w:pPr>
        <w:ind w:left="5040" w:hanging="360"/>
      </w:pPr>
      <w:rPr>
        <w:rFonts w:ascii="Symbol" w:hAnsi="Symbol" w:hint="default"/>
      </w:rPr>
    </w:lvl>
    <w:lvl w:ilvl="7" w:tplc="59403ED4" w:tentative="1">
      <w:start w:val="1"/>
      <w:numFmt w:val="bullet"/>
      <w:lvlText w:val="o"/>
      <w:lvlJc w:val="left"/>
      <w:pPr>
        <w:ind w:left="5760" w:hanging="360"/>
      </w:pPr>
      <w:rPr>
        <w:rFonts w:ascii="Courier New" w:hAnsi="Courier New" w:cs="Courier New" w:hint="default"/>
      </w:rPr>
    </w:lvl>
    <w:lvl w:ilvl="8" w:tplc="B3B6EA88" w:tentative="1">
      <w:start w:val="1"/>
      <w:numFmt w:val="bullet"/>
      <w:lvlText w:val=""/>
      <w:lvlJc w:val="left"/>
      <w:pPr>
        <w:ind w:left="6480" w:hanging="360"/>
      </w:pPr>
      <w:rPr>
        <w:rFonts w:ascii="Wingdings" w:hAnsi="Wingdings" w:hint="default"/>
      </w:rPr>
    </w:lvl>
  </w:abstractNum>
  <w:abstractNum w:abstractNumId="21" w15:restartNumberingAfterBreak="0">
    <w:nsid w:val="4A1B3AEA"/>
    <w:multiLevelType w:val="hybridMultilevel"/>
    <w:tmpl w:val="AAD66C42"/>
    <w:lvl w:ilvl="0" w:tplc="4A726562">
      <w:start w:val="1"/>
      <w:numFmt w:val="bullet"/>
      <w:lvlText w:val=""/>
      <w:lvlJc w:val="left"/>
      <w:pPr>
        <w:ind w:left="720" w:hanging="360"/>
      </w:pPr>
      <w:rPr>
        <w:rFonts w:ascii="Symbol" w:hAnsi="Symbol" w:hint="default"/>
      </w:rPr>
    </w:lvl>
    <w:lvl w:ilvl="1" w:tplc="E33E3E78" w:tentative="1">
      <w:start w:val="1"/>
      <w:numFmt w:val="bullet"/>
      <w:lvlText w:val="o"/>
      <w:lvlJc w:val="left"/>
      <w:pPr>
        <w:ind w:left="1440" w:hanging="360"/>
      </w:pPr>
      <w:rPr>
        <w:rFonts w:ascii="Courier New" w:hAnsi="Courier New" w:cs="Courier New" w:hint="default"/>
      </w:rPr>
    </w:lvl>
    <w:lvl w:ilvl="2" w:tplc="1338AFBC" w:tentative="1">
      <w:start w:val="1"/>
      <w:numFmt w:val="bullet"/>
      <w:lvlText w:val=""/>
      <w:lvlJc w:val="left"/>
      <w:pPr>
        <w:ind w:left="2160" w:hanging="360"/>
      </w:pPr>
      <w:rPr>
        <w:rFonts w:ascii="Wingdings" w:hAnsi="Wingdings" w:hint="default"/>
      </w:rPr>
    </w:lvl>
    <w:lvl w:ilvl="3" w:tplc="44E8CF22" w:tentative="1">
      <w:start w:val="1"/>
      <w:numFmt w:val="bullet"/>
      <w:lvlText w:val=""/>
      <w:lvlJc w:val="left"/>
      <w:pPr>
        <w:ind w:left="2880" w:hanging="360"/>
      </w:pPr>
      <w:rPr>
        <w:rFonts w:ascii="Symbol" w:hAnsi="Symbol" w:hint="default"/>
      </w:rPr>
    </w:lvl>
    <w:lvl w:ilvl="4" w:tplc="01B49E2A" w:tentative="1">
      <w:start w:val="1"/>
      <w:numFmt w:val="bullet"/>
      <w:lvlText w:val="o"/>
      <w:lvlJc w:val="left"/>
      <w:pPr>
        <w:ind w:left="3600" w:hanging="360"/>
      </w:pPr>
      <w:rPr>
        <w:rFonts w:ascii="Courier New" w:hAnsi="Courier New" w:cs="Courier New" w:hint="default"/>
      </w:rPr>
    </w:lvl>
    <w:lvl w:ilvl="5" w:tplc="4942DF10" w:tentative="1">
      <w:start w:val="1"/>
      <w:numFmt w:val="bullet"/>
      <w:lvlText w:val=""/>
      <w:lvlJc w:val="left"/>
      <w:pPr>
        <w:ind w:left="4320" w:hanging="360"/>
      </w:pPr>
      <w:rPr>
        <w:rFonts w:ascii="Wingdings" w:hAnsi="Wingdings" w:hint="default"/>
      </w:rPr>
    </w:lvl>
    <w:lvl w:ilvl="6" w:tplc="1398FE20" w:tentative="1">
      <w:start w:val="1"/>
      <w:numFmt w:val="bullet"/>
      <w:lvlText w:val=""/>
      <w:lvlJc w:val="left"/>
      <w:pPr>
        <w:ind w:left="5040" w:hanging="360"/>
      </w:pPr>
      <w:rPr>
        <w:rFonts w:ascii="Symbol" w:hAnsi="Symbol" w:hint="default"/>
      </w:rPr>
    </w:lvl>
    <w:lvl w:ilvl="7" w:tplc="A1466150" w:tentative="1">
      <w:start w:val="1"/>
      <w:numFmt w:val="bullet"/>
      <w:lvlText w:val="o"/>
      <w:lvlJc w:val="left"/>
      <w:pPr>
        <w:ind w:left="5760" w:hanging="360"/>
      </w:pPr>
      <w:rPr>
        <w:rFonts w:ascii="Courier New" w:hAnsi="Courier New" w:cs="Courier New" w:hint="default"/>
      </w:rPr>
    </w:lvl>
    <w:lvl w:ilvl="8" w:tplc="AC34FB5E"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4F12B97"/>
    <w:multiLevelType w:val="hybridMultilevel"/>
    <w:tmpl w:val="1B226B24"/>
    <w:lvl w:ilvl="0" w:tplc="48382410">
      <w:start w:val="1"/>
      <w:numFmt w:val="bullet"/>
      <w:lvlText w:val=""/>
      <w:lvlJc w:val="left"/>
      <w:pPr>
        <w:ind w:left="720" w:hanging="360"/>
      </w:pPr>
      <w:rPr>
        <w:rFonts w:ascii="Symbol" w:hAnsi="Symbol" w:hint="default"/>
      </w:rPr>
    </w:lvl>
    <w:lvl w:ilvl="1" w:tplc="E264D5CE" w:tentative="1">
      <w:start w:val="1"/>
      <w:numFmt w:val="bullet"/>
      <w:lvlText w:val="o"/>
      <w:lvlJc w:val="left"/>
      <w:pPr>
        <w:ind w:left="1440" w:hanging="360"/>
      </w:pPr>
      <w:rPr>
        <w:rFonts w:ascii="Courier New" w:hAnsi="Courier New" w:cs="Courier New" w:hint="default"/>
      </w:rPr>
    </w:lvl>
    <w:lvl w:ilvl="2" w:tplc="F1F603E8" w:tentative="1">
      <w:start w:val="1"/>
      <w:numFmt w:val="bullet"/>
      <w:lvlText w:val=""/>
      <w:lvlJc w:val="left"/>
      <w:pPr>
        <w:ind w:left="2160" w:hanging="360"/>
      </w:pPr>
      <w:rPr>
        <w:rFonts w:ascii="Wingdings" w:hAnsi="Wingdings" w:hint="default"/>
      </w:rPr>
    </w:lvl>
    <w:lvl w:ilvl="3" w:tplc="47201484" w:tentative="1">
      <w:start w:val="1"/>
      <w:numFmt w:val="bullet"/>
      <w:lvlText w:val=""/>
      <w:lvlJc w:val="left"/>
      <w:pPr>
        <w:ind w:left="2880" w:hanging="360"/>
      </w:pPr>
      <w:rPr>
        <w:rFonts w:ascii="Symbol" w:hAnsi="Symbol" w:hint="default"/>
      </w:rPr>
    </w:lvl>
    <w:lvl w:ilvl="4" w:tplc="5EE86DB0" w:tentative="1">
      <w:start w:val="1"/>
      <w:numFmt w:val="bullet"/>
      <w:lvlText w:val="o"/>
      <w:lvlJc w:val="left"/>
      <w:pPr>
        <w:ind w:left="3600" w:hanging="360"/>
      </w:pPr>
      <w:rPr>
        <w:rFonts w:ascii="Courier New" w:hAnsi="Courier New" w:cs="Courier New" w:hint="default"/>
      </w:rPr>
    </w:lvl>
    <w:lvl w:ilvl="5" w:tplc="60C263B4" w:tentative="1">
      <w:start w:val="1"/>
      <w:numFmt w:val="bullet"/>
      <w:lvlText w:val=""/>
      <w:lvlJc w:val="left"/>
      <w:pPr>
        <w:ind w:left="4320" w:hanging="360"/>
      </w:pPr>
      <w:rPr>
        <w:rFonts w:ascii="Wingdings" w:hAnsi="Wingdings" w:hint="default"/>
      </w:rPr>
    </w:lvl>
    <w:lvl w:ilvl="6" w:tplc="5A2A75F0" w:tentative="1">
      <w:start w:val="1"/>
      <w:numFmt w:val="bullet"/>
      <w:lvlText w:val=""/>
      <w:lvlJc w:val="left"/>
      <w:pPr>
        <w:ind w:left="5040" w:hanging="360"/>
      </w:pPr>
      <w:rPr>
        <w:rFonts w:ascii="Symbol" w:hAnsi="Symbol" w:hint="default"/>
      </w:rPr>
    </w:lvl>
    <w:lvl w:ilvl="7" w:tplc="E85CD750" w:tentative="1">
      <w:start w:val="1"/>
      <w:numFmt w:val="bullet"/>
      <w:lvlText w:val="o"/>
      <w:lvlJc w:val="left"/>
      <w:pPr>
        <w:ind w:left="5760" w:hanging="360"/>
      </w:pPr>
      <w:rPr>
        <w:rFonts w:ascii="Courier New" w:hAnsi="Courier New" w:cs="Courier New" w:hint="default"/>
      </w:rPr>
    </w:lvl>
    <w:lvl w:ilvl="8" w:tplc="A8B0E1C4" w:tentative="1">
      <w:start w:val="1"/>
      <w:numFmt w:val="bullet"/>
      <w:lvlText w:val=""/>
      <w:lvlJc w:val="left"/>
      <w:pPr>
        <w:ind w:left="6480" w:hanging="360"/>
      </w:pPr>
      <w:rPr>
        <w:rFonts w:ascii="Wingdings" w:hAnsi="Wingdings" w:hint="default"/>
      </w:rPr>
    </w:lvl>
  </w:abstractNum>
  <w:abstractNum w:abstractNumId="27" w15:restartNumberingAfterBreak="0">
    <w:nsid w:val="6AA75E34"/>
    <w:multiLevelType w:val="hybridMultilevel"/>
    <w:tmpl w:val="5D363332"/>
    <w:lvl w:ilvl="0" w:tplc="65B42936">
      <w:start w:val="1"/>
      <w:numFmt w:val="decimal"/>
      <w:pStyle w:val="Heading5"/>
      <w:lvlText w:val="%1)"/>
      <w:lvlJc w:val="left"/>
      <w:pPr>
        <w:ind w:left="720" w:hanging="360"/>
      </w:pPr>
    </w:lvl>
    <w:lvl w:ilvl="1" w:tplc="469AEFC0" w:tentative="1">
      <w:start w:val="1"/>
      <w:numFmt w:val="lowerLetter"/>
      <w:lvlText w:val="%2."/>
      <w:lvlJc w:val="left"/>
      <w:pPr>
        <w:ind w:left="1440" w:hanging="360"/>
      </w:pPr>
    </w:lvl>
    <w:lvl w:ilvl="2" w:tplc="17DCAF4A" w:tentative="1">
      <w:start w:val="1"/>
      <w:numFmt w:val="lowerRoman"/>
      <w:lvlText w:val="%3."/>
      <w:lvlJc w:val="right"/>
      <w:pPr>
        <w:ind w:left="2160" w:hanging="180"/>
      </w:pPr>
    </w:lvl>
    <w:lvl w:ilvl="3" w:tplc="45B6D236" w:tentative="1">
      <w:start w:val="1"/>
      <w:numFmt w:val="decimal"/>
      <w:lvlText w:val="%4."/>
      <w:lvlJc w:val="left"/>
      <w:pPr>
        <w:ind w:left="2880" w:hanging="360"/>
      </w:pPr>
    </w:lvl>
    <w:lvl w:ilvl="4" w:tplc="E47C2EB4" w:tentative="1">
      <w:start w:val="1"/>
      <w:numFmt w:val="lowerLetter"/>
      <w:lvlText w:val="%5."/>
      <w:lvlJc w:val="left"/>
      <w:pPr>
        <w:ind w:left="3600" w:hanging="360"/>
      </w:pPr>
    </w:lvl>
    <w:lvl w:ilvl="5" w:tplc="15B6392E" w:tentative="1">
      <w:start w:val="1"/>
      <w:numFmt w:val="lowerRoman"/>
      <w:lvlText w:val="%6."/>
      <w:lvlJc w:val="right"/>
      <w:pPr>
        <w:ind w:left="4320" w:hanging="180"/>
      </w:pPr>
    </w:lvl>
    <w:lvl w:ilvl="6" w:tplc="00F876CE" w:tentative="1">
      <w:start w:val="1"/>
      <w:numFmt w:val="decimal"/>
      <w:lvlText w:val="%7."/>
      <w:lvlJc w:val="left"/>
      <w:pPr>
        <w:ind w:left="5040" w:hanging="360"/>
      </w:pPr>
    </w:lvl>
    <w:lvl w:ilvl="7" w:tplc="5DB2FCC2" w:tentative="1">
      <w:start w:val="1"/>
      <w:numFmt w:val="lowerLetter"/>
      <w:lvlText w:val="%8."/>
      <w:lvlJc w:val="left"/>
      <w:pPr>
        <w:ind w:left="5760" w:hanging="360"/>
      </w:pPr>
    </w:lvl>
    <w:lvl w:ilvl="8" w:tplc="29B45234" w:tentative="1">
      <w:start w:val="1"/>
      <w:numFmt w:val="lowerRoman"/>
      <w:lvlText w:val="%9."/>
      <w:lvlJc w:val="right"/>
      <w:pPr>
        <w:ind w:left="6480" w:hanging="180"/>
      </w:pPr>
    </w:lvl>
  </w:abstractNum>
  <w:abstractNum w:abstractNumId="28" w15:restartNumberingAfterBreak="0">
    <w:nsid w:val="6C7D425B"/>
    <w:multiLevelType w:val="hybridMultilevel"/>
    <w:tmpl w:val="5AB407BC"/>
    <w:lvl w:ilvl="0" w:tplc="CC683CE8">
      <w:start w:val="3"/>
      <w:numFmt w:val="bullet"/>
      <w:lvlText w:val="-"/>
      <w:lvlJc w:val="left"/>
      <w:pPr>
        <w:ind w:left="785" w:hanging="360"/>
      </w:pPr>
      <w:rPr>
        <w:rFonts w:ascii="Cambria" w:eastAsiaTheme="minorHAnsi" w:hAnsi="Cambria" w:cstheme="minorBidi" w:hint="default"/>
      </w:rPr>
    </w:lvl>
    <w:lvl w:ilvl="1" w:tplc="034E35D8" w:tentative="1">
      <w:start w:val="1"/>
      <w:numFmt w:val="bullet"/>
      <w:lvlText w:val="o"/>
      <w:lvlJc w:val="left"/>
      <w:pPr>
        <w:ind w:left="1505" w:hanging="360"/>
      </w:pPr>
      <w:rPr>
        <w:rFonts w:ascii="Courier New" w:hAnsi="Courier New" w:cs="Courier New" w:hint="default"/>
      </w:rPr>
    </w:lvl>
    <w:lvl w:ilvl="2" w:tplc="2E5C0FFE" w:tentative="1">
      <w:start w:val="1"/>
      <w:numFmt w:val="bullet"/>
      <w:lvlText w:val=""/>
      <w:lvlJc w:val="left"/>
      <w:pPr>
        <w:ind w:left="2225" w:hanging="360"/>
      </w:pPr>
      <w:rPr>
        <w:rFonts w:ascii="Wingdings" w:hAnsi="Wingdings" w:cs="Wingdings" w:hint="default"/>
      </w:rPr>
    </w:lvl>
    <w:lvl w:ilvl="3" w:tplc="E4669AA2" w:tentative="1">
      <w:start w:val="1"/>
      <w:numFmt w:val="bullet"/>
      <w:lvlText w:val=""/>
      <w:lvlJc w:val="left"/>
      <w:pPr>
        <w:ind w:left="2945" w:hanging="360"/>
      </w:pPr>
      <w:rPr>
        <w:rFonts w:ascii="Symbol" w:hAnsi="Symbol" w:cs="Symbol" w:hint="default"/>
      </w:rPr>
    </w:lvl>
    <w:lvl w:ilvl="4" w:tplc="9FC25434" w:tentative="1">
      <w:start w:val="1"/>
      <w:numFmt w:val="bullet"/>
      <w:lvlText w:val="o"/>
      <w:lvlJc w:val="left"/>
      <w:pPr>
        <w:ind w:left="3665" w:hanging="360"/>
      </w:pPr>
      <w:rPr>
        <w:rFonts w:ascii="Courier New" w:hAnsi="Courier New" w:cs="Courier New" w:hint="default"/>
      </w:rPr>
    </w:lvl>
    <w:lvl w:ilvl="5" w:tplc="CCD2189A" w:tentative="1">
      <w:start w:val="1"/>
      <w:numFmt w:val="bullet"/>
      <w:lvlText w:val=""/>
      <w:lvlJc w:val="left"/>
      <w:pPr>
        <w:ind w:left="4385" w:hanging="360"/>
      </w:pPr>
      <w:rPr>
        <w:rFonts w:ascii="Wingdings" w:hAnsi="Wingdings" w:cs="Wingdings" w:hint="default"/>
      </w:rPr>
    </w:lvl>
    <w:lvl w:ilvl="6" w:tplc="52CA6A7C" w:tentative="1">
      <w:start w:val="1"/>
      <w:numFmt w:val="bullet"/>
      <w:lvlText w:val=""/>
      <w:lvlJc w:val="left"/>
      <w:pPr>
        <w:ind w:left="5105" w:hanging="360"/>
      </w:pPr>
      <w:rPr>
        <w:rFonts w:ascii="Symbol" w:hAnsi="Symbol" w:cs="Symbol" w:hint="default"/>
      </w:rPr>
    </w:lvl>
    <w:lvl w:ilvl="7" w:tplc="B628B744" w:tentative="1">
      <w:start w:val="1"/>
      <w:numFmt w:val="bullet"/>
      <w:lvlText w:val="o"/>
      <w:lvlJc w:val="left"/>
      <w:pPr>
        <w:ind w:left="5825" w:hanging="360"/>
      </w:pPr>
      <w:rPr>
        <w:rFonts w:ascii="Courier New" w:hAnsi="Courier New" w:cs="Courier New" w:hint="default"/>
      </w:rPr>
    </w:lvl>
    <w:lvl w:ilvl="8" w:tplc="1B087D6A" w:tentative="1">
      <w:start w:val="1"/>
      <w:numFmt w:val="bullet"/>
      <w:lvlText w:val=""/>
      <w:lvlJc w:val="left"/>
      <w:pPr>
        <w:ind w:left="6545" w:hanging="360"/>
      </w:pPr>
      <w:rPr>
        <w:rFonts w:ascii="Wingdings" w:hAnsi="Wingdings" w:cs="Wingdings" w:hint="default"/>
      </w:rPr>
    </w:lvl>
  </w:abstractNum>
  <w:abstractNum w:abstractNumId="29" w15:restartNumberingAfterBreak="0">
    <w:nsid w:val="744B3ADA"/>
    <w:multiLevelType w:val="hybridMultilevel"/>
    <w:tmpl w:val="D3CCF3EA"/>
    <w:lvl w:ilvl="0" w:tplc="E51CFAA8">
      <w:start w:val="1"/>
      <w:numFmt w:val="bullet"/>
      <w:lvlText w:val=""/>
      <w:lvlJc w:val="left"/>
      <w:pPr>
        <w:ind w:left="720" w:hanging="360"/>
      </w:pPr>
      <w:rPr>
        <w:rFonts w:ascii="Symbol" w:hAnsi="Symbol" w:hint="default"/>
      </w:rPr>
    </w:lvl>
    <w:lvl w:ilvl="1" w:tplc="B8F4FDF8" w:tentative="1">
      <w:start w:val="1"/>
      <w:numFmt w:val="bullet"/>
      <w:lvlText w:val="o"/>
      <w:lvlJc w:val="left"/>
      <w:pPr>
        <w:ind w:left="1440" w:hanging="360"/>
      </w:pPr>
      <w:rPr>
        <w:rFonts w:ascii="Courier New" w:hAnsi="Courier New" w:cs="Courier New" w:hint="default"/>
      </w:rPr>
    </w:lvl>
    <w:lvl w:ilvl="2" w:tplc="CF9877DC" w:tentative="1">
      <w:start w:val="1"/>
      <w:numFmt w:val="bullet"/>
      <w:lvlText w:val=""/>
      <w:lvlJc w:val="left"/>
      <w:pPr>
        <w:ind w:left="2160" w:hanging="360"/>
      </w:pPr>
      <w:rPr>
        <w:rFonts w:ascii="Wingdings" w:hAnsi="Wingdings" w:hint="default"/>
      </w:rPr>
    </w:lvl>
    <w:lvl w:ilvl="3" w:tplc="A8D21568" w:tentative="1">
      <w:start w:val="1"/>
      <w:numFmt w:val="bullet"/>
      <w:lvlText w:val=""/>
      <w:lvlJc w:val="left"/>
      <w:pPr>
        <w:ind w:left="2880" w:hanging="360"/>
      </w:pPr>
      <w:rPr>
        <w:rFonts w:ascii="Symbol" w:hAnsi="Symbol" w:hint="default"/>
      </w:rPr>
    </w:lvl>
    <w:lvl w:ilvl="4" w:tplc="9CA6FAA8" w:tentative="1">
      <w:start w:val="1"/>
      <w:numFmt w:val="bullet"/>
      <w:lvlText w:val="o"/>
      <w:lvlJc w:val="left"/>
      <w:pPr>
        <w:ind w:left="3600" w:hanging="360"/>
      </w:pPr>
      <w:rPr>
        <w:rFonts w:ascii="Courier New" w:hAnsi="Courier New" w:cs="Courier New" w:hint="default"/>
      </w:rPr>
    </w:lvl>
    <w:lvl w:ilvl="5" w:tplc="80DAC0AA" w:tentative="1">
      <w:start w:val="1"/>
      <w:numFmt w:val="bullet"/>
      <w:lvlText w:val=""/>
      <w:lvlJc w:val="left"/>
      <w:pPr>
        <w:ind w:left="4320" w:hanging="360"/>
      </w:pPr>
      <w:rPr>
        <w:rFonts w:ascii="Wingdings" w:hAnsi="Wingdings" w:hint="default"/>
      </w:rPr>
    </w:lvl>
    <w:lvl w:ilvl="6" w:tplc="CF7A1052" w:tentative="1">
      <w:start w:val="1"/>
      <w:numFmt w:val="bullet"/>
      <w:lvlText w:val=""/>
      <w:lvlJc w:val="left"/>
      <w:pPr>
        <w:ind w:left="5040" w:hanging="360"/>
      </w:pPr>
      <w:rPr>
        <w:rFonts w:ascii="Symbol" w:hAnsi="Symbol" w:hint="default"/>
      </w:rPr>
    </w:lvl>
    <w:lvl w:ilvl="7" w:tplc="817A8816" w:tentative="1">
      <w:start w:val="1"/>
      <w:numFmt w:val="bullet"/>
      <w:lvlText w:val="o"/>
      <w:lvlJc w:val="left"/>
      <w:pPr>
        <w:ind w:left="5760" w:hanging="360"/>
      </w:pPr>
      <w:rPr>
        <w:rFonts w:ascii="Courier New" w:hAnsi="Courier New" w:cs="Courier New" w:hint="default"/>
      </w:rPr>
    </w:lvl>
    <w:lvl w:ilvl="8" w:tplc="3DC641E6" w:tentative="1">
      <w:start w:val="1"/>
      <w:numFmt w:val="bullet"/>
      <w:lvlText w:val=""/>
      <w:lvlJc w:val="left"/>
      <w:pPr>
        <w:ind w:left="6480" w:hanging="360"/>
      </w:pPr>
      <w:rPr>
        <w:rFonts w:ascii="Wingdings" w:hAnsi="Wingdings" w:hint="default"/>
      </w:rPr>
    </w:lvl>
  </w:abstractNum>
  <w:abstractNum w:abstractNumId="30" w15:restartNumberingAfterBreak="0">
    <w:nsid w:val="7ACE795C"/>
    <w:multiLevelType w:val="hybridMultilevel"/>
    <w:tmpl w:val="41DCE4DA"/>
    <w:lvl w:ilvl="0" w:tplc="C9AAFDC4">
      <w:start w:val="1"/>
      <w:numFmt w:val="bullet"/>
      <w:lvlText w:val=""/>
      <w:lvlJc w:val="left"/>
      <w:pPr>
        <w:ind w:left="720" w:hanging="360"/>
      </w:pPr>
      <w:rPr>
        <w:rFonts w:ascii="Symbol" w:hAnsi="Symbol" w:hint="default"/>
      </w:rPr>
    </w:lvl>
    <w:lvl w:ilvl="1" w:tplc="F688759E" w:tentative="1">
      <w:start w:val="1"/>
      <w:numFmt w:val="bullet"/>
      <w:lvlText w:val="o"/>
      <w:lvlJc w:val="left"/>
      <w:pPr>
        <w:ind w:left="1440" w:hanging="360"/>
      </w:pPr>
      <w:rPr>
        <w:rFonts w:ascii="Courier New" w:hAnsi="Courier New" w:cs="Courier New" w:hint="default"/>
      </w:rPr>
    </w:lvl>
    <w:lvl w:ilvl="2" w:tplc="9F1C721E" w:tentative="1">
      <w:start w:val="1"/>
      <w:numFmt w:val="bullet"/>
      <w:lvlText w:val=""/>
      <w:lvlJc w:val="left"/>
      <w:pPr>
        <w:ind w:left="2160" w:hanging="360"/>
      </w:pPr>
      <w:rPr>
        <w:rFonts w:ascii="Wingdings" w:hAnsi="Wingdings" w:hint="default"/>
      </w:rPr>
    </w:lvl>
    <w:lvl w:ilvl="3" w:tplc="4D343CF6" w:tentative="1">
      <w:start w:val="1"/>
      <w:numFmt w:val="bullet"/>
      <w:lvlText w:val=""/>
      <w:lvlJc w:val="left"/>
      <w:pPr>
        <w:ind w:left="2880" w:hanging="360"/>
      </w:pPr>
      <w:rPr>
        <w:rFonts w:ascii="Symbol" w:hAnsi="Symbol" w:hint="default"/>
      </w:rPr>
    </w:lvl>
    <w:lvl w:ilvl="4" w:tplc="F80443E6" w:tentative="1">
      <w:start w:val="1"/>
      <w:numFmt w:val="bullet"/>
      <w:lvlText w:val="o"/>
      <w:lvlJc w:val="left"/>
      <w:pPr>
        <w:ind w:left="3600" w:hanging="360"/>
      </w:pPr>
      <w:rPr>
        <w:rFonts w:ascii="Courier New" w:hAnsi="Courier New" w:cs="Courier New" w:hint="default"/>
      </w:rPr>
    </w:lvl>
    <w:lvl w:ilvl="5" w:tplc="4E2A1648" w:tentative="1">
      <w:start w:val="1"/>
      <w:numFmt w:val="bullet"/>
      <w:lvlText w:val=""/>
      <w:lvlJc w:val="left"/>
      <w:pPr>
        <w:ind w:left="4320" w:hanging="360"/>
      </w:pPr>
      <w:rPr>
        <w:rFonts w:ascii="Wingdings" w:hAnsi="Wingdings" w:hint="default"/>
      </w:rPr>
    </w:lvl>
    <w:lvl w:ilvl="6" w:tplc="15D85F12" w:tentative="1">
      <w:start w:val="1"/>
      <w:numFmt w:val="bullet"/>
      <w:lvlText w:val=""/>
      <w:lvlJc w:val="left"/>
      <w:pPr>
        <w:ind w:left="5040" w:hanging="360"/>
      </w:pPr>
      <w:rPr>
        <w:rFonts w:ascii="Symbol" w:hAnsi="Symbol" w:hint="default"/>
      </w:rPr>
    </w:lvl>
    <w:lvl w:ilvl="7" w:tplc="9D740B1E" w:tentative="1">
      <w:start w:val="1"/>
      <w:numFmt w:val="bullet"/>
      <w:lvlText w:val="o"/>
      <w:lvlJc w:val="left"/>
      <w:pPr>
        <w:ind w:left="5760" w:hanging="360"/>
      </w:pPr>
      <w:rPr>
        <w:rFonts w:ascii="Courier New" w:hAnsi="Courier New" w:cs="Courier New" w:hint="default"/>
      </w:rPr>
    </w:lvl>
    <w:lvl w:ilvl="8" w:tplc="F036FFBA"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4"/>
  </w:num>
  <w:num w:numId="4">
    <w:abstractNumId w:val="25"/>
  </w:num>
  <w:num w:numId="5">
    <w:abstractNumId w:val="10"/>
  </w:num>
  <w:num w:numId="6">
    <w:abstractNumId w:val="14"/>
  </w:num>
  <w:num w:numId="7">
    <w:abstractNumId w:val="23"/>
  </w:num>
  <w:num w:numId="8">
    <w:abstractNumId w:val="9"/>
  </w:num>
  <w:num w:numId="9">
    <w:abstractNumId w:val="22"/>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9"/>
  </w:num>
  <w:num w:numId="24">
    <w:abstractNumId w:val="19"/>
  </w:num>
  <w:num w:numId="25">
    <w:abstractNumId w:val="12"/>
  </w:num>
  <w:num w:numId="26">
    <w:abstractNumId w:val="2"/>
  </w:num>
  <w:num w:numId="27">
    <w:abstractNumId w:val="28"/>
  </w:num>
  <w:num w:numId="28">
    <w:abstractNumId w:val="5"/>
  </w:num>
  <w:num w:numId="29">
    <w:abstractNumId w:val="11"/>
  </w:num>
  <w:num w:numId="30">
    <w:abstractNumId w:val="30"/>
  </w:num>
  <w:num w:numId="31">
    <w:abstractNumId w:val="26"/>
  </w:num>
  <w:num w:numId="32">
    <w:abstractNumId w:val="7"/>
  </w:num>
  <w:num w:numId="33">
    <w:abstractNumId w:val="17"/>
  </w:num>
  <w:num w:numId="34">
    <w:abstractNumId w:val="16"/>
  </w:num>
  <w:num w:numId="35">
    <w:abstractNumId w:val="21"/>
  </w:num>
  <w:num w:numId="36">
    <w:abstractNumId w:val="6"/>
  </w:num>
  <w:num w:numId="37">
    <w:abstractNumId w:val="18"/>
  </w:num>
  <w:num w:numId="38">
    <w:abstractNumId w:val="3"/>
  </w:num>
  <w:num w:numId="39">
    <w:abstractNumId w:val="13"/>
  </w:num>
  <w:num w:numId="40">
    <w:abstractNumId w:val="1"/>
  </w:num>
  <w:num w:numId="41">
    <w:abstractNumId w:val="15"/>
  </w:num>
  <w:num w:numId="42">
    <w:abstractNumId w:val="27"/>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num>
  <w:num w:numId="48">
    <w:abstractNumId w:val="27"/>
    <w:lvlOverride w:ilvl="0">
      <w:startOverride w:val="1"/>
    </w:lvlOverride>
  </w:num>
  <w:num w:numId="49">
    <w:abstractNumId w:val="27"/>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27"/>
    <w:lvlOverride w:ilvl="0">
      <w:startOverride w:val="1"/>
    </w:lvlOverride>
  </w:num>
  <w:num w:numId="53">
    <w:abstractNumId w:val="27"/>
    <w:lvlOverride w:ilvl="0">
      <w:startOverride w:val="1"/>
    </w:lvlOverride>
  </w:num>
  <w:num w:numId="54">
    <w:abstractNumId w:val="27"/>
    <w:lvlOverride w:ilvl="0">
      <w:startOverride w:val="1"/>
    </w:lvlOverride>
  </w:num>
  <w:num w:numId="55">
    <w:abstractNumId w:val="27"/>
  </w:num>
  <w:num w:numId="56">
    <w:abstractNumId w:val="27"/>
    <w:lvlOverride w:ilvl="0">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245"/>
    <w:rsid w:val="000017D5"/>
    <w:rsid w:val="00002120"/>
    <w:rsid w:val="00003060"/>
    <w:rsid w:val="0000315B"/>
    <w:rsid w:val="000047CC"/>
    <w:rsid w:val="00004DD5"/>
    <w:rsid w:val="00012BF9"/>
    <w:rsid w:val="00012CA1"/>
    <w:rsid w:val="00013D63"/>
    <w:rsid w:val="000140BC"/>
    <w:rsid w:val="000143C8"/>
    <w:rsid w:val="00015B87"/>
    <w:rsid w:val="00016696"/>
    <w:rsid w:val="000203F1"/>
    <w:rsid w:val="000207C7"/>
    <w:rsid w:val="0002685B"/>
    <w:rsid w:val="00027DEC"/>
    <w:rsid w:val="00027E87"/>
    <w:rsid w:val="000308F2"/>
    <w:rsid w:val="00032163"/>
    <w:rsid w:val="0003362D"/>
    <w:rsid w:val="00036AE0"/>
    <w:rsid w:val="00037DBB"/>
    <w:rsid w:val="00041439"/>
    <w:rsid w:val="00042738"/>
    <w:rsid w:val="00052A0F"/>
    <w:rsid w:val="0005548B"/>
    <w:rsid w:val="00056685"/>
    <w:rsid w:val="00060681"/>
    <w:rsid w:val="00060908"/>
    <w:rsid w:val="00060A73"/>
    <w:rsid w:val="000624FF"/>
    <w:rsid w:val="000637B2"/>
    <w:rsid w:val="00065575"/>
    <w:rsid w:val="0007161F"/>
    <w:rsid w:val="000717CA"/>
    <w:rsid w:val="00073C79"/>
    <w:rsid w:val="00075106"/>
    <w:rsid w:val="0008020F"/>
    <w:rsid w:val="00080544"/>
    <w:rsid w:val="000807C0"/>
    <w:rsid w:val="00084CC0"/>
    <w:rsid w:val="00087A7D"/>
    <w:rsid w:val="00087BED"/>
    <w:rsid w:val="000908AC"/>
    <w:rsid w:val="00091E64"/>
    <w:rsid w:val="00091F42"/>
    <w:rsid w:val="00092092"/>
    <w:rsid w:val="0009280D"/>
    <w:rsid w:val="00092EC7"/>
    <w:rsid w:val="00094F21"/>
    <w:rsid w:val="000961B5"/>
    <w:rsid w:val="00096FCA"/>
    <w:rsid w:val="00097F37"/>
    <w:rsid w:val="000A0B1A"/>
    <w:rsid w:val="000A473F"/>
    <w:rsid w:val="000B30E2"/>
    <w:rsid w:val="000B4CBE"/>
    <w:rsid w:val="000B7607"/>
    <w:rsid w:val="000C23DA"/>
    <w:rsid w:val="000C2A1B"/>
    <w:rsid w:val="000C322D"/>
    <w:rsid w:val="000C53CA"/>
    <w:rsid w:val="000C611B"/>
    <w:rsid w:val="000D1D90"/>
    <w:rsid w:val="000D3EF6"/>
    <w:rsid w:val="000D3F5F"/>
    <w:rsid w:val="000D46BE"/>
    <w:rsid w:val="000D53D2"/>
    <w:rsid w:val="000E3062"/>
    <w:rsid w:val="000E3A1C"/>
    <w:rsid w:val="000E5656"/>
    <w:rsid w:val="000E6587"/>
    <w:rsid w:val="000E6669"/>
    <w:rsid w:val="000E71C5"/>
    <w:rsid w:val="000F3600"/>
    <w:rsid w:val="000F37C1"/>
    <w:rsid w:val="000F53C8"/>
    <w:rsid w:val="000F5645"/>
    <w:rsid w:val="000F5ED4"/>
    <w:rsid w:val="000F608D"/>
    <w:rsid w:val="00101BBF"/>
    <w:rsid w:val="001028CE"/>
    <w:rsid w:val="001048F2"/>
    <w:rsid w:val="00114457"/>
    <w:rsid w:val="00117A17"/>
    <w:rsid w:val="00120000"/>
    <w:rsid w:val="00120852"/>
    <w:rsid w:val="00123B11"/>
    <w:rsid w:val="00125575"/>
    <w:rsid w:val="001262E3"/>
    <w:rsid w:val="001278A9"/>
    <w:rsid w:val="00127CAE"/>
    <w:rsid w:val="0013048D"/>
    <w:rsid w:val="00134075"/>
    <w:rsid w:val="00136A48"/>
    <w:rsid w:val="00137763"/>
    <w:rsid w:val="00137FAA"/>
    <w:rsid w:val="00140CBB"/>
    <w:rsid w:val="001419DE"/>
    <w:rsid w:val="00142301"/>
    <w:rsid w:val="00143B7C"/>
    <w:rsid w:val="00144B32"/>
    <w:rsid w:val="00145912"/>
    <w:rsid w:val="00146579"/>
    <w:rsid w:val="001514A1"/>
    <w:rsid w:val="00151CF0"/>
    <w:rsid w:val="00155DA6"/>
    <w:rsid w:val="0015627D"/>
    <w:rsid w:val="001564E3"/>
    <w:rsid w:val="00156E90"/>
    <w:rsid w:val="001578C7"/>
    <w:rsid w:val="00161B4E"/>
    <w:rsid w:val="00164478"/>
    <w:rsid w:val="001730C6"/>
    <w:rsid w:val="001736F7"/>
    <w:rsid w:val="001772A2"/>
    <w:rsid w:val="00182569"/>
    <w:rsid w:val="00183E96"/>
    <w:rsid w:val="00186234"/>
    <w:rsid w:val="00187404"/>
    <w:rsid w:val="00187622"/>
    <w:rsid w:val="0019278D"/>
    <w:rsid w:val="00194924"/>
    <w:rsid w:val="001967C4"/>
    <w:rsid w:val="00196E7B"/>
    <w:rsid w:val="0019736B"/>
    <w:rsid w:val="001A30B0"/>
    <w:rsid w:val="001A7D41"/>
    <w:rsid w:val="001B011A"/>
    <w:rsid w:val="001B10D7"/>
    <w:rsid w:val="001B2EA3"/>
    <w:rsid w:val="001B33A0"/>
    <w:rsid w:val="001C040D"/>
    <w:rsid w:val="001C16C4"/>
    <w:rsid w:val="001C3DAD"/>
    <w:rsid w:val="001C52D7"/>
    <w:rsid w:val="001C6D22"/>
    <w:rsid w:val="001D4A86"/>
    <w:rsid w:val="001D6C99"/>
    <w:rsid w:val="001E1EFC"/>
    <w:rsid w:val="001E264F"/>
    <w:rsid w:val="001F288E"/>
    <w:rsid w:val="001F75FE"/>
    <w:rsid w:val="001F79F3"/>
    <w:rsid w:val="00201FE5"/>
    <w:rsid w:val="002026CA"/>
    <w:rsid w:val="002035A9"/>
    <w:rsid w:val="002049CA"/>
    <w:rsid w:val="00204F53"/>
    <w:rsid w:val="002058D6"/>
    <w:rsid w:val="0020779E"/>
    <w:rsid w:val="00214B94"/>
    <w:rsid w:val="00216A27"/>
    <w:rsid w:val="0022031E"/>
    <w:rsid w:val="00221DD9"/>
    <w:rsid w:val="00222137"/>
    <w:rsid w:val="002235C0"/>
    <w:rsid w:val="0022454A"/>
    <w:rsid w:val="00227458"/>
    <w:rsid w:val="00230C64"/>
    <w:rsid w:val="002310DA"/>
    <w:rsid w:val="00233166"/>
    <w:rsid w:val="002345D8"/>
    <w:rsid w:val="0024188B"/>
    <w:rsid w:val="00245BE0"/>
    <w:rsid w:val="00246095"/>
    <w:rsid w:val="002508CF"/>
    <w:rsid w:val="00253C4A"/>
    <w:rsid w:val="00256833"/>
    <w:rsid w:val="00256CFA"/>
    <w:rsid w:val="00261927"/>
    <w:rsid w:val="00261C6C"/>
    <w:rsid w:val="002622C9"/>
    <w:rsid w:val="002626DF"/>
    <w:rsid w:val="00262C75"/>
    <w:rsid w:val="00267F04"/>
    <w:rsid w:val="00272B82"/>
    <w:rsid w:val="00273D64"/>
    <w:rsid w:val="00274A94"/>
    <w:rsid w:val="00275464"/>
    <w:rsid w:val="00280310"/>
    <w:rsid w:val="00280A6F"/>
    <w:rsid w:val="00284638"/>
    <w:rsid w:val="00285A3C"/>
    <w:rsid w:val="00290009"/>
    <w:rsid w:val="00294A08"/>
    <w:rsid w:val="0029547D"/>
    <w:rsid w:val="002974C3"/>
    <w:rsid w:val="002978DB"/>
    <w:rsid w:val="002A03D6"/>
    <w:rsid w:val="002A1A9E"/>
    <w:rsid w:val="002A277F"/>
    <w:rsid w:val="002A38FC"/>
    <w:rsid w:val="002A4B9F"/>
    <w:rsid w:val="002A53E7"/>
    <w:rsid w:val="002A5DC9"/>
    <w:rsid w:val="002B16F9"/>
    <w:rsid w:val="002B5237"/>
    <w:rsid w:val="002B537C"/>
    <w:rsid w:val="002B624F"/>
    <w:rsid w:val="002B719D"/>
    <w:rsid w:val="002B7987"/>
    <w:rsid w:val="002B7EDD"/>
    <w:rsid w:val="002C313C"/>
    <w:rsid w:val="002D7127"/>
    <w:rsid w:val="002D71F9"/>
    <w:rsid w:val="002E2E43"/>
    <w:rsid w:val="002F0150"/>
    <w:rsid w:val="002F0312"/>
    <w:rsid w:val="002F1410"/>
    <w:rsid w:val="002F1423"/>
    <w:rsid w:val="002F39C8"/>
    <w:rsid w:val="002F5E8B"/>
    <w:rsid w:val="002F6295"/>
    <w:rsid w:val="002F6DF2"/>
    <w:rsid w:val="002F725D"/>
    <w:rsid w:val="002F78E8"/>
    <w:rsid w:val="002F7AD2"/>
    <w:rsid w:val="0030054B"/>
    <w:rsid w:val="00301D4C"/>
    <w:rsid w:val="003020DD"/>
    <w:rsid w:val="003026A4"/>
    <w:rsid w:val="00302C5D"/>
    <w:rsid w:val="0030412D"/>
    <w:rsid w:val="00314360"/>
    <w:rsid w:val="00314FF8"/>
    <w:rsid w:val="00316E75"/>
    <w:rsid w:val="0031761D"/>
    <w:rsid w:val="003206E2"/>
    <w:rsid w:val="00322DAD"/>
    <w:rsid w:val="003255EA"/>
    <w:rsid w:val="00326E42"/>
    <w:rsid w:val="003303FE"/>
    <w:rsid w:val="003313E3"/>
    <w:rsid w:val="003323DB"/>
    <w:rsid w:val="003354C7"/>
    <w:rsid w:val="00336025"/>
    <w:rsid w:val="003378D5"/>
    <w:rsid w:val="00343EB0"/>
    <w:rsid w:val="00344A7C"/>
    <w:rsid w:val="00344ED5"/>
    <w:rsid w:val="003454CC"/>
    <w:rsid w:val="00347318"/>
    <w:rsid w:val="00351DD7"/>
    <w:rsid w:val="00356469"/>
    <w:rsid w:val="003576DB"/>
    <w:rsid w:val="00362740"/>
    <w:rsid w:val="0036538D"/>
    <w:rsid w:val="0036679A"/>
    <w:rsid w:val="00370D17"/>
    <w:rsid w:val="00373524"/>
    <w:rsid w:val="00373CD5"/>
    <w:rsid w:val="00374F1B"/>
    <w:rsid w:val="00380E2C"/>
    <w:rsid w:val="00383830"/>
    <w:rsid w:val="00385241"/>
    <w:rsid w:val="003863C9"/>
    <w:rsid w:val="00386546"/>
    <w:rsid w:val="00386D27"/>
    <w:rsid w:val="00387668"/>
    <w:rsid w:val="00391D59"/>
    <w:rsid w:val="00392DBD"/>
    <w:rsid w:val="003934BF"/>
    <w:rsid w:val="003972A0"/>
    <w:rsid w:val="0039789B"/>
    <w:rsid w:val="00397C06"/>
    <w:rsid w:val="00397C25"/>
    <w:rsid w:val="003A104D"/>
    <w:rsid w:val="003A34EE"/>
    <w:rsid w:val="003A5D9C"/>
    <w:rsid w:val="003A64C3"/>
    <w:rsid w:val="003A72F2"/>
    <w:rsid w:val="003B0B2B"/>
    <w:rsid w:val="003B2C55"/>
    <w:rsid w:val="003B6D8B"/>
    <w:rsid w:val="003C09B1"/>
    <w:rsid w:val="003C1D09"/>
    <w:rsid w:val="003C30A1"/>
    <w:rsid w:val="003C3DAA"/>
    <w:rsid w:val="003C4CD0"/>
    <w:rsid w:val="003C6BFA"/>
    <w:rsid w:val="003D0FE2"/>
    <w:rsid w:val="003D2D62"/>
    <w:rsid w:val="003D30B6"/>
    <w:rsid w:val="003D4029"/>
    <w:rsid w:val="003D46F9"/>
    <w:rsid w:val="003D62C1"/>
    <w:rsid w:val="003E59FD"/>
    <w:rsid w:val="003E7324"/>
    <w:rsid w:val="003F0473"/>
    <w:rsid w:val="003F12B5"/>
    <w:rsid w:val="003F155A"/>
    <w:rsid w:val="003F2BAE"/>
    <w:rsid w:val="003F4628"/>
    <w:rsid w:val="003F499C"/>
    <w:rsid w:val="003F5BAD"/>
    <w:rsid w:val="003F6B75"/>
    <w:rsid w:val="003F7CC9"/>
    <w:rsid w:val="0040254F"/>
    <w:rsid w:val="0040270F"/>
    <w:rsid w:val="00402F00"/>
    <w:rsid w:val="00404518"/>
    <w:rsid w:val="004065E1"/>
    <w:rsid w:val="00411887"/>
    <w:rsid w:val="00412EA5"/>
    <w:rsid w:val="004133F7"/>
    <w:rsid w:val="0042062A"/>
    <w:rsid w:val="00420F1D"/>
    <w:rsid w:val="00422556"/>
    <w:rsid w:val="00424F73"/>
    <w:rsid w:val="0042635A"/>
    <w:rsid w:val="00426BB6"/>
    <w:rsid w:val="00430280"/>
    <w:rsid w:val="0043076E"/>
    <w:rsid w:val="004309D5"/>
    <w:rsid w:val="004318AC"/>
    <w:rsid w:val="0043491E"/>
    <w:rsid w:val="00444E85"/>
    <w:rsid w:val="00444EED"/>
    <w:rsid w:val="00446BFB"/>
    <w:rsid w:val="00447C8D"/>
    <w:rsid w:val="00450C36"/>
    <w:rsid w:val="00451491"/>
    <w:rsid w:val="00451E47"/>
    <w:rsid w:val="0045294A"/>
    <w:rsid w:val="00455199"/>
    <w:rsid w:val="00455533"/>
    <w:rsid w:val="00462370"/>
    <w:rsid w:val="00462FB3"/>
    <w:rsid w:val="0046522A"/>
    <w:rsid w:val="00466B78"/>
    <w:rsid w:val="00466DC8"/>
    <w:rsid w:val="004678A4"/>
    <w:rsid w:val="0047090A"/>
    <w:rsid w:val="00470F94"/>
    <w:rsid w:val="00472136"/>
    <w:rsid w:val="00472E22"/>
    <w:rsid w:val="00473F86"/>
    <w:rsid w:val="00475307"/>
    <w:rsid w:val="0047549B"/>
    <w:rsid w:val="00476523"/>
    <w:rsid w:val="004820DE"/>
    <w:rsid w:val="004825D0"/>
    <w:rsid w:val="004838C9"/>
    <w:rsid w:val="00485F95"/>
    <w:rsid w:val="00487C31"/>
    <w:rsid w:val="00490255"/>
    <w:rsid w:val="0049089B"/>
    <w:rsid w:val="004931B3"/>
    <w:rsid w:val="00494FB9"/>
    <w:rsid w:val="00495102"/>
    <w:rsid w:val="004968E5"/>
    <w:rsid w:val="004A41D6"/>
    <w:rsid w:val="004A42D2"/>
    <w:rsid w:val="004A528F"/>
    <w:rsid w:val="004A6D71"/>
    <w:rsid w:val="004A6F2A"/>
    <w:rsid w:val="004A7FA0"/>
    <w:rsid w:val="004B1D54"/>
    <w:rsid w:val="004B5E8D"/>
    <w:rsid w:val="004B6386"/>
    <w:rsid w:val="004C2287"/>
    <w:rsid w:val="004C2E1A"/>
    <w:rsid w:val="004D1960"/>
    <w:rsid w:val="004D49E7"/>
    <w:rsid w:val="004D5942"/>
    <w:rsid w:val="004D7A00"/>
    <w:rsid w:val="004E3B98"/>
    <w:rsid w:val="004E4747"/>
    <w:rsid w:val="004E5060"/>
    <w:rsid w:val="004E67DD"/>
    <w:rsid w:val="004E736F"/>
    <w:rsid w:val="004F1FBA"/>
    <w:rsid w:val="004F4203"/>
    <w:rsid w:val="004F4F11"/>
    <w:rsid w:val="004F5ED1"/>
    <w:rsid w:val="004F6729"/>
    <w:rsid w:val="005003A1"/>
    <w:rsid w:val="00502CF0"/>
    <w:rsid w:val="005040B9"/>
    <w:rsid w:val="005043EB"/>
    <w:rsid w:val="00511EA4"/>
    <w:rsid w:val="00516BFE"/>
    <w:rsid w:val="00521A62"/>
    <w:rsid w:val="00521DFE"/>
    <w:rsid w:val="005222AB"/>
    <w:rsid w:val="005239C6"/>
    <w:rsid w:val="00524E39"/>
    <w:rsid w:val="005250F7"/>
    <w:rsid w:val="00531CFF"/>
    <w:rsid w:val="0053360F"/>
    <w:rsid w:val="005356CA"/>
    <w:rsid w:val="00535F40"/>
    <w:rsid w:val="0053784D"/>
    <w:rsid w:val="00540BFB"/>
    <w:rsid w:val="00541A20"/>
    <w:rsid w:val="00543067"/>
    <w:rsid w:val="00545B46"/>
    <w:rsid w:val="00546ACE"/>
    <w:rsid w:val="005478A6"/>
    <w:rsid w:val="00551084"/>
    <w:rsid w:val="00551A79"/>
    <w:rsid w:val="00554044"/>
    <w:rsid w:val="005553F3"/>
    <w:rsid w:val="005573C4"/>
    <w:rsid w:val="00562185"/>
    <w:rsid w:val="005634BF"/>
    <w:rsid w:val="00563F2A"/>
    <w:rsid w:val="005646BA"/>
    <w:rsid w:val="00564999"/>
    <w:rsid w:val="00565E3F"/>
    <w:rsid w:val="00566BE5"/>
    <w:rsid w:val="00566F37"/>
    <w:rsid w:val="00566FA4"/>
    <w:rsid w:val="00567128"/>
    <w:rsid w:val="00570C56"/>
    <w:rsid w:val="00573E6A"/>
    <w:rsid w:val="00576938"/>
    <w:rsid w:val="00581EF8"/>
    <w:rsid w:val="00582E83"/>
    <w:rsid w:val="00583298"/>
    <w:rsid w:val="005862E6"/>
    <w:rsid w:val="005864AD"/>
    <w:rsid w:val="0059011F"/>
    <w:rsid w:val="00590598"/>
    <w:rsid w:val="00595063"/>
    <w:rsid w:val="00595AA9"/>
    <w:rsid w:val="0059616A"/>
    <w:rsid w:val="005A0666"/>
    <w:rsid w:val="005A0A1A"/>
    <w:rsid w:val="005B12F7"/>
    <w:rsid w:val="005B1C4C"/>
    <w:rsid w:val="005B2298"/>
    <w:rsid w:val="005C26A9"/>
    <w:rsid w:val="005C2D3F"/>
    <w:rsid w:val="005C675F"/>
    <w:rsid w:val="005C6C65"/>
    <w:rsid w:val="005D04C2"/>
    <w:rsid w:val="005D0661"/>
    <w:rsid w:val="005D1970"/>
    <w:rsid w:val="005D1C44"/>
    <w:rsid w:val="005D2207"/>
    <w:rsid w:val="005D5597"/>
    <w:rsid w:val="005D657D"/>
    <w:rsid w:val="005D6884"/>
    <w:rsid w:val="005D6926"/>
    <w:rsid w:val="005D77E6"/>
    <w:rsid w:val="005E07EB"/>
    <w:rsid w:val="005E2801"/>
    <w:rsid w:val="005E3848"/>
    <w:rsid w:val="005F1709"/>
    <w:rsid w:val="005F65D5"/>
    <w:rsid w:val="00606A2B"/>
    <w:rsid w:val="00606BF1"/>
    <w:rsid w:val="00607970"/>
    <w:rsid w:val="00607D59"/>
    <w:rsid w:val="006134A8"/>
    <w:rsid w:val="006161C3"/>
    <w:rsid w:val="00617761"/>
    <w:rsid w:val="00620BBF"/>
    <w:rsid w:val="00621D86"/>
    <w:rsid w:val="00622306"/>
    <w:rsid w:val="00622AA0"/>
    <w:rsid w:val="00622ECD"/>
    <w:rsid w:val="00626300"/>
    <w:rsid w:val="006273A0"/>
    <w:rsid w:val="0063582E"/>
    <w:rsid w:val="006375E6"/>
    <w:rsid w:val="00637BE5"/>
    <w:rsid w:val="006401D5"/>
    <w:rsid w:val="00642661"/>
    <w:rsid w:val="00644142"/>
    <w:rsid w:val="00646EDB"/>
    <w:rsid w:val="00655181"/>
    <w:rsid w:val="006600D8"/>
    <w:rsid w:val="00662856"/>
    <w:rsid w:val="00664CAC"/>
    <w:rsid w:val="00667D29"/>
    <w:rsid w:val="00671D7A"/>
    <w:rsid w:val="0067292D"/>
    <w:rsid w:val="006738FB"/>
    <w:rsid w:val="00674BA6"/>
    <w:rsid w:val="00675349"/>
    <w:rsid w:val="0067764C"/>
    <w:rsid w:val="006804EF"/>
    <w:rsid w:val="0068115E"/>
    <w:rsid w:val="00681305"/>
    <w:rsid w:val="006828C0"/>
    <w:rsid w:val="0068683D"/>
    <w:rsid w:val="00687F5D"/>
    <w:rsid w:val="00690A19"/>
    <w:rsid w:val="006A5BE8"/>
    <w:rsid w:val="006A5F58"/>
    <w:rsid w:val="006A6BED"/>
    <w:rsid w:val="006A74BC"/>
    <w:rsid w:val="006A7D7E"/>
    <w:rsid w:val="006B0197"/>
    <w:rsid w:val="006B15A0"/>
    <w:rsid w:val="006B2184"/>
    <w:rsid w:val="006B2B4F"/>
    <w:rsid w:val="006B2FF5"/>
    <w:rsid w:val="006B4A37"/>
    <w:rsid w:val="006B750E"/>
    <w:rsid w:val="006B7CF3"/>
    <w:rsid w:val="006C1459"/>
    <w:rsid w:val="006C2A39"/>
    <w:rsid w:val="006C2E7D"/>
    <w:rsid w:val="006C458A"/>
    <w:rsid w:val="006C5145"/>
    <w:rsid w:val="006C5F3C"/>
    <w:rsid w:val="006D060F"/>
    <w:rsid w:val="006D0E1A"/>
    <w:rsid w:val="006D323E"/>
    <w:rsid w:val="006D3C11"/>
    <w:rsid w:val="006D3EAE"/>
    <w:rsid w:val="006D5C2E"/>
    <w:rsid w:val="006D67F5"/>
    <w:rsid w:val="006D715B"/>
    <w:rsid w:val="006E2037"/>
    <w:rsid w:val="006E2862"/>
    <w:rsid w:val="006E446A"/>
    <w:rsid w:val="006E7071"/>
    <w:rsid w:val="006F06F3"/>
    <w:rsid w:val="006F0813"/>
    <w:rsid w:val="006F0AA0"/>
    <w:rsid w:val="006F4CC4"/>
    <w:rsid w:val="006F73DF"/>
    <w:rsid w:val="0070073E"/>
    <w:rsid w:val="0070140B"/>
    <w:rsid w:val="00707BB1"/>
    <w:rsid w:val="00711599"/>
    <w:rsid w:val="007148DA"/>
    <w:rsid w:val="00721703"/>
    <w:rsid w:val="00721F4E"/>
    <w:rsid w:val="00721FEA"/>
    <w:rsid w:val="0072224E"/>
    <w:rsid w:val="00722724"/>
    <w:rsid w:val="00725669"/>
    <w:rsid w:val="00727CD3"/>
    <w:rsid w:val="00730BC1"/>
    <w:rsid w:val="007314E6"/>
    <w:rsid w:val="007322A9"/>
    <w:rsid w:val="00732BDA"/>
    <w:rsid w:val="00734361"/>
    <w:rsid w:val="00734BAE"/>
    <w:rsid w:val="0073545B"/>
    <w:rsid w:val="007368B1"/>
    <w:rsid w:val="007400B1"/>
    <w:rsid w:val="007414A8"/>
    <w:rsid w:val="007436D8"/>
    <w:rsid w:val="00744143"/>
    <w:rsid w:val="00747467"/>
    <w:rsid w:val="00750050"/>
    <w:rsid w:val="00750CC7"/>
    <w:rsid w:val="007512E9"/>
    <w:rsid w:val="00751826"/>
    <w:rsid w:val="00754529"/>
    <w:rsid w:val="00755896"/>
    <w:rsid w:val="007560D6"/>
    <w:rsid w:val="00757069"/>
    <w:rsid w:val="0075791A"/>
    <w:rsid w:val="00757CBE"/>
    <w:rsid w:val="007600A0"/>
    <w:rsid w:val="00760EA3"/>
    <w:rsid w:val="00762899"/>
    <w:rsid w:val="00764D6A"/>
    <w:rsid w:val="0077007F"/>
    <w:rsid w:val="0077309B"/>
    <w:rsid w:val="00774C45"/>
    <w:rsid w:val="00775887"/>
    <w:rsid w:val="00777E10"/>
    <w:rsid w:val="00780679"/>
    <w:rsid w:val="0078127D"/>
    <w:rsid w:val="0078236A"/>
    <w:rsid w:val="007824F9"/>
    <w:rsid w:val="00782C07"/>
    <w:rsid w:val="00782FDB"/>
    <w:rsid w:val="00791295"/>
    <w:rsid w:val="007948DB"/>
    <w:rsid w:val="00795447"/>
    <w:rsid w:val="007957DD"/>
    <w:rsid w:val="00795C75"/>
    <w:rsid w:val="00797CD2"/>
    <w:rsid w:val="007A0C0D"/>
    <w:rsid w:val="007A2DB9"/>
    <w:rsid w:val="007A4771"/>
    <w:rsid w:val="007A5C5E"/>
    <w:rsid w:val="007A6CAD"/>
    <w:rsid w:val="007A7AB5"/>
    <w:rsid w:val="007B16E2"/>
    <w:rsid w:val="007B31EF"/>
    <w:rsid w:val="007B3A0F"/>
    <w:rsid w:val="007B3DD0"/>
    <w:rsid w:val="007B75FE"/>
    <w:rsid w:val="007C0FAB"/>
    <w:rsid w:val="007C1CB5"/>
    <w:rsid w:val="007C22D7"/>
    <w:rsid w:val="007D1BD6"/>
    <w:rsid w:val="007D1D0F"/>
    <w:rsid w:val="007D2029"/>
    <w:rsid w:val="007D21FB"/>
    <w:rsid w:val="007D2900"/>
    <w:rsid w:val="007D4B73"/>
    <w:rsid w:val="007D74CF"/>
    <w:rsid w:val="007E1E91"/>
    <w:rsid w:val="007E38C8"/>
    <w:rsid w:val="007E63BB"/>
    <w:rsid w:val="007E647D"/>
    <w:rsid w:val="007F0B8D"/>
    <w:rsid w:val="007F1155"/>
    <w:rsid w:val="007F46D9"/>
    <w:rsid w:val="007F4964"/>
    <w:rsid w:val="007F5E08"/>
    <w:rsid w:val="007F5E21"/>
    <w:rsid w:val="007F7D00"/>
    <w:rsid w:val="007F7E51"/>
    <w:rsid w:val="00803279"/>
    <w:rsid w:val="008033D5"/>
    <w:rsid w:val="008036D4"/>
    <w:rsid w:val="00804E0C"/>
    <w:rsid w:val="008051E9"/>
    <w:rsid w:val="008076F5"/>
    <w:rsid w:val="00810E15"/>
    <w:rsid w:val="00811172"/>
    <w:rsid w:val="008128E8"/>
    <w:rsid w:val="00813079"/>
    <w:rsid w:val="00814CE7"/>
    <w:rsid w:val="00814DC4"/>
    <w:rsid w:val="00814EF5"/>
    <w:rsid w:val="00820BFC"/>
    <w:rsid w:val="00820EFF"/>
    <w:rsid w:val="00821FDA"/>
    <w:rsid w:val="00822A5B"/>
    <w:rsid w:val="00825045"/>
    <w:rsid w:val="008259FC"/>
    <w:rsid w:val="008271B5"/>
    <w:rsid w:val="00827747"/>
    <w:rsid w:val="008302AA"/>
    <w:rsid w:val="008303A2"/>
    <w:rsid w:val="00831ABF"/>
    <w:rsid w:val="00831CD4"/>
    <w:rsid w:val="0083428A"/>
    <w:rsid w:val="00836924"/>
    <w:rsid w:val="00837C6E"/>
    <w:rsid w:val="008409A5"/>
    <w:rsid w:val="008415A8"/>
    <w:rsid w:val="00843CFD"/>
    <w:rsid w:val="00844FDB"/>
    <w:rsid w:val="00845652"/>
    <w:rsid w:val="0084594E"/>
    <w:rsid w:val="008467C4"/>
    <w:rsid w:val="00847AC7"/>
    <w:rsid w:val="00847BFA"/>
    <w:rsid w:val="00850E1B"/>
    <w:rsid w:val="00852C87"/>
    <w:rsid w:val="008538A4"/>
    <w:rsid w:val="008547E8"/>
    <w:rsid w:val="00854CC8"/>
    <w:rsid w:val="00854CFB"/>
    <w:rsid w:val="00862730"/>
    <w:rsid w:val="008628BD"/>
    <w:rsid w:val="00862962"/>
    <w:rsid w:val="00865BF0"/>
    <w:rsid w:val="00866554"/>
    <w:rsid w:val="00872FEE"/>
    <w:rsid w:val="00873D52"/>
    <w:rsid w:val="00874438"/>
    <w:rsid w:val="0087742A"/>
    <w:rsid w:val="008810A8"/>
    <w:rsid w:val="00885595"/>
    <w:rsid w:val="00885FAA"/>
    <w:rsid w:val="00890B97"/>
    <w:rsid w:val="00890F51"/>
    <w:rsid w:val="008944FE"/>
    <w:rsid w:val="00895E56"/>
    <w:rsid w:val="008976B5"/>
    <w:rsid w:val="008A0DC7"/>
    <w:rsid w:val="008A4ED9"/>
    <w:rsid w:val="008A6A48"/>
    <w:rsid w:val="008A7FE7"/>
    <w:rsid w:val="008B1475"/>
    <w:rsid w:val="008B48C1"/>
    <w:rsid w:val="008B5C22"/>
    <w:rsid w:val="008B5FD1"/>
    <w:rsid w:val="008B68B0"/>
    <w:rsid w:val="008B7D63"/>
    <w:rsid w:val="008C090A"/>
    <w:rsid w:val="008C1B98"/>
    <w:rsid w:val="008C1E93"/>
    <w:rsid w:val="008C1F5C"/>
    <w:rsid w:val="008C2178"/>
    <w:rsid w:val="008C345E"/>
    <w:rsid w:val="008C3E17"/>
    <w:rsid w:val="008C693E"/>
    <w:rsid w:val="008C6A9A"/>
    <w:rsid w:val="008D2C1E"/>
    <w:rsid w:val="008D3026"/>
    <w:rsid w:val="008D421C"/>
    <w:rsid w:val="008D4D2B"/>
    <w:rsid w:val="008D52AE"/>
    <w:rsid w:val="008D54BE"/>
    <w:rsid w:val="008D5956"/>
    <w:rsid w:val="008E03CE"/>
    <w:rsid w:val="008E0522"/>
    <w:rsid w:val="008E19E3"/>
    <w:rsid w:val="008E227E"/>
    <w:rsid w:val="008E6816"/>
    <w:rsid w:val="008E6F02"/>
    <w:rsid w:val="008E7548"/>
    <w:rsid w:val="008F2506"/>
    <w:rsid w:val="008F54F8"/>
    <w:rsid w:val="008F61C1"/>
    <w:rsid w:val="008F7FAF"/>
    <w:rsid w:val="00900B4B"/>
    <w:rsid w:val="00901C19"/>
    <w:rsid w:val="00907841"/>
    <w:rsid w:val="00907AA0"/>
    <w:rsid w:val="009120C2"/>
    <w:rsid w:val="00913AAC"/>
    <w:rsid w:val="00914497"/>
    <w:rsid w:val="00914E0A"/>
    <w:rsid w:val="00916C16"/>
    <w:rsid w:val="00920311"/>
    <w:rsid w:val="00920A85"/>
    <w:rsid w:val="0092122E"/>
    <w:rsid w:val="009215A2"/>
    <w:rsid w:val="00923784"/>
    <w:rsid w:val="00925A82"/>
    <w:rsid w:val="00931CDC"/>
    <w:rsid w:val="00932672"/>
    <w:rsid w:val="00933925"/>
    <w:rsid w:val="00933E2C"/>
    <w:rsid w:val="00934EAB"/>
    <w:rsid w:val="00936055"/>
    <w:rsid w:val="0093640D"/>
    <w:rsid w:val="00936442"/>
    <w:rsid w:val="00940ABA"/>
    <w:rsid w:val="00942156"/>
    <w:rsid w:val="009432E2"/>
    <w:rsid w:val="00945787"/>
    <w:rsid w:val="00952723"/>
    <w:rsid w:val="009528E5"/>
    <w:rsid w:val="009534E6"/>
    <w:rsid w:val="0095594E"/>
    <w:rsid w:val="009600DA"/>
    <w:rsid w:val="0096293B"/>
    <w:rsid w:val="00963E90"/>
    <w:rsid w:val="0096529C"/>
    <w:rsid w:val="009711A9"/>
    <w:rsid w:val="00971805"/>
    <w:rsid w:val="00974818"/>
    <w:rsid w:val="00974F28"/>
    <w:rsid w:val="0097513F"/>
    <w:rsid w:val="009760A6"/>
    <w:rsid w:val="00976A40"/>
    <w:rsid w:val="00976FB6"/>
    <w:rsid w:val="00977F1D"/>
    <w:rsid w:val="00980F7E"/>
    <w:rsid w:val="00984EF7"/>
    <w:rsid w:val="00985F8E"/>
    <w:rsid w:val="00990F9C"/>
    <w:rsid w:val="00991CB3"/>
    <w:rsid w:val="00996F9C"/>
    <w:rsid w:val="009970EF"/>
    <w:rsid w:val="00997752"/>
    <w:rsid w:val="009A1154"/>
    <w:rsid w:val="009A7D7C"/>
    <w:rsid w:val="009B3417"/>
    <w:rsid w:val="009B34C3"/>
    <w:rsid w:val="009B41E2"/>
    <w:rsid w:val="009B564A"/>
    <w:rsid w:val="009B5ADE"/>
    <w:rsid w:val="009B605F"/>
    <w:rsid w:val="009B6C24"/>
    <w:rsid w:val="009B7132"/>
    <w:rsid w:val="009B72F9"/>
    <w:rsid w:val="009C0B38"/>
    <w:rsid w:val="009C10A2"/>
    <w:rsid w:val="009C147A"/>
    <w:rsid w:val="009C158F"/>
    <w:rsid w:val="009C2185"/>
    <w:rsid w:val="009C568F"/>
    <w:rsid w:val="009C73A6"/>
    <w:rsid w:val="009D010F"/>
    <w:rsid w:val="009D1AFD"/>
    <w:rsid w:val="009D438C"/>
    <w:rsid w:val="009D6162"/>
    <w:rsid w:val="009D623E"/>
    <w:rsid w:val="009E1A21"/>
    <w:rsid w:val="009E22B7"/>
    <w:rsid w:val="009E2A97"/>
    <w:rsid w:val="009E3965"/>
    <w:rsid w:val="009E39B1"/>
    <w:rsid w:val="009E7B94"/>
    <w:rsid w:val="009F0109"/>
    <w:rsid w:val="009F09F6"/>
    <w:rsid w:val="009F1058"/>
    <w:rsid w:val="009F1B0B"/>
    <w:rsid w:val="009F210D"/>
    <w:rsid w:val="009F32DA"/>
    <w:rsid w:val="009F3437"/>
    <w:rsid w:val="009F4771"/>
    <w:rsid w:val="009F566F"/>
    <w:rsid w:val="009F5737"/>
    <w:rsid w:val="00A01556"/>
    <w:rsid w:val="00A04EAA"/>
    <w:rsid w:val="00A068EE"/>
    <w:rsid w:val="00A11BF2"/>
    <w:rsid w:val="00A12F31"/>
    <w:rsid w:val="00A13012"/>
    <w:rsid w:val="00A179D7"/>
    <w:rsid w:val="00A21D61"/>
    <w:rsid w:val="00A227FA"/>
    <w:rsid w:val="00A2409A"/>
    <w:rsid w:val="00A24D1D"/>
    <w:rsid w:val="00A25141"/>
    <w:rsid w:val="00A271FE"/>
    <w:rsid w:val="00A27543"/>
    <w:rsid w:val="00A30EF1"/>
    <w:rsid w:val="00A31303"/>
    <w:rsid w:val="00A34343"/>
    <w:rsid w:val="00A352EE"/>
    <w:rsid w:val="00A35D18"/>
    <w:rsid w:val="00A362A5"/>
    <w:rsid w:val="00A378C1"/>
    <w:rsid w:val="00A415EC"/>
    <w:rsid w:val="00A42802"/>
    <w:rsid w:val="00A4288B"/>
    <w:rsid w:val="00A433F0"/>
    <w:rsid w:val="00A438FD"/>
    <w:rsid w:val="00A467DE"/>
    <w:rsid w:val="00A471CA"/>
    <w:rsid w:val="00A47FEF"/>
    <w:rsid w:val="00A50EF4"/>
    <w:rsid w:val="00A53390"/>
    <w:rsid w:val="00A53C00"/>
    <w:rsid w:val="00A558BF"/>
    <w:rsid w:val="00A558FC"/>
    <w:rsid w:val="00A5797E"/>
    <w:rsid w:val="00A61877"/>
    <w:rsid w:val="00A61DC4"/>
    <w:rsid w:val="00A624F0"/>
    <w:rsid w:val="00A645A6"/>
    <w:rsid w:val="00A654DB"/>
    <w:rsid w:val="00A65AF6"/>
    <w:rsid w:val="00A6698C"/>
    <w:rsid w:val="00A66FF7"/>
    <w:rsid w:val="00A70EB8"/>
    <w:rsid w:val="00A73079"/>
    <w:rsid w:val="00A75481"/>
    <w:rsid w:val="00A83233"/>
    <w:rsid w:val="00A83BF5"/>
    <w:rsid w:val="00A85C01"/>
    <w:rsid w:val="00A91DDB"/>
    <w:rsid w:val="00A92E7C"/>
    <w:rsid w:val="00A9571E"/>
    <w:rsid w:val="00A9588F"/>
    <w:rsid w:val="00A95E22"/>
    <w:rsid w:val="00AA035D"/>
    <w:rsid w:val="00AA180D"/>
    <w:rsid w:val="00AA25BC"/>
    <w:rsid w:val="00AA32FC"/>
    <w:rsid w:val="00AA441A"/>
    <w:rsid w:val="00AA682B"/>
    <w:rsid w:val="00AA78EC"/>
    <w:rsid w:val="00AA7940"/>
    <w:rsid w:val="00AB17C6"/>
    <w:rsid w:val="00AB28B0"/>
    <w:rsid w:val="00AB3F2C"/>
    <w:rsid w:val="00AB4347"/>
    <w:rsid w:val="00AB52CF"/>
    <w:rsid w:val="00AC2561"/>
    <w:rsid w:val="00AC3657"/>
    <w:rsid w:val="00AC497D"/>
    <w:rsid w:val="00AC5D1E"/>
    <w:rsid w:val="00AC6482"/>
    <w:rsid w:val="00AC6D4C"/>
    <w:rsid w:val="00AC7AEA"/>
    <w:rsid w:val="00AC7C3B"/>
    <w:rsid w:val="00AD1854"/>
    <w:rsid w:val="00AD1C24"/>
    <w:rsid w:val="00AD3151"/>
    <w:rsid w:val="00AD3367"/>
    <w:rsid w:val="00AD5196"/>
    <w:rsid w:val="00AD5A3C"/>
    <w:rsid w:val="00AD7489"/>
    <w:rsid w:val="00AE23F3"/>
    <w:rsid w:val="00AE3155"/>
    <w:rsid w:val="00AE7DED"/>
    <w:rsid w:val="00AF2AAB"/>
    <w:rsid w:val="00AF3A67"/>
    <w:rsid w:val="00AF44FC"/>
    <w:rsid w:val="00B01773"/>
    <w:rsid w:val="00B0391A"/>
    <w:rsid w:val="00B0398E"/>
    <w:rsid w:val="00B0642E"/>
    <w:rsid w:val="00B07E3C"/>
    <w:rsid w:val="00B12543"/>
    <w:rsid w:val="00B12F8E"/>
    <w:rsid w:val="00B1725E"/>
    <w:rsid w:val="00B17FCB"/>
    <w:rsid w:val="00B2093E"/>
    <w:rsid w:val="00B22B97"/>
    <w:rsid w:val="00B2304E"/>
    <w:rsid w:val="00B2504F"/>
    <w:rsid w:val="00B27BAF"/>
    <w:rsid w:val="00B27E0A"/>
    <w:rsid w:val="00B27FDB"/>
    <w:rsid w:val="00B30470"/>
    <w:rsid w:val="00B3090D"/>
    <w:rsid w:val="00B332DF"/>
    <w:rsid w:val="00B34245"/>
    <w:rsid w:val="00B34EE5"/>
    <w:rsid w:val="00B4108D"/>
    <w:rsid w:val="00B426CD"/>
    <w:rsid w:val="00B42B35"/>
    <w:rsid w:val="00B435DD"/>
    <w:rsid w:val="00B44E2A"/>
    <w:rsid w:val="00B45944"/>
    <w:rsid w:val="00B54982"/>
    <w:rsid w:val="00B5740E"/>
    <w:rsid w:val="00B636CD"/>
    <w:rsid w:val="00B63DA6"/>
    <w:rsid w:val="00B6402C"/>
    <w:rsid w:val="00B705BC"/>
    <w:rsid w:val="00B70C18"/>
    <w:rsid w:val="00B7782B"/>
    <w:rsid w:val="00B83080"/>
    <w:rsid w:val="00B833BC"/>
    <w:rsid w:val="00B83E16"/>
    <w:rsid w:val="00B8408C"/>
    <w:rsid w:val="00B850D8"/>
    <w:rsid w:val="00B85199"/>
    <w:rsid w:val="00B85FA1"/>
    <w:rsid w:val="00B874F0"/>
    <w:rsid w:val="00B90423"/>
    <w:rsid w:val="00B93F7F"/>
    <w:rsid w:val="00B9630E"/>
    <w:rsid w:val="00B97983"/>
    <w:rsid w:val="00B97E61"/>
    <w:rsid w:val="00B97ED1"/>
    <w:rsid w:val="00BA266D"/>
    <w:rsid w:val="00BA3216"/>
    <w:rsid w:val="00BA3CC4"/>
    <w:rsid w:val="00BA4322"/>
    <w:rsid w:val="00BA51E5"/>
    <w:rsid w:val="00BA55D0"/>
    <w:rsid w:val="00BA6571"/>
    <w:rsid w:val="00BB2C68"/>
    <w:rsid w:val="00BB5461"/>
    <w:rsid w:val="00BB6B8A"/>
    <w:rsid w:val="00BB7A74"/>
    <w:rsid w:val="00BC03E8"/>
    <w:rsid w:val="00BC3C5F"/>
    <w:rsid w:val="00BD2609"/>
    <w:rsid w:val="00BD5E8E"/>
    <w:rsid w:val="00BD5F34"/>
    <w:rsid w:val="00BE5349"/>
    <w:rsid w:val="00BE71D0"/>
    <w:rsid w:val="00BF16C3"/>
    <w:rsid w:val="00BF38D8"/>
    <w:rsid w:val="00BF44B1"/>
    <w:rsid w:val="00C003C5"/>
    <w:rsid w:val="00C016D2"/>
    <w:rsid w:val="00C01B99"/>
    <w:rsid w:val="00C0210B"/>
    <w:rsid w:val="00C02519"/>
    <w:rsid w:val="00C03CD2"/>
    <w:rsid w:val="00C056AC"/>
    <w:rsid w:val="00C07B41"/>
    <w:rsid w:val="00C10FE6"/>
    <w:rsid w:val="00C12544"/>
    <w:rsid w:val="00C1500C"/>
    <w:rsid w:val="00C1549F"/>
    <w:rsid w:val="00C20BA7"/>
    <w:rsid w:val="00C20CA7"/>
    <w:rsid w:val="00C25E23"/>
    <w:rsid w:val="00C270F8"/>
    <w:rsid w:val="00C317BD"/>
    <w:rsid w:val="00C319EF"/>
    <w:rsid w:val="00C32186"/>
    <w:rsid w:val="00C34CB9"/>
    <w:rsid w:val="00C36C78"/>
    <w:rsid w:val="00C41066"/>
    <w:rsid w:val="00C4323B"/>
    <w:rsid w:val="00C4362D"/>
    <w:rsid w:val="00C43A9B"/>
    <w:rsid w:val="00C43DEC"/>
    <w:rsid w:val="00C456C5"/>
    <w:rsid w:val="00C457E5"/>
    <w:rsid w:val="00C4661D"/>
    <w:rsid w:val="00C4677B"/>
    <w:rsid w:val="00C47F17"/>
    <w:rsid w:val="00C55011"/>
    <w:rsid w:val="00C557CF"/>
    <w:rsid w:val="00C566BE"/>
    <w:rsid w:val="00C573F3"/>
    <w:rsid w:val="00C5773E"/>
    <w:rsid w:val="00C61E5A"/>
    <w:rsid w:val="00C637E3"/>
    <w:rsid w:val="00C65B9F"/>
    <w:rsid w:val="00C669A0"/>
    <w:rsid w:val="00C7257E"/>
    <w:rsid w:val="00C72746"/>
    <w:rsid w:val="00C75CD5"/>
    <w:rsid w:val="00C76458"/>
    <w:rsid w:val="00C820A1"/>
    <w:rsid w:val="00C821A1"/>
    <w:rsid w:val="00C85C62"/>
    <w:rsid w:val="00C86A17"/>
    <w:rsid w:val="00C90BE6"/>
    <w:rsid w:val="00C91990"/>
    <w:rsid w:val="00CA0404"/>
    <w:rsid w:val="00CA0651"/>
    <w:rsid w:val="00CA0DC8"/>
    <w:rsid w:val="00CB43C7"/>
    <w:rsid w:val="00CB47CE"/>
    <w:rsid w:val="00CB6867"/>
    <w:rsid w:val="00CB7ED3"/>
    <w:rsid w:val="00CC2426"/>
    <w:rsid w:val="00CC2663"/>
    <w:rsid w:val="00CC5BF0"/>
    <w:rsid w:val="00CD1C58"/>
    <w:rsid w:val="00CD38C1"/>
    <w:rsid w:val="00CD5C65"/>
    <w:rsid w:val="00CD6889"/>
    <w:rsid w:val="00CD6BBB"/>
    <w:rsid w:val="00CD79F4"/>
    <w:rsid w:val="00CE1069"/>
    <w:rsid w:val="00CE16F7"/>
    <w:rsid w:val="00CE4E47"/>
    <w:rsid w:val="00CE58B2"/>
    <w:rsid w:val="00CE5F9F"/>
    <w:rsid w:val="00CE605C"/>
    <w:rsid w:val="00CE6517"/>
    <w:rsid w:val="00CE7A96"/>
    <w:rsid w:val="00CF1C34"/>
    <w:rsid w:val="00CF20FB"/>
    <w:rsid w:val="00CF3BC1"/>
    <w:rsid w:val="00CF657F"/>
    <w:rsid w:val="00CF78B2"/>
    <w:rsid w:val="00D03CDA"/>
    <w:rsid w:val="00D04B76"/>
    <w:rsid w:val="00D050E9"/>
    <w:rsid w:val="00D05165"/>
    <w:rsid w:val="00D06FBA"/>
    <w:rsid w:val="00D07027"/>
    <w:rsid w:val="00D07694"/>
    <w:rsid w:val="00D12882"/>
    <w:rsid w:val="00D1319F"/>
    <w:rsid w:val="00D135DA"/>
    <w:rsid w:val="00D1377D"/>
    <w:rsid w:val="00D177E9"/>
    <w:rsid w:val="00D17882"/>
    <w:rsid w:val="00D208DE"/>
    <w:rsid w:val="00D21B08"/>
    <w:rsid w:val="00D22B1F"/>
    <w:rsid w:val="00D240E0"/>
    <w:rsid w:val="00D245E1"/>
    <w:rsid w:val="00D2732B"/>
    <w:rsid w:val="00D31EED"/>
    <w:rsid w:val="00D33C67"/>
    <w:rsid w:val="00D36A45"/>
    <w:rsid w:val="00D403AF"/>
    <w:rsid w:val="00D465F3"/>
    <w:rsid w:val="00D46640"/>
    <w:rsid w:val="00D46695"/>
    <w:rsid w:val="00D53430"/>
    <w:rsid w:val="00D55844"/>
    <w:rsid w:val="00D5661B"/>
    <w:rsid w:val="00D64054"/>
    <w:rsid w:val="00D64539"/>
    <w:rsid w:val="00D6625D"/>
    <w:rsid w:val="00D6728E"/>
    <w:rsid w:val="00D677F3"/>
    <w:rsid w:val="00D700A7"/>
    <w:rsid w:val="00D72227"/>
    <w:rsid w:val="00D73845"/>
    <w:rsid w:val="00D73AE0"/>
    <w:rsid w:val="00D74423"/>
    <w:rsid w:val="00D74B1C"/>
    <w:rsid w:val="00D75601"/>
    <w:rsid w:val="00D83E74"/>
    <w:rsid w:val="00D84131"/>
    <w:rsid w:val="00D875DF"/>
    <w:rsid w:val="00D91708"/>
    <w:rsid w:val="00D92EAE"/>
    <w:rsid w:val="00D93652"/>
    <w:rsid w:val="00D9381F"/>
    <w:rsid w:val="00D93B6B"/>
    <w:rsid w:val="00D9476A"/>
    <w:rsid w:val="00D9651D"/>
    <w:rsid w:val="00DA5D69"/>
    <w:rsid w:val="00DA67B3"/>
    <w:rsid w:val="00DA6BD7"/>
    <w:rsid w:val="00DA7139"/>
    <w:rsid w:val="00DA7EED"/>
    <w:rsid w:val="00DB0697"/>
    <w:rsid w:val="00DB0C57"/>
    <w:rsid w:val="00DB160A"/>
    <w:rsid w:val="00DB18D1"/>
    <w:rsid w:val="00DB19B2"/>
    <w:rsid w:val="00DB2DD5"/>
    <w:rsid w:val="00DB6631"/>
    <w:rsid w:val="00DB6E82"/>
    <w:rsid w:val="00DB7401"/>
    <w:rsid w:val="00DB7CD3"/>
    <w:rsid w:val="00DC0AC3"/>
    <w:rsid w:val="00DC23A4"/>
    <w:rsid w:val="00DC5606"/>
    <w:rsid w:val="00DD1A90"/>
    <w:rsid w:val="00DD30B0"/>
    <w:rsid w:val="00DD3374"/>
    <w:rsid w:val="00DD5420"/>
    <w:rsid w:val="00DE0CBE"/>
    <w:rsid w:val="00DE21DC"/>
    <w:rsid w:val="00DE50C1"/>
    <w:rsid w:val="00DE7C5D"/>
    <w:rsid w:val="00DF006E"/>
    <w:rsid w:val="00DF21BB"/>
    <w:rsid w:val="00DF3439"/>
    <w:rsid w:val="00E007C0"/>
    <w:rsid w:val="00E0092A"/>
    <w:rsid w:val="00E02E8F"/>
    <w:rsid w:val="00E02EEE"/>
    <w:rsid w:val="00E05019"/>
    <w:rsid w:val="00E05790"/>
    <w:rsid w:val="00E074E3"/>
    <w:rsid w:val="00E10B98"/>
    <w:rsid w:val="00E11F77"/>
    <w:rsid w:val="00E13EAF"/>
    <w:rsid w:val="00E142EB"/>
    <w:rsid w:val="00E15BFE"/>
    <w:rsid w:val="00E16F59"/>
    <w:rsid w:val="00E20161"/>
    <w:rsid w:val="00E202DA"/>
    <w:rsid w:val="00E2272C"/>
    <w:rsid w:val="00E2299A"/>
    <w:rsid w:val="00E25259"/>
    <w:rsid w:val="00E25C15"/>
    <w:rsid w:val="00E25E1A"/>
    <w:rsid w:val="00E26122"/>
    <w:rsid w:val="00E31633"/>
    <w:rsid w:val="00E31C13"/>
    <w:rsid w:val="00E33291"/>
    <w:rsid w:val="00E3540A"/>
    <w:rsid w:val="00E3560C"/>
    <w:rsid w:val="00E36C34"/>
    <w:rsid w:val="00E42A76"/>
    <w:rsid w:val="00E42F37"/>
    <w:rsid w:val="00E43E1C"/>
    <w:rsid w:val="00E45BD2"/>
    <w:rsid w:val="00E47470"/>
    <w:rsid w:val="00E50F38"/>
    <w:rsid w:val="00E56DB3"/>
    <w:rsid w:val="00E57BF2"/>
    <w:rsid w:val="00E60971"/>
    <w:rsid w:val="00E6441F"/>
    <w:rsid w:val="00E64AA7"/>
    <w:rsid w:val="00E65A34"/>
    <w:rsid w:val="00E66BFD"/>
    <w:rsid w:val="00E72574"/>
    <w:rsid w:val="00E727D4"/>
    <w:rsid w:val="00E72E94"/>
    <w:rsid w:val="00E74DC5"/>
    <w:rsid w:val="00E75EA0"/>
    <w:rsid w:val="00E776C4"/>
    <w:rsid w:val="00E81746"/>
    <w:rsid w:val="00E82640"/>
    <w:rsid w:val="00E85281"/>
    <w:rsid w:val="00E8739D"/>
    <w:rsid w:val="00E8772F"/>
    <w:rsid w:val="00E87E93"/>
    <w:rsid w:val="00E908E7"/>
    <w:rsid w:val="00E91D72"/>
    <w:rsid w:val="00E95722"/>
    <w:rsid w:val="00E957D7"/>
    <w:rsid w:val="00E9720A"/>
    <w:rsid w:val="00EA3B3E"/>
    <w:rsid w:val="00EA765B"/>
    <w:rsid w:val="00EB1DEE"/>
    <w:rsid w:val="00EB314F"/>
    <w:rsid w:val="00EB5E00"/>
    <w:rsid w:val="00EC01B5"/>
    <w:rsid w:val="00EC0CA6"/>
    <w:rsid w:val="00EC21DC"/>
    <w:rsid w:val="00EC314E"/>
    <w:rsid w:val="00EC4D59"/>
    <w:rsid w:val="00EC4D62"/>
    <w:rsid w:val="00ED02C4"/>
    <w:rsid w:val="00ED042B"/>
    <w:rsid w:val="00ED2386"/>
    <w:rsid w:val="00ED3B72"/>
    <w:rsid w:val="00ED460F"/>
    <w:rsid w:val="00ED697C"/>
    <w:rsid w:val="00EE2651"/>
    <w:rsid w:val="00EE476F"/>
    <w:rsid w:val="00EE5361"/>
    <w:rsid w:val="00EE6CDF"/>
    <w:rsid w:val="00EF0FFB"/>
    <w:rsid w:val="00EF1B9D"/>
    <w:rsid w:val="00EF2D07"/>
    <w:rsid w:val="00EF381A"/>
    <w:rsid w:val="00EF5216"/>
    <w:rsid w:val="00EF5490"/>
    <w:rsid w:val="00EF6605"/>
    <w:rsid w:val="00EF6A1B"/>
    <w:rsid w:val="00EF70AB"/>
    <w:rsid w:val="00F008B9"/>
    <w:rsid w:val="00F01EB4"/>
    <w:rsid w:val="00F0201A"/>
    <w:rsid w:val="00F031EE"/>
    <w:rsid w:val="00F0449B"/>
    <w:rsid w:val="00F06DB1"/>
    <w:rsid w:val="00F1178F"/>
    <w:rsid w:val="00F20403"/>
    <w:rsid w:val="00F23393"/>
    <w:rsid w:val="00F23EC2"/>
    <w:rsid w:val="00F256BE"/>
    <w:rsid w:val="00F303EF"/>
    <w:rsid w:val="00F314F4"/>
    <w:rsid w:val="00F3154D"/>
    <w:rsid w:val="00F315F5"/>
    <w:rsid w:val="00F31FB6"/>
    <w:rsid w:val="00F325AE"/>
    <w:rsid w:val="00F3304E"/>
    <w:rsid w:val="00F408DA"/>
    <w:rsid w:val="00F41293"/>
    <w:rsid w:val="00F41488"/>
    <w:rsid w:val="00F41CAD"/>
    <w:rsid w:val="00F42280"/>
    <w:rsid w:val="00F429F9"/>
    <w:rsid w:val="00F431DD"/>
    <w:rsid w:val="00F44AD6"/>
    <w:rsid w:val="00F461A6"/>
    <w:rsid w:val="00F47680"/>
    <w:rsid w:val="00F533F4"/>
    <w:rsid w:val="00F55926"/>
    <w:rsid w:val="00F568CC"/>
    <w:rsid w:val="00F56B54"/>
    <w:rsid w:val="00F57649"/>
    <w:rsid w:val="00F60576"/>
    <w:rsid w:val="00F61329"/>
    <w:rsid w:val="00F61B78"/>
    <w:rsid w:val="00F629A2"/>
    <w:rsid w:val="00F652CA"/>
    <w:rsid w:val="00F653D4"/>
    <w:rsid w:val="00F737E8"/>
    <w:rsid w:val="00F744C0"/>
    <w:rsid w:val="00F7619C"/>
    <w:rsid w:val="00F768EC"/>
    <w:rsid w:val="00F775F9"/>
    <w:rsid w:val="00F81ED4"/>
    <w:rsid w:val="00F82E6C"/>
    <w:rsid w:val="00F90F4C"/>
    <w:rsid w:val="00F91F2F"/>
    <w:rsid w:val="00F94491"/>
    <w:rsid w:val="00F94BA1"/>
    <w:rsid w:val="00F95E49"/>
    <w:rsid w:val="00F962F9"/>
    <w:rsid w:val="00F9657A"/>
    <w:rsid w:val="00F96F87"/>
    <w:rsid w:val="00F9791F"/>
    <w:rsid w:val="00F97A2D"/>
    <w:rsid w:val="00FA6286"/>
    <w:rsid w:val="00FA6C17"/>
    <w:rsid w:val="00FA6C89"/>
    <w:rsid w:val="00FB0FE5"/>
    <w:rsid w:val="00FB172B"/>
    <w:rsid w:val="00FB29DE"/>
    <w:rsid w:val="00FB713F"/>
    <w:rsid w:val="00FC0834"/>
    <w:rsid w:val="00FC26F1"/>
    <w:rsid w:val="00FC536C"/>
    <w:rsid w:val="00FC6248"/>
    <w:rsid w:val="00FC6845"/>
    <w:rsid w:val="00FC729B"/>
    <w:rsid w:val="00FC7CAA"/>
    <w:rsid w:val="00FD0A2A"/>
    <w:rsid w:val="00FD5E2D"/>
    <w:rsid w:val="00FD6A60"/>
    <w:rsid w:val="00FD6B8B"/>
    <w:rsid w:val="00FD6BC8"/>
    <w:rsid w:val="00FE13B8"/>
    <w:rsid w:val="00FE1608"/>
    <w:rsid w:val="00FF0246"/>
    <w:rsid w:val="00FF3816"/>
    <w:rsid w:val="00FF3A50"/>
    <w:rsid w:val="00FF3AC7"/>
    <w:rsid w:val="00FF6330"/>
    <w:rsid w:val="00FF68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B4855"/>
  <w15:docId w15:val="{DCC5014D-C45B-4050-8C2E-4FAE2E8A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4EED"/>
    <w:pPr>
      <w:keepNext/>
      <w:keepLines/>
      <w:numPr>
        <w:numId w:val="42"/>
      </w:numPr>
      <w:spacing w:after="0" w:line="240" w:lineRule="auto"/>
      <w:ind w:left="0" w:firstLine="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4EE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NZ"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34"/>
    <w:qFormat/>
    <w:rsid w:val="00620BBF"/>
    <w:pPr>
      <w:spacing w:line="240" w:lineRule="auto"/>
      <w:ind w:left="720"/>
      <w:contextualSpacing/>
    </w:pPr>
    <w:rPr>
      <w:rFonts w:ascii="Calibri" w:eastAsia="Calibri" w:hAnsi="Calibri" w:cs="Times New Roman"/>
      <w:sz w:val="24"/>
    </w:rPr>
  </w:style>
  <w:style w:type="character" w:customStyle="1" w:styleId="UnresolvedMention1">
    <w:name w:val="Unresolved Mention1"/>
    <w:basedOn w:val="DefaultParagraphFont"/>
    <w:uiPriority w:val="99"/>
    <w:semiHidden/>
    <w:unhideWhenUsed/>
    <w:rsid w:val="00A92E7C"/>
    <w:rPr>
      <w:color w:val="605E5C"/>
      <w:shd w:val="clear" w:color="auto" w:fill="E1DFDD"/>
    </w:rPr>
  </w:style>
  <w:style w:type="character" w:customStyle="1" w:styleId="UnresolvedMention2">
    <w:name w:val="Unresolved Mention2"/>
    <w:basedOn w:val="DefaultParagraphFont"/>
    <w:uiPriority w:val="99"/>
    <w:semiHidden/>
    <w:unhideWhenUsed/>
    <w:rsid w:val="005478A6"/>
    <w:rPr>
      <w:color w:val="605E5C"/>
      <w:shd w:val="clear" w:color="auto" w:fill="E1DFDD"/>
    </w:rPr>
  </w:style>
  <w:style w:type="paragraph" w:customStyle="1" w:styleId="Default">
    <w:name w:val="Default"/>
    <w:rsid w:val="00EC4D59"/>
    <w:pPr>
      <w:autoSpaceDE w:val="0"/>
      <w:autoSpaceDN w:val="0"/>
      <w:adjustRightInd w:val="0"/>
    </w:pPr>
    <w:rPr>
      <w:rFonts w:ascii="Times New Roman" w:hAnsi="Times New Roman"/>
      <w:color w:val="000000"/>
      <w:sz w:val="24"/>
      <w:szCs w:val="24"/>
      <w:lang w:val="en-NZ"/>
    </w:rPr>
  </w:style>
  <w:style w:type="character" w:customStyle="1" w:styleId="UnresolvedMention3">
    <w:name w:val="Unresolved Mention3"/>
    <w:basedOn w:val="DefaultParagraphFont"/>
    <w:uiPriority w:val="99"/>
    <w:semiHidden/>
    <w:unhideWhenUsed/>
    <w:rsid w:val="00476523"/>
    <w:rPr>
      <w:color w:val="605E5C"/>
      <w:shd w:val="clear" w:color="auto" w:fill="E1DFDD"/>
    </w:rPr>
  </w:style>
  <w:style w:type="paragraph" w:styleId="BodyTextIndent2">
    <w:name w:val="Body Text Indent 2"/>
    <w:basedOn w:val="Normal"/>
    <w:link w:val="BodyTextIndent2Char"/>
    <w:rsid w:val="002026CA"/>
    <w:pPr>
      <w:spacing w:line="240" w:lineRule="auto"/>
      <w:ind w:left="567" w:hanging="567"/>
      <w:jc w:val="both"/>
    </w:pPr>
    <w:rPr>
      <w:rFonts w:ascii="Times New Roman" w:eastAsia="Times New Roman" w:hAnsi="Times New Roman" w:cs="Times New Roman"/>
      <w:snapToGrid w:val="0"/>
      <w:sz w:val="24"/>
      <w:szCs w:val="20"/>
    </w:rPr>
  </w:style>
  <w:style w:type="character" w:customStyle="1" w:styleId="BodyTextIndent2Char">
    <w:name w:val="Body Text Indent 2 Char"/>
    <w:basedOn w:val="DefaultParagraphFont"/>
    <w:link w:val="BodyTextIndent2"/>
    <w:rsid w:val="002026CA"/>
    <w:rPr>
      <w:rFonts w:ascii="Times New Roman" w:eastAsia="Times New Roman" w:hAnsi="Times New Roman"/>
      <w:snapToGrid w:val="0"/>
      <w:sz w:val="24"/>
      <w:lang w:eastAsia="en-US"/>
    </w:rPr>
  </w:style>
  <w:style w:type="paragraph" w:customStyle="1" w:styleId="CoverTitle">
    <w:name w:val="CoverTitle"/>
    <w:basedOn w:val="Normal"/>
    <w:rsid w:val="00DE21DC"/>
    <w:pPr>
      <w:spacing w:after="0" w:line="240" w:lineRule="auto"/>
    </w:pPr>
    <w:rPr>
      <w:rFonts w:ascii="Arial" w:eastAsia="Times New Roman" w:hAnsi="Arial" w:cs="Times New Roman"/>
      <w:b/>
      <w:caps/>
      <w:spacing w:val="10"/>
      <w:sz w:val="44"/>
      <w:szCs w:val="36"/>
    </w:rPr>
  </w:style>
  <w:style w:type="table" w:styleId="GridTable4-Accent1">
    <w:name w:val="Grid Table 4 Accent 1"/>
    <w:basedOn w:val="TableNormal"/>
    <w:uiPriority w:val="49"/>
    <w:rsid w:val="00DE21DC"/>
    <w:rPr>
      <w:rFonts w:ascii="Times New Roman" w:eastAsia="Times New Roman" w:hAnsi="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DE21DC"/>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9E7B94"/>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osha.gov/dts/sltc/methods/partial/id218sg/id218sg.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59681E6BD20F4F869370A81A384398" ma:contentTypeVersion="0" ma:contentTypeDescription="Create a new document." ma:contentTypeScope="" ma:versionID="c885b00fa1a92d65443a9d8092134a3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E0E1D-DA02-40E1-A11F-5359D81CFF3B}">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404841-D2CC-4CE8-816A-9BDAA950F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74</Pages>
  <Words>26960</Words>
  <Characters>153677</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Chemical contaminant risks associated with in-water cleaning of vessels</vt:lpstr>
    </vt:vector>
  </TitlesOfParts>
  <Company/>
  <LinksUpToDate>false</LinksUpToDate>
  <CharactersWithSpaces>180277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contaminant risks associated with in-water cleaning of vessels</dc:title>
  <dc:creator>Department of Agriculture, Water and the Environment</dc:creator>
  <cp:lastModifiedBy>Dang, Van</cp:lastModifiedBy>
  <cp:revision>3</cp:revision>
  <cp:lastPrinted>2020-11-16T05:31:00Z</cp:lastPrinted>
  <dcterms:created xsi:type="dcterms:W3CDTF">2020-11-16T05:38:00Z</dcterms:created>
  <dcterms:modified xsi:type="dcterms:W3CDTF">2020-12-04T05:38:00Z</dcterms:modified>
</cp:coreProperties>
</file>