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3679B" w14:textId="40EC9263" w:rsidR="00B67E9C" w:rsidRDefault="00473BAD" w:rsidP="00B67E9C">
      <w:pPr>
        <w:spacing w:before="0"/>
        <w:jc w:val="left"/>
      </w:pPr>
      <w:r>
        <w:rPr>
          <w:noProof/>
        </w:rPr>
        <w:drawing>
          <wp:anchor distT="0" distB="0" distL="114300" distR="114300" simplePos="0" relativeHeight="251685888" behindDoc="1" locked="0" layoutInCell="1" allowOverlap="1" wp14:anchorId="0EC276C6" wp14:editId="3ECF5C50">
            <wp:simplePos x="0" y="0"/>
            <wp:positionH relativeFrom="margin">
              <wp:align>center</wp:align>
            </wp:positionH>
            <wp:positionV relativeFrom="paragraph">
              <wp:posOffset>-247650</wp:posOffset>
            </wp:positionV>
            <wp:extent cx="7146000" cy="6757200"/>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6000" cy="6757200"/>
                    </a:xfrm>
                    <a:prstGeom prst="rect">
                      <a:avLst/>
                    </a:prstGeom>
                    <a:noFill/>
                  </pic:spPr>
                </pic:pic>
              </a:graphicData>
            </a:graphic>
            <wp14:sizeRelH relativeFrom="margin">
              <wp14:pctWidth>0</wp14:pctWidth>
            </wp14:sizeRelH>
            <wp14:sizeRelV relativeFrom="margin">
              <wp14:pctHeight>0</wp14:pctHeight>
            </wp14:sizeRelV>
          </wp:anchor>
        </w:drawing>
      </w:r>
    </w:p>
    <w:p w14:paraId="0FAA739D" w14:textId="240A79BA" w:rsidR="00B67E9C" w:rsidRDefault="00B67E9C" w:rsidP="00B67E9C"/>
    <w:p w14:paraId="1921FA65" w14:textId="77777777" w:rsidR="00B67E9C" w:rsidRDefault="00B67E9C" w:rsidP="00B67E9C"/>
    <w:p w14:paraId="478FBC8C" w14:textId="77777777" w:rsidR="00B67E9C" w:rsidRDefault="00B67E9C" w:rsidP="00B67E9C"/>
    <w:p w14:paraId="7041281D" w14:textId="77777777" w:rsidR="00B67E9C" w:rsidRDefault="00B67E9C" w:rsidP="00B67E9C"/>
    <w:p w14:paraId="0EACD7E6" w14:textId="67BF1134" w:rsidR="00B67E9C" w:rsidRDefault="00B67E9C" w:rsidP="00B67E9C"/>
    <w:p w14:paraId="17E353AC" w14:textId="60D808C9" w:rsidR="00B67E9C" w:rsidRDefault="00B67E9C" w:rsidP="00B67E9C"/>
    <w:p w14:paraId="070D9B0B" w14:textId="4C467557" w:rsidR="00B67E9C" w:rsidRDefault="00B67E9C" w:rsidP="00B67E9C"/>
    <w:p w14:paraId="3001B942" w14:textId="6B7597AA" w:rsidR="00B67E9C" w:rsidRDefault="00B67E9C" w:rsidP="00B67E9C"/>
    <w:p w14:paraId="4D2CDEA9" w14:textId="5AC74F6E" w:rsidR="00B67E9C" w:rsidRDefault="00B67E9C" w:rsidP="00B67E9C"/>
    <w:p w14:paraId="4D66D063" w14:textId="461059F4" w:rsidR="00B67E9C" w:rsidRDefault="00473BAD" w:rsidP="00B67E9C">
      <w:r>
        <w:rPr>
          <w:noProof/>
        </w:rPr>
        <mc:AlternateContent>
          <mc:Choice Requires="wps">
            <w:drawing>
              <wp:anchor distT="0" distB="0" distL="114300" distR="114300" simplePos="0" relativeHeight="251686912" behindDoc="0" locked="0" layoutInCell="0" allowOverlap="1" wp14:anchorId="0424B1B7" wp14:editId="7C57CD30">
                <wp:simplePos x="0" y="0"/>
                <wp:positionH relativeFrom="margin">
                  <wp:align>center</wp:align>
                </wp:positionH>
                <wp:positionV relativeFrom="page">
                  <wp:posOffset>3535045</wp:posOffset>
                </wp:positionV>
                <wp:extent cx="7138035" cy="1173480"/>
                <wp:effectExtent l="0" t="0" r="5715" b="82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1173480"/>
                        </a:xfrm>
                        <a:prstGeom prst="rect">
                          <a:avLst/>
                        </a:prstGeom>
                        <a:solidFill>
                          <a:srgbClr val="000000">
                            <a:alpha val="70000"/>
                          </a:srgbClr>
                        </a:solidFill>
                        <a:ln>
                          <a:noFill/>
                        </a:ln>
                        <a:extLs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w="9525">
                              <a:solidFill>
                                <a:srgbClr val="000000"/>
                              </a:solidFill>
                              <a:miter lim="800000"/>
                              <a:headEnd/>
                              <a:tailEnd/>
                            </a14:hiddenLine>
                          </a:ext>
                        </a:extLst>
                      </wps:spPr>
                      <wps:txbx>
                        <w:txbxContent>
                          <w:p w14:paraId="14BB3B8E" w14:textId="77777777" w:rsidR="00473BAD" w:rsidRDefault="00473BAD" w:rsidP="00B67E9C">
                            <w:pPr>
                              <w:snapToGrid w:val="0"/>
                              <w:spacing w:after="240"/>
                              <w:jc w:val="left"/>
                              <w:rPr>
                                <w:rFonts w:asciiTheme="minorHAnsi" w:eastAsiaTheme="majorEastAsia" w:hAnsiTheme="minorHAnsi" w:cstheme="minorHAnsi"/>
                                <w:color w:val="FFFFFF" w:themeColor="background1"/>
                                <w:sz w:val="56"/>
                                <w:szCs w:val="56"/>
                              </w:rPr>
                            </w:pPr>
                            <w:r>
                              <w:rPr>
                                <w:rFonts w:asciiTheme="minorHAnsi" w:eastAsiaTheme="majorEastAsia" w:hAnsiTheme="minorHAnsi" w:cstheme="minorHAnsi"/>
                                <w:color w:val="FFFFFF" w:themeColor="background1"/>
                                <w:sz w:val="56"/>
                                <w:szCs w:val="56"/>
                              </w:rPr>
                              <w:t xml:space="preserve">Appendix A: Methodology – Taxonomy, data and assumptions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0424B1B7" id="Rectangle 24" o:spid="_x0000_s1026" style="position:absolute;left:0;text-align:left;margin-left:0;margin-top:278.35pt;width:562.05pt;height:92.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" o:allowincell="f" fillcolor="black" stroked="f">
                <v:fill opacity="46003f"/>
                <v:textbox style="mso-fit-shape-to-text:t" inset="18pt,,1in">
                  <w:txbxContent>
                    <w:p w14:paraId="14BB3B8E" w14:textId="77777777" w:rsidR="00473BAD" w:rsidRDefault="00473BAD" w:rsidP="00B67E9C">
                      <w:pPr>
                        <w:snapToGrid w:val="0"/>
                        <w:spacing w:after="240"/>
                        <w:jc w:val="left"/>
                        <w:rPr>
                          <w:rFonts w:asciiTheme="minorHAnsi" w:eastAsiaTheme="majorEastAsia" w:hAnsiTheme="minorHAnsi" w:cstheme="minorHAnsi"/>
                          <w:color w:val="FFFFFF" w:themeColor="background1"/>
                          <w:sz w:val="56"/>
                          <w:szCs w:val="56"/>
                        </w:rPr>
                      </w:pPr>
                      <w:r>
                        <w:rPr>
                          <w:rFonts w:asciiTheme="minorHAnsi" w:eastAsiaTheme="majorEastAsia" w:hAnsiTheme="minorHAnsi" w:cstheme="minorHAnsi"/>
                          <w:color w:val="FFFFFF" w:themeColor="background1"/>
                          <w:sz w:val="56"/>
                          <w:szCs w:val="56"/>
                        </w:rPr>
                        <w:t xml:space="preserve">Appendix A: Methodology – Taxonomy, data and assumptions  </w:t>
                      </w:r>
                    </w:p>
                  </w:txbxContent>
                </v:textbox>
                <w10:wrap anchorx="margin" anchory="page"/>
              </v:rect>
            </w:pict>
          </mc:Fallback>
        </mc:AlternateContent>
      </w:r>
    </w:p>
    <w:p w14:paraId="7C553B61" w14:textId="6EA1C14F" w:rsidR="00B67E9C" w:rsidRDefault="00B67E9C" w:rsidP="00B67E9C"/>
    <w:p w14:paraId="6CD3FB23" w14:textId="286844CC" w:rsidR="00B67E9C" w:rsidRDefault="00B67E9C" w:rsidP="00B67E9C"/>
    <w:p w14:paraId="1B565425" w14:textId="38863A5B" w:rsidR="00B67E9C" w:rsidRDefault="00B67E9C" w:rsidP="00B67E9C">
      <w:r>
        <w:rPr>
          <w:noProof/>
        </w:rPr>
        <mc:AlternateContent>
          <mc:Choice Requires="wps">
            <w:drawing>
              <wp:anchor distT="0" distB="0" distL="114300" distR="114300" simplePos="0" relativeHeight="251684864" behindDoc="1" locked="1" layoutInCell="0" allowOverlap="1" wp14:anchorId="555353BC" wp14:editId="25B9FE7B">
                <wp:simplePos x="0" y="0"/>
                <wp:positionH relativeFrom="margin">
                  <wp:align>center</wp:align>
                </wp:positionH>
                <wp:positionV relativeFrom="page">
                  <wp:posOffset>7559040</wp:posOffset>
                </wp:positionV>
                <wp:extent cx="7149465" cy="1249045"/>
                <wp:effectExtent l="0" t="0" r="0" b="82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9465" cy="1249045"/>
                        </a:xfrm>
                        <a:prstGeom prst="rect">
                          <a:avLst/>
                        </a:prstGeom>
                        <a:solidFill>
                          <a:schemeClr val="bg1">
                            <a:lumMod val="50000"/>
                          </a:schemeClr>
                        </a:solidFill>
                        <a:ln>
                          <a:noFill/>
                        </a:ln>
                        <a:effectLst/>
                      </wps:spPr>
                      <wps:txbx>
                        <w:txbxContent>
                          <w:p w14:paraId="07ACDFD3" w14:textId="77777777" w:rsidR="00473BAD" w:rsidRDefault="00473BAD" w:rsidP="00B67E9C">
                            <w:pPr>
                              <w:spacing w:line="276" w:lineRule="auto"/>
                              <w:jc w:val="right"/>
                              <w:rPr>
                                <w:color w:val="FFFFFF" w:themeColor="background1"/>
                                <w:sz w:val="36"/>
                                <w:szCs w:val="36"/>
                              </w:rPr>
                            </w:pPr>
                            <w:r>
                              <w:rPr>
                                <w:color w:val="FFFFFF" w:themeColor="background1"/>
                                <w:sz w:val="36"/>
                                <w:szCs w:val="36"/>
                              </w:rPr>
                              <w:t>Prepared for the Department of Agriculture, Water and the Environment</w:t>
                            </w:r>
                          </w:p>
                          <w:p w14:paraId="0E135EDF" w14:textId="67ABE240" w:rsidR="00473BAD" w:rsidRDefault="00473BAD" w:rsidP="00B67E9C">
                            <w:pPr>
                              <w:jc w:val="right"/>
                            </w:pPr>
                            <w:r>
                              <w:rPr>
                                <w:color w:val="FFFFFF" w:themeColor="background1"/>
                                <w:sz w:val="36"/>
                                <w:szCs w:val="36"/>
                              </w:rPr>
                              <w:t>1</w:t>
                            </w:r>
                            <w:r>
                              <w:rPr>
                                <w:color w:val="FFFFFF" w:themeColor="background1"/>
                                <w:sz w:val="36"/>
                                <w:szCs w:val="36"/>
                                <w:vertAlign w:val="superscript"/>
                              </w:rPr>
                              <w:t>st</w:t>
                            </w:r>
                            <w:r>
                              <w:rPr>
                                <w:color w:val="FFFFFF" w:themeColor="background1"/>
                                <w:sz w:val="36"/>
                                <w:szCs w:val="36"/>
                              </w:rPr>
                              <w:t xml:space="preserve"> October 2020</w:t>
                            </w:r>
                          </w:p>
                          <w:p w14:paraId="182B53DA" w14:textId="77777777" w:rsidR="00473BAD" w:rsidRDefault="00473BAD" w:rsidP="00B67E9C">
                            <w:pPr>
                              <w:jc w:val="right"/>
                              <w:rPr>
                                <w:rFonts w:cstheme="minorHAnsi"/>
                                <w:color w:val="FFFFFF" w:themeColor="background1"/>
                              </w:rPr>
                            </w:pPr>
                          </w:p>
                        </w:txbxContent>
                      </wps:txbx>
                      <wps:bodyPr rot="0" vert="horz" wrap="square" lIns="0" tIns="228600" rIns="2880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5353BC" id="Rectangle 22" o:spid="_x0000_s1027" style="position:absolute;left:0;text-align:left;margin-left:0;margin-top:595.2pt;width:562.95pt;height:98.3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" o:allowincell="f" fillcolor="#7f7f7f [1612]" stroked="f">
                <v:textbox inset="0,18pt,8mm,18pt">
                  <w:txbxContent>
                    <w:p w14:paraId="07ACDFD3" w14:textId="77777777" w:rsidR="00473BAD" w:rsidRDefault="00473BAD" w:rsidP="00B67E9C">
                      <w:pPr>
                        <w:spacing w:line="276" w:lineRule="auto"/>
                        <w:jc w:val="right"/>
                        <w:rPr>
                          <w:color w:val="FFFFFF" w:themeColor="background1"/>
                          <w:sz w:val="36"/>
                          <w:szCs w:val="36"/>
                        </w:rPr>
                      </w:pPr>
                      <w:r>
                        <w:rPr>
                          <w:color w:val="FFFFFF" w:themeColor="background1"/>
                          <w:sz w:val="36"/>
                          <w:szCs w:val="36"/>
                        </w:rPr>
                        <w:t>Prepared for the Department of Agriculture, Water and the Environment</w:t>
                      </w:r>
                    </w:p>
                    <w:p w14:paraId="0E135EDF" w14:textId="67ABE240" w:rsidR="00473BAD" w:rsidRDefault="00473BAD" w:rsidP="00B67E9C">
                      <w:pPr>
                        <w:jc w:val="right"/>
                      </w:pPr>
                      <w:r>
                        <w:rPr>
                          <w:color w:val="FFFFFF" w:themeColor="background1"/>
                          <w:sz w:val="36"/>
                          <w:szCs w:val="36"/>
                        </w:rPr>
                        <w:t>1</w:t>
                      </w:r>
                      <w:r>
                        <w:rPr>
                          <w:color w:val="FFFFFF" w:themeColor="background1"/>
                          <w:sz w:val="36"/>
                          <w:szCs w:val="36"/>
                          <w:vertAlign w:val="superscript"/>
                        </w:rPr>
                        <w:t>st</w:t>
                      </w:r>
                      <w:r>
                        <w:rPr>
                          <w:color w:val="FFFFFF" w:themeColor="background1"/>
                          <w:sz w:val="36"/>
                          <w:szCs w:val="36"/>
                        </w:rPr>
                        <w:t xml:space="preserve"> October 2020</w:t>
                      </w:r>
                    </w:p>
                    <w:p w14:paraId="182B53DA" w14:textId="77777777" w:rsidR="00473BAD" w:rsidRDefault="00473BAD" w:rsidP="00B67E9C">
                      <w:pPr>
                        <w:jc w:val="right"/>
                        <w:rPr>
                          <w:rFonts w:cstheme="minorHAnsi"/>
                          <w:color w:val="FFFFFF" w:themeColor="background1"/>
                        </w:rPr>
                      </w:pPr>
                    </w:p>
                  </w:txbxContent>
                </v:textbox>
                <w10:wrap anchorx="margin" anchory="page"/>
                <w10:anchorlock/>
              </v:rect>
            </w:pict>
          </mc:Fallback>
        </mc:AlternateContent>
      </w:r>
    </w:p>
    <w:p w14:paraId="59E6CE9B" w14:textId="17771B6C" w:rsidR="00B67E9C" w:rsidRDefault="00B67E9C" w:rsidP="00B67E9C"/>
    <w:p w14:paraId="0690EEDF" w14:textId="665F555C" w:rsidR="00B67E9C" w:rsidRDefault="00B67E9C" w:rsidP="00B67E9C"/>
    <w:p w14:paraId="01289D55" w14:textId="3B425FFB" w:rsidR="00B67E9C" w:rsidRDefault="00B67E9C" w:rsidP="00B67E9C"/>
    <w:p w14:paraId="0E2881D3" w14:textId="6CDD6F02" w:rsidR="00B67E9C" w:rsidRDefault="00B67E9C" w:rsidP="00B67E9C"/>
    <w:p w14:paraId="43093B1E" w14:textId="70843354" w:rsidR="00B67E9C" w:rsidRDefault="00B67E9C" w:rsidP="00B67E9C">
      <w:pPr>
        <w:pStyle w:val="Subtitle"/>
        <w:spacing w:before="720"/>
        <w:ind w:right="-1196"/>
        <w:rPr>
          <w:color w:val="FFFFFF" w:themeColor="background1"/>
          <w:sz w:val="36"/>
          <w:szCs w:val="36"/>
        </w:rPr>
      </w:pPr>
    </w:p>
    <w:p w14:paraId="542DCD78" w14:textId="77777777" w:rsidR="00B67E9C" w:rsidRDefault="00B67E9C" w:rsidP="00B67E9C"/>
    <w:p w14:paraId="3767A787" w14:textId="5432D6EC" w:rsidR="00B67E9C" w:rsidRDefault="00B67E9C" w:rsidP="00B67E9C"/>
    <w:p w14:paraId="3D6BF174" w14:textId="711AC12F" w:rsidR="00473BAD" w:rsidRDefault="00473BAD" w:rsidP="00B67E9C"/>
    <w:p w14:paraId="1E92B445" w14:textId="294C4AFE" w:rsidR="00B67E9C" w:rsidRDefault="00B67E9C" w:rsidP="00B67E9C">
      <w:pPr>
        <w:tabs>
          <w:tab w:val="left" w:pos="7225"/>
          <w:tab w:val="right" w:pos="9498"/>
        </w:tabs>
        <w:ind w:right="-1198"/>
        <w:jc w:val="left"/>
      </w:pPr>
      <w:r>
        <w:rPr>
          <w:noProof/>
        </w:rPr>
        <w:drawing>
          <wp:anchor distT="0" distB="0" distL="114300" distR="114300" simplePos="0" relativeHeight="251687936" behindDoc="0" locked="0" layoutInCell="1" allowOverlap="1" wp14:anchorId="78C029E9" wp14:editId="41EA771B">
            <wp:simplePos x="0" y="0"/>
            <wp:positionH relativeFrom="column">
              <wp:posOffset>2591435</wp:posOffset>
            </wp:positionH>
            <wp:positionV relativeFrom="paragraph">
              <wp:posOffset>2232660</wp:posOffset>
            </wp:positionV>
            <wp:extent cx="3266440" cy="55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6440" cy="558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tab/>
        <w:t xml:space="preserve">  </w:t>
      </w:r>
      <w:r>
        <w:rPr>
          <w:noProof/>
        </w:rPr>
        <mc:AlternateContent>
          <mc:Choice Requires="wps">
            <w:drawing>
              <wp:anchor distT="0" distB="0" distL="114300" distR="114300" simplePos="0" relativeHeight="251683840" behindDoc="1" locked="1" layoutInCell="0" allowOverlap="1" wp14:anchorId="7F14CEF2" wp14:editId="592FBCAA">
                <wp:simplePos x="0" y="0"/>
                <wp:positionH relativeFrom="page">
                  <wp:posOffset>198755</wp:posOffset>
                </wp:positionH>
                <wp:positionV relativeFrom="page">
                  <wp:posOffset>238125</wp:posOffset>
                </wp:positionV>
                <wp:extent cx="7149465" cy="320040"/>
                <wp:effectExtent l="0" t="0" r="0" b="38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9465"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3B21" id="Rectangle 9" o:spid="_x0000_s1026" style="position:absolute;margin-left:15.65pt;margin-top:18.75pt;width:562.95pt;height:25.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" o:allowincell="f" fillcolor="#31849b [2408]" stroked="f">
                <v:textbox inset=",7.2pt,,7.2pt"/>
                <w10:wrap anchorx="page" anchory="page"/>
                <w10:anchorlock/>
              </v:rect>
            </w:pict>
          </mc:Fallback>
        </mc:AlternateContent>
      </w:r>
    </w:p>
    <w:p w14:paraId="7D1A86D1" w14:textId="77777777" w:rsidR="00B67E9C" w:rsidRDefault="00B67E9C" w:rsidP="00B67E9C">
      <w:pPr>
        <w:spacing w:before="0"/>
        <w:jc w:val="left"/>
        <w:sectPr w:rsidR="00B67E9C">
          <w:footerReference w:type="default" r:id="rId10"/>
          <w:pgSz w:w="11900" w:h="16840"/>
          <w:pgMar w:top="1440" w:right="1800" w:bottom="1440" w:left="1800" w:header="708" w:footer="708" w:gutter="0"/>
          <w:cols w:space="720"/>
        </w:sectPr>
      </w:pPr>
    </w:p>
    <w:p w14:paraId="7DB2F243" w14:textId="77777777" w:rsidR="00B67E9C" w:rsidRDefault="00B67E9C" w:rsidP="00B67E9C">
      <w:pPr>
        <w:rPr>
          <w:rFonts w:asciiTheme="majorHAnsi" w:hAnsiTheme="majorHAnsi"/>
          <w:sz w:val="36"/>
          <w:szCs w:val="36"/>
        </w:rPr>
      </w:pPr>
      <w:r>
        <w:rPr>
          <w:rFonts w:asciiTheme="majorHAnsi" w:hAnsiTheme="majorHAnsi"/>
          <w:sz w:val="36"/>
          <w:szCs w:val="36"/>
        </w:rPr>
        <w:lastRenderedPageBreak/>
        <w:t>Table of Contents</w:t>
      </w:r>
    </w:p>
    <w:p w14:paraId="087FD1E5" w14:textId="4A50A5F6" w:rsidR="00A02DC3" w:rsidRDefault="00B67E9C">
      <w:pPr>
        <w:pStyle w:val="TOC1"/>
        <w:rPr>
          <w:rFonts w:asciiTheme="minorHAnsi" w:eastAsiaTheme="minorEastAsia" w:hAnsiTheme="minorHAnsi" w:cstheme="minorBidi"/>
          <w:b w:val="0"/>
          <w:color w:val="auto"/>
          <w:sz w:val="22"/>
          <w:szCs w:val="22"/>
          <w:lang w:val="en-AU" w:eastAsia="en-AU"/>
        </w:rPr>
      </w:pPr>
      <w:r>
        <w:rPr>
          <w:rFonts w:ascii="Verdana" w:hAnsi="Verdana"/>
          <w:sz w:val="20"/>
          <w:szCs w:val="20"/>
        </w:rPr>
        <w:fldChar w:fldCharType="begin"/>
      </w:r>
      <w:r>
        <w:rPr>
          <w:rFonts w:ascii="Verdana" w:hAnsi="Verdana"/>
          <w:sz w:val="20"/>
          <w:szCs w:val="20"/>
        </w:rPr>
        <w:instrText xml:space="preserve"> TOC \o "1-3" </w:instrText>
      </w:r>
      <w:r>
        <w:rPr>
          <w:rFonts w:ascii="Verdana" w:hAnsi="Verdana"/>
          <w:sz w:val="20"/>
          <w:szCs w:val="20"/>
        </w:rPr>
        <w:fldChar w:fldCharType="separate"/>
      </w:r>
      <w:r w:rsidR="00A02DC3">
        <w:t>Glossary</w:t>
      </w:r>
      <w:r w:rsidR="00A02DC3">
        <w:tab/>
      </w:r>
      <w:r w:rsidR="00A02DC3">
        <w:fldChar w:fldCharType="begin"/>
      </w:r>
      <w:r w:rsidR="00A02DC3">
        <w:instrText xml:space="preserve"> PAGEREF _Toc54601636 \h </w:instrText>
      </w:r>
      <w:r w:rsidR="00A02DC3">
        <w:fldChar w:fldCharType="separate"/>
      </w:r>
      <w:r w:rsidR="00A02DC3">
        <w:t>5</w:t>
      </w:r>
      <w:r w:rsidR="00A02DC3">
        <w:fldChar w:fldCharType="end"/>
      </w:r>
    </w:p>
    <w:p w14:paraId="2AA3F8C9" w14:textId="08EE9DB3" w:rsidR="00A02DC3" w:rsidRDefault="00A02DC3">
      <w:pPr>
        <w:pStyle w:val="TOC1"/>
        <w:rPr>
          <w:rFonts w:asciiTheme="minorHAnsi" w:eastAsiaTheme="minorEastAsia" w:hAnsiTheme="minorHAnsi" w:cstheme="minorBidi"/>
          <w:b w:val="0"/>
          <w:color w:val="auto"/>
          <w:sz w:val="22"/>
          <w:szCs w:val="22"/>
          <w:lang w:val="en-AU" w:eastAsia="en-AU"/>
        </w:rPr>
      </w:pPr>
      <w:r>
        <w:t>Abbreviations</w:t>
      </w:r>
      <w:r>
        <w:tab/>
      </w:r>
      <w:r>
        <w:fldChar w:fldCharType="begin"/>
      </w:r>
      <w:r>
        <w:instrText xml:space="preserve"> PAGEREF _Toc54601637 \h </w:instrText>
      </w:r>
      <w:r>
        <w:fldChar w:fldCharType="separate"/>
      </w:r>
      <w:r>
        <w:t>12</w:t>
      </w:r>
      <w:r>
        <w:fldChar w:fldCharType="end"/>
      </w:r>
    </w:p>
    <w:p w14:paraId="6F8C1281" w14:textId="3930E823" w:rsidR="00A02DC3" w:rsidRDefault="00A02DC3">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Appendix A: Methodology – Taxonomy, data and assumptions</w:t>
      </w:r>
      <w:r>
        <w:tab/>
      </w:r>
      <w:r>
        <w:fldChar w:fldCharType="begin"/>
      </w:r>
      <w:r>
        <w:instrText xml:space="preserve"> PAGEREF _Toc54601638 \h </w:instrText>
      </w:r>
      <w:r>
        <w:fldChar w:fldCharType="separate"/>
      </w:r>
      <w:r>
        <w:t>14</w:t>
      </w:r>
      <w:r>
        <w:fldChar w:fldCharType="end"/>
      </w:r>
    </w:p>
    <w:p w14:paraId="6BAED6BF" w14:textId="5357BF2A" w:rsidR="00A02DC3" w:rsidRDefault="00A02DC3">
      <w:pPr>
        <w:pStyle w:val="TOC2"/>
        <w:rPr>
          <w:rFonts w:asciiTheme="minorHAnsi" w:eastAsiaTheme="minorEastAsia" w:hAnsiTheme="minorHAnsi" w:cstheme="minorBidi"/>
          <w:noProof/>
          <w:lang w:val="en-AU" w:eastAsia="en-AU"/>
        </w:rPr>
      </w:pPr>
      <w:r w:rsidRPr="00FD3926">
        <w:rPr>
          <w:noProof/>
        </w:rPr>
        <w:t>1.1</w:t>
      </w:r>
      <w:r>
        <w:rPr>
          <w:rFonts w:asciiTheme="minorHAnsi" w:eastAsiaTheme="minorEastAsia" w:hAnsiTheme="minorHAnsi" w:cstheme="minorBidi"/>
          <w:noProof/>
          <w:lang w:val="en-AU" w:eastAsia="en-AU"/>
        </w:rPr>
        <w:tab/>
      </w:r>
      <w:r>
        <w:rPr>
          <w:noProof/>
        </w:rPr>
        <w:t>Taxonomy of a technology</w:t>
      </w:r>
      <w:r>
        <w:rPr>
          <w:noProof/>
        </w:rPr>
        <w:tab/>
      </w:r>
      <w:r>
        <w:rPr>
          <w:noProof/>
        </w:rPr>
        <w:fldChar w:fldCharType="begin"/>
      </w:r>
      <w:r>
        <w:rPr>
          <w:noProof/>
        </w:rPr>
        <w:instrText xml:space="preserve"> PAGEREF _Toc54601639 \h </w:instrText>
      </w:r>
      <w:r>
        <w:rPr>
          <w:noProof/>
        </w:rPr>
      </w:r>
      <w:r>
        <w:rPr>
          <w:noProof/>
        </w:rPr>
        <w:fldChar w:fldCharType="separate"/>
      </w:r>
      <w:r>
        <w:rPr>
          <w:noProof/>
        </w:rPr>
        <w:t>14</w:t>
      </w:r>
      <w:r>
        <w:rPr>
          <w:noProof/>
        </w:rPr>
        <w:fldChar w:fldCharType="end"/>
      </w:r>
    </w:p>
    <w:p w14:paraId="2D714F34" w14:textId="6C54806F" w:rsidR="00A02DC3" w:rsidRDefault="00A02DC3">
      <w:pPr>
        <w:pStyle w:val="TOC2"/>
        <w:rPr>
          <w:rFonts w:asciiTheme="minorHAnsi" w:eastAsiaTheme="minorEastAsia" w:hAnsiTheme="minorHAnsi" w:cstheme="minorBidi"/>
          <w:noProof/>
          <w:lang w:val="en-AU" w:eastAsia="en-AU"/>
        </w:rPr>
      </w:pPr>
      <w:r w:rsidRPr="00FD3926">
        <w:rPr>
          <w:noProof/>
        </w:rPr>
        <w:t>1.2</w:t>
      </w:r>
      <w:r>
        <w:rPr>
          <w:rFonts w:asciiTheme="minorHAnsi" w:eastAsiaTheme="minorEastAsia" w:hAnsiTheme="minorHAnsi" w:cstheme="minorBidi"/>
          <w:noProof/>
          <w:lang w:val="en-AU" w:eastAsia="en-AU"/>
        </w:rPr>
        <w:tab/>
      </w:r>
      <w:r>
        <w:rPr>
          <w:noProof/>
        </w:rPr>
        <w:t>Data and assumptions</w:t>
      </w:r>
      <w:r>
        <w:rPr>
          <w:noProof/>
        </w:rPr>
        <w:tab/>
      </w:r>
      <w:r>
        <w:rPr>
          <w:noProof/>
        </w:rPr>
        <w:fldChar w:fldCharType="begin"/>
      </w:r>
      <w:r>
        <w:rPr>
          <w:noProof/>
        </w:rPr>
        <w:instrText xml:space="preserve"> PAGEREF _Toc54601640 \h </w:instrText>
      </w:r>
      <w:r>
        <w:rPr>
          <w:noProof/>
        </w:rPr>
      </w:r>
      <w:r>
        <w:rPr>
          <w:noProof/>
        </w:rPr>
        <w:fldChar w:fldCharType="separate"/>
      </w:r>
      <w:r>
        <w:rPr>
          <w:noProof/>
        </w:rPr>
        <w:t>16</w:t>
      </w:r>
      <w:r>
        <w:rPr>
          <w:noProof/>
        </w:rPr>
        <w:fldChar w:fldCharType="end"/>
      </w:r>
    </w:p>
    <w:p w14:paraId="6EF8546E" w14:textId="714914AC" w:rsidR="00A02DC3" w:rsidRDefault="00A02DC3">
      <w:pPr>
        <w:pStyle w:val="TOC3"/>
        <w:rPr>
          <w:rFonts w:asciiTheme="minorHAnsi" w:eastAsiaTheme="minorEastAsia" w:hAnsiTheme="minorHAnsi" w:cstheme="minorBidi"/>
          <w:i w:val="0"/>
          <w:noProof/>
          <w:lang w:val="en-AU" w:eastAsia="en-AU"/>
        </w:rPr>
      </w:pPr>
      <w:r>
        <w:rPr>
          <w:noProof/>
        </w:rPr>
        <w:t>1.2.1</w:t>
      </w:r>
      <w:r>
        <w:rPr>
          <w:rFonts w:asciiTheme="minorHAnsi" w:eastAsiaTheme="minorEastAsia" w:hAnsiTheme="minorHAnsi" w:cstheme="minorBidi"/>
          <w:i w:val="0"/>
          <w:noProof/>
          <w:lang w:val="en-AU" w:eastAsia="en-AU"/>
        </w:rPr>
        <w:tab/>
      </w:r>
      <w:r>
        <w:rPr>
          <w:noProof/>
        </w:rPr>
        <w:t>Data underlying the stock model</w:t>
      </w:r>
      <w:r>
        <w:rPr>
          <w:noProof/>
        </w:rPr>
        <w:tab/>
      </w:r>
      <w:r>
        <w:rPr>
          <w:noProof/>
        </w:rPr>
        <w:fldChar w:fldCharType="begin"/>
      </w:r>
      <w:r>
        <w:rPr>
          <w:noProof/>
        </w:rPr>
        <w:instrText xml:space="preserve"> PAGEREF _Toc54601641 \h </w:instrText>
      </w:r>
      <w:r>
        <w:rPr>
          <w:noProof/>
        </w:rPr>
      </w:r>
      <w:r>
        <w:rPr>
          <w:noProof/>
        </w:rPr>
        <w:fldChar w:fldCharType="separate"/>
      </w:r>
      <w:r>
        <w:rPr>
          <w:noProof/>
        </w:rPr>
        <w:t>16</w:t>
      </w:r>
      <w:r>
        <w:rPr>
          <w:noProof/>
        </w:rPr>
        <w:fldChar w:fldCharType="end"/>
      </w:r>
    </w:p>
    <w:p w14:paraId="47CBF84C" w14:textId="25C6403A" w:rsidR="00A02DC3" w:rsidRDefault="00A02DC3">
      <w:pPr>
        <w:pStyle w:val="TOC3"/>
        <w:rPr>
          <w:rFonts w:asciiTheme="minorHAnsi" w:eastAsiaTheme="minorEastAsia" w:hAnsiTheme="minorHAnsi" w:cstheme="minorBidi"/>
          <w:i w:val="0"/>
          <w:noProof/>
          <w:lang w:val="en-AU" w:eastAsia="en-AU"/>
        </w:rPr>
      </w:pPr>
      <w:r>
        <w:rPr>
          <w:noProof/>
        </w:rPr>
        <w:t>1.2.2</w:t>
      </w:r>
      <w:r>
        <w:rPr>
          <w:rFonts w:asciiTheme="minorHAnsi" w:eastAsiaTheme="minorEastAsia" w:hAnsiTheme="minorHAnsi" w:cstheme="minorBidi"/>
          <w:i w:val="0"/>
          <w:noProof/>
          <w:lang w:val="en-AU" w:eastAsia="en-AU"/>
        </w:rPr>
        <w:tab/>
      </w:r>
      <w:r>
        <w:rPr>
          <w:noProof/>
        </w:rPr>
        <w:t>Product category stock models</w:t>
      </w:r>
      <w:r>
        <w:rPr>
          <w:noProof/>
        </w:rPr>
        <w:tab/>
      </w:r>
      <w:r>
        <w:rPr>
          <w:noProof/>
        </w:rPr>
        <w:fldChar w:fldCharType="begin"/>
      </w:r>
      <w:r>
        <w:rPr>
          <w:noProof/>
        </w:rPr>
        <w:instrText xml:space="preserve"> PAGEREF _Toc54601642 \h </w:instrText>
      </w:r>
      <w:r>
        <w:rPr>
          <w:noProof/>
        </w:rPr>
      </w:r>
      <w:r>
        <w:rPr>
          <w:noProof/>
        </w:rPr>
        <w:fldChar w:fldCharType="separate"/>
      </w:r>
      <w:r>
        <w:rPr>
          <w:noProof/>
        </w:rPr>
        <w:t>17</w:t>
      </w:r>
      <w:r>
        <w:rPr>
          <w:noProof/>
        </w:rPr>
        <w:fldChar w:fldCharType="end"/>
      </w:r>
    </w:p>
    <w:p w14:paraId="77014AA8" w14:textId="6A3E62E5" w:rsidR="00A02DC3" w:rsidRDefault="00A02DC3">
      <w:pPr>
        <w:pStyle w:val="TOC3"/>
        <w:rPr>
          <w:rFonts w:asciiTheme="minorHAnsi" w:eastAsiaTheme="minorEastAsia" w:hAnsiTheme="minorHAnsi" w:cstheme="minorBidi"/>
          <w:i w:val="0"/>
          <w:noProof/>
          <w:lang w:val="en-AU" w:eastAsia="en-AU"/>
        </w:rPr>
      </w:pPr>
      <w:r>
        <w:rPr>
          <w:noProof/>
        </w:rPr>
        <w:t>1.2.3</w:t>
      </w:r>
      <w:r>
        <w:rPr>
          <w:rFonts w:asciiTheme="minorHAnsi" w:eastAsiaTheme="minorEastAsia" w:hAnsiTheme="minorHAnsi" w:cstheme="minorBidi"/>
          <w:i w:val="0"/>
          <w:noProof/>
          <w:lang w:val="en-AU" w:eastAsia="en-AU"/>
        </w:rPr>
        <w:tab/>
      </w:r>
      <w:r>
        <w:rPr>
          <w:noProof/>
        </w:rPr>
        <w:t>Refrigerant charges and species</w:t>
      </w:r>
      <w:r>
        <w:rPr>
          <w:noProof/>
        </w:rPr>
        <w:tab/>
      </w:r>
      <w:r>
        <w:rPr>
          <w:noProof/>
        </w:rPr>
        <w:fldChar w:fldCharType="begin"/>
      </w:r>
      <w:r>
        <w:rPr>
          <w:noProof/>
        </w:rPr>
        <w:instrText xml:space="preserve"> PAGEREF _Toc54601643 \h </w:instrText>
      </w:r>
      <w:r>
        <w:rPr>
          <w:noProof/>
        </w:rPr>
      </w:r>
      <w:r>
        <w:rPr>
          <w:noProof/>
        </w:rPr>
        <w:fldChar w:fldCharType="separate"/>
      </w:r>
      <w:r>
        <w:rPr>
          <w:noProof/>
        </w:rPr>
        <w:t>18</w:t>
      </w:r>
      <w:r>
        <w:rPr>
          <w:noProof/>
        </w:rPr>
        <w:fldChar w:fldCharType="end"/>
      </w:r>
    </w:p>
    <w:p w14:paraId="079A0113" w14:textId="0638ABAA" w:rsidR="00A02DC3" w:rsidRDefault="00A02DC3">
      <w:pPr>
        <w:pStyle w:val="TOC3"/>
        <w:rPr>
          <w:rFonts w:asciiTheme="minorHAnsi" w:eastAsiaTheme="minorEastAsia" w:hAnsiTheme="minorHAnsi" w:cstheme="minorBidi"/>
          <w:i w:val="0"/>
          <w:noProof/>
          <w:lang w:val="en-AU" w:eastAsia="en-AU"/>
        </w:rPr>
      </w:pPr>
      <w:r>
        <w:rPr>
          <w:noProof/>
        </w:rPr>
        <w:t>1.2.4</w:t>
      </w:r>
      <w:r>
        <w:rPr>
          <w:rFonts w:asciiTheme="minorHAnsi" w:eastAsiaTheme="minorEastAsia" w:hAnsiTheme="minorHAnsi" w:cstheme="minorBidi"/>
          <w:i w:val="0"/>
          <w:noProof/>
          <w:lang w:val="en-AU" w:eastAsia="en-AU"/>
        </w:rPr>
        <w:tab/>
      </w:r>
      <w:r>
        <w:rPr>
          <w:noProof/>
        </w:rPr>
        <w:t>Small MAC refrigerant charges</w:t>
      </w:r>
      <w:r>
        <w:rPr>
          <w:noProof/>
        </w:rPr>
        <w:tab/>
      </w:r>
      <w:r>
        <w:rPr>
          <w:noProof/>
        </w:rPr>
        <w:fldChar w:fldCharType="begin"/>
      </w:r>
      <w:r>
        <w:rPr>
          <w:noProof/>
        </w:rPr>
        <w:instrText xml:space="preserve"> PAGEREF _Toc54601644 \h </w:instrText>
      </w:r>
      <w:r>
        <w:rPr>
          <w:noProof/>
        </w:rPr>
      </w:r>
      <w:r>
        <w:rPr>
          <w:noProof/>
        </w:rPr>
        <w:fldChar w:fldCharType="separate"/>
      </w:r>
      <w:r>
        <w:rPr>
          <w:noProof/>
        </w:rPr>
        <w:t>19</w:t>
      </w:r>
      <w:r>
        <w:rPr>
          <w:noProof/>
        </w:rPr>
        <w:fldChar w:fldCharType="end"/>
      </w:r>
    </w:p>
    <w:p w14:paraId="3A27FB10" w14:textId="29260FE1" w:rsidR="00A02DC3" w:rsidRDefault="00A02DC3">
      <w:pPr>
        <w:pStyle w:val="TOC3"/>
        <w:rPr>
          <w:rFonts w:asciiTheme="minorHAnsi" w:eastAsiaTheme="minorEastAsia" w:hAnsiTheme="minorHAnsi" w:cstheme="minorBidi"/>
          <w:i w:val="0"/>
          <w:noProof/>
          <w:lang w:val="en-AU" w:eastAsia="en-AU"/>
        </w:rPr>
      </w:pPr>
      <w:r>
        <w:rPr>
          <w:noProof/>
        </w:rPr>
        <w:t>1.2.5</w:t>
      </w:r>
      <w:r>
        <w:rPr>
          <w:rFonts w:asciiTheme="minorHAnsi" w:eastAsiaTheme="minorEastAsia" w:hAnsiTheme="minorHAnsi" w:cstheme="minorBidi"/>
          <w:i w:val="0"/>
          <w:noProof/>
          <w:lang w:val="en-AU" w:eastAsia="en-AU"/>
        </w:rPr>
        <w:tab/>
      </w:r>
      <w:r>
        <w:rPr>
          <w:noProof/>
        </w:rPr>
        <w:t>Proportion of hydrocarbon in small MAC</w:t>
      </w:r>
      <w:r>
        <w:rPr>
          <w:noProof/>
        </w:rPr>
        <w:tab/>
      </w:r>
      <w:r>
        <w:rPr>
          <w:noProof/>
        </w:rPr>
        <w:fldChar w:fldCharType="begin"/>
      </w:r>
      <w:r>
        <w:rPr>
          <w:noProof/>
        </w:rPr>
        <w:instrText xml:space="preserve"> PAGEREF _Toc54601645 \h </w:instrText>
      </w:r>
      <w:r>
        <w:rPr>
          <w:noProof/>
        </w:rPr>
      </w:r>
      <w:r>
        <w:rPr>
          <w:noProof/>
        </w:rPr>
        <w:fldChar w:fldCharType="separate"/>
      </w:r>
      <w:r>
        <w:rPr>
          <w:noProof/>
        </w:rPr>
        <w:t>20</w:t>
      </w:r>
      <w:r>
        <w:rPr>
          <w:noProof/>
        </w:rPr>
        <w:fldChar w:fldCharType="end"/>
      </w:r>
    </w:p>
    <w:p w14:paraId="2AD76164" w14:textId="59412343" w:rsidR="00A02DC3" w:rsidRDefault="00A02DC3">
      <w:pPr>
        <w:pStyle w:val="TOC3"/>
        <w:rPr>
          <w:rFonts w:asciiTheme="minorHAnsi" w:eastAsiaTheme="minorEastAsia" w:hAnsiTheme="minorHAnsi" w:cstheme="minorBidi"/>
          <w:i w:val="0"/>
          <w:noProof/>
          <w:lang w:val="en-AU" w:eastAsia="en-AU"/>
        </w:rPr>
      </w:pPr>
      <w:r>
        <w:rPr>
          <w:noProof/>
        </w:rPr>
        <w:t>1.2.6</w:t>
      </w:r>
      <w:r>
        <w:rPr>
          <w:rFonts w:asciiTheme="minorHAnsi" w:eastAsiaTheme="minorEastAsia" w:hAnsiTheme="minorHAnsi" w:cstheme="minorBidi"/>
          <w:i w:val="0"/>
          <w:noProof/>
          <w:lang w:val="en-AU" w:eastAsia="en-AU"/>
        </w:rPr>
        <w:tab/>
      </w:r>
      <w:r>
        <w:rPr>
          <w:noProof/>
        </w:rPr>
        <w:t>Surveys of mobile air conditioner refrigerants</w:t>
      </w:r>
      <w:r>
        <w:rPr>
          <w:noProof/>
        </w:rPr>
        <w:tab/>
      </w:r>
      <w:r>
        <w:rPr>
          <w:noProof/>
        </w:rPr>
        <w:fldChar w:fldCharType="begin"/>
      </w:r>
      <w:r>
        <w:rPr>
          <w:noProof/>
        </w:rPr>
        <w:instrText xml:space="preserve"> PAGEREF _Toc54601646 \h </w:instrText>
      </w:r>
      <w:r>
        <w:rPr>
          <w:noProof/>
        </w:rPr>
      </w:r>
      <w:r>
        <w:rPr>
          <w:noProof/>
        </w:rPr>
        <w:fldChar w:fldCharType="separate"/>
      </w:r>
      <w:r>
        <w:rPr>
          <w:noProof/>
        </w:rPr>
        <w:t>21</w:t>
      </w:r>
      <w:r>
        <w:rPr>
          <w:noProof/>
        </w:rPr>
        <w:fldChar w:fldCharType="end"/>
      </w:r>
    </w:p>
    <w:p w14:paraId="23C0053C" w14:textId="432A11C8" w:rsidR="00A02DC3" w:rsidRDefault="00A02DC3">
      <w:pPr>
        <w:pStyle w:val="TOC3"/>
        <w:rPr>
          <w:rFonts w:asciiTheme="minorHAnsi" w:eastAsiaTheme="minorEastAsia" w:hAnsiTheme="minorHAnsi" w:cstheme="minorBidi"/>
          <w:i w:val="0"/>
          <w:noProof/>
          <w:lang w:val="en-AU" w:eastAsia="en-AU"/>
        </w:rPr>
      </w:pPr>
      <w:r>
        <w:rPr>
          <w:noProof/>
        </w:rPr>
        <w:t>1.2.7</w:t>
      </w:r>
      <w:r>
        <w:rPr>
          <w:rFonts w:asciiTheme="minorHAnsi" w:eastAsiaTheme="minorEastAsia" w:hAnsiTheme="minorHAnsi" w:cstheme="minorBidi"/>
          <w:i w:val="0"/>
          <w:noProof/>
          <w:lang w:val="en-AU" w:eastAsia="en-AU"/>
        </w:rPr>
        <w:tab/>
      </w:r>
      <w:r>
        <w:rPr>
          <w:noProof/>
        </w:rPr>
        <w:t>Leak rates and direct emissions</w:t>
      </w:r>
      <w:r>
        <w:rPr>
          <w:noProof/>
        </w:rPr>
        <w:tab/>
      </w:r>
      <w:r>
        <w:rPr>
          <w:noProof/>
        </w:rPr>
        <w:fldChar w:fldCharType="begin"/>
      </w:r>
      <w:r>
        <w:rPr>
          <w:noProof/>
        </w:rPr>
        <w:instrText xml:space="preserve"> PAGEREF _Toc54601647 \h </w:instrText>
      </w:r>
      <w:r>
        <w:rPr>
          <w:noProof/>
        </w:rPr>
      </w:r>
      <w:r>
        <w:rPr>
          <w:noProof/>
        </w:rPr>
        <w:fldChar w:fldCharType="separate"/>
      </w:r>
      <w:r>
        <w:rPr>
          <w:noProof/>
        </w:rPr>
        <w:t>21</w:t>
      </w:r>
      <w:r>
        <w:rPr>
          <w:noProof/>
        </w:rPr>
        <w:fldChar w:fldCharType="end"/>
      </w:r>
    </w:p>
    <w:p w14:paraId="1895825A" w14:textId="503ED474" w:rsidR="00A02DC3" w:rsidRDefault="00A02DC3">
      <w:pPr>
        <w:pStyle w:val="TOC3"/>
        <w:rPr>
          <w:rFonts w:asciiTheme="minorHAnsi" w:eastAsiaTheme="minorEastAsia" w:hAnsiTheme="minorHAnsi" w:cstheme="minorBidi"/>
          <w:i w:val="0"/>
          <w:noProof/>
          <w:lang w:val="en-AU" w:eastAsia="en-AU"/>
        </w:rPr>
      </w:pPr>
      <w:r>
        <w:rPr>
          <w:noProof/>
        </w:rPr>
        <w:t>1.2.8</w:t>
      </w:r>
      <w:r>
        <w:rPr>
          <w:rFonts w:asciiTheme="minorHAnsi" w:eastAsiaTheme="minorEastAsia" w:hAnsiTheme="minorHAnsi" w:cstheme="minorBidi"/>
          <w:i w:val="0"/>
          <w:noProof/>
          <w:lang w:val="en-AU" w:eastAsia="en-AU"/>
        </w:rPr>
        <w:tab/>
      </w:r>
      <w:r>
        <w:rPr>
          <w:noProof/>
        </w:rPr>
        <w:t>OEM, service usage and service rates</w:t>
      </w:r>
      <w:r>
        <w:rPr>
          <w:noProof/>
        </w:rPr>
        <w:tab/>
      </w:r>
      <w:r>
        <w:rPr>
          <w:noProof/>
        </w:rPr>
        <w:fldChar w:fldCharType="begin"/>
      </w:r>
      <w:r>
        <w:rPr>
          <w:noProof/>
        </w:rPr>
        <w:instrText xml:space="preserve"> PAGEREF _Toc54601648 \h </w:instrText>
      </w:r>
      <w:r>
        <w:rPr>
          <w:noProof/>
        </w:rPr>
      </w:r>
      <w:r>
        <w:rPr>
          <w:noProof/>
        </w:rPr>
        <w:fldChar w:fldCharType="separate"/>
      </w:r>
      <w:r>
        <w:rPr>
          <w:noProof/>
        </w:rPr>
        <w:t>22</w:t>
      </w:r>
      <w:r>
        <w:rPr>
          <w:noProof/>
        </w:rPr>
        <w:fldChar w:fldCharType="end"/>
      </w:r>
    </w:p>
    <w:p w14:paraId="3AB668F9" w14:textId="3E2AC432" w:rsidR="00A02DC3" w:rsidRDefault="00A02DC3">
      <w:pPr>
        <w:pStyle w:val="TOC3"/>
        <w:rPr>
          <w:rFonts w:asciiTheme="minorHAnsi" w:eastAsiaTheme="minorEastAsia" w:hAnsiTheme="minorHAnsi" w:cstheme="minorBidi"/>
          <w:i w:val="0"/>
          <w:noProof/>
          <w:lang w:val="en-AU" w:eastAsia="en-AU"/>
        </w:rPr>
      </w:pPr>
      <w:r>
        <w:rPr>
          <w:noProof/>
        </w:rPr>
        <w:t>1.2.9</w:t>
      </w:r>
      <w:r>
        <w:rPr>
          <w:rFonts w:asciiTheme="minorHAnsi" w:eastAsiaTheme="minorEastAsia" w:hAnsiTheme="minorHAnsi" w:cstheme="minorBidi"/>
          <w:i w:val="0"/>
          <w:noProof/>
          <w:lang w:val="en-AU" w:eastAsia="en-AU"/>
        </w:rPr>
        <w:tab/>
      </w:r>
      <w:r>
        <w:rPr>
          <w:noProof/>
        </w:rPr>
        <w:t>Calculating the full bank and partially charged bank</w:t>
      </w:r>
      <w:r>
        <w:rPr>
          <w:noProof/>
        </w:rPr>
        <w:tab/>
      </w:r>
      <w:r>
        <w:rPr>
          <w:noProof/>
        </w:rPr>
        <w:fldChar w:fldCharType="begin"/>
      </w:r>
      <w:r>
        <w:rPr>
          <w:noProof/>
        </w:rPr>
        <w:instrText xml:space="preserve"> PAGEREF _Toc54601649 \h </w:instrText>
      </w:r>
      <w:r>
        <w:rPr>
          <w:noProof/>
        </w:rPr>
      </w:r>
      <w:r>
        <w:rPr>
          <w:noProof/>
        </w:rPr>
        <w:fldChar w:fldCharType="separate"/>
      </w:r>
      <w:r>
        <w:rPr>
          <w:noProof/>
        </w:rPr>
        <w:t>23</w:t>
      </w:r>
      <w:r>
        <w:rPr>
          <w:noProof/>
        </w:rPr>
        <w:fldChar w:fldCharType="end"/>
      </w:r>
    </w:p>
    <w:p w14:paraId="02E5EDBB" w14:textId="075D0B12" w:rsidR="00A02DC3" w:rsidRDefault="00A02DC3">
      <w:pPr>
        <w:pStyle w:val="TOC3"/>
        <w:rPr>
          <w:rFonts w:asciiTheme="minorHAnsi" w:eastAsiaTheme="minorEastAsia" w:hAnsiTheme="minorHAnsi" w:cstheme="minorBidi"/>
          <w:i w:val="0"/>
          <w:noProof/>
          <w:lang w:val="en-AU" w:eastAsia="en-AU"/>
        </w:rPr>
      </w:pPr>
      <w:r>
        <w:rPr>
          <w:noProof/>
        </w:rPr>
        <w:t>1.2.10</w:t>
      </w:r>
      <w:r>
        <w:rPr>
          <w:rFonts w:asciiTheme="minorHAnsi" w:eastAsiaTheme="minorEastAsia" w:hAnsiTheme="minorHAnsi" w:cstheme="minorBidi"/>
          <w:i w:val="0"/>
          <w:noProof/>
          <w:lang w:val="en-AU" w:eastAsia="en-AU"/>
        </w:rPr>
        <w:tab/>
      </w:r>
      <w:r>
        <w:rPr>
          <w:noProof/>
        </w:rPr>
        <w:t>The bank of refrigerant</w:t>
      </w:r>
      <w:r>
        <w:rPr>
          <w:noProof/>
        </w:rPr>
        <w:tab/>
      </w:r>
      <w:r>
        <w:rPr>
          <w:noProof/>
        </w:rPr>
        <w:fldChar w:fldCharType="begin"/>
      </w:r>
      <w:r>
        <w:rPr>
          <w:noProof/>
        </w:rPr>
        <w:instrText xml:space="preserve"> PAGEREF _Toc54601650 \h </w:instrText>
      </w:r>
      <w:r>
        <w:rPr>
          <w:noProof/>
        </w:rPr>
      </w:r>
      <w:r>
        <w:rPr>
          <w:noProof/>
        </w:rPr>
        <w:fldChar w:fldCharType="separate"/>
      </w:r>
      <w:r>
        <w:rPr>
          <w:noProof/>
        </w:rPr>
        <w:t>26</w:t>
      </w:r>
      <w:r>
        <w:rPr>
          <w:noProof/>
        </w:rPr>
        <w:fldChar w:fldCharType="end"/>
      </w:r>
    </w:p>
    <w:p w14:paraId="49DDC72B" w14:textId="23F6F762" w:rsidR="00A02DC3" w:rsidRDefault="00A02DC3">
      <w:pPr>
        <w:pStyle w:val="TOC3"/>
        <w:rPr>
          <w:rFonts w:asciiTheme="minorHAnsi" w:eastAsiaTheme="minorEastAsia" w:hAnsiTheme="minorHAnsi" w:cstheme="minorBidi"/>
          <w:i w:val="0"/>
          <w:noProof/>
          <w:lang w:val="en-AU" w:eastAsia="en-AU"/>
        </w:rPr>
      </w:pPr>
      <w:r>
        <w:rPr>
          <w:noProof/>
        </w:rPr>
        <w:t>1.2.11</w:t>
      </w:r>
      <w:r>
        <w:rPr>
          <w:rFonts w:asciiTheme="minorHAnsi" w:eastAsiaTheme="minorEastAsia" w:hAnsiTheme="minorHAnsi" w:cstheme="minorBidi"/>
          <w:i w:val="0"/>
          <w:noProof/>
          <w:lang w:val="en-AU" w:eastAsia="en-AU"/>
        </w:rPr>
        <w:tab/>
      </w:r>
      <w:r>
        <w:rPr>
          <w:noProof/>
        </w:rPr>
        <w:t>Bank by product category</w:t>
      </w:r>
      <w:r>
        <w:rPr>
          <w:noProof/>
        </w:rPr>
        <w:tab/>
      </w:r>
      <w:r>
        <w:rPr>
          <w:noProof/>
        </w:rPr>
        <w:fldChar w:fldCharType="begin"/>
      </w:r>
      <w:r>
        <w:rPr>
          <w:noProof/>
        </w:rPr>
        <w:instrText xml:space="preserve"> PAGEREF _Toc54601651 \h </w:instrText>
      </w:r>
      <w:r>
        <w:rPr>
          <w:noProof/>
        </w:rPr>
      </w:r>
      <w:r>
        <w:rPr>
          <w:noProof/>
        </w:rPr>
        <w:fldChar w:fldCharType="separate"/>
      </w:r>
      <w:r>
        <w:rPr>
          <w:noProof/>
        </w:rPr>
        <w:t>26</w:t>
      </w:r>
      <w:r>
        <w:rPr>
          <w:noProof/>
        </w:rPr>
        <w:fldChar w:fldCharType="end"/>
      </w:r>
    </w:p>
    <w:p w14:paraId="5C2EAB37" w14:textId="0D65C955" w:rsidR="00A02DC3" w:rsidRDefault="00A02DC3">
      <w:pPr>
        <w:pStyle w:val="TOC3"/>
        <w:rPr>
          <w:rFonts w:asciiTheme="minorHAnsi" w:eastAsiaTheme="minorEastAsia" w:hAnsiTheme="minorHAnsi" w:cstheme="minorBidi"/>
          <w:i w:val="0"/>
          <w:noProof/>
          <w:lang w:val="en-AU" w:eastAsia="en-AU"/>
        </w:rPr>
      </w:pPr>
      <w:r>
        <w:rPr>
          <w:noProof/>
        </w:rPr>
        <w:t>1.2.12</w:t>
      </w:r>
      <w:r>
        <w:rPr>
          <w:rFonts w:asciiTheme="minorHAnsi" w:eastAsiaTheme="minorEastAsia" w:hAnsiTheme="minorHAnsi" w:cstheme="minorBidi"/>
          <w:i w:val="0"/>
          <w:noProof/>
          <w:lang w:val="en-AU" w:eastAsia="en-AU"/>
        </w:rPr>
        <w:tab/>
      </w:r>
      <w:r>
        <w:rPr>
          <w:noProof/>
        </w:rPr>
        <w:t>Hydrocarbons and equivalent refrigerant charge</w:t>
      </w:r>
      <w:r>
        <w:rPr>
          <w:noProof/>
        </w:rPr>
        <w:tab/>
      </w:r>
      <w:r>
        <w:rPr>
          <w:noProof/>
        </w:rPr>
        <w:fldChar w:fldCharType="begin"/>
      </w:r>
      <w:r>
        <w:rPr>
          <w:noProof/>
        </w:rPr>
        <w:instrText xml:space="preserve"> PAGEREF _Toc54601652 \h </w:instrText>
      </w:r>
      <w:r>
        <w:rPr>
          <w:noProof/>
        </w:rPr>
      </w:r>
      <w:r>
        <w:rPr>
          <w:noProof/>
        </w:rPr>
        <w:fldChar w:fldCharType="separate"/>
      </w:r>
      <w:r>
        <w:rPr>
          <w:noProof/>
        </w:rPr>
        <w:t>31</w:t>
      </w:r>
      <w:r>
        <w:rPr>
          <w:noProof/>
        </w:rPr>
        <w:fldChar w:fldCharType="end"/>
      </w:r>
    </w:p>
    <w:p w14:paraId="056B51B9" w14:textId="100C0908" w:rsidR="00A02DC3" w:rsidRDefault="00A02DC3">
      <w:pPr>
        <w:pStyle w:val="TOC3"/>
        <w:rPr>
          <w:rFonts w:asciiTheme="minorHAnsi" w:eastAsiaTheme="minorEastAsia" w:hAnsiTheme="minorHAnsi" w:cstheme="minorBidi"/>
          <w:i w:val="0"/>
          <w:noProof/>
          <w:lang w:val="en-AU" w:eastAsia="en-AU"/>
        </w:rPr>
      </w:pPr>
      <w:r>
        <w:rPr>
          <w:noProof/>
        </w:rPr>
        <w:t>1.2.13</w:t>
      </w:r>
      <w:r>
        <w:rPr>
          <w:rFonts w:asciiTheme="minorHAnsi" w:eastAsiaTheme="minorEastAsia" w:hAnsiTheme="minorHAnsi" w:cstheme="minorBidi"/>
          <w:i w:val="0"/>
          <w:noProof/>
          <w:lang w:val="en-AU" w:eastAsia="en-AU"/>
        </w:rPr>
        <w:tab/>
      </w:r>
      <w:r>
        <w:rPr>
          <w:noProof/>
        </w:rPr>
        <w:t>Leak rate improvements over time</w:t>
      </w:r>
      <w:r>
        <w:rPr>
          <w:noProof/>
        </w:rPr>
        <w:tab/>
      </w:r>
      <w:r>
        <w:rPr>
          <w:noProof/>
        </w:rPr>
        <w:fldChar w:fldCharType="begin"/>
      </w:r>
      <w:r>
        <w:rPr>
          <w:noProof/>
        </w:rPr>
        <w:instrText xml:space="preserve"> PAGEREF _Toc54601653 \h </w:instrText>
      </w:r>
      <w:r>
        <w:rPr>
          <w:noProof/>
        </w:rPr>
      </w:r>
      <w:r>
        <w:rPr>
          <w:noProof/>
        </w:rPr>
        <w:fldChar w:fldCharType="separate"/>
      </w:r>
      <w:r>
        <w:rPr>
          <w:noProof/>
        </w:rPr>
        <w:t>32</w:t>
      </w:r>
      <w:r>
        <w:rPr>
          <w:noProof/>
        </w:rPr>
        <w:fldChar w:fldCharType="end"/>
      </w:r>
    </w:p>
    <w:p w14:paraId="012AD989" w14:textId="147AA54D" w:rsidR="00A02DC3" w:rsidRDefault="00A02DC3">
      <w:pPr>
        <w:pStyle w:val="TOC3"/>
        <w:rPr>
          <w:rFonts w:asciiTheme="minorHAnsi" w:eastAsiaTheme="minorEastAsia" w:hAnsiTheme="minorHAnsi" w:cstheme="minorBidi"/>
          <w:i w:val="0"/>
          <w:noProof/>
          <w:lang w:val="en-AU" w:eastAsia="en-AU"/>
        </w:rPr>
      </w:pPr>
      <w:r>
        <w:rPr>
          <w:noProof/>
        </w:rPr>
        <w:t>1.2.14</w:t>
      </w:r>
      <w:r>
        <w:rPr>
          <w:rFonts w:asciiTheme="minorHAnsi" w:eastAsiaTheme="minorEastAsia" w:hAnsiTheme="minorHAnsi" w:cstheme="minorBidi"/>
          <w:i w:val="0"/>
          <w:noProof/>
          <w:lang w:val="en-AU" w:eastAsia="en-AU"/>
        </w:rPr>
        <w:tab/>
      </w:r>
      <w:r>
        <w:rPr>
          <w:noProof/>
        </w:rPr>
        <w:t>Losses at end-of-life and recoverable refrigerant</w:t>
      </w:r>
      <w:r>
        <w:rPr>
          <w:noProof/>
        </w:rPr>
        <w:tab/>
      </w:r>
      <w:r>
        <w:rPr>
          <w:noProof/>
        </w:rPr>
        <w:fldChar w:fldCharType="begin"/>
      </w:r>
      <w:r>
        <w:rPr>
          <w:noProof/>
        </w:rPr>
        <w:instrText xml:space="preserve"> PAGEREF _Toc54601654 \h </w:instrText>
      </w:r>
      <w:r>
        <w:rPr>
          <w:noProof/>
        </w:rPr>
      </w:r>
      <w:r>
        <w:rPr>
          <w:noProof/>
        </w:rPr>
        <w:fldChar w:fldCharType="separate"/>
      </w:r>
      <w:r>
        <w:rPr>
          <w:noProof/>
        </w:rPr>
        <w:t>32</w:t>
      </w:r>
      <w:r>
        <w:rPr>
          <w:noProof/>
        </w:rPr>
        <w:fldChar w:fldCharType="end"/>
      </w:r>
    </w:p>
    <w:p w14:paraId="63E82081" w14:textId="785DA778" w:rsidR="00A02DC3" w:rsidRDefault="00A02DC3">
      <w:pPr>
        <w:pStyle w:val="TOC3"/>
        <w:rPr>
          <w:rFonts w:asciiTheme="minorHAnsi" w:eastAsiaTheme="minorEastAsia" w:hAnsiTheme="minorHAnsi" w:cstheme="minorBidi"/>
          <w:i w:val="0"/>
          <w:noProof/>
          <w:lang w:val="en-AU" w:eastAsia="en-AU"/>
        </w:rPr>
      </w:pPr>
      <w:r>
        <w:rPr>
          <w:noProof/>
        </w:rPr>
        <w:t>1.2.15</w:t>
      </w:r>
      <w:r>
        <w:rPr>
          <w:rFonts w:asciiTheme="minorHAnsi" w:eastAsiaTheme="minorEastAsia" w:hAnsiTheme="minorHAnsi" w:cstheme="minorBidi"/>
          <w:i w:val="0"/>
          <w:noProof/>
          <w:lang w:val="en-AU" w:eastAsia="en-AU"/>
        </w:rPr>
        <w:tab/>
      </w:r>
      <w:r>
        <w:rPr>
          <w:noProof/>
        </w:rPr>
        <w:t>New sales mix projections</w:t>
      </w:r>
      <w:r>
        <w:rPr>
          <w:noProof/>
        </w:rPr>
        <w:tab/>
      </w:r>
      <w:r>
        <w:rPr>
          <w:noProof/>
        </w:rPr>
        <w:fldChar w:fldCharType="begin"/>
      </w:r>
      <w:r>
        <w:rPr>
          <w:noProof/>
        </w:rPr>
        <w:instrText xml:space="preserve"> PAGEREF _Toc54601655 \h </w:instrText>
      </w:r>
      <w:r>
        <w:rPr>
          <w:noProof/>
        </w:rPr>
      </w:r>
      <w:r>
        <w:rPr>
          <w:noProof/>
        </w:rPr>
        <w:fldChar w:fldCharType="separate"/>
      </w:r>
      <w:r>
        <w:rPr>
          <w:noProof/>
        </w:rPr>
        <w:t>33</w:t>
      </w:r>
      <w:r>
        <w:rPr>
          <w:noProof/>
        </w:rPr>
        <w:fldChar w:fldCharType="end"/>
      </w:r>
    </w:p>
    <w:p w14:paraId="5B33D67F" w14:textId="7272FA57" w:rsidR="00A02DC3" w:rsidRDefault="00A02DC3">
      <w:pPr>
        <w:pStyle w:val="TOC3"/>
        <w:rPr>
          <w:rFonts w:asciiTheme="minorHAnsi" w:eastAsiaTheme="minorEastAsia" w:hAnsiTheme="minorHAnsi" w:cstheme="minorBidi"/>
          <w:i w:val="0"/>
          <w:noProof/>
          <w:lang w:val="en-AU" w:eastAsia="en-AU"/>
        </w:rPr>
      </w:pPr>
      <w:r>
        <w:rPr>
          <w:noProof/>
        </w:rPr>
        <w:t>1.2.16</w:t>
      </w:r>
      <w:r>
        <w:rPr>
          <w:rFonts w:asciiTheme="minorHAnsi" w:eastAsiaTheme="minorEastAsia" w:hAnsiTheme="minorHAnsi" w:cstheme="minorBidi"/>
          <w:i w:val="0"/>
          <w:noProof/>
          <w:lang w:val="en-AU" w:eastAsia="en-AU"/>
        </w:rPr>
        <w:tab/>
      </w:r>
      <w:r>
        <w:rPr>
          <w:noProof/>
        </w:rPr>
        <w:t>GWPs and refrigerant compositions</w:t>
      </w:r>
      <w:r>
        <w:rPr>
          <w:noProof/>
        </w:rPr>
        <w:tab/>
      </w:r>
      <w:r>
        <w:rPr>
          <w:noProof/>
        </w:rPr>
        <w:fldChar w:fldCharType="begin"/>
      </w:r>
      <w:r>
        <w:rPr>
          <w:noProof/>
        </w:rPr>
        <w:instrText xml:space="preserve"> PAGEREF _Toc54601656 \h </w:instrText>
      </w:r>
      <w:r>
        <w:rPr>
          <w:noProof/>
        </w:rPr>
      </w:r>
      <w:r>
        <w:rPr>
          <w:noProof/>
        </w:rPr>
        <w:fldChar w:fldCharType="separate"/>
      </w:r>
      <w:r>
        <w:rPr>
          <w:noProof/>
        </w:rPr>
        <w:t>35</w:t>
      </w:r>
      <w:r>
        <w:rPr>
          <w:noProof/>
        </w:rPr>
        <w:fldChar w:fldCharType="end"/>
      </w:r>
    </w:p>
    <w:p w14:paraId="6EB89F13" w14:textId="2BA9396B" w:rsidR="00A02DC3" w:rsidRDefault="00A02DC3">
      <w:pPr>
        <w:pStyle w:val="TOC3"/>
        <w:rPr>
          <w:rFonts w:asciiTheme="minorHAnsi" w:eastAsiaTheme="minorEastAsia" w:hAnsiTheme="minorHAnsi" w:cstheme="minorBidi"/>
          <w:i w:val="0"/>
          <w:noProof/>
          <w:lang w:val="en-AU" w:eastAsia="en-AU"/>
        </w:rPr>
      </w:pPr>
      <w:r>
        <w:rPr>
          <w:noProof/>
        </w:rPr>
        <w:t>1.2.17</w:t>
      </w:r>
      <w:r>
        <w:rPr>
          <w:rFonts w:asciiTheme="minorHAnsi" w:eastAsiaTheme="minorEastAsia" w:hAnsiTheme="minorHAnsi" w:cstheme="minorBidi"/>
          <w:i w:val="0"/>
          <w:noProof/>
          <w:lang w:val="en-AU" w:eastAsia="en-AU"/>
        </w:rPr>
        <w:tab/>
      </w:r>
      <w:r>
        <w:rPr>
          <w:noProof/>
        </w:rPr>
        <w:t>Energy consumption calculations and comparisons</w:t>
      </w:r>
      <w:r>
        <w:rPr>
          <w:noProof/>
        </w:rPr>
        <w:tab/>
      </w:r>
      <w:r>
        <w:rPr>
          <w:noProof/>
        </w:rPr>
        <w:fldChar w:fldCharType="begin"/>
      </w:r>
      <w:r>
        <w:rPr>
          <w:noProof/>
        </w:rPr>
        <w:instrText xml:space="preserve"> PAGEREF _Toc54601657 \h </w:instrText>
      </w:r>
      <w:r>
        <w:rPr>
          <w:noProof/>
        </w:rPr>
      </w:r>
      <w:r>
        <w:rPr>
          <w:noProof/>
        </w:rPr>
        <w:fldChar w:fldCharType="separate"/>
      </w:r>
      <w:r>
        <w:rPr>
          <w:noProof/>
        </w:rPr>
        <w:t>38</w:t>
      </w:r>
      <w:r>
        <w:rPr>
          <w:noProof/>
        </w:rPr>
        <w:fldChar w:fldCharType="end"/>
      </w:r>
    </w:p>
    <w:p w14:paraId="3BBB8D0B" w14:textId="28E77885" w:rsidR="00A02DC3" w:rsidRDefault="00A02DC3">
      <w:pPr>
        <w:pStyle w:val="TOC3"/>
        <w:rPr>
          <w:rFonts w:asciiTheme="minorHAnsi" w:eastAsiaTheme="minorEastAsia" w:hAnsiTheme="minorHAnsi" w:cstheme="minorBidi"/>
          <w:i w:val="0"/>
          <w:noProof/>
          <w:lang w:val="en-AU" w:eastAsia="en-AU"/>
        </w:rPr>
      </w:pPr>
      <w:r>
        <w:rPr>
          <w:noProof/>
        </w:rPr>
        <w:t>1.2.18</w:t>
      </w:r>
      <w:r>
        <w:rPr>
          <w:rFonts w:asciiTheme="minorHAnsi" w:eastAsiaTheme="minorEastAsia" w:hAnsiTheme="minorHAnsi" w:cstheme="minorBidi"/>
          <w:i w:val="0"/>
          <w:noProof/>
          <w:lang w:val="en-AU" w:eastAsia="en-AU"/>
        </w:rPr>
        <w:tab/>
      </w:r>
      <w:r>
        <w:rPr>
          <w:noProof/>
        </w:rPr>
        <w:t>Energy related greenhouse emissions</w:t>
      </w:r>
      <w:r>
        <w:rPr>
          <w:noProof/>
        </w:rPr>
        <w:tab/>
      </w:r>
      <w:r>
        <w:rPr>
          <w:noProof/>
        </w:rPr>
        <w:fldChar w:fldCharType="begin"/>
      </w:r>
      <w:r>
        <w:rPr>
          <w:noProof/>
        </w:rPr>
        <w:instrText xml:space="preserve"> PAGEREF _Toc54601658 \h </w:instrText>
      </w:r>
      <w:r>
        <w:rPr>
          <w:noProof/>
        </w:rPr>
      </w:r>
      <w:r>
        <w:rPr>
          <w:noProof/>
        </w:rPr>
        <w:fldChar w:fldCharType="separate"/>
      </w:r>
      <w:r>
        <w:rPr>
          <w:noProof/>
        </w:rPr>
        <w:t>44</w:t>
      </w:r>
      <w:r>
        <w:rPr>
          <w:noProof/>
        </w:rPr>
        <w:fldChar w:fldCharType="end"/>
      </w:r>
    </w:p>
    <w:p w14:paraId="251EC3A0" w14:textId="0EE2D7DD" w:rsidR="00A02DC3" w:rsidRDefault="00A02DC3">
      <w:pPr>
        <w:pStyle w:val="TOC3"/>
        <w:rPr>
          <w:rFonts w:asciiTheme="minorHAnsi" w:eastAsiaTheme="minorEastAsia" w:hAnsiTheme="minorHAnsi" w:cstheme="minorBidi"/>
          <w:i w:val="0"/>
          <w:noProof/>
          <w:lang w:val="en-AU" w:eastAsia="en-AU"/>
        </w:rPr>
      </w:pPr>
      <w:r>
        <w:rPr>
          <w:noProof/>
        </w:rPr>
        <w:t>1.2.19</w:t>
      </w:r>
      <w:r>
        <w:rPr>
          <w:rFonts w:asciiTheme="minorHAnsi" w:eastAsiaTheme="minorEastAsia" w:hAnsiTheme="minorHAnsi" w:cstheme="minorBidi"/>
          <w:i w:val="0"/>
          <w:noProof/>
          <w:lang w:val="en-AU" w:eastAsia="en-AU"/>
        </w:rPr>
        <w:tab/>
      </w:r>
      <w:r>
        <w:rPr>
          <w:noProof/>
        </w:rPr>
        <w:t>Annual expenditure</w:t>
      </w:r>
      <w:r>
        <w:rPr>
          <w:noProof/>
        </w:rPr>
        <w:tab/>
      </w:r>
      <w:r>
        <w:rPr>
          <w:noProof/>
        </w:rPr>
        <w:fldChar w:fldCharType="begin"/>
      </w:r>
      <w:r>
        <w:rPr>
          <w:noProof/>
        </w:rPr>
        <w:instrText xml:space="preserve"> PAGEREF _Toc54601659 \h </w:instrText>
      </w:r>
      <w:r>
        <w:rPr>
          <w:noProof/>
        </w:rPr>
      </w:r>
      <w:r>
        <w:rPr>
          <w:noProof/>
        </w:rPr>
        <w:fldChar w:fldCharType="separate"/>
      </w:r>
      <w:r>
        <w:rPr>
          <w:noProof/>
        </w:rPr>
        <w:t>44</w:t>
      </w:r>
      <w:r>
        <w:rPr>
          <w:noProof/>
        </w:rPr>
        <w:fldChar w:fldCharType="end"/>
      </w:r>
    </w:p>
    <w:p w14:paraId="2843A8CB" w14:textId="4862BDE7" w:rsidR="00A02DC3" w:rsidRDefault="00A02DC3">
      <w:pPr>
        <w:pStyle w:val="TOC2"/>
        <w:rPr>
          <w:rFonts w:asciiTheme="minorHAnsi" w:eastAsiaTheme="minorEastAsia" w:hAnsiTheme="minorHAnsi" w:cstheme="minorBidi"/>
          <w:noProof/>
          <w:lang w:val="en-AU" w:eastAsia="en-AU"/>
        </w:rPr>
      </w:pPr>
      <w:r w:rsidRPr="00FD3926">
        <w:rPr>
          <w:noProof/>
        </w:rPr>
        <w:t>1.3</w:t>
      </w:r>
      <w:r>
        <w:rPr>
          <w:rFonts w:asciiTheme="minorHAnsi" w:eastAsiaTheme="minorEastAsia" w:hAnsiTheme="minorHAnsi" w:cstheme="minorBidi"/>
          <w:noProof/>
          <w:lang w:val="en-AU" w:eastAsia="en-AU"/>
        </w:rPr>
        <w:tab/>
      </w:r>
      <w:r>
        <w:rPr>
          <w:noProof/>
        </w:rPr>
        <w:t>RAC Stock model outputs and projections</w:t>
      </w:r>
      <w:r>
        <w:rPr>
          <w:noProof/>
        </w:rPr>
        <w:tab/>
      </w:r>
      <w:r>
        <w:rPr>
          <w:noProof/>
        </w:rPr>
        <w:fldChar w:fldCharType="begin"/>
      </w:r>
      <w:r>
        <w:rPr>
          <w:noProof/>
        </w:rPr>
        <w:instrText xml:space="preserve"> PAGEREF _Toc54601660 \h </w:instrText>
      </w:r>
      <w:r>
        <w:rPr>
          <w:noProof/>
        </w:rPr>
      </w:r>
      <w:r>
        <w:rPr>
          <w:noProof/>
        </w:rPr>
        <w:fldChar w:fldCharType="separate"/>
      </w:r>
      <w:r>
        <w:rPr>
          <w:noProof/>
        </w:rPr>
        <w:t>46</w:t>
      </w:r>
      <w:r>
        <w:rPr>
          <w:noProof/>
        </w:rPr>
        <w:fldChar w:fldCharType="end"/>
      </w:r>
    </w:p>
    <w:p w14:paraId="46AF3B27" w14:textId="315B0AC5" w:rsidR="00A02DC3" w:rsidRDefault="00A02DC3">
      <w:pPr>
        <w:pStyle w:val="TOC2"/>
        <w:rPr>
          <w:rFonts w:asciiTheme="minorHAnsi" w:eastAsiaTheme="minorEastAsia" w:hAnsiTheme="minorHAnsi" w:cstheme="minorBidi"/>
          <w:noProof/>
          <w:lang w:val="en-AU" w:eastAsia="en-AU"/>
        </w:rPr>
      </w:pPr>
      <w:r w:rsidRPr="00FD3926">
        <w:rPr>
          <w:noProof/>
        </w:rPr>
        <w:t>1.4</w:t>
      </w:r>
      <w:r>
        <w:rPr>
          <w:rFonts w:asciiTheme="minorHAnsi" w:eastAsiaTheme="minorEastAsia" w:hAnsiTheme="minorHAnsi" w:cstheme="minorBidi"/>
          <w:noProof/>
          <w:lang w:val="en-AU" w:eastAsia="en-AU"/>
        </w:rPr>
        <w:tab/>
      </w:r>
      <w:r>
        <w:rPr>
          <w:noProof/>
        </w:rPr>
        <w:t>HVAC&amp;R Supply chain business types and end use applications</w:t>
      </w:r>
      <w:r>
        <w:rPr>
          <w:noProof/>
        </w:rPr>
        <w:tab/>
      </w:r>
      <w:r>
        <w:rPr>
          <w:noProof/>
        </w:rPr>
        <w:fldChar w:fldCharType="begin"/>
      </w:r>
      <w:r>
        <w:rPr>
          <w:noProof/>
        </w:rPr>
        <w:instrText xml:space="preserve"> PAGEREF _Toc54601661 \h </w:instrText>
      </w:r>
      <w:r>
        <w:rPr>
          <w:noProof/>
        </w:rPr>
      </w:r>
      <w:r>
        <w:rPr>
          <w:noProof/>
        </w:rPr>
        <w:fldChar w:fldCharType="separate"/>
      </w:r>
      <w:r>
        <w:rPr>
          <w:noProof/>
        </w:rPr>
        <w:t>48</w:t>
      </w:r>
      <w:r>
        <w:rPr>
          <w:noProof/>
        </w:rPr>
        <w:fldChar w:fldCharType="end"/>
      </w:r>
    </w:p>
    <w:p w14:paraId="4B7D24FA" w14:textId="102CB449" w:rsidR="00A02DC3" w:rsidRDefault="00A02DC3">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_Toc54601662 \h </w:instrText>
      </w:r>
      <w:r>
        <w:fldChar w:fldCharType="separate"/>
      </w:r>
      <w:r>
        <w:t>52</w:t>
      </w:r>
      <w:r>
        <w:fldChar w:fldCharType="end"/>
      </w:r>
    </w:p>
    <w:p w14:paraId="2015CFE8" w14:textId="1B00748C" w:rsidR="00B67E9C" w:rsidRDefault="00B67E9C" w:rsidP="00B67E9C">
      <w:pPr>
        <w:rPr>
          <w:rFonts w:ascii="Verdana" w:eastAsia="Times New Roman" w:hAnsi="Verdana" w:cs="Times New Roman"/>
          <w:noProof/>
          <w:color w:val="31849B" w:themeColor="accent5" w:themeShade="BF"/>
          <w:sz w:val="20"/>
          <w:szCs w:val="20"/>
          <w:lang w:val="en-US"/>
        </w:rPr>
      </w:pPr>
      <w:r>
        <w:rPr>
          <w:rFonts w:ascii="Verdana" w:eastAsia="Times New Roman" w:hAnsi="Verdana" w:cs="Times New Roman"/>
          <w:noProof/>
          <w:color w:val="31849B" w:themeColor="accent5" w:themeShade="BF"/>
          <w:sz w:val="20"/>
          <w:szCs w:val="20"/>
          <w:lang w:val="en-US"/>
        </w:rPr>
        <w:fldChar w:fldCharType="end"/>
      </w:r>
    </w:p>
    <w:p w14:paraId="7FD5AB21" w14:textId="77777777" w:rsidR="00B67E9C" w:rsidRDefault="00B67E9C" w:rsidP="00B67E9C">
      <w:pPr>
        <w:rPr>
          <w:rFonts w:asciiTheme="majorHAnsi" w:hAnsiTheme="majorHAnsi"/>
          <w:sz w:val="36"/>
          <w:szCs w:val="36"/>
        </w:rPr>
      </w:pPr>
      <w:r>
        <w:rPr>
          <w:rFonts w:asciiTheme="majorHAnsi" w:hAnsiTheme="majorHAnsi"/>
          <w:sz w:val="36"/>
          <w:szCs w:val="36"/>
        </w:rPr>
        <w:t>Appendices</w:t>
      </w:r>
    </w:p>
    <w:p w14:paraId="43130580"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Appendix A: Methodology – Taxonomy, data and assumptions, glossary and abbreviations</w:t>
      </w:r>
    </w:p>
    <w:p w14:paraId="4BC6EAB9"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 xml:space="preserve">Appendix B: Cold Hard Facts 2020 Spread-sheet </w:t>
      </w:r>
    </w:p>
    <w:p w14:paraId="29279247"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B1: CHF3 Taxonomy</w:t>
      </w:r>
    </w:p>
    <w:p w14:paraId="6E2363D0"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B2.1: New equipment sales mix by equipment type: Input units</w:t>
      </w:r>
    </w:p>
    <w:p w14:paraId="5EB92157"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B2.2: New equipment sales mix by equipment type: Refrigerant mass outputs</w:t>
      </w:r>
    </w:p>
    <w:p w14:paraId="7F40ED54"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B3: Bank projections by class and segment</w:t>
      </w:r>
    </w:p>
    <w:p w14:paraId="78DDB0D7"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B4.1: Bulk imports and pre-charged equipment imports</w:t>
      </w:r>
    </w:p>
    <w:p w14:paraId="6BD615B9"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B4.2: Stationary AC: Pre-charged equipment imports</w:t>
      </w:r>
    </w:p>
    <w:p w14:paraId="0F0C5086" w14:textId="77777777" w:rsidR="00B67E9C" w:rsidRDefault="00B67E9C" w:rsidP="00B67E9C">
      <w:pPr>
        <w:spacing w:before="60"/>
        <w:rPr>
          <w:rFonts w:ascii="Calibri" w:hAnsi="Calibri"/>
          <w:b/>
          <w:noProof/>
          <w:color w:val="31849B" w:themeColor="accent5" w:themeShade="BF"/>
        </w:rPr>
      </w:pPr>
      <w:r>
        <w:rPr>
          <w:rFonts w:ascii="Calibri" w:hAnsi="Calibri"/>
          <w:b/>
          <w:noProof/>
          <w:color w:val="31849B" w:themeColor="accent5" w:themeShade="BF"/>
        </w:rPr>
        <w:t>B5: Usage in tonnes and CO</w:t>
      </w:r>
      <w:r>
        <w:rPr>
          <w:rFonts w:ascii="Calibri" w:hAnsi="Calibri"/>
          <w:b/>
          <w:noProof/>
          <w:color w:val="31849B" w:themeColor="accent5" w:themeShade="BF"/>
          <w:vertAlign w:val="subscript"/>
        </w:rPr>
        <w:t>2</w:t>
      </w:r>
      <w:r>
        <w:rPr>
          <w:rFonts w:ascii="Calibri" w:hAnsi="Calibri"/>
          <w:b/>
          <w:noProof/>
          <w:color w:val="31849B" w:themeColor="accent5" w:themeShade="BF"/>
        </w:rPr>
        <w:t>e versus phase down schedules, and by segment</w:t>
      </w:r>
    </w:p>
    <w:p w14:paraId="6679D0F6" w14:textId="77777777" w:rsidR="00B67E9C" w:rsidRDefault="00B67E9C" w:rsidP="00B67E9C">
      <w:pPr>
        <w:spacing w:before="60"/>
        <w:rPr>
          <w:rFonts w:ascii="Calibri" w:hAnsi="Calibri"/>
          <w:bCs/>
          <w:noProof/>
          <w:color w:val="31849B" w:themeColor="accent5" w:themeShade="BF"/>
        </w:rPr>
      </w:pPr>
    </w:p>
    <w:p w14:paraId="6A52549E" w14:textId="77777777" w:rsidR="00B67E9C" w:rsidRDefault="00B67E9C" w:rsidP="00B67E9C">
      <w:pPr>
        <w:spacing w:before="60"/>
        <w:rPr>
          <w:rFonts w:asciiTheme="majorHAnsi" w:hAnsiTheme="majorHAnsi"/>
          <w:szCs w:val="22"/>
        </w:rPr>
      </w:pPr>
      <w:r>
        <w:rPr>
          <w:rFonts w:asciiTheme="majorHAnsi" w:hAnsiTheme="majorHAnsi"/>
          <w:szCs w:val="22"/>
        </w:rPr>
        <w:br w:type="page"/>
      </w:r>
    </w:p>
    <w:p w14:paraId="738516C6" w14:textId="77777777" w:rsidR="00B67E9C" w:rsidRDefault="00B67E9C" w:rsidP="00B67E9C">
      <w:pPr>
        <w:rPr>
          <w:rFonts w:asciiTheme="majorHAnsi" w:hAnsiTheme="majorHAnsi"/>
          <w:sz w:val="36"/>
          <w:szCs w:val="36"/>
        </w:rPr>
      </w:pPr>
      <w:r>
        <w:rPr>
          <w:rFonts w:asciiTheme="majorHAnsi" w:hAnsiTheme="majorHAnsi"/>
          <w:sz w:val="36"/>
          <w:szCs w:val="36"/>
        </w:rPr>
        <w:lastRenderedPageBreak/>
        <w:t>List of Figures</w:t>
      </w:r>
    </w:p>
    <w:p w14:paraId="4F4C04F0" w14:textId="09193CCB" w:rsidR="002763FD" w:rsidRDefault="00B67E9C">
      <w:pPr>
        <w:pStyle w:val="TableofFigures"/>
        <w:tabs>
          <w:tab w:val="right" w:leader="dot" w:pos="9487"/>
        </w:tabs>
        <w:rPr>
          <w:rFonts w:asciiTheme="minorHAnsi" w:eastAsiaTheme="minorEastAsia" w:hAnsiTheme="minorHAnsi" w:cstheme="minorBidi"/>
          <w:noProof/>
          <w:sz w:val="22"/>
          <w:szCs w:val="22"/>
          <w:lang w:val="en-AU" w:eastAsia="en-AU"/>
        </w:rPr>
      </w:pPr>
      <w:r>
        <w:rPr>
          <w:noProof/>
          <w:szCs w:val="20"/>
        </w:rPr>
        <w:fldChar w:fldCharType="begin"/>
      </w:r>
      <w:r>
        <w:rPr>
          <w:noProof/>
          <w:szCs w:val="20"/>
        </w:rPr>
        <w:instrText xml:space="preserve"> TOC \c "Figure" </w:instrText>
      </w:r>
      <w:r>
        <w:rPr>
          <w:noProof/>
          <w:szCs w:val="20"/>
        </w:rPr>
        <w:fldChar w:fldCharType="separate"/>
      </w:r>
      <w:r w:rsidR="002763FD">
        <w:rPr>
          <w:noProof/>
        </w:rPr>
        <w:t>Figure 1</w:t>
      </w:r>
      <w:r w:rsidR="002763FD" w:rsidRPr="002C7616">
        <w:rPr>
          <w:noProof/>
        </w:rPr>
        <w:t>: Polynomial used in RAC Stock model based on sample of more than 10,000 vehicles.</w:t>
      </w:r>
      <w:r w:rsidR="002763FD">
        <w:rPr>
          <w:noProof/>
        </w:rPr>
        <w:tab/>
      </w:r>
      <w:r w:rsidR="002763FD">
        <w:rPr>
          <w:noProof/>
        </w:rPr>
        <w:fldChar w:fldCharType="begin"/>
      </w:r>
      <w:r w:rsidR="002763FD">
        <w:rPr>
          <w:noProof/>
        </w:rPr>
        <w:instrText xml:space="preserve"> PAGEREF _Toc54602339 \h </w:instrText>
      </w:r>
      <w:r w:rsidR="002763FD">
        <w:rPr>
          <w:noProof/>
        </w:rPr>
      </w:r>
      <w:r w:rsidR="002763FD">
        <w:rPr>
          <w:noProof/>
        </w:rPr>
        <w:fldChar w:fldCharType="separate"/>
      </w:r>
      <w:r w:rsidR="002763FD">
        <w:rPr>
          <w:noProof/>
        </w:rPr>
        <w:t>20</w:t>
      </w:r>
      <w:r w:rsidR="002763FD">
        <w:rPr>
          <w:noProof/>
        </w:rPr>
        <w:fldChar w:fldCharType="end"/>
      </w:r>
    </w:p>
    <w:p w14:paraId="32665C68" w14:textId="31724843"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2</w:t>
      </w:r>
      <w:r w:rsidRPr="002C7616">
        <w:rPr>
          <w:noProof/>
        </w:rPr>
        <w:t>: Refrigerant mass flow equation concept diagram.</w:t>
      </w:r>
      <w:r>
        <w:rPr>
          <w:noProof/>
        </w:rPr>
        <w:tab/>
      </w:r>
      <w:r>
        <w:rPr>
          <w:noProof/>
        </w:rPr>
        <w:fldChar w:fldCharType="begin"/>
      </w:r>
      <w:r>
        <w:rPr>
          <w:noProof/>
        </w:rPr>
        <w:instrText xml:space="preserve"> PAGEREF _Toc54602340 \h </w:instrText>
      </w:r>
      <w:r>
        <w:rPr>
          <w:noProof/>
        </w:rPr>
      </w:r>
      <w:r>
        <w:rPr>
          <w:noProof/>
        </w:rPr>
        <w:fldChar w:fldCharType="separate"/>
      </w:r>
      <w:r>
        <w:rPr>
          <w:noProof/>
        </w:rPr>
        <w:t>25</w:t>
      </w:r>
      <w:r>
        <w:rPr>
          <w:noProof/>
        </w:rPr>
        <w:fldChar w:fldCharType="end"/>
      </w:r>
    </w:p>
    <w:p w14:paraId="1BF3C6DE" w14:textId="7C1DA0F5"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3</w:t>
      </w:r>
      <w:r w:rsidRPr="002C7616">
        <w:rPr>
          <w:noProof/>
        </w:rPr>
        <w:t>: Small MAC Mass balance elements, annual flows and banks from 2016 to 2030 in tonnes.</w:t>
      </w:r>
      <w:r>
        <w:rPr>
          <w:noProof/>
        </w:rPr>
        <w:tab/>
      </w:r>
      <w:r>
        <w:rPr>
          <w:noProof/>
        </w:rPr>
        <w:fldChar w:fldCharType="begin"/>
      </w:r>
      <w:r>
        <w:rPr>
          <w:noProof/>
        </w:rPr>
        <w:instrText xml:space="preserve"> PAGEREF _Toc54602341 \h </w:instrText>
      </w:r>
      <w:r>
        <w:rPr>
          <w:noProof/>
        </w:rPr>
      </w:r>
      <w:r>
        <w:rPr>
          <w:noProof/>
        </w:rPr>
        <w:fldChar w:fldCharType="separate"/>
      </w:r>
      <w:r>
        <w:rPr>
          <w:noProof/>
        </w:rPr>
        <w:t>26</w:t>
      </w:r>
      <w:r>
        <w:rPr>
          <w:noProof/>
        </w:rPr>
        <w:fldChar w:fldCharType="end"/>
      </w:r>
    </w:p>
    <w:p w14:paraId="7220F841" w14:textId="05E10F05"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4</w:t>
      </w:r>
      <w:r w:rsidRPr="002C7616">
        <w:rPr>
          <w:noProof/>
        </w:rPr>
        <w:t>: New sales mix by units for Small AC: Split</w:t>
      </w:r>
      <w:r>
        <w:rPr>
          <w:noProof/>
        </w:rPr>
        <w:tab/>
      </w:r>
      <w:r>
        <w:rPr>
          <w:noProof/>
        </w:rPr>
        <w:fldChar w:fldCharType="begin"/>
      </w:r>
      <w:r>
        <w:rPr>
          <w:noProof/>
        </w:rPr>
        <w:instrText xml:space="preserve"> PAGEREF _Toc54602342 \h </w:instrText>
      </w:r>
      <w:r>
        <w:rPr>
          <w:noProof/>
        </w:rPr>
      </w:r>
      <w:r>
        <w:rPr>
          <w:noProof/>
        </w:rPr>
        <w:fldChar w:fldCharType="separate"/>
      </w:r>
      <w:r>
        <w:rPr>
          <w:noProof/>
        </w:rPr>
        <w:t>33</w:t>
      </w:r>
      <w:r>
        <w:rPr>
          <w:noProof/>
        </w:rPr>
        <w:fldChar w:fldCharType="end"/>
      </w:r>
    </w:p>
    <w:p w14:paraId="75E0CBFF" w14:textId="1C3BC3BC"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5</w:t>
      </w:r>
      <w:r w:rsidRPr="002C7616">
        <w:rPr>
          <w:noProof/>
        </w:rPr>
        <w:t>: New sales mix by refrigerant mass for Small AC: Split.</w:t>
      </w:r>
      <w:r>
        <w:rPr>
          <w:noProof/>
        </w:rPr>
        <w:tab/>
      </w:r>
      <w:r>
        <w:rPr>
          <w:noProof/>
        </w:rPr>
        <w:fldChar w:fldCharType="begin"/>
      </w:r>
      <w:r>
        <w:rPr>
          <w:noProof/>
        </w:rPr>
        <w:instrText xml:space="preserve"> PAGEREF _Toc54602343 \h </w:instrText>
      </w:r>
      <w:r>
        <w:rPr>
          <w:noProof/>
        </w:rPr>
      </w:r>
      <w:r>
        <w:rPr>
          <w:noProof/>
        </w:rPr>
        <w:fldChar w:fldCharType="separate"/>
      </w:r>
      <w:r>
        <w:rPr>
          <w:noProof/>
        </w:rPr>
        <w:t>34</w:t>
      </w:r>
      <w:r>
        <w:rPr>
          <w:noProof/>
        </w:rPr>
        <w:fldChar w:fldCharType="end"/>
      </w:r>
    </w:p>
    <w:p w14:paraId="4BFEF58A" w14:textId="6DFF4222"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6</w:t>
      </w:r>
      <w:r w:rsidRPr="002C7616">
        <w:rPr>
          <w:noProof/>
        </w:rPr>
        <w:t>: Small MAC refrigerant bank in tonnes from 2018 to 2030.</w:t>
      </w:r>
      <w:r>
        <w:rPr>
          <w:noProof/>
        </w:rPr>
        <w:tab/>
      </w:r>
      <w:r>
        <w:rPr>
          <w:noProof/>
        </w:rPr>
        <w:fldChar w:fldCharType="begin"/>
      </w:r>
      <w:r>
        <w:rPr>
          <w:noProof/>
        </w:rPr>
        <w:instrText xml:space="preserve"> PAGEREF _Toc54602344 \h </w:instrText>
      </w:r>
      <w:r>
        <w:rPr>
          <w:noProof/>
        </w:rPr>
      </w:r>
      <w:r>
        <w:rPr>
          <w:noProof/>
        </w:rPr>
        <w:fldChar w:fldCharType="separate"/>
      </w:r>
      <w:r>
        <w:rPr>
          <w:noProof/>
        </w:rPr>
        <w:t>47</w:t>
      </w:r>
      <w:r>
        <w:rPr>
          <w:noProof/>
        </w:rPr>
        <w:fldChar w:fldCharType="end"/>
      </w:r>
    </w:p>
    <w:p w14:paraId="0F1E8B5F" w14:textId="3A5B0C3D"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7</w:t>
      </w:r>
      <w:r w:rsidRPr="002C7616">
        <w:rPr>
          <w:noProof/>
        </w:rPr>
        <w:t>: Small MAC refrigerant bank in Mt CO</w:t>
      </w:r>
      <w:r w:rsidRPr="002C7616">
        <w:rPr>
          <w:noProof/>
          <w:vertAlign w:val="subscript"/>
        </w:rPr>
        <w:t>2</w:t>
      </w:r>
      <w:r w:rsidRPr="002C7616">
        <w:rPr>
          <w:noProof/>
        </w:rPr>
        <w:t>e from 2018 to 2030.</w:t>
      </w:r>
      <w:r>
        <w:rPr>
          <w:noProof/>
        </w:rPr>
        <w:tab/>
      </w:r>
      <w:r>
        <w:rPr>
          <w:noProof/>
        </w:rPr>
        <w:fldChar w:fldCharType="begin"/>
      </w:r>
      <w:r>
        <w:rPr>
          <w:noProof/>
        </w:rPr>
        <w:instrText xml:space="preserve"> PAGEREF _Toc54602345 \h </w:instrText>
      </w:r>
      <w:r>
        <w:rPr>
          <w:noProof/>
        </w:rPr>
      </w:r>
      <w:r>
        <w:rPr>
          <w:noProof/>
        </w:rPr>
        <w:fldChar w:fldCharType="separate"/>
      </w:r>
      <w:r>
        <w:rPr>
          <w:noProof/>
        </w:rPr>
        <w:t>47</w:t>
      </w:r>
      <w:r>
        <w:rPr>
          <w:noProof/>
        </w:rPr>
        <w:fldChar w:fldCharType="end"/>
      </w:r>
    </w:p>
    <w:p w14:paraId="49498AA7" w14:textId="21D585FE" w:rsidR="00B67E9C" w:rsidRDefault="00B67E9C" w:rsidP="00B67E9C">
      <w:pPr>
        <w:tabs>
          <w:tab w:val="left" w:pos="7513"/>
        </w:tabs>
        <w:rPr>
          <w:rFonts w:asciiTheme="majorHAnsi" w:eastAsia="Times New Roman" w:hAnsiTheme="majorHAnsi" w:cs="Times New Roman"/>
          <w:noProof/>
          <w:sz w:val="20"/>
          <w:szCs w:val="20"/>
          <w:lang w:val="en-US"/>
        </w:rPr>
      </w:pPr>
      <w:r>
        <w:rPr>
          <w:rFonts w:asciiTheme="majorHAnsi" w:eastAsia="Times New Roman" w:hAnsiTheme="majorHAnsi" w:cs="Times New Roman"/>
          <w:noProof/>
          <w:sz w:val="20"/>
          <w:szCs w:val="20"/>
          <w:lang w:val="en-US"/>
        </w:rPr>
        <w:fldChar w:fldCharType="end"/>
      </w:r>
    </w:p>
    <w:p w14:paraId="25590AC0" w14:textId="77777777" w:rsidR="00B67E9C" w:rsidRDefault="00B67E9C" w:rsidP="00B67E9C">
      <w:pPr>
        <w:tabs>
          <w:tab w:val="left" w:pos="7513"/>
        </w:tabs>
        <w:rPr>
          <w:rFonts w:asciiTheme="majorHAnsi" w:hAnsiTheme="majorHAnsi"/>
          <w:sz w:val="36"/>
          <w:szCs w:val="36"/>
        </w:rPr>
      </w:pPr>
      <w:r>
        <w:rPr>
          <w:rFonts w:asciiTheme="majorHAnsi" w:hAnsiTheme="majorHAnsi"/>
          <w:sz w:val="36"/>
          <w:szCs w:val="36"/>
        </w:rPr>
        <w:t>List of Tables</w:t>
      </w:r>
    </w:p>
    <w:p w14:paraId="57CE4949" w14:textId="4DA375AC" w:rsidR="002763FD" w:rsidRDefault="00B67E9C">
      <w:pPr>
        <w:pStyle w:val="TableofFigures"/>
        <w:tabs>
          <w:tab w:val="right" w:leader="dot" w:pos="9487"/>
        </w:tabs>
        <w:rPr>
          <w:rFonts w:asciiTheme="minorHAnsi" w:eastAsiaTheme="minorEastAsia" w:hAnsiTheme="minorHAnsi" w:cstheme="minorBidi"/>
          <w:noProof/>
          <w:sz w:val="22"/>
          <w:szCs w:val="22"/>
          <w:lang w:val="en-AU" w:eastAsia="en-AU"/>
        </w:rPr>
      </w:pPr>
      <w:r>
        <w:rPr>
          <w:b/>
          <w:bCs/>
          <w:noProof/>
          <w:szCs w:val="20"/>
        </w:rPr>
        <w:fldChar w:fldCharType="begin"/>
      </w:r>
      <w:r>
        <w:rPr>
          <w:b/>
          <w:bCs/>
          <w:noProof/>
          <w:szCs w:val="20"/>
        </w:rPr>
        <w:instrText xml:space="preserve"> TOC \c "Table" </w:instrText>
      </w:r>
      <w:r>
        <w:rPr>
          <w:b/>
          <w:bCs/>
          <w:noProof/>
          <w:szCs w:val="20"/>
        </w:rPr>
        <w:fldChar w:fldCharType="separate"/>
      </w:r>
      <w:r w:rsidR="002763FD">
        <w:rPr>
          <w:noProof/>
        </w:rPr>
        <w:t>Table 1: Technical characteristics by product category (average charge, end-of-life factors, service rates, leak rates and average lifespan) for most common substances.</w:t>
      </w:r>
      <w:r w:rsidR="002763FD">
        <w:rPr>
          <w:noProof/>
        </w:rPr>
        <w:tab/>
      </w:r>
      <w:r w:rsidR="002763FD">
        <w:rPr>
          <w:noProof/>
        </w:rPr>
        <w:fldChar w:fldCharType="begin"/>
      </w:r>
      <w:r w:rsidR="002763FD">
        <w:rPr>
          <w:noProof/>
        </w:rPr>
        <w:instrText xml:space="preserve"> PAGEREF _Toc54602346 \h </w:instrText>
      </w:r>
      <w:r w:rsidR="002763FD">
        <w:rPr>
          <w:noProof/>
        </w:rPr>
      </w:r>
      <w:r w:rsidR="002763FD">
        <w:rPr>
          <w:noProof/>
        </w:rPr>
        <w:fldChar w:fldCharType="separate"/>
      </w:r>
      <w:r w:rsidR="002763FD">
        <w:rPr>
          <w:noProof/>
        </w:rPr>
        <w:t>28</w:t>
      </w:r>
      <w:r w:rsidR="002763FD">
        <w:rPr>
          <w:noProof/>
        </w:rPr>
        <w:fldChar w:fldCharType="end"/>
      </w:r>
    </w:p>
    <w:p w14:paraId="1FDE6251" w14:textId="3408B701"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2: GWP factors of main refrigerant species.</w:t>
      </w:r>
      <w:r>
        <w:rPr>
          <w:noProof/>
        </w:rPr>
        <w:tab/>
      </w:r>
      <w:r>
        <w:rPr>
          <w:noProof/>
        </w:rPr>
        <w:fldChar w:fldCharType="begin"/>
      </w:r>
      <w:r>
        <w:rPr>
          <w:noProof/>
        </w:rPr>
        <w:instrText xml:space="preserve"> PAGEREF _Toc54602347 \h </w:instrText>
      </w:r>
      <w:r>
        <w:rPr>
          <w:noProof/>
        </w:rPr>
      </w:r>
      <w:r>
        <w:rPr>
          <w:noProof/>
        </w:rPr>
        <w:fldChar w:fldCharType="separate"/>
      </w:r>
      <w:r>
        <w:rPr>
          <w:noProof/>
        </w:rPr>
        <w:t>35</w:t>
      </w:r>
      <w:r>
        <w:rPr>
          <w:noProof/>
        </w:rPr>
        <w:fldChar w:fldCharType="end"/>
      </w:r>
    </w:p>
    <w:p w14:paraId="316E8D60" w14:textId="59C59C6B"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3: ASHRAE Refrigerant designation and refrigerant mass composition of common blends used in Australia.</w:t>
      </w:r>
      <w:r>
        <w:rPr>
          <w:noProof/>
        </w:rPr>
        <w:tab/>
      </w:r>
      <w:r>
        <w:rPr>
          <w:noProof/>
        </w:rPr>
        <w:fldChar w:fldCharType="begin"/>
      </w:r>
      <w:r>
        <w:rPr>
          <w:noProof/>
        </w:rPr>
        <w:instrText xml:space="preserve"> PAGEREF _Toc54602348 \h </w:instrText>
      </w:r>
      <w:r>
        <w:rPr>
          <w:noProof/>
        </w:rPr>
      </w:r>
      <w:r>
        <w:rPr>
          <w:noProof/>
        </w:rPr>
        <w:fldChar w:fldCharType="separate"/>
      </w:r>
      <w:r>
        <w:rPr>
          <w:noProof/>
        </w:rPr>
        <w:t>37</w:t>
      </w:r>
      <w:r>
        <w:rPr>
          <w:noProof/>
        </w:rPr>
        <w:fldChar w:fldCharType="end"/>
      </w:r>
    </w:p>
    <w:p w14:paraId="79326E71" w14:textId="6AD85153"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 xml:space="preserve">Table 4: </w:t>
      </w:r>
      <w:r w:rsidRPr="00D83793">
        <w:rPr>
          <w:noProof/>
          <w:lang w:val="en-AU"/>
        </w:rPr>
        <w:t>Comparisons of stock and electricity consumption values: CHF2 vs AC RIS: 2016 vs CHF3: 2016.</w:t>
      </w:r>
      <w:r>
        <w:rPr>
          <w:noProof/>
        </w:rPr>
        <w:tab/>
      </w:r>
      <w:r>
        <w:rPr>
          <w:noProof/>
        </w:rPr>
        <w:fldChar w:fldCharType="begin"/>
      </w:r>
      <w:r>
        <w:rPr>
          <w:noProof/>
        </w:rPr>
        <w:instrText xml:space="preserve"> PAGEREF _Toc54602349 \h </w:instrText>
      </w:r>
      <w:r>
        <w:rPr>
          <w:noProof/>
        </w:rPr>
      </w:r>
      <w:r>
        <w:rPr>
          <w:noProof/>
        </w:rPr>
        <w:fldChar w:fldCharType="separate"/>
      </w:r>
      <w:r>
        <w:rPr>
          <w:noProof/>
        </w:rPr>
        <w:t>40</w:t>
      </w:r>
      <w:r>
        <w:rPr>
          <w:noProof/>
        </w:rPr>
        <w:fldChar w:fldCharType="end"/>
      </w:r>
    </w:p>
    <w:p w14:paraId="1EC3EBB3" w14:textId="3D0D7ADF"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5: Estimated air conditioning proportion of use in commercial applications.</w:t>
      </w:r>
      <w:r>
        <w:rPr>
          <w:noProof/>
        </w:rPr>
        <w:tab/>
      </w:r>
      <w:r>
        <w:rPr>
          <w:noProof/>
        </w:rPr>
        <w:fldChar w:fldCharType="begin"/>
      </w:r>
      <w:r>
        <w:rPr>
          <w:noProof/>
        </w:rPr>
        <w:instrText xml:space="preserve"> PAGEREF _Toc54602350 \h </w:instrText>
      </w:r>
      <w:r>
        <w:rPr>
          <w:noProof/>
        </w:rPr>
      </w:r>
      <w:r>
        <w:rPr>
          <w:noProof/>
        </w:rPr>
        <w:fldChar w:fldCharType="separate"/>
      </w:r>
      <w:r>
        <w:rPr>
          <w:noProof/>
        </w:rPr>
        <w:t>43</w:t>
      </w:r>
      <w:r>
        <w:rPr>
          <w:noProof/>
        </w:rPr>
        <w:fldChar w:fldCharType="end"/>
      </w:r>
    </w:p>
    <w:p w14:paraId="5D35F53D" w14:textId="665EC872"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6: Fuel combustion emission factors-fuels used for transport energy purposes for post-2004 vehicles.</w:t>
      </w:r>
      <w:r>
        <w:rPr>
          <w:noProof/>
        </w:rPr>
        <w:tab/>
      </w:r>
      <w:r>
        <w:rPr>
          <w:noProof/>
        </w:rPr>
        <w:fldChar w:fldCharType="begin"/>
      </w:r>
      <w:r>
        <w:rPr>
          <w:noProof/>
        </w:rPr>
        <w:instrText xml:space="preserve"> PAGEREF _Toc54602351 \h </w:instrText>
      </w:r>
      <w:r>
        <w:rPr>
          <w:noProof/>
        </w:rPr>
      </w:r>
      <w:r>
        <w:rPr>
          <w:noProof/>
        </w:rPr>
        <w:fldChar w:fldCharType="separate"/>
      </w:r>
      <w:r>
        <w:rPr>
          <w:noProof/>
        </w:rPr>
        <w:t>44</w:t>
      </w:r>
      <w:r>
        <w:rPr>
          <w:noProof/>
        </w:rPr>
        <w:fldChar w:fldCharType="end"/>
      </w:r>
    </w:p>
    <w:p w14:paraId="7A0DFC60" w14:textId="6DB668E8" w:rsidR="002763FD" w:rsidRDefault="002763FD">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7: Types of businesses in the HVAC&amp;R supply chain.</w:t>
      </w:r>
      <w:r>
        <w:rPr>
          <w:noProof/>
        </w:rPr>
        <w:tab/>
      </w:r>
      <w:r>
        <w:rPr>
          <w:noProof/>
        </w:rPr>
        <w:fldChar w:fldCharType="begin"/>
      </w:r>
      <w:r>
        <w:rPr>
          <w:noProof/>
        </w:rPr>
        <w:instrText xml:space="preserve"> PAGEREF _Toc54602352 \h </w:instrText>
      </w:r>
      <w:r>
        <w:rPr>
          <w:noProof/>
        </w:rPr>
      </w:r>
      <w:r>
        <w:rPr>
          <w:noProof/>
        </w:rPr>
        <w:fldChar w:fldCharType="separate"/>
      </w:r>
      <w:r>
        <w:rPr>
          <w:noProof/>
        </w:rPr>
        <w:t>48</w:t>
      </w:r>
      <w:r>
        <w:rPr>
          <w:noProof/>
        </w:rPr>
        <w:fldChar w:fldCharType="end"/>
      </w:r>
    </w:p>
    <w:p w14:paraId="1A3FC619" w14:textId="0597D934" w:rsidR="00B67E9C" w:rsidRDefault="00B67E9C" w:rsidP="00B67E9C">
      <w:pPr>
        <w:tabs>
          <w:tab w:val="left" w:pos="7513"/>
        </w:tabs>
        <w:spacing w:before="0"/>
        <w:rPr>
          <w:rFonts w:asciiTheme="majorHAnsi" w:hAnsiTheme="majorHAnsi"/>
          <w:sz w:val="20"/>
          <w:szCs w:val="20"/>
        </w:rPr>
      </w:pPr>
      <w:r>
        <w:rPr>
          <w:rFonts w:asciiTheme="majorHAnsi" w:eastAsia="Times New Roman" w:hAnsiTheme="majorHAnsi" w:cs="Times New Roman"/>
          <w:b/>
          <w:bCs/>
          <w:noProof/>
          <w:sz w:val="20"/>
          <w:szCs w:val="20"/>
          <w:lang w:val="en-US"/>
        </w:rPr>
        <w:fldChar w:fldCharType="end"/>
      </w:r>
      <w:r>
        <w:rPr>
          <w:rFonts w:ascii="Verdana" w:hAnsi="Verdana"/>
          <w:color w:val="548DD4"/>
          <w:szCs w:val="20"/>
        </w:rPr>
        <w:br w:type="page"/>
      </w:r>
      <w:r>
        <w:rPr>
          <w:rFonts w:asciiTheme="majorHAnsi" w:hAnsiTheme="majorHAnsi"/>
          <w:sz w:val="20"/>
          <w:szCs w:val="20"/>
        </w:rPr>
        <w:lastRenderedPageBreak/>
        <w:t xml:space="preserve">This paper has been prepared for the Australian Government Department of Agriculture, Water and the Environment, </w:t>
      </w:r>
    </w:p>
    <w:p w14:paraId="1B9F5A31" w14:textId="77777777" w:rsidR="00B67E9C" w:rsidRDefault="00B67E9C" w:rsidP="00B67E9C">
      <w:pPr>
        <w:spacing w:before="0"/>
        <w:rPr>
          <w:rFonts w:asciiTheme="majorHAnsi" w:hAnsiTheme="majorHAnsi"/>
          <w:sz w:val="20"/>
          <w:szCs w:val="20"/>
        </w:rPr>
      </w:pPr>
      <w:r>
        <w:rPr>
          <w:rFonts w:asciiTheme="majorHAnsi" w:hAnsiTheme="majorHAnsi"/>
          <w:sz w:val="20"/>
          <w:szCs w:val="20"/>
        </w:rPr>
        <w:t xml:space="preserve">Prepared by Peter Brodribb of the Expert Group (A.C.N. 122 581 159) and Michael McCann of </w:t>
      </w:r>
      <w:proofErr w:type="spellStart"/>
      <w:r>
        <w:rPr>
          <w:rFonts w:asciiTheme="majorHAnsi" w:hAnsiTheme="majorHAnsi"/>
          <w:sz w:val="20"/>
          <w:szCs w:val="20"/>
        </w:rPr>
        <w:t>Thinkwell</w:t>
      </w:r>
      <w:proofErr w:type="spellEnd"/>
      <w:r>
        <w:rPr>
          <w:rFonts w:asciiTheme="majorHAnsi" w:hAnsiTheme="majorHAnsi"/>
          <w:sz w:val="20"/>
          <w:szCs w:val="20"/>
        </w:rPr>
        <w:t xml:space="preserve"> Australia Pty Ltd (A.C.N. 113 454 112).</w:t>
      </w:r>
    </w:p>
    <w:p w14:paraId="4B53CA9D" w14:textId="77777777" w:rsidR="00B67E9C" w:rsidRDefault="00B67E9C" w:rsidP="00B67E9C">
      <w:pPr>
        <w:spacing w:before="0"/>
        <w:rPr>
          <w:rFonts w:asciiTheme="majorHAnsi" w:hAnsiTheme="majorHAnsi"/>
          <w:sz w:val="20"/>
          <w:szCs w:val="20"/>
        </w:rPr>
      </w:pPr>
      <w:r>
        <w:rPr>
          <w:rFonts w:asciiTheme="majorHAnsi" w:hAnsiTheme="majorHAnsi"/>
          <w:sz w:val="20"/>
          <w:szCs w:val="20"/>
        </w:rPr>
        <w:t>Suite 9, Level 1, 214 Bay Street, Brighton, Victoria 3186</w:t>
      </w:r>
    </w:p>
    <w:p w14:paraId="6890C771" w14:textId="77777777" w:rsidR="00B67E9C" w:rsidRDefault="00B67E9C" w:rsidP="00B67E9C">
      <w:pPr>
        <w:spacing w:before="0"/>
        <w:rPr>
          <w:rFonts w:asciiTheme="majorHAnsi" w:hAnsiTheme="majorHAnsi"/>
          <w:sz w:val="20"/>
          <w:szCs w:val="20"/>
        </w:rPr>
      </w:pPr>
      <w:r>
        <w:rPr>
          <w:rFonts w:asciiTheme="majorHAnsi" w:hAnsiTheme="majorHAnsi"/>
          <w:sz w:val="20"/>
          <w:szCs w:val="20"/>
        </w:rPr>
        <w:t xml:space="preserve">Ph: +61 3 9592 9111 </w:t>
      </w:r>
    </w:p>
    <w:p w14:paraId="15403529" w14:textId="77777777" w:rsidR="00B67E9C" w:rsidRDefault="00B67E9C" w:rsidP="00B67E9C">
      <w:pPr>
        <w:spacing w:before="0"/>
        <w:rPr>
          <w:rFonts w:asciiTheme="majorHAnsi" w:hAnsiTheme="majorHAnsi"/>
          <w:sz w:val="20"/>
          <w:szCs w:val="20"/>
        </w:rPr>
      </w:pPr>
      <w:r>
        <w:rPr>
          <w:rFonts w:asciiTheme="majorHAnsi" w:hAnsiTheme="majorHAnsi"/>
          <w:sz w:val="20"/>
          <w:szCs w:val="20"/>
        </w:rPr>
        <w:t xml:space="preserve">Email: inquiries@expertgroup.com.au </w:t>
      </w:r>
    </w:p>
    <w:p w14:paraId="5B442A14" w14:textId="77777777" w:rsidR="00B67E9C" w:rsidRDefault="00B67E9C" w:rsidP="00B67E9C">
      <w:pPr>
        <w:spacing w:before="0"/>
        <w:rPr>
          <w:rFonts w:asciiTheme="majorHAnsi" w:hAnsiTheme="majorHAnsi"/>
          <w:sz w:val="20"/>
          <w:szCs w:val="20"/>
        </w:rPr>
      </w:pPr>
      <w:r>
        <w:rPr>
          <w:rFonts w:asciiTheme="majorHAnsi" w:hAnsiTheme="majorHAnsi"/>
          <w:sz w:val="20"/>
          <w:szCs w:val="20"/>
        </w:rPr>
        <w:t>Web address: www.expertgroup.com.au</w:t>
      </w:r>
    </w:p>
    <w:p w14:paraId="610F2658" w14:textId="77777777" w:rsidR="00B67E9C" w:rsidRDefault="00B67E9C" w:rsidP="00B67E9C">
      <w:pPr>
        <w:rPr>
          <w:rFonts w:asciiTheme="majorHAnsi" w:hAnsiTheme="majorHAnsi"/>
          <w:sz w:val="20"/>
          <w:szCs w:val="20"/>
        </w:rPr>
      </w:pPr>
    </w:p>
    <w:p w14:paraId="1D3ED916" w14:textId="77777777" w:rsidR="00B67E9C" w:rsidRDefault="00B67E9C" w:rsidP="00B67E9C">
      <w:pPr>
        <w:rPr>
          <w:rFonts w:asciiTheme="majorHAnsi" w:hAnsiTheme="majorHAnsi"/>
          <w:b/>
          <w:sz w:val="20"/>
          <w:szCs w:val="20"/>
        </w:rPr>
      </w:pPr>
      <w:r>
        <w:rPr>
          <w:rFonts w:asciiTheme="majorHAnsi" w:hAnsiTheme="majorHAnsi"/>
          <w:b/>
          <w:sz w:val="20"/>
          <w:szCs w:val="20"/>
        </w:rPr>
        <w:t>Disclaimer</w:t>
      </w:r>
    </w:p>
    <w:p w14:paraId="0F1ACFAD" w14:textId="77777777" w:rsidR="00B67E9C" w:rsidRDefault="00B67E9C" w:rsidP="00B67E9C">
      <w:pPr>
        <w:pStyle w:val="NormalWeb"/>
        <w:shd w:val="clear" w:color="auto" w:fill="FFFFFF"/>
        <w:spacing w:before="120" w:beforeAutospacing="0" w:after="0" w:afterAutospacing="0"/>
        <w:textAlignment w:val="top"/>
        <w:rPr>
          <w:rFonts w:asciiTheme="majorHAnsi" w:eastAsiaTheme="minorEastAsia" w:hAnsiTheme="majorHAnsi" w:cstheme="minorBidi"/>
          <w:color w:val="000000" w:themeColor="text1"/>
          <w:sz w:val="20"/>
          <w:szCs w:val="20"/>
          <w:lang w:val="en-GB"/>
        </w:rPr>
      </w:pPr>
      <w:r>
        <w:rPr>
          <w:rFonts w:asciiTheme="majorHAnsi" w:eastAsiaTheme="minorEastAsia" w:hAnsiTheme="majorHAnsi" w:cstheme="minorBidi"/>
          <w:color w:val="000000" w:themeColor="text1"/>
          <w:sz w:val="20"/>
          <w:szCs w:val="20"/>
          <w:lang w:val="en-GB"/>
        </w:rPr>
        <w:t>The views and opinions expressed in this publication are those of the authors and do not necessarily reflect those of the Australian Government or the Department of Agriculture, Water and the Environment.</w:t>
      </w:r>
    </w:p>
    <w:p w14:paraId="129DD98C" w14:textId="77777777" w:rsidR="00B67E9C" w:rsidRDefault="00B67E9C" w:rsidP="00B67E9C">
      <w:pPr>
        <w:pStyle w:val="NormalWeb"/>
        <w:shd w:val="clear" w:color="auto" w:fill="FFFFFF"/>
        <w:spacing w:before="120" w:beforeAutospacing="0" w:after="0" w:afterAutospacing="0"/>
        <w:jc w:val="both"/>
        <w:textAlignment w:val="top"/>
        <w:rPr>
          <w:rFonts w:asciiTheme="majorHAnsi" w:eastAsiaTheme="minorEastAsia" w:hAnsiTheme="majorHAnsi" w:cstheme="minorBidi"/>
          <w:color w:val="000000" w:themeColor="text1"/>
          <w:sz w:val="20"/>
          <w:szCs w:val="20"/>
          <w:lang w:val="en-GB"/>
        </w:rPr>
      </w:pPr>
      <w:r>
        <w:rPr>
          <w:rFonts w:asciiTheme="majorHAnsi" w:eastAsiaTheme="minorEastAsia" w:hAnsiTheme="majorHAnsi" w:cstheme="minorBidi"/>
          <w:color w:val="000000" w:themeColor="text1"/>
          <w:sz w:val="20"/>
          <w:szCs w:val="20"/>
          <w:lang w:val="en-GB"/>
        </w:rPr>
        <w:t>While due care and skill have been exercised in preparing and compiling the information and data in this publication, the authors and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CAF7E17" w14:textId="77777777" w:rsidR="00B67E9C" w:rsidRDefault="00B67E9C" w:rsidP="00B67E9C">
      <w:pPr>
        <w:pStyle w:val="NormalWeb"/>
        <w:shd w:val="clear" w:color="auto" w:fill="FFFFFF"/>
        <w:spacing w:before="120" w:beforeAutospacing="0" w:after="0" w:afterAutospacing="0"/>
        <w:jc w:val="both"/>
        <w:textAlignment w:val="top"/>
        <w:rPr>
          <w:rFonts w:asciiTheme="majorHAnsi" w:eastAsiaTheme="minorEastAsia" w:hAnsiTheme="majorHAnsi" w:cstheme="minorBidi"/>
          <w:color w:val="000000" w:themeColor="text1"/>
          <w:sz w:val="20"/>
          <w:szCs w:val="20"/>
          <w:lang w:val="en-GB"/>
        </w:rPr>
      </w:pPr>
    </w:p>
    <w:p w14:paraId="038514F9" w14:textId="1C43C67F" w:rsidR="00B67E9C" w:rsidRDefault="00B67E9C" w:rsidP="00B67E9C">
      <w:pPr>
        <w:rPr>
          <w:rFonts w:asciiTheme="majorHAnsi" w:hAnsiTheme="majorHAnsi"/>
          <w:sz w:val="20"/>
          <w:szCs w:val="20"/>
        </w:rPr>
      </w:pPr>
      <w:r>
        <w:rPr>
          <w:rFonts w:asciiTheme="majorHAnsi" w:hAnsiTheme="majorHAnsi"/>
          <w:sz w:val="20"/>
          <w:szCs w:val="20"/>
        </w:rPr>
        <w:t xml:space="preserve">ISBN: </w:t>
      </w:r>
      <w:r w:rsidR="004B2EC1" w:rsidRPr="004B2EC1">
        <w:rPr>
          <w:rFonts w:asciiTheme="majorHAnsi" w:hAnsiTheme="majorHAnsi"/>
          <w:sz w:val="20"/>
          <w:szCs w:val="20"/>
        </w:rPr>
        <w:t>978-1-76003-379-8</w:t>
      </w:r>
    </w:p>
    <w:p w14:paraId="2382350E" w14:textId="77777777" w:rsidR="00B67E9C" w:rsidRDefault="00B67E9C" w:rsidP="00B67E9C">
      <w:pPr>
        <w:rPr>
          <w:rFonts w:asciiTheme="majorHAnsi" w:hAnsiTheme="majorHAnsi"/>
          <w:sz w:val="20"/>
          <w:szCs w:val="20"/>
        </w:rPr>
      </w:pPr>
      <w:r>
        <w:rPr>
          <w:rFonts w:asciiTheme="majorHAnsi" w:hAnsiTheme="majorHAnsi"/>
          <w:sz w:val="20"/>
          <w:szCs w:val="20"/>
        </w:rPr>
        <w:t>For bibliographic purposes this report may be cited as: Cold Hard Facts 2020, Peter Brodribb and Michael McCann 2020, Canberra.</w:t>
      </w:r>
    </w:p>
    <w:p w14:paraId="553A0E16" w14:textId="77777777" w:rsidR="00B67E9C" w:rsidRDefault="00B67E9C" w:rsidP="00B67E9C">
      <w:pPr>
        <w:rPr>
          <w:rFonts w:asciiTheme="majorHAnsi" w:hAnsiTheme="majorHAnsi"/>
          <w:sz w:val="20"/>
          <w:szCs w:val="20"/>
        </w:rPr>
      </w:pPr>
    </w:p>
    <w:p w14:paraId="2F3B3E15" w14:textId="77777777" w:rsidR="00B67E9C" w:rsidRDefault="00B67E9C" w:rsidP="00B67E9C">
      <w:pPr>
        <w:rPr>
          <w:rFonts w:asciiTheme="majorHAnsi" w:hAnsiTheme="majorHAnsi"/>
          <w:sz w:val="20"/>
          <w:szCs w:val="20"/>
        </w:rPr>
      </w:pPr>
      <w:r>
        <w:rPr>
          <w:rFonts w:asciiTheme="majorHAnsi" w:hAnsiTheme="majorHAnsi"/>
          <w:sz w:val="20"/>
          <w:szCs w:val="20"/>
        </w:rPr>
        <w:t>© Commonwealth of Australia 2020</w:t>
      </w:r>
    </w:p>
    <w:p w14:paraId="0EC9682D" w14:textId="77777777" w:rsidR="00B67E9C" w:rsidRDefault="00B67E9C" w:rsidP="00B67E9C">
      <w:pPr>
        <w:rPr>
          <w:rFonts w:asciiTheme="majorHAnsi" w:hAnsiTheme="majorHAnsi"/>
          <w:sz w:val="20"/>
          <w:szCs w:val="20"/>
        </w:rPr>
      </w:pPr>
      <w:r>
        <w:rPr>
          <w:rFonts w:asciiTheme="majorHAnsi" w:hAnsiTheme="majorHAnsi"/>
          <w:sz w:val="20"/>
          <w:szCs w:val="20"/>
        </w:rP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Agriculture, Water and the Environment, Public Affairs, GPO Box 787 Canberra ACT 2601 or email copyright@awe.gov.au.</w:t>
      </w:r>
    </w:p>
    <w:p w14:paraId="5FAE30D5" w14:textId="77777777" w:rsidR="00B67E9C" w:rsidRDefault="00B67E9C" w:rsidP="00B67E9C">
      <w:pPr>
        <w:tabs>
          <w:tab w:val="left" w:pos="7513"/>
        </w:tabs>
        <w:rPr>
          <w:rFonts w:asciiTheme="majorHAnsi" w:hAnsiTheme="majorHAnsi"/>
          <w:sz w:val="20"/>
          <w:szCs w:val="20"/>
        </w:rPr>
      </w:pPr>
    </w:p>
    <w:p w14:paraId="389434D8" w14:textId="77777777" w:rsidR="00B67E9C" w:rsidRDefault="00B67E9C" w:rsidP="00B67E9C">
      <w:pPr>
        <w:rPr>
          <w:rFonts w:asciiTheme="majorHAnsi" w:hAnsiTheme="majorHAnsi"/>
          <w:sz w:val="20"/>
          <w:szCs w:val="20"/>
        </w:rPr>
      </w:pPr>
    </w:p>
    <w:p w14:paraId="28BC17AA" w14:textId="77777777" w:rsidR="00B67E9C" w:rsidRDefault="00B67E9C" w:rsidP="00B67E9C">
      <w:pPr>
        <w:spacing w:before="0"/>
        <w:jc w:val="left"/>
      </w:pPr>
    </w:p>
    <w:p w14:paraId="52E49C63" w14:textId="77777777" w:rsidR="00B67E9C" w:rsidRDefault="00B67E9C" w:rsidP="00B67E9C">
      <w:pPr>
        <w:spacing w:before="0"/>
        <w:jc w:val="left"/>
      </w:pPr>
    </w:p>
    <w:p w14:paraId="275074AF" w14:textId="77777777" w:rsidR="00B67E9C" w:rsidRDefault="00B67E9C" w:rsidP="00B67E9C">
      <w:pPr>
        <w:spacing w:before="0"/>
        <w:jc w:val="left"/>
      </w:pPr>
    </w:p>
    <w:p w14:paraId="54991492" w14:textId="77777777" w:rsidR="00B67E9C" w:rsidRDefault="00B67E9C" w:rsidP="00B67E9C">
      <w:pPr>
        <w:spacing w:before="0"/>
        <w:jc w:val="left"/>
      </w:pPr>
    </w:p>
    <w:p w14:paraId="0FB70B52" w14:textId="77777777" w:rsidR="00B67E9C" w:rsidRDefault="00B67E9C" w:rsidP="00B67E9C">
      <w:pPr>
        <w:spacing w:before="0"/>
        <w:jc w:val="left"/>
      </w:pPr>
      <w:r>
        <w:br w:type="page"/>
      </w:r>
    </w:p>
    <w:p w14:paraId="7C39F9F0" w14:textId="77777777" w:rsidR="00B67E9C" w:rsidRDefault="00B67E9C" w:rsidP="00B67E9C">
      <w:pPr>
        <w:pStyle w:val="Heading1"/>
        <w:numPr>
          <w:ilvl w:val="0"/>
          <w:numId w:val="0"/>
        </w:numPr>
        <w:ind w:left="432" w:hanging="432"/>
        <w:jc w:val="both"/>
      </w:pPr>
      <w:bookmarkStart w:id="0" w:name="_Toc54601636"/>
      <w:r>
        <w:lastRenderedPageBreak/>
        <w:t>Glossary</w:t>
      </w:r>
      <w:bookmarkEnd w:id="0"/>
    </w:p>
    <w:tbl>
      <w:tblPr>
        <w:tblW w:w="0" w:type="auto"/>
        <w:tblLook w:val="00A0" w:firstRow="1" w:lastRow="0" w:firstColumn="1" w:lastColumn="0" w:noHBand="0" w:noVBand="0"/>
      </w:tblPr>
      <w:tblGrid>
        <w:gridCol w:w="2219"/>
        <w:gridCol w:w="2363"/>
        <w:gridCol w:w="2362"/>
        <w:gridCol w:w="2548"/>
      </w:tblGrid>
      <w:tr w:rsidR="00B67E9C" w14:paraId="46357283" w14:textId="77777777" w:rsidTr="00B67E9C">
        <w:trPr>
          <w:trHeight w:val="342"/>
        </w:trPr>
        <w:tc>
          <w:tcPr>
            <w:tcW w:w="2219" w:type="dxa"/>
            <w:hideMark/>
          </w:tcPr>
          <w:p w14:paraId="57367262"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Ammonia Refrigerant</w:t>
            </w:r>
          </w:p>
        </w:tc>
        <w:tc>
          <w:tcPr>
            <w:tcW w:w="7273" w:type="dxa"/>
            <w:gridSpan w:val="3"/>
            <w:hideMark/>
          </w:tcPr>
          <w:p w14:paraId="5ECEFFBA"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Anhydrous ammonia (R717) has excellent thermodynamic properties and a GWP of zero, making it effective as a refrigerant, and is widely used in large cold storage facilities and process refrigeration applications because of its high energy efficiency and relatively low cost. Ammonia is used less frequently in commercial refrigeration applications, such as in supermarket and food retail, freezer cases and refrigerated displays due to its toxicity, and the proximity of the general public.</w:t>
            </w:r>
          </w:p>
        </w:tc>
      </w:tr>
      <w:tr w:rsidR="00B67E9C" w14:paraId="48E57D78" w14:textId="77777777" w:rsidTr="00B67E9C">
        <w:trPr>
          <w:trHeight w:val="342"/>
        </w:trPr>
        <w:tc>
          <w:tcPr>
            <w:tcW w:w="2219" w:type="dxa"/>
            <w:hideMark/>
          </w:tcPr>
          <w:p w14:paraId="0B76F3AB"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Article 5 Countries</w:t>
            </w:r>
          </w:p>
        </w:tc>
        <w:tc>
          <w:tcPr>
            <w:tcW w:w="7273" w:type="dxa"/>
            <w:gridSpan w:val="3"/>
            <w:hideMark/>
          </w:tcPr>
          <w:p w14:paraId="6D6EA60F"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Article 5 of the Montreal Protocol describes the special situation of developing countries. Article 5 countries are developing countries.</w:t>
            </w:r>
          </w:p>
        </w:tc>
      </w:tr>
      <w:tr w:rsidR="00B67E9C" w14:paraId="53DB35F4" w14:textId="77777777" w:rsidTr="00B67E9C">
        <w:trPr>
          <w:trHeight w:val="342"/>
        </w:trPr>
        <w:tc>
          <w:tcPr>
            <w:tcW w:w="2219" w:type="dxa"/>
            <w:hideMark/>
          </w:tcPr>
          <w:p w14:paraId="270B2D5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Bottom-up model</w:t>
            </w:r>
          </w:p>
        </w:tc>
        <w:tc>
          <w:tcPr>
            <w:tcW w:w="7273" w:type="dxa"/>
            <w:gridSpan w:val="3"/>
            <w:hideMark/>
          </w:tcPr>
          <w:p w14:paraId="72D7977B"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Method of estimation whereby the average refrigerant charge contained in individual appliances, equipment and product categories that make up the stock of equipment is estimated separately. The individual results are then aggregated to produce an estimate of the refrigerant bank by refrigerant species.  </w:t>
            </w:r>
          </w:p>
        </w:tc>
      </w:tr>
      <w:tr w:rsidR="00B67E9C" w14:paraId="564318FD" w14:textId="77777777" w:rsidTr="00B67E9C">
        <w:trPr>
          <w:trHeight w:val="342"/>
        </w:trPr>
        <w:tc>
          <w:tcPr>
            <w:tcW w:w="2219" w:type="dxa"/>
            <w:hideMark/>
          </w:tcPr>
          <w:p w14:paraId="1BB1BD9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Bulk importers</w:t>
            </w:r>
          </w:p>
        </w:tc>
        <w:tc>
          <w:tcPr>
            <w:tcW w:w="7273" w:type="dxa"/>
            <w:gridSpan w:val="3"/>
            <w:hideMark/>
          </w:tcPr>
          <w:p w14:paraId="0CC40010"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Companies with a </w:t>
            </w:r>
            <w:proofErr w:type="spellStart"/>
            <w:r>
              <w:rPr>
                <w:rFonts w:asciiTheme="majorHAnsi" w:hAnsiTheme="majorHAnsi"/>
                <w:sz w:val="18"/>
                <w:szCs w:val="22"/>
              </w:rPr>
              <w:t>licence</w:t>
            </w:r>
            <w:proofErr w:type="spellEnd"/>
            <w:r>
              <w:rPr>
                <w:rFonts w:asciiTheme="majorHAnsi" w:hAnsiTheme="majorHAnsi"/>
                <w:sz w:val="18"/>
                <w:szCs w:val="22"/>
              </w:rPr>
              <w:t xml:space="preserve"> to import bulk refrigerant.</w:t>
            </w:r>
          </w:p>
        </w:tc>
      </w:tr>
      <w:tr w:rsidR="00B67E9C" w14:paraId="340B493C" w14:textId="77777777" w:rsidTr="00B67E9C">
        <w:trPr>
          <w:trHeight w:val="342"/>
        </w:trPr>
        <w:tc>
          <w:tcPr>
            <w:tcW w:w="2219" w:type="dxa"/>
            <w:hideMark/>
          </w:tcPr>
          <w:p w14:paraId="67227E12"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Carbon Tax</w:t>
            </w:r>
          </w:p>
        </w:tc>
        <w:tc>
          <w:tcPr>
            <w:tcW w:w="7273" w:type="dxa"/>
            <w:gridSpan w:val="3"/>
            <w:hideMark/>
          </w:tcPr>
          <w:p w14:paraId="314B626A"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Synthetic greenhouse gases listed under the Kyoto Protocol had an equivalent carbon tax applied through the </w:t>
            </w:r>
            <w:r>
              <w:rPr>
                <w:rFonts w:asciiTheme="majorHAnsi" w:hAnsiTheme="majorHAnsi"/>
                <w:i/>
                <w:iCs/>
                <w:sz w:val="18"/>
                <w:szCs w:val="22"/>
              </w:rPr>
              <w:t>Ozone Protection and Synthetic Greenhouse Gas Management Act 1989</w:t>
            </w:r>
            <w:r>
              <w:rPr>
                <w:rFonts w:asciiTheme="majorHAnsi" w:hAnsiTheme="majorHAnsi"/>
                <w:sz w:val="18"/>
                <w:szCs w:val="22"/>
              </w:rPr>
              <w:t xml:space="preserve"> between July 2012 and June 2014. Gases covered were hydrofluorocarbons, perfluorocarbons (excluding gases produced from </w:t>
            </w:r>
            <w:proofErr w:type="spellStart"/>
            <w:r>
              <w:rPr>
                <w:rFonts w:asciiTheme="majorHAnsi" w:hAnsiTheme="majorHAnsi"/>
                <w:sz w:val="18"/>
                <w:szCs w:val="22"/>
              </w:rPr>
              <w:t>aluminium</w:t>
            </w:r>
            <w:proofErr w:type="spellEnd"/>
            <w:r>
              <w:rPr>
                <w:rFonts w:asciiTheme="majorHAnsi" w:hAnsiTheme="majorHAnsi"/>
                <w:sz w:val="18"/>
                <w:szCs w:val="22"/>
              </w:rPr>
              <w:t xml:space="preserve"> smelting) and sulfur hexafluoride, whether in bulk form or contained in equipment.</w:t>
            </w:r>
          </w:p>
        </w:tc>
      </w:tr>
      <w:tr w:rsidR="00B67E9C" w14:paraId="4C0B9FDB" w14:textId="77777777" w:rsidTr="00B67E9C">
        <w:trPr>
          <w:trHeight w:val="342"/>
        </w:trPr>
        <w:tc>
          <w:tcPr>
            <w:tcW w:w="2219" w:type="dxa"/>
            <w:hideMark/>
          </w:tcPr>
          <w:p w14:paraId="30055CA3"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Cascade refrigeration system</w:t>
            </w:r>
          </w:p>
        </w:tc>
        <w:tc>
          <w:tcPr>
            <w:tcW w:w="7273" w:type="dxa"/>
            <w:gridSpan w:val="3"/>
            <w:hideMark/>
          </w:tcPr>
          <w:p w14:paraId="58BFAAE3"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A cascade system is made up of two </w:t>
            </w:r>
            <w:proofErr w:type="gramStart"/>
            <w:r>
              <w:rPr>
                <w:rFonts w:asciiTheme="majorHAnsi" w:hAnsiTheme="majorHAnsi"/>
                <w:sz w:val="18"/>
                <w:szCs w:val="22"/>
              </w:rPr>
              <w:t>separate</w:t>
            </w:r>
            <w:proofErr w:type="gramEnd"/>
            <w:r>
              <w:rPr>
                <w:rFonts w:asciiTheme="majorHAnsi" w:hAnsiTheme="majorHAnsi"/>
                <w:sz w:val="18"/>
                <w:szCs w:val="22"/>
              </w:rPr>
              <w:t xml:space="preserve"> but connected refrigeration systems, each of which has a </w:t>
            </w:r>
            <w:proofErr w:type="spellStart"/>
            <w:r>
              <w:rPr>
                <w:rFonts w:asciiTheme="majorHAnsi" w:hAnsiTheme="majorHAnsi"/>
                <w:sz w:val="18"/>
                <w:szCs w:val="22"/>
              </w:rPr>
              <w:t>vapour</w:t>
            </w:r>
            <w:proofErr w:type="spellEnd"/>
            <w:r>
              <w:rPr>
                <w:rFonts w:asciiTheme="majorHAnsi" w:hAnsiTheme="majorHAnsi"/>
                <w:sz w:val="18"/>
                <w:szCs w:val="22"/>
              </w:rPr>
              <w:t xml:space="preserve"> compression refrigerant circuit including a compressor, evaporator and condenser that are interconnected via a heat exchanger. The separate refrigerant circuits work in concert to reach the desired temperature(s). Cascade refrigeration systems are also sometimes referred to simply as an ‘advanced refrigeration system’. The most common configuration in Australia is with HFC-134a as the primary refrigerant and R744 (CO</w:t>
            </w:r>
            <w:r>
              <w:rPr>
                <w:rFonts w:asciiTheme="majorHAnsi" w:hAnsiTheme="majorHAnsi"/>
                <w:sz w:val="18"/>
                <w:szCs w:val="22"/>
                <w:vertAlign w:val="subscript"/>
              </w:rPr>
              <w:t>2</w:t>
            </w:r>
            <w:r>
              <w:rPr>
                <w:rFonts w:asciiTheme="majorHAnsi" w:hAnsiTheme="majorHAnsi"/>
                <w:sz w:val="18"/>
                <w:szCs w:val="22"/>
              </w:rPr>
              <w:t>) as the secondary refrigerant.</w:t>
            </w:r>
          </w:p>
        </w:tc>
      </w:tr>
      <w:tr w:rsidR="00B67E9C" w14:paraId="1C246BFC" w14:textId="77777777" w:rsidTr="00B67E9C">
        <w:trPr>
          <w:trHeight w:val="342"/>
        </w:trPr>
        <w:tc>
          <w:tcPr>
            <w:tcW w:w="2219" w:type="dxa"/>
            <w:hideMark/>
          </w:tcPr>
          <w:p w14:paraId="750062C8"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CHF1</w:t>
            </w:r>
          </w:p>
        </w:tc>
        <w:tc>
          <w:tcPr>
            <w:tcW w:w="7273" w:type="dxa"/>
            <w:gridSpan w:val="3"/>
            <w:hideMark/>
          </w:tcPr>
          <w:p w14:paraId="2ADA84C6"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Cold Hard Facts 1, the original refrigeration and air conditioning (RAC) study undertaken by the authors in 2007 based on 2006 data.</w:t>
            </w:r>
          </w:p>
        </w:tc>
      </w:tr>
      <w:tr w:rsidR="00B67E9C" w14:paraId="1C8ADF24" w14:textId="77777777" w:rsidTr="00B67E9C">
        <w:trPr>
          <w:trHeight w:val="342"/>
        </w:trPr>
        <w:tc>
          <w:tcPr>
            <w:tcW w:w="2219" w:type="dxa"/>
            <w:hideMark/>
          </w:tcPr>
          <w:p w14:paraId="3C4F6409"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CHF2 and CHF3</w:t>
            </w:r>
          </w:p>
        </w:tc>
        <w:tc>
          <w:tcPr>
            <w:tcW w:w="7273" w:type="dxa"/>
            <w:gridSpan w:val="3"/>
            <w:hideMark/>
          </w:tcPr>
          <w:p w14:paraId="4CBD7DAB"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Cold Hard Facts 2 and 3, updated studies of the RAC industry in Australia with an expanded brief to encompass new application/equipment classes, new and emerging refrigerants, and report on the refrigerant bank. The second RAC study was undertaken in 2013 based on 2012 data. The CHF3 study was undertaken in 2017 based on 2016 data, and subsequent studies have been undertaken based on 2017, 2018 and 2019 data based on the CHF3 methodology. </w:t>
            </w:r>
          </w:p>
        </w:tc>
      </w:tr>
      <w:tr w:rsidR="00B67E9C" w14:paraId="56C1E010" w14:textId="77777777" w:rsidTr="00B67E9C">
        <w:trPr>
          <w:trHeight w:val="342"/>
        </w:trPr>
        <w:tc>
          <w:tcPr>
            <w:tcW w:w="2219" w:type="dxa"/>
            <w:hideMark/>
          </w:tcPr>
          <w:p w14:paraId="169F2FA3"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Chlorofluorocarbons (CFCs)</w:t>
            </w:r>
          </w:p>
        </w:tc>
        <w:tc>
          <w:tcPr>
            <w:tcW w:w="7273" w:type="dxa"/>
            <w:gridSpan w:val="3"/>
            <w:hideMark/>
          </w:tcPr>
          <w:p w14:paraId="73F34598"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Molecules containing carbon, fluorine, and chlorine. CFCs are one of the major ozone depleting substances phased out by the Montreal Protocol on Substances that Deplete the Ozone Layer. CFCs are also potent greenhouse gases. CFCs and HCFCs are not counted as part of the GHGs reported under the Kyoto Protocol of the United Nations Framework Convention on Climate Change, as they managed through the Montreal Protocol.</w:t>
            </w:r>
          </w:p>
        </w:tc>
      </w:tr>
      <w:tr w:rsidR="00B67E9C" w14:paraId="28BD3449" w14:textId="77777777" w:rsidTr="00B67E9C">
        <w:trPr>
          <w:trHeight w:val="342"/>
        </w:trPr>
        <w:tc>
          <w:tcPr>
            <w:tcW w:w="2219" w:type="dxa"/>
            <w:hideMark/>
          </w:tcPr>
          <w:p w14:paraId="66BDABC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Coefficient of performance (COP)</w:t>
            </w:r>
          </w:p>
        </w:tc>
        <w:tc>
          <w:tcPr>
            <w:tcW w:w="7273" w:type="dxa"/>
            <w:gridSpan w:val="3"/>
            <w:hideMark/>
          </w:tcPr>
          <w:p w14:paraId="15744664"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The ratio of the heat </w:t>
            </w:r>
            <w:r>
              <w:rPr>
                <w:rFonts w:asciiTheme="majorHAnsi" w:hAnsiTheme="majorHAnsi"/>
                <w:sz w:val="18"/>
                <w:szCs w:val="22"/>
                <w:lang w:val="en-GB"/>
              </w:rPr>
              <w:t>extraction</w:t>
            </w:r>
            <w:r>
              <w:rPr>
                <w:rFonts w:asciiTheme="majorHAnsi" w:hAnsiTheme="majorHAnsi"/>
                <w:sz w:val="18"/>
                <w:szCs w:val="22"/>
              </w:rPr>
              <w:t xml:space="preserve"> rate divided by the power consumed by the refrigeration compressor(s) and necessary ancillaries. The COP is dimensionless and is used to express the system efficiency. COP is also an efficiency measure used for reverse cycle air conditioners when operating in heating mode. Greenhouse and Energy Minimum Standards for split system air conditioning now use an </w:t>
            </w:r>
            <w:proofErr w:type="spellStart"/>
            <w:r>
              <w:rPr>
                <w:rFonts w:asciiTheme="majorHAnsi" w:hAnsiTheme="majorHAnsi"/>
                <w:sz w:val="18"/>
                <w:szCs w:val="22"/>
              </w:rPr>
              <w:t>annualised</w:t>
            </w:r>
            <w:proofErr w:type="spellEnd"/>
            <w:r>
              <w:rPr>
                <w:rFonts w:asciiTheme="majorHAnsi" w:hAnsiTheme="majorHAnsi"/>
                <w:sz w:val="18"/>
                <w:szCs w:val="22"/>
              </w:rPr>
              <w:t xml:space="preserve"> version of these metrics; annual energy efficiency ratio (AEER) and annual coefficient of performance (ACOP).</w:t>
            </w:r>
          </w:p>
        </w:tc>
      </w:tr>
      <w:tr w:rsidR="00B67E9C" w14:paraId="775FBD86" w14:textId="77777777" w:rsidTr="00B67E9C">
        <w:trPr>
          <w:trHeight w:val="342"/>
        </w:trPr>
        <w:tc>
          <w:tcPr>
            <w:tcW w:w="2219" w:type="dxa"/>
            <w:hideMark/>
          </w:tcPr>
          <w:p w14:paraId="7D8B92B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Compressor</w:t>
            </w:r>
          </w:p>
        </w:tc>
        <w:tc>
          <w:tcPr>
            <w:tcW w:w="7273" w:type="dxa"/>
            <w:gridSpan w:val="3"/>
            <w:hideMark/>
          </w:tcPr>
          <w:p w14:paraId="6E8820D0"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A device in the air conditioning or refrigeration circuit which compresses refrigerant </w:t>
            </w:r>
            <w:proofErr w:type="spellStart"/>
            <w:r>
              <w:rPr>
                <w:rFonts w:asciiTheme="majorHAnsi" w:hAnsiTheme="majorHAnsi"/>
                <w:sz w:val="18"/>
                <w:szCs w:val="22"/>
              </w:rPr>
              <w:t>vapour</w:t>
            </w:r>
            <w:proofErr w:type="spellEnd"/>
            <w:r>
              <w:rPr>
                <w:rFonts w:asciiTheme="majorHAnsi" w:hAnsiTheme="majorHAnsi"/>
                <w:sz w:val="18"/>
                <w:szCs w:val="22"/>
              </w:rPr>
              <w:t xml:space="preserve"> and circulates that refrigerant through to its phases of condensation and evaporation, in order to produce the refrigeration effect. The compressor is available in many forms such as piston, scroll, or screw.</w:t>
            </w:r>
          </w:p>
        </w:tc>
      </w:tr>
      <w:tr w:rsidR="00B67E9C" w14:paraId="206F19AB" w14:textId="77777777" w:rsidTr="00B67E9C">
        <w:trPr>
          <w:trHeight w:val="342"/>
        </w:trPr>
        <w:tc>
          <w:tcPr>
            <w:tcW w:w="2219" w:type="dxa"/>
            <w:hideMark/>
          </w:tcPr>
          <w:p w14:paraId="2EF6C886"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Compressor rack</w:t>
            </w:r>
          </w:p>
        </w:tc>
        <w:tc>
          <w:tcPr>
            <w:tcW w:w="7273" w:type="dxa"/>
            <w:gridSpan w:val="3"/>
            <w:hideMark/>
          </w:tcPr>
          <w:p w14:paraId="4C77867C"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The machine assembly which accommodates the main </w:t>
            </w:r>
            <w:proofErr w:type="gramStart"/>
            <w:r>
              <w:rPr>
                <w:rFonts w:asciiTheme="majorHAnsi" w:hAnsiTheme="majorHAnsi"/>
                <w:sz w:val="18"/>
                <w:szCs w:val="22"/>
              </w:rPr>
              <w:t>high pressure</w:t>
            </w:r>
            <w:proofErr w:type="gramEnd"/>
            <w:r>
              <w:rPr>
                <w:rFonts w:asciiTheme="majorHAnsi" w:hAnsiTheme="majorHAnsi"/>
                <w:sz w:val="18"/>
                <w:szCs w:val="22"/>
              </w:rPr>
              <w:t xml:space="preserve"> components of a refrigeration circuit in a single structure, allowing off site connection to associated pipe work and vessels.</w:t>
            </w:r>
          </w:p>
        </w:tc>
      </w:tr>
      <w:tr w:rsidR="00B67E9C" w14:paraId="2C31AB51" w14:textId="77777777" w:rsidTr="00B67E9C">
        <w:trPr>
          <w:trHeight w:val="342"/>
        </w:trPr>
        <w:tc>
          <w:tcPr>
            <w:tcW w:w="2219" w:type="dxa"/>
            <w:hideMark/>
          </w:tcPr>
          <w:p w14:paraId="613867B2"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lastRenderedPageBreak/>
              <w:t>Condensing unit</w:t>
            </w:r>
          </w:p>
        </w:tc>
        <w:tc>
          <w:tcPr>
            <w:tcW w:w="7273" w:type="dxa"/>
            <w:gridSpan w:val="3"/>
            <w:hideMark/>
          </w:tcPr>
          <w:p w14:paraId="4BEF08CE"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Condensing units exhibit refrigerating capacities ranging typically from 1 </w:t>
            </w:r>
            <w:proofErr w:type="spellStart"/>
            <w:r>
              <w:rPr>
                <w:rFonts w:asciiTheme="majorHAnsi" w:hAnsiTheme="majorHAnsi"/>
                <w:sz w:val="18"/>
                <w:szCs w:val="22"/>
              </w:rPr>
              <w:t>kWr</w:t>
            </w:r>
            <w:proofErr w:type="spellEnd"/>
            <w:r>
              <w:rPr>
                <w:rFonts w:asciiTheme="majorHAnsi" w:hAnsiTheme="majorHAnsi"/>
                <w:sz w:val="18"/>
                <w:szCs w:val="22"/>
              </w:rPr>
              <w:t xml:space="preserve"> to 65 </w:t>
            </w:r>
            <w:proofErr w:type="spellStart"/>
            <w:r>
              <w:rPr>
                <w:rFonts w:asciiTheme="majorHAnsi" w:hAnsiTheme="majorHAnsi"/>
                <w:sz w:val="18"/>
                <w:szCs w:val="22"/>
              </w:rPr>
              <w:t>kWr</w:t>
            </w:r>
            <w:proofErr w:type="spellEnd"/>
            <w:r>
              <w:rPr>
                <w:rFonts w:asciiTheme="majorHAnsi" w:hAnsiTheme="majorHAnsi"/>
                <w:sz w:val="18"/>
                <w:szCs w:val="22"/>
              </w:rPr>
              <w:t>; they are composed of one (or two) compressor(s), one condenser, and one receiver assembled into a ‘condensing unit’.</w:t>
            </w:r>
          </w:p>
        </w:tc>
      </w:tr>
      <w:tr w:rsidR="00B67E9C" w14:paraId="579803C5" w14:textId="77777777" w:rsidTr="00B67E9C">
        <w:trPr>
          <w:trHeight w:val="342"/>
        </w:trPr>
        <w:tc>
          <w:tcPr>
            <w:tcW w:w="2219" w:type="dxa"/>
            <w:hideMark/>
          </w:tcPr>
          <w:p w14:paraId="08860C29"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CO</w:t>
            </w:r>
            <w:r>
              <w:rPr>
                <w:rFonts w:asciiTheme="majorHAnsi" w:hAnsiTheme="majorHAnsi"/>
                <w:sz w:val="18"/>
                <w:szCs w:val="22"/>
                <w:vertAlign w:val="subscript"/>
                <w:lang w:val="en-AU"/>
              </w:rPr>
              <w:t>2</w:t>
            </w:r>
            <w:r>
              <w:rPr>
                <w:rFonts w:asciiTheme="majorHAnsi" w:hAnsiTheme="majorHAnsi"/>
                <w:sz w:val="18"/>
                <w:szCs w:val="22"/>
                <w:lang w:val="en-AU"/>
              </w:rPr>
              <w:t xml:space="preserve"> refrigerant</w:t>
            </w:r>
          </w:p>
        </w:tc>
        <w:tc>
          <w:tcPr>
            <w:tcW w:w="7273" w:type="dxa"/>
            <w:gridSpan w:val="3"/>
            <w:hideMark/>
          </w:tcPr>
          <w:p w14:paraId="198D2A2F"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Carbon dioxide is a widely used industrial refrigerant with high thermodynamic properties, and is suitable for process refrigeration applications, and automotive air conditioning use. In the past its high operating pressures have limited its use in small to medium commercial refrigeration applications. Technical innovation such as micro cascade systems and commercial availability of components such as compressors and other in line accessories is assisting its transition into smaller scale applications.</w:t>
            </w:r>
          </w:p>
        </w:tc>
      </w:tr>
      <w:tr w:rsidR="00B67E9C" w14:paraId="6A9BDF12" w14:textId="77777777" w:rsidTr="00B67E9C">
        <w:trPr>
          <w:trHeight w:val="342"/>
        </w:trPr>
        <w:tc>
          <w:tcPr>
            <w:tcW w:w="2219" w:type="dxa"/>
            <w:hideMark/>
          </w:tcPr>
          <w:p w14:paraId="7DD58D54"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CO</w:t>
            </w:r>
            <w:r>
              <w:rPr>
                <w:rFonts w:asciiTheme="majorHAnsi" w:hAnsiTheme="majorHAnsi"/>
                <w:sz w:val="18"/>
                <w:szCs w:val="22"/>
                <w:vertAlign w:val="subscript"/>
                <w:lang w:val="en-AU"/>
              </w:rPr>
              <w:t>2</w:t>
            </w:r>
            <w:r>
              <w:rPr>
                <w:rFonts w:asciiTheme="majorHAnsi" w:hAnsiTheme="majorHAnsi"/>
                <w:sz w:val="18"/>
                <w:szCs w:val="22"/>
                <w:lang w:val="en-AU"/>
              </w:rPr>
              <w:t>e</w:t>
            </w:r>
          </w:p>
        </w:tc>
        <w:tc>
          <w:tcPr>
            <w:tcW w:w="7273" w:type="dxa"/>
            <w:gridSpan w:val="3"/>
            <w:hideMark/>
          </w:tcPr>
          <w:p w14:paraId="049BDDE2"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Carbon dioxide equivalent is a measure that quantifies different greenhouse gases in terms of the amount of carbon dioxide that would deliver the same global warming.</w:t>
            </w:r>
          </w:p>
        </w:tc>
      </w:tr>
      <w:tr w:rsidR="00B67E9C" w14:paraId="0BDAECBC" w14:textId="77777777" w:rsidTr="00B67E9C">
        <w:trPr>
          <w:trHeight w:val="342"/>
        </w:trPr>
        <w:tc>
          <w:tcPr>
            <w:tcW w:w="2219" w:type="dxa"/>
            <w:hideMark/>
          </w:tcPr>
          <w:p w14:paraId="78C9A9A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Direct emissions</w:t>
            </w:r>
          </w:p>
        </w:tc>
        <w:tc>
          <w:tcPr>
            <w:tcW w:w="7273" w:type="dxa"/>
            <w:gridSpan w:val="3"/>
            <w:hideMark/>
          </w:tcPr>
          <w:p w14:paraId="6B7F4084"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Emissions of refrigerant directly from equipment. Measured in CO</w:t>
            </w:r>
            <w:r>
              <w:rPr>
                <w:rFonts w:asciiTheme="majorHAnsi" w:hAnsiTheme="majorHAnsi"/>
                <w:sz w:val="18"/>
                <w:szCs w:val="22"/>
                <w:vertAlign w:val="subscript"/>
                <w:lang w:val="en-AU"/>
              </w:rPr>
              <w:t>2</w:t>
            </w:r>
            <w:r>
              <w:rPr>
                <w:rFonts w:asciiTheme="majorHAnsi" w:hAnsiTheme="majorHAnsi"/>
                <w:sz w:val="18"/>
                <w:szCs w:val="22"/>
                <w:lang w:val="en-AU"/>
              </w:rPr>
              <w:t>e.</w:t>
            </w:r>
          </w:p>
        </w:tc>
      </w:tr>
      <w:tr w:rsidR="00B67E9C" w14:paraId="7FF7640E" w14:textId="77777777" w:rsidTr="00B67E9C">
        <w:trPr>
          <w:trHeight w:val="342"/>
        </w:trPr>
        <w:tc>
          <w:tcPr>
            <w:tcW w:w="2219" w:type="dxa"/>
            <w:hideMark/>
          </w:tcPr>
          <w:p w14:paraId="68B8A79C"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Drop-in refrigerant</w:t>
            </w:r>
          </w:p>
        </w:tc>
        <w:tc>
          <w:tcPr>
            <w:tcW w:w="7273" w:type="dxa"/>
            <w:gridSpan w:val="3"/>
            <w:hideMark/>
          </w:tcPr>
          <w:p w14:paraId="0F02F82C" w14:textId="77777777" w:rsidR="00B67E9C" w:rsidRDefault="00B67E9C">
            <w:pPr>
              <w:pStyle w:val="BodyText"/>
              <w:spacing w:before="60" w:after="60"/>
              <w:rPr>
                <w:rFonts w:asciiTheme="majorHAnsi" w:hAnsiTheme="majorHAnsi"/>
                <w:sz w:val="18"/>
              </w:rPr>
            </w:pPr>
            <w:r>
              <w:rPr>
                <w:rFonts w:asciiTheme="majorHAnsi" w:hAnsiTheme="majorHAnsi"/>
                <w:sz w:val="18"/>
              </w:rPr>
              <w:t>Drop-in (or near drop-in) refrigerant replacements are refrigerants that are intended to replace the original refrigerant with the same refrigerant classification (</w:t>
            </w:r>
            <w:proofErr w:type="gramStart"/>
            <w:r>
              <w:rPr>
                <w:rFonts w:asciiTheme="majorHAnsi" w:hAnsiTheme="majorHAnsi"/>
                <w:sz w:val="18"/>
              </w:rPr>
              <w:t>e.g.</w:t>
            </w:r>
            <w:proofErr w:type="gramEnd"/>
            <w:r>
              <w:rPr>
                <w:rFonts w:asciiTheme="majorHAnsi" w:hAnsiTheme="majorHAnsi"/>
                <w:sz w:val="18"/>
              </w:rPr>
              <w:t xml:space="preserve"> A1) and similar technical specification, and keep the system running to the same or similar specification. Examples of HCFC-22/CFC replacements include HFC-422D, HFC-437A, HFC-417A, HFC-422A, HFC-438A, HFC-426A, HFC-424A, HFC-428A, HCFC-508A, HCFC-508B, HCFC-408A and HCFC-409A. Refer to refrigerant supplier instructions for further details.</w:t>
            </w:r>
          </w:p>
        </w:tc>
      </w:tr>
      <w:tr w:rsidR="00B67E9C" w14:paraId="38609E45" w14:textId="77777777" w:rsidTr="00B67E9C">
        <w:trPr>
          <w:trHeight w:val="342"/>
        </w:trPr>
        <w:tc>
          <w:tcPr>
            <w:tcW w:w="2219" w:type="dxa"/>
            <w:hideMark/>
          </w:tcPr>
          <w:p w14:paraId="50C67681"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Energy Efficiency Ratio (EER)</w:t>
            </w:r>
          </w:p>
        </w:tc>
        <w:tc>
          <w:tcPr>
            <w:tcW w:w="7273" w:type="dxa"/>
            <w:gridSpan w:val="3"/>
            <w:hideMark/>
          </w:tcPr>
          <w:p w14:paraId="68BD11CC" w14:textId="77777777" w:rsidR="00B67E9C" w:rsidRDefault="00B67E9C">
            <w:pPr>
              <w:pStyle w:val="BodyText"/>
              <w:spacing w:before="60" w:after="60"/>
              <w:rPr>
                <w:rFonts w:asciiTheme="majorHAnsi" w:hAnsiTheme="majorHAnsi"/>
                <w:sz w:val="18"/>
                <w:szCs w:val="22"/>
              </w:rPr>
            </w:pPr>
            <w:r>
              <w:rPr>
                <w:rFonts w:asciiTheme="majorHAnsi" w:hAnsiTheme="majorHAnsi"/>
                <w:sz w:val="18"/>
              </w:rPr>
              <w:t>The ratio of the cooling output (</w:t>
            </w:r>
            <w:proofErr w:type="spellStart"/>
            <w:r>
              <w:rPr>
                <w:rFonts w:asciiTheme="majorHAnsi" w:hAnsiTheme="majorHAnsi"/>
                <w:sz w:val="18"/>
              </w:rPr>
              <w:t>kWr</w:t>
            </w:r>
            <w:proofErr w:type="spellEnd"/>
            <w:r>
              <w:rPr>
                <w:rFonts w:asciiTheme="majorHAnsi" w:hAnsiTheme="majorHAnsi"/>
                <w:sz w:val="18"/>
              </w:rPr>
              <w:t xml:space="preserve">) divided by the total electric energy input. The EER is dimensionless and is used to express the air conditioning system cooling efficiency. Greenhouse and Energy Minimum Standards for split system air conditioning now use an </w:t>
            </w:r>
            <w:proofErr w:type="spellStart"/>
            <w:r>
              <w:rPr>
                <w:rFonts w:asciiTheme="majorHAnsi" w:hAnsiTheme="majorHAnsi"/>
                <w:sz w:val="18"/>
              </w:rPr>
              <w:t>annualised</w:t>
            </w:r>
            <w:proofErr w:type="spellEnd"/>
            <w:r>
              <w:rPr>
                <w:rFonts w:asciiTheme="majorHAnsi" w:hAnsiTheme="majorHAnsi"/>
                <w:sz w:val="18"/>
              </w:rPr>
              <w:t xml:space="preserve"> version of this metric (AEER), refer to COP definition.</w:t>
            </w:r>
          </w:p>
        </w:tc>
      </w:tr>
      <w:tr w:rsidR="00B67E9C" w14:paraId="46014EBE" w14:textId="77777777" w:rsidTr="00B67E9C">
        <w:trPr>
          <w:trHeight w:val="342"/>
        </w:trPr>
        <w:tc>
          <w:tcPr>
            <w:tcW w:w="2219" w:type="dxa"/>
            <w:hideMark/>
          </w:tcPr>
          <w:p w14:paraId="6DA48AC4"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Energy consumption per year</w:t>
            </w:r>
          </w:p>
        </w:tc>
        <w:tc>
          <w:tcPr>
            <w:tcW w:w="7273" w:type="dxa"/>
            <w:gridSpan w:val="3"/>
            <w:hideMark/>
          </w:tcPr>
          <w:p w14:paraId="5C6C68E7"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Energy consumption of the appliance, equipment or system per annum in kWh per year, or GWh per year for an application or equipment sector.</w:t>
            </w:r>
          </w:p>
        </w:tc>
      </w:tr>
      <w:tr w:rsidR="00B67E9C" w14:paraId="6687B2F1" w14:textId="77777777" w:rsidTr="00B67E9C">
        <w:trPr>
          <w:trHeight w:val="342"/>
        </w:trPr>
        <w:tc>
          <w:tcPr>
            <w:tcW w:w="2219" w:type="dxa"/>
            <w:hideMark/>
          </w:tcPr>
          <w:p w14:paraId="3B36AD49"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End-of-life equipment</w:t>
            </w:r>
          </w:p>
        </w:tc>
        <w:tc>
          <w:tcPr>
            <w:tcW w:w="7273" w:type="dxa"/>
            <w:gridSpan w:val="3"/>
            <w:hideMark/>
          </w:tcPr>
          <w:p w14:paraId="3BA29054"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 xml:space="preserve">Domestic, commercial or industrial device reaching the end of its useful lifespan.  </w:t>
            </w:r>
          </w:p>
        </w:tc>
      </w:tr>
      <w:tr w:rsidR="00B67E9C" w14:paraId="65C0013B" w14:textId="77777777" w:rsidTr="00B67E9C">
        <w:trPr>
          <w:trHeight w:val="342"/>
        </w:trPr>
        <w:tc>
          <w:tcPr>
            <w:tcW w:w="2219" w:type="dxa"/>
            <w:hideMark/>
          </w:tcPr>
          <w:p w14:paraId="7EE8ABE0"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End-of-life (EOL) emissions</w:t>
            </w:r>
          </w:p>
        </w:tc>
        <w:tc>
          <w:tcPr>
            <w:tcW w:w="7273" w:type="dxa"/>
            <w:gridSpan w:val="3"/>
            <w:hideMark/>
          </w:tcPr>
          <w:p w14:paraId="3F16B8E5"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End-of-life (EOL) emissions are direct emissions of ozone depleting substance (ODS) and synthetic greenhouse gases (SGG) not recovered for destruction or reclamation.</w:t>
            </w:r>
          </w:p>
        </w:tc>
      </w:tr>
      <w:tr w:rsidR="00B67E9C" w14:paraId="65BC05E3" w14:textId="77777777" w:rsidTr="00B67E9C">
        <w:trPr>
          <w:trHeight w:val="342"/>
        </w:trPr>
        <w:tc>
          <w:tcPr>
            <w:tcW w:w="2219" w:type="dxa"/>
            <w:hideMark/>
          </w:tcPr>
          <w:p w14:paraId="11FC1EAF"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End-of-life vehicles</w:t>
            </w:r>
          </w:p>
        </w:tc>
        <w:tc>
          <w:tcPr>
            <w:tcW w:w="7273" w:type="dxa"/>
            <w:gridSpan w:val="3"/>
            <w:hideMark/>
          </w:tcPr>
          <w:p w14:paraId="1031E8C8"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Passenger and light commercial vehicles with a gross vehicle mass less than 3.5 tonnes that have been de-registered according to the State and Territory motor vehicle registration authorities (</w:t>
            </w:r>
            <w:proofErr w:type="gramStart"/>
            <w:r>
              <w:rPr>
                <w:rFonts w:asciiTheme="majorHAnsi" w:hAnsiTheme="majorHAnsi"/>
                <w:sz w:val="18"/>
                <w:szCs w:val="22"/>
                <w:lang w:val="en-AU"/>
              </w:rPr>
              <w:t>i.e.</w:t>
            </w:r>
            <w:proofErr w:type="gramEnd"/>
            <w:r>
              <w:rPr>
                <w:rFonts w:asciiTheme="majorHAnsi" w:hAnsiTheme="majorHAnsi"/>
                <w:sz w:val="18"/>
                <w:szCs w:val="22"/>
                <w:lang w:val="en-AU"/>
              </w:rPr>
              <w:t xml:space="preserve"> assumes a one month period of grace with renewals).</w:t>
            </w:r>
          </w:p>
        </w:tc>
      </w:tr>
      <w:tr w:rsidR="00B67E9C" w14:paraId="362D6EA6" w14:textId="77777777" w:rsidTr="00B67E9C">
        <w:trPr>
          <w:trHeight w:val="342"/>
        </w:trPr>
        <w:tc>
          <w:tcPr>
            <w:tcW w:w="2219" w:type="dxa"/>
            <w:hideMark/>
          </w:tcPr>
          <w:p w14:paraId="793ACF5F"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rPr>
              <w:t>Equivalent and actual refrigerant charge</w:t>
            </w:r>
          </w:p>
        </w:tc>
        <w:tc>
          <w:tcPr>
            <w:tcW w:w="7273" w:type="dxa"/>
            <w:gridSpan w:val="3"/>
            <w:hideMark/>
          </w:tcPr>
          <w:p w14:paraId="60325DA8"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Some modern, lower GWP refrigerants, such as hydrocarbons, require much smaller refrigerant charge sizes to do the same work as some older generation higher GWP refrigerants.</w:t>
            </w:r>
          </w:p>
          <w:p w14:paraId="073FD07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The ‘equivalent charge’ is a measure of the amount of high GWP HFC that would have been used in a particular piece or class of equipment had low GWP refrigerants not replaced it. For some charting and </w:t>
            </w:r>
            <w:proofErr w:type="spellStart"/>
            <w:r>
              <w:rPr>
                <w:rFonts w:asciiTheme="majorHAnsi" w:hAnsiTheme="majorHAnsi"/>
                <w:sz w:val="18"/>
                <w:szCs w:val="22"/>
              </w:rPr>
              <w:t>visualisation</w:t>
            </w:r>
            <w:proofErr w:type="spellEnd"/>
            <w:r>
              <w:rPr>
                <w:rFonts w:asciiTheme="majorHAnsi" w:hAnsiTheme="majorHAnsi"/>
                <w:sz w:val="18"/>
                <w:szCs w:val="22"/>
              </w:rPr>
              <w:t xml:space="preserve"> purposes the ‘equivalent charge’ is then attributed to the lower GWP refrigerant that displaces it. For other measuring and comparison purposes the ‘actual’ charge of low GWP refrigerants are used. Refer refrigerant charge in glossary.</w:t>
            </w:r>
          </w:p>
        </w:tc>
      </w:tr>
      <w:tr w:rsidR="00B67E9C" w14:paraId="407677B5" w14:textId="77777777" w:rsidTr="00B67E9C">
        <w:trPr>
          <w:trHeight w:val="342"/>
        </w:trPr>
        <w:tc>
          <w:tcPr>
            <w:tcW w:w="2219" w:type="dxa"/>
            <w:hideMark/>
          </w:tcPr>
          <w:p w14:paraId="07FAB518"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E3</w:t>
            </w:r>
          </w:p>
        </w:tc>
        <w:tc>
          <w:tcPr>
            <w:tcW w:w="7273" w:type="dxa"/>
            <w:gridSpan w:val="3"/>
            <w:hideMark/>
          </w:tcPr>
          <w:p w14:paraId="38020494"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 xml:space="preserve">Equipment Energy Efficiency Committee of the Council of Australian Governments (COAG) which operated under the Ministerial Committee on Energy and was administered by the Department of the Environment and Energy. </w:t>
            </w:r>
          </w:p>
        </w:tc>
      </w:tr>
      <w:tr w:rsidR="00B67E9C" w14:paraId="224F7316" w14:textId="77777777" w:rsidTr="00B67E9C">
        <w:trPr>
          <w:trHeight w:val="342"/>
        </w:trPr>
        <w:tc>
          <w:tcPr>
            <w:tcW w:w="2219" w:type="dxa"/>
            <w:hideMark/>
          </w:tcPr>
          <w:p w14:paraId="1BDB41B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Gas</w:t>
            </w:r>
          </w:p>
        </w:tc>
        <w:tc>
          <w:tcPr>
            <w:tcW w:w="7273" w:type="dxa"/>
            <w:gridSpan w:val="3"/>
            <w:hideMark/>
          </w:tcPr>
          <w:p w14:paraId="45748642"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A general term used in reports where applications extend beyond refrigeration and air conditioning equipment as a working fluid and include fire protection, aerosols and foam blowing. The term refers to ozone depleting substances, synthetic greenhouse gases and natural refrigerants.</w:t>
            </w:r>
          </w:p>
        </w:tc>
      </w:tr>
      <w:tr w:rsidR="00B67E9C" w14:paraId="151E061F" w14:textId="77777777" w:rsidTr="00B67E9C">
        <w:trPr>
          <w:trHeight w:val="342"/>
        </w:trPr>
        <w:tc>
          <w:tcPr>
            <w:tcW w:w="2219" w:type="dxa"/>
          </w:tcPr>
          <w:p w14:paraId="5CFED60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Global Warming Potential (GWP)</w:t>
            </w:r>
          </w:p>
          <w:p w14:paraId="3766A05E" w14:textId="77777777" w:rsidR="00B67E9C" w:rsidRDefault="00B67E9C">
            <w:pPr>
              <w:pStyle w:val="BodyText"/>
              <w:spacing w:before="60" w:after="60"/>
              <w:jc w:val="left"/>
              <w:rPr>
                <w:rFonts w:asciiTheme="majorHAnsi" w:hAnsiTheme="majorHAnsi"/>
                <w:sz w:val="18"/>
                <w:szCs w:val="22"/>
              </w:rPr>
            </w:pPr>
          </w:p>
        </w:tc>
        <w:tc>
          <w:tcPr>
            <w:tcW w:w="7273" w:type="dxa"/>
            <w:gridSpan w:val="3"/>
            <w:hideMark/>
          </w:tcPr>
          <w:p w14:paraId="7723025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Global warming potential (GWP) is a relative measure of how much heat a greenhouse gas traps in the atmosphere. A GWP is calculated over a specific time interval, commonly 20, 100, or 500 years and is expressed as a factor of carbon dioxide (whose GWP is </w:t>
            </w:r>
            <w:proofErr w:type="spellStart"/>
            <w:r>
              <w:rPr>
                <w:rFonts w:asciiTheme="majorHAnsi" w:hAnsiTheme="majorHAnsi"/>
                <w:sz w:val="18"/>
                <w:szCs w:val="22"/>
              </w:rPr>
              <w:t>standardised</w:t>
            </w:r>
            <w:proofErr w:type="spellEnd"/>
            <w:r>
              <w:rPr>
                <w:rFonts w:asciiTheme="majorHAnsi" w:hAnsiTheme="majorHAnsi"/>
                <w:sz w:val="18"/>
                <w:szCs w:val="22"/>
              </w:rPr>
              <w:t xml:space="preserve"> to 1). The Kyoto and Montreal Protocol are based on GWPs from pulse emissions over a 100-year time frame abbreviated as GWP-100.</w:t>
            </w:r>
          </w:p>
        </w:tc>
      </w:tr>
      <w:tr w:rsidR="00B67E9C" w14:paraId="7F2A0A16" w14:textId="77777777" w:rsidTr="00B67E9C">
        <w:trPr>
          <w:trHeight w:val="342"/>
        </w:trPr>
        <w:tc>
          <w:tcPr>
            <w:tcW w:w="2219" w:type="dxa"/>
            <w:hideMark/>
          </w:tcPr>
          <w:p w14:paraId="3BDD9B6B"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lastRenderedPageBreak/>
              <w:t>Greenhouse Gases (GHG)</w:t>
            </w:r>
          </w:p>
        </w:tc>
        <w:tc>
          <w:tcPr>
            <w:tcW w:w="7273" w:type="dxa"/>
            <w:gridSpan w:val="3"/>
            <w:hideMark/>
          </w:tcPr>
          <w:p w14:paraId="3FA02EA3" w14:textId="77777777" w:rsidR="00B67E9C" w:rsidRDefault="00B67E9C">
            <w:pPr>
              <w:pStyle w:val="BodyText"/>
              <w:spacing w:before="60" w:after="60"/>
              <w:rPr>
                <w:rFonts w:asciiTheme="majorHAnsi" w:hAnsiTheme="majorHAnsi"/>
                <w:sz w:val="18"/>
                <w:szCs w:val="22"/>
              </w:rPr>
            </w:pPr>
            <w:r>
              <w:rPr>
                <w:rFonts w:asciiTheme="majorHAnsi" w:hAnsiTheme="majorHAnsi"/>
                <w:sz w:val="18"/>
              </w:rPr>
              <w:t>The Kyoto Protocol 2</w:t>
            </w:r>
            <w:r>
              <w:rPr>
                <w:rFonts w:asciiTheme="majorHAnsi" w:hAnsiTheme="majorHAnsi"/>
                <w:sz w:val="18"/>
                <w:vertAlign w:val="superscript"/>
              </w:rPr>
              <w:t>nd</w:t>
            </w:r>
            <w:r>
              <w:rPr>
                <w:rFonts w:asciiTheme="majorHAnsi" w:hAnsiTheme="majorHAnsi"/>
                <w:sz w:val="18"/>
              </w:rPr>
              <w:t xml:space="preserve"> commitment period covers emissions of seven main greenhouse gases, namely carbon dioxide (CO</w:t>
            </w:r>
            <w:r>
              <w:rPr>
                <w:rFonts w:asciiTheme="majorHAnsi" w:hAnsiTheme="majorHAnsi"/>
                <w:sz w:val="18"/>
                <w:vertAlign w:val="subscript"/>
              </w:rPr>
              <w:t>2</w:t>
            </w:r>
            <w:r>
              <w:rPr>
                <w:rFonts w:asciiTheme="majorHAnsi" w:hAnsiTheme="majorHAnsi"/>
                <w:sz w:val="18"/>
              </w:rPr>
              <w:t>); methane (CH</w:t>
            </w:r>
            <w:r>
              <w:rPr>
                <w:rFonts w:asciiTheme="majorHAnsi" w:hAnsiTheme="majorHAnsi"/>
                <w:sz w:val="18"/>
                <w:vertAlign w:val="subscript"/>
              </w:rPr>
              <w:t>4</w:t>
            </w:r>
            <w:r>
              <w:rPr>
                <w:rFonts w:asciiTheme="majorHAnsi" w:hAnsiTheme="majorHAnsi"/>
                <w:sz w:val="18"/>
              </w:rPr>
              <w:t>); nitrous oxide (N</w:t>
            </w:r>
            <w:r>
              <w:rPr>
                <w:rFonts w:asciiTheme="majorHAnsi" w:hAnsiTheme="majorHAnsi"/>
                <w:sz w:val="18"/>
                <w:vertAlign w:val="subscript"/>
              </w:rPr>
              <w:t>2</w:t>
            </w:r>
            <w:r>
              <w:rPr>
                <w:rFonts w:asciiTheme="majorHAnsi" w:hAnsiTheme="majorHAnsi"/>
                <w:sz w:val="18"/>
              </w:rPr>
              <w:t>O); hydrofluorocarbons (HFCs); perfluorocarbons (PFCs); sulfur hexafluoride (SF</w:t>
            </w:r>
            <w:r>
              <w:rPr>
                <w:rFonts w:asciiTheme="majorHAnsi" w:hAnsiTheme="majorHAnsi"/>
                <w:sz w:val="18"/>
                <w:vertAlign w:val="subscript"/>
              </w:rPr>
              <w:t>6</w:t>
            </w:r>
            <w:r>
              <w:rPr>
                <w:rFonts w:asciiTheme="majorHAnsi" w:hAnsiTheme="majorHAnsi"/>
                <w:sz w:val="18"/>
              </w:rPr>
              <w:t>) and nitrogen trifluoride (NF</w:t>
            </w:r>
            <w:r>
              <w:rPr>
                <w:rFonts w:asciiTheme="majorHAnsi" w:hAnsiTheme="majorHAnsi"/>
                <w:sz w:val="18"/>
                <w:vertAlign w:val="subscript"/>
              </w:rPr>
              <w:t>3</w:t>
            </w:r>
            <w:r>
              <w:rPr>
                <w:rFonts w:asciiTheme="majorHAnsi" w:hAnsiTheme="majorHAnsi"/>
                <w:sz w:val="18"/>
              </w:rPr>
              <w:t>).</w:t>
            </w:r>
          </w:p>
        </w:tc>
      </w:tr>
      <w:tr w:rsidR="00B67E9C" w14:paraId="181AA028" w14:textId="77777777" w:rsidTr="00B67E9C">
        <w:trPr>
          <w:trHeight w:val="342"/>
        </w:trPr>
        <w:tc>
          <w:tcPr>
            <w:tcW w:w="2219" w:type="dxa"/>
            <w:hideMark/>
          </w:tcPr>
          <w:p w14:paraId="0AD1FD42"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GWh</w:t>
            </w:r>
          </w:p>
        </w:tc>
        <w:tc>
          <w:tcPr>
            <w:tcW w:w="7273" w:type="dxa"/>
            <w:gridSpan w:val="3"/>
            <w:hideMark/>
          </w:tcPr>
          <w:p w14:paraId="34ED8BD8" w14:textId="77777777" w:rsidR="00B67E9C" w:rsidRDefault="00B67E9C">
            <w:pPr>
              <w:pStyle w:val="BodyText"/>
              <w:spacing w:before="60" w:after="60"/>
              <w:rPr>
                <w:rFonts w:asciiTheme="majorHAnsi" w:hAnsiTheme="majorHAnsi"/>
                <w:sz w:val="18"/>
                <w:szCs w:val="22"/>
              </w:rPr>
            </w:pPr>
            <w:r>
              <w:rPr>
                <w:rFonts w:asciiTheme="majorHAnsi" w:hAnsiTheme="majorHAnsi"/>
                <w:sz w:val="18"/>
              </w:rPr>
              <w:t>Gigawatt hours is a unit of measurement for electricity use (1 watt hour x 10</w:t>
            </w:r>
            <w:r>
              <w:rPr>
                <w:rFonts w:asciiTheme="majorHAnsi" w:hAnsiTheme="majorHAnsi"/>
                <w:sz w:val="18"/>
                <w:vertAlign w:val="superscript"/>
              </w:rPr>
              <w:t>9</w:t>
            </w:r>
            <w:r>
              <w:rPr>
                <w:rFonts w:asciiTheme="majorHAnsi" w:hAnsiTheme="majorHAnsi"/>
                <w:sz w:val="18"/>
              </w:rPr>
              <w:t>).</w:t>
            </w:r>
          </w:p>
        </w:tc>
      </w:tr>
      <w:tr w:rsidR="00B67E9C" w14:paraId="7CE8B97C" w14:textId="77777777" w:rsidTr="00B67E9C">
        <w:trPr>
          <w:trHeight w:val="342"/>
        </w:trPr>
        <w:tc>
          <w:tcPr>
            <w:tcW w:w="2219" w:type="dxa"/>
            <w:hideMark/>
          </w:tcPr>
          <w:p w14:paraId="507EEB5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High GWP substances or refrigerants</w:t>
            </w:r>
          </w:p>
        </w:tc>
        <w:tc>
          <w:tcPr>
            <w:tcW w:w="7273" w:type="dxa"/>
            <w:gridSpan w:val="3"/>
            <w:hideMark/>
          </w:tcPr>
          <w:p w14:paraId="3016FCB0" w14:textId="77777777" w:rsidR="00B67E9C" w:rsidRDefault="00B67E9C">
            <w:pPr>
              <w:pStyle w:val="BodyText"/>
              <w:spacing w:before="60" w:after="60"/>
              <w:rPr>
                <w:rFonts w:asciiTheme="majorHAnsi" w:hAnsiTheme="majorHAnsi"/>
                <w:sz w:val="18"/>
              </w:rPr>
            </w:pPr>
            <w:r>
              <w:rPr>
                <w:rFonts w:asciiTheme="majorHAnsi" w:hAnsiTheme="majorHAnsi"/>
                <w:sz w:val="18"/>
              </w:rPr>
              <w:t>For the purposes of this report this term is used to refer to refrigerants commonly used today with GWPs greater than 1400. This includes the widely employed HFC-404A (GWP of 3922), HFC-410A (GWP of 2088) and HFC-134a (GWP of 1430). Refer to definition of reduced GWP refrigerants and low GWP refrigerants.</w:t>
            </w:r>
          </w:p>
        </w:tc>
      </w:tr>
      <w:tr w:rsidR="00B67E9C" w14:paraId="5B63EEF9" w14:textId="77777777" w:rsidTr="00B67E9C">
        <w:trPr>
          <w:trHeight w:val="342"/>
        </w:trPr>
        <w:tc>
          <w:tcPr>
            <w:tcW w:w="2219" w:type="dxa"/>
            <w:hideMark/>
          </w:tcPr>
          <w:p w14:paraId="0720CA2E"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Hydrocarbons (HCs)</w:t>
            </w:r>
          </w:p>
        </w:tc>
        <w:tc>
          <w:tcPr>
            <w:tcW w:w="7273" w:type="dxa"/>
            <w:gridSpan w:val="3"/>
            <w:hideMark/>
          </w:tcPr>
          <w:p w14:paraId="0FF8EB34" w14:textId="77777777" w:rsidR="00B67E9C" w:rsidRDefault="00B67E9C">
            <w:pPr>
              <w:pStyle w:val="BodyText"/>
              <w:spacing w:before="60" w:after="60"/>
              <w:rPr>
                <w:rFonts w:asciiTheme="majorHAnsi" w:hAnsiTheme="majorHAnsi"/>
                <w:sz w:val="18"/>
                <w:szCs w:val="22"/>
              </w:rPr>
            </w:pPr>
            <w:r>
              <w:rPr>
                <w:rFonts w:asciiTheme="majorHAnsi" w:hAnsiTheme="majorHAnsi"/>
                <w:sz w:val="18"/>
              </w:rPr>
              <w:t>Hydrocarbon is a chemical that contains only carbon and hydrogen. The term hydrocarbon used in this report refers to the main types and blends of hydrocarbon refrigerant in use in Australia including HC-600a, HC-290 and HC-436 (a blend of HC-600a and HC-290). Users should refer to equipment manufacturer installation guidelines for further details.</w:t>
            </w:r>
          </w:p>
        </w:tc>
      </w:tr>
      <w:tr w:rsidR="00B67E9C" w14:paraId="07999E17" w14:textId="77777777" w:rsidTr="00B67E9C">
        <w:trPr>
          <w:trHeight w:val="342"/>
        </w:trPr>
        <w:tc>
          <w:tcPr>
            <w:tcW w:w="2219" w:type="dxa"/>
            <w:hideMark/>
          </w:tcPr>
          <w:p w14:paraId="23D3B26E"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Hydrochlorofluorocarbons (HCFCs)</w:t>
            </w:r>
          </w:p>
        </w:tc>
        <w:tc>
          <w:tcPr>
            <w:tcW w:w="7273" w:type="dxa"/>
            <w:gridSpan w:val="3"/>
            <w:hideMark/>
          </w:tcPr>
          <w:p w14:paraId="0B70F5FD"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Chemicals that </w:t>
            </w:r>
            <w:proofErr w:type="gramStart"/>
            <w:r>
              <w:rPr>
                <w:rFonts w:asciiTheme="majorHAnsi" w:hAnsiTheme="majorHAnsi"/>
                <w:sz w:val="18"/>
                <w:szCs w:val="22"/>
              </w:rPr>
              <w:t>contains</w:t>
            </w:r>
            <w:proofErr w:type="gramEnd"/>
            <w:r>
              <w:rPr>
                <w:rFonts w:asciiTheme="majorHAnsi" w:hAnsiTheme="majorHAnsi"/>
                <w:sz w:val="18"/>
                <w:szCs w:val="22"/>
              </w:rPr>
              <w:t xml:space="preserve"> hydrogen, fluorine, chlorine, and carbon. They deplete the ozone layer, but have less potency compared to CFCs. Many HCFCs are potent greenhouse gases. HCFC-22 is the most common refrigerant in the Australian refrigerant bank. CFCs and HCFCs are not included in the GHGs reported under the Kyoto Protocol or United Nations Convention on Climate Change, as they are managed through the Montreal Protocol.</w:t>
            </w:r>
          </w:p>
        </w:tc>
      </w:tr>
      <w:tr w:rsidR="00B67E9C" w14:paraId="22526ABA" w14:textId="77777777" w:rsidTr="00B67E9C">
        <w:trPr>
          <w:trHeight w:val="342"/>
        </w:trPr>
        <w:tc>
          <w:tcPr>
            <w:tcW w:w="2219" w:type="dxa"/>
            <w:hideMark/>
          </w:tcPr>
          <w:p w14:paraId="2B528E28"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Hydrofluorocarbons (HFCs)</w:t>
            </w:r>
          </w:p>
        </w:tc>
        <w:tc>
          <w:tcPr>
            <w:tcW w:w="7273" w:type="dxa"/>
            <w:gridSpan w:val="3"/>
            <w:hideMark/>
          </w:tcPr>
          <w:p w14:paraId="1924580B"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Chemicals that contain hydrogen, fluorine, and carbon. They do not deplete the ozone layer and have been used as substitutes for CFCs and HCFCs. Many HFCs are potent greenhouse gases.</w:t>
            </w:r>
          </w:p>
        </w:tc>
      </w:tr>
      <w:tr w:rsidR="00B67E9C" w14:paraId="7B9FEF4B" w14:textId="77777777" w:rsidTr="00B67E9C">
        <w:trPr>
          <w:trHeight w:val="342"/>
        </w:trPr>
        <w:tc>
          <w:tcPr>
            <w:tcW w:w="2219" w:type="dxa"/>
            <w:hideMark/>
          </w:tcPr>
          <w:p w14:paraId="4ED5150C" w14:textId="77777777" w:rsidR="00B67E9C" w:rsidRDefault="00B67E9C">
            <w:pPr>
              <w:pStyle w:val="BodyText"/>
              <w:spacing w:before="60" w:after="60"/>
              <w:jc w:val="left"/>
              <w:rPr>
                <w:rFonts w:asciiTheme="majorHAnsi" w:hAnsiTheme="majorHAnsi"/>
                <w:sz w:val="18"/>
                <w:szCs w:val="22"/>
              </w:rPr>
            </w:pPr>
            <w:proofErr w:type="spellStart"/>
            <w:r>
              <w:rPr>
                <w:rFonts w:asciiTheme="majorHAnsi" w:hAnsiTheme="majorHAnsi"/>
                <w:sz w:val="18"/>
                <w:szCs w:val="22"/>
              </w:rPr>
              <w:t>Hydrofluoro</w:t>
            </w:r>
            <w:proofErr w:type="spellEnd"/>
            <w:r>
              <w:rPr>
                <w:rFonts w:asciiTheme="majorHAnsi" w:hAnsiTheme="majorHAnsi"/>
                <w:sz w:val="18"/>
                <w:szCs w:val="22"/>
              </w:rPr>
              <w:t>-olefins (HFOs), and HFO blends</w:t>
            </w:r>
          </w:p>
        </w:tc>
        <w:tc>
          <w:tcPr>
            <w:tcW w:w="7273" w:type="dxa"/>
            <w:gridSpan w:val="3"/>
            <w:hideMark/>
          </w:tcPr>
          <w:p w14:paraId="5F953F08"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Chemicals known as </w:t>
            </w:r>
            <w:proofErr w:type="spellStart"/>
            <w:r>
              <w:rPr>
                <w:rFonts w:asciiTheme="majorHAnsi" w:hAnsiTheme="majorHAnsi"/>
                <w:sz w:val="18"/>
                <w:szCs w:val="22"/>
              </w:rPr>
              <w:t>hydrofluoro</w:t>
            </w:r>
            <w:proofErr w:type="spellEnd"/>
            <w:r>
              <w:rPr>
                <w:rFonts w:asciiTheme="majorHAnsi" w:hAnsiTheme="majorHAnsi"/>
                <w:sz w:val="18"/>
                <w:szCs w:val="22"/>
              </w:rPr>
              <w:t xml:space="preserve">-olefins that contain hydrogen, fluorine, and carbon, and are described as unsaturated HFCs. They do not deplete the ozone layer and have very low GWP values. For </w:t>
            </w:r>
            <w:proofErr w:type="gramStart"/>
            <w:r>
              <w:rPr>
                <w:rFonts w:asciiTheme="majorHAnsi" w:hAnsiTheme="majorHAnsi"/>
                <w:sz w:val="18"/>
                <w:szCs w:val="22"/>
              </w:rPr>
              <w:t>example</w:t>
            </w:r>
            <w:proofErr w:type="gramEnd"/>
            <w:r>
              <w:rPr>
                <w:rFonts w:asciiTheme="majorHAnsi" w:hAnsiTheme="majorHAnsi"/>
                <w:sz w:val="18"/>
                <w:szCs w:val="22"/>
              </w:rPr>
              <w:t xml:space="preserve"> HFO-1234yf and HFO-1234ze were originally cited by industry to have a GWP of 5, and a GWP-100 of 1 based on AR5. Refer </w:t>
            </w:r>
            <w:r>
              <w:rPr>
                <w:rFonts w:asciiTheme="majorHAnsi" w:hAnsiTheme="majorHAnsi"/>
                <w:i/>
                <w:sz w:val="18"/>
                <w:szCs w:val="22"/>
              </w:rPr>
              <w:t>Section 3.4</w:t>
            </w:r>
            <w:r>
              <w:rPr>
                <w:rFonts w:asciiTheme="majorHAnsi" w:hAnsiTheme="majorHAnsi"/>
                <w:sz w:val="18"/>
                <w:szCs w:val="22"/>
              </w:rPr>
              <w:t xml:space="preserve"> for further details.</w:t>
            </w:r>
          </w:p>
        </w:tc>
      </w:tr>
      <w:tr w:rsidR="00B67E9C" w14:paraId="2E3D411E" w14:textId="77777777" w:rsidTr="00B67E9C">
        <w:trPr>
          <w:trHeight w:val="342"/>
        </w:trPr>
        <w:tc>
          <w:tcPr>
            <w:tcW w:w="2219" w:type="dxa"/>
            <w:hideMark/>
          </w:tcPr>
          <w:p w14:paraId="41AC04D6"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HVAC&amp;R</w:t>
            </w:r>
          </w:p>
        </w:tc>
        <w:tc>
          <w:tcPr>
            <w:tcW w:w="7273" w:type="dxa"/>
            <w:gridSpan w:val="3"/>
            <w:hideMark/>
          </w:tcPr>
          <w:p w14:paraId="7F42517E"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Heating, ventilation, air conditioning and refrigeration</w:t>
            </w:r>
          </w:p>
        </w:tc>
      </w:tr>
      <w:tr w:rsidR="00B67E9C" w14:paraId="6D87F4E6" w14:textId="77777777" w:rsidTr="00B67E9C">
        <w:trPr>
          <w:trHeight w:val="342"/>
        </w:trPr>
        <w:tc>
          <w:tcPr>
            <w:tcW w:w="2219" w:type="dxa"/>
            <w:hideMark/>
          </w:tcPr>
          <w:p w14:paraId="7EF7D690"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Indirect emissions</w:t>
            </w:r>
          </w:p>
        </w:tc>
        <w:tc>
          <w:tcPr>
            <w:tcW w:w="7273" w:type="dxa"/>
            <w:gridSpan w:val="3"/>
            <w:hideMark/>
          </w:tcPr>
          <w:p w14:paraId="04EF5B23"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Emissions from the generation of the electrical energy required to operate electrical equipment, sometimes also referred to as ‘energy related emissions.’ Measured in CO</w:t>
            </w:r>
            <w:r>
              <w:rPr>
                <w:rFonts w:asciiTheme="majorHAnsi" w:hAnsiTheme="majorHAnsi"/>
                <w:sz w:val="18"/>
                <w:szCs w:val="22"/>
                <w:vertAlign w:val="subscript"/>
                <w:lang w:val="en-AU"/>
              </w:rPr>
              <w:t>2</w:t>
            </w:r>
            <w:r>
              <w:rPr>
                <w:rFonts w:asciiTheme="majorHAnsi" w:hAnsiTheme="majorHAnsi"/>
                <w:sz w:val="18"/>
                <w:szCs w:val="22"/>
                <w:lang w:val="en-AU"/>
              </w:rPr>
              <w:t>e.</w:t>
            </w:r>
          </w:p>
        </w:tc>
      </w:tr>
      <w:tr w:rsidR="00B67E9C" w14:paraId="6548E80B" w14:textId="77777777" w:rsidTr="00B67E9C">
        <w:trPr>
          <w:trHeight w:val="342"/>
        </w:trPr>
        <w:tc>
          <w:tcPr>
            <w:tcW w:w="2219" w:type="dxa"/>
            <w:hideMark/>
          </w:tcPr>
          <w:p w14:paraId="13CB1BAF"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rPr>
              <w:t>Indirect emission factor</w:t>
            </w:r>
          </w:p>
        </w:tc>
        <w:tc>
          <w:tcPr>
            <w:tcW w:w="7273" w:type="dxa"/>
            <w:gridSpan w:val="3"/>
            <w:hideMark/>
          </w:tcPr>
          <w:p w14:paraId="71F1D36D"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rPr>
              <w:t>The indirect or CO</w:t>
            </w:r>
            <w:r>
              <w:rPr>
                <w:rFonts w:asciiTheme="majorHAnsi" w:hAnsiTheme="majorHAnsi"/>
                <w:sz w:val="18"/>
                <w:szCs w:val="22"/>
                <w:vertAlign w:val="subscript"/>
              </w:rPr>
              <w:t>2</w:t>
            </w:r>
            <w:r>
              <w:rPr>
                <w:rFonts w:asciiTheme="majorHAnsi" w:hAnsiTheme="majorHAnsi"/>
                <w:sz w:val="18"/>
                <w:szCs w:val="22"/>
              </w:rPr>
              <w:t xml:space="preserve"> emission factor is the mass of CO</w:t>
            </w:r>
            <w:r>
              <w:rPr>
                <w:rFonts w:asciiTheme="majorHAnsi" w:hAnsiTheme="majorHAnsi"/>
                <w:sz w:val="18"/>
                <w:szCs w:val="22"/>
                <w:vertAlign w:val="subscript"/>
              </w:rPr>
              <w:t>2</w:t>
            </w:r>
            <w:r>
              <w:rPr>
                <w:rFonts w:asciiTheme="majorHAnsi" w:hAnsiTheme="majorHAnsi"/>
                <w:sz w:val="18"/>
                <w:szCs w:val="22"/>
              </w:rPr>
              <w:t xml:space="preserve"> emitted by the power generator per kWh of electrical power supplied to the refrigeration installation </w:t>
            </w:r>
            <w:proofErr w:type="gramStart"/>
            <w:r>
              <w:rPr>
                <w:rFonts w:asciiTheme="majorHAnsi" w:hAnsiTheme="majorHAnsi"/>
                <w:sz w:val="18"/>
                <w:szCs w:val="22"/>
              </w:rPr>
              <w:t>taking into account</w:t>
            </w:r>
            <w:proofErr w:type="gramEnd"/>
            <w:r>
              <w:rPr>
                <w:rFonts w:asciiTheme="majorHAnsi" w:hAnsiTheme="majorHAnsi"/>
                <w:sz w:val="18"/>
                <w:szCs w:val="22"/>
              </w:rPr>
              <w:t xml:space="preserve"> efficiency losses in generation and distribution.</w:t>
            </w:r>
          </w:p>
        </w:tc>
      </w:tr>
      <w:tr w:rsidR="00B67E9C" w14:paraId="1A0B5F39" w14:textId="77777777" w:rsidTr="00B67E9C">
        <w:trPr>
          <w:trHeight w:val="342"/>
        </w:trPr>
        <w:tc>
          <w:tcPr>
            <w:tcW w:w="2219" w:type="dxa"/>
            <w:hideMark/>
          </w:tcPr>
          <w:p w14:paraId="38FADA1E"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Kigali Amendment</w:t>
            </w:r>
          </w:p>
        </w:tc>
        <w:tc>
          <w:tcPr>
            <w:tcW w:w="7273" w:type="dxa"/>
            <w:gridSpan w:val="3"/>
            <w:hideMark/>
          </w:tcPr>
          <w:p w14:paraId="0A8E8EDD"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The Kigali Amendment to the Montreal Protocol agrees a phase-down of HFC production and imports starting from 1 January 2019. It sets out a timetable for a phase-down of HFC production and imports that results in total HFC production and imports falling to 15% of the baseline levels from 2036 onwards. Australia started its phase down of HFCs one year earlier on 1 January 2018.</w:t>
            </w:r>
          </w:p>
        </w:tc>
      </w:tr>
      <w:tr w:rsidR="00B67E9C" w14:paraId="7333E34A" w14:textId="77777777" w:rsidTr="00B67E9C">
        <w:trPr>
          <w:trHeight w:val="342"/>
        </w:trPr>
        <w:tc>
          <w:tcPr>
            <w:tcW w:w="2219" w:type="dxa"/>
            <w:hideMark/>
          </w:tcPr>
          <w:p w14:paraId="4150C441" w14:textId="77777777" w:rsidR="00B67E9C" w:rsidRDefault="00B67E9C">
            <w:pPr>
              <w:pStyle w:val="BodyText"/>
              <w:spacing w:before="60" w:after="60"/>
              <w:jc w:val="left"/>
              <w:rPr>
                <w:rFonts w:asciiTheme="majorHAnsi" w:hAnsiTheme="majorHAnsi"/>
                <w:sz w:val="18"/>
                <w:szCs w:val="22"/>
              </w:rPr>
            </w:pPr>
            <w:proofErr w:type="spellStart"/>
            <w:r>
              <w:rPr>
                <w:rFonts w:asciiTheme="majorHAnsi" w:hAnsiTheme="majorHAnsi"/>
                <w:sz w:val="18"/>
                <w:szCs w:val="22"/>
              </w:rPr>
              <w:t>kWr</w:t>
            </w:r>
            <w:proofErr w:type="spellEnd"/>
          </w:p>
        </w:tc>
        <w:tc>
          <w:tcPr>
            <w:tcW w:w="7273" w:type="dxa"/>
            <w:gridSpan w:val="3"/>
            <w:hideMark/>
          </w:tcPr>
          <w:p w14:paraId="5285D471"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Refers to kilowatts of refrigeration capacity whereas kW relates to kilowatts of electrical power.</w:t>
            </w:r>
          </w:p>
        </w:tc>
      </w:tr>
      <w:tr w:rsidR="00B67E9C" w14:paraId="7852E88C" w14:textId="77777777" w:rsidTr="00B67E9C">
        <w:trPr>
          <w:trHeight w:val="342"/>
        </w:trPr>
        <w:tc>
          <w:tcPr>
            <w:tcW w:w="2219" w:type="dxa"/>
            <w:hideMark/>
          </w:tcPr>
          <w:p w14:paraId="28A391D5" w14:textId="77777777" w:rsidR="00B67E9C" w:rsidRDefault="00B67E9C">
            <w:pPr>
              <w:pStyle w:val="BodyText"/>
              <w:spacing w:before="60" w:after="60"/>
              <w:jc w:val="left"/>
              <w:rPr>
                <w:rFonts w:asciiTheme="majorHAnsi" w:hAnsiTheme="majorHAnsi"/>
                <w:sz w:val="18"/>
                <w:szCs w:val="22"/>
              </w:rPr>
            </w:pPr>
            <w:proofErr w:type="spellStart"/>
            <w:r>
              <w:rPr>
                <w:rFonts w:asciiTheme="majorHAnsi" w:hAnsiTheme="majorHAnsi"/>
                <w:sz w:val="18"/>
                <w:szCs w:val="22"/>
              </w:rPr>
              <w:t>KWh</w:t>
            </w:r>
            <w:proofErr w:type="spellEnd"/>
          </w:p>
        </w:tc>
        <w:tc>
          <w:tcPr>
            <w:tcW w:w="7273" w:type="dxa"/>
            <w:gridSpan w:val="3"/>
            <w:hideMark/>
          </w:tcPr>
          <w:p w14:paraId="261E6D46"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Kilowatt hour </w:t>
            </w:r>
            <w:r>
              <w:rPr>
                <w:rFonts w:asciiTheme="majorHAnsi" w:hAnsiTheme="majorHAnsi"/>
                <w:sz w:val="18"/>
              </w:rPr>
              <w:t>(1 watt hour x 10</w:t>
            </w:r>
            <w:r>
              <w:rPr>
                <w:rFonts w:asciiTheme="majorHAnsi" w:hAnsiTheme="majorHAnsi"/>
                <w:sz w:val="18"/>
                <w:vertAlign w:val="superscript"/>
              </w:rPr>
              <w:t>3</w:t>
            </w:r>
            <w:r>
              <w:rPr>
                <w:rFonts w:asciiTheme="majorHAnsi" w:hAnsiTheme="majorHAnsi"/>
                <w:sz w:val="18"/>
              </w:rPr>
              <w:t>).</w:t>
            </w:r>
          </w:p>
        </w:tc>
      </w:tr>
      <w:tr w:rsidR="00B67E9C" w14:paraId="6CAF6FEE" w14:textId="77777777" w:rsidTr="00B67E9C">
        <w:trPr>
          <w:trHeight w:val="342"/>
        </w:trPr>
        <w:tc>
          <w:tcPr>
            <w:tcW w:w="2219" w:type="dxa"/>
            <w:hideMark/>
          </w:tcPr>
          <w:p w14:paraId="1FB04610"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Kyoto Protocol</w:t>
            </w:r>
          </w:p>
        </w:tc>
        <w:tc>
          <w:tcPr>
            <w:tcW w:w="7273" w:type="dxa"/>
            <w:gridSpan w:val="3"/>
            <w:hideMark/>
          </w:tcPr>
          <w:p w14:paraId="487C8963"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The Kyoto Protocol sets binding emissions limits for the seven greenhouse gases listed in the Protocol. The Australian Government committed to reducing emissions of the seven main greenhouse gases, which includes the synthetic greenhouse gases (SGGs) listed under the Kyoto Protocol, including hydrofluorocarbons (HFCs), perfluorocarbons (PFCs), sulfur hexafluoride (SF</w:t>
            </w:r>
            <w:r>
              <w:rPr>
                <w:rFonts w:asciiTheme="majorHAnsi" w:hAnsiTheme="majorHAnsi"/>
                <w:sz w:val="18"/>
                <w:szCs w:val="22"/>
                <w:vertAlign w:val="subscript"/>
              </w:rPr>
              <w:t>6</w:t>
            </w:r>
            <w:r>
              <w:rPr>
                <w:rFonts w:asciiTheme="majorHAnsi" w:hAnsiTheme="majorHAnsi"/>
                <w:sz w:val="18"/>
                <w:szCs w:val="22"/>
              </w:rPr>
              <w:t>) and nitrogen trifluoride. The Paris Agreement follows the Kyoto Protocol.</w:t>
            </w:r>
          </w:p>
        </w:tc>
      </w:tr>
      <w:tr w:rsidR="00B67E9C" w14:paraId="2047F651" w14:textId="77777777" w:rsidTr="00B67E9C">
        <w:trPr>
          <w:trHeight w:val="342"/>
        </w:trPr>
        <w:tc>
          <w:tcPr>
            <w:tcW w:w="2219" w:type="dxa"/>
            <w:hideMark/>
          </w:tcPr>
          <w:p w14:paraId="2165FCEB"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Lifespan</w:t>
            </w:r>
          </w:p>
        </w:tc>
        <w:tc>
          <w:tcPr>
            <w:tcW w:w="7273" w:type="dxa"/>
            <w:gridSpan w:val="3"/>
            <w:hideMark/>
          </w:tcPr>
          <w:p w14:paraId="60A475CC"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Lifespan is the expected useful life of the equipment in years.</w:t>
            </w:r>
          </w:p>
        </w:tc>
      </w:tr>
      <w:tr w:rsidR="00B67E9C" w14:paraId="753EDDB0" w14:textId="77777777" w:rsidTr="00B67E9C">
        <w:trPr>
          <w:trHeight w:val="342"/>
        </w:trPr>
        <w:tc>
          <w:tcPr>
            <w:tcW w:w="2219" w:type="dxa"/>
            <w:hideMark/>
          </w:tcPr>
          <w:p w14:paraId="03C147C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Low GWP substances or refrigerants</w:t>
            </w:r>
          </w:p>
        </w:tc>
        <w:tc>
          <w:tcPr>
            <w:tcW w:w="7273" w:type="dxa"/>
            <w:gridSpan w:val="3"/>
            <w:hideMark/>
          </w:tcPr>
          <w:p w14:paraId="28EBB300" w14:textId="77777777" w:rsidR="00B67E9C" w:rsidRDefault="00B67E9C">
            <w:pPr>
              <w:pStyle w:val="BodyText"/>
              <w:spacing w:before="60" w:after="60"/>
              <w:rPr>
                <w:rFonts w:asciiTheme="majorHAnsi" w:hAnsiTheme="majorHAnsi"/>
                <w:sz w:val="18"/>
                <w:szCs w:val="22"/>
              </w:rPr>
            </w:pPr>
            <w:r>
              <w:rPr>
                <w:rFonts w:asciiTheme="majorHAnsi" w:hAnsiTheme="majorHAnsi"/>
                <w:sz w:val="18"/>
              </w:rPr>
              <w:t>For the purposes of this report t</w:t>
            </w:r>
            <w:r>
              <w:rPr>
                <w:rFonts w:asciiTheme="majorHAnsi" w:hAnsiTheme="majorHAnsi"/>
                <w:sz w:val="18"/>
                <w:szCs w:val="22"/>
              </w:rPr>
              <w:t>his term is used to refer to refrigerants with a GWP of less than or equal to 10, including the 'natural' refrigerants (CO</w:t>
            </w:r>
            <w:r>
              <w:rPr>
                <w:rFonts w:asciiTheme="majorHAnsi" w:hAnsiTheme="majorHAnsi"/>
                <w:sz w:val="18"/>
                <w:vertAlign w:val="subscript"/>
              </w:rPr>
              <w:t>2</w:t>
            </w:r>
            <w:r>
              <w:rPr>
                <w:rFonts w:asciiTheme="majorHAnsi" w:hAnsiTheme="majorHAnsi"/>
                <w:sz w:val="18"/>
                <w:szCs w:val="22"/>
              </w:rPr>
              <w:t>, ammonia, hydrocarbons), and the newly commercial HFOs sometimes referred to as low GWP HFCs. Refer to the definitions for High GWP Refrigerants and Reduced GWP Refrigerants.</w:t>
            </w:r>
          </w:p>
        </w:tc>
      </w:tr>
      <w:tr w:rsidR="00B67E9C" w14:paraId="1ABF6F49" w14:textId="77777777" w:rsidTr="00B67E9C">
        <w:trPr>
          <w:trHeight w:val="342"/>
        </w:trPr>
        <w:tc>
          <w:tcPr>
            <w:tcW w:w="2219" w:type="dxa"/>
            <w:hideMark/>
          </w:tcPr>
          <w:p w14:paraId="07CBAF36"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Low temperature refrigeration</w:t>
            </w:r>
          </w:p>
        </w:tc>
        <w:tc>
          <w:tcPr>
            <w:tcW w:w="7273" w:type="dxa"/>
            <w:gridSpan w:val="3"/>
            <w:hideMark/>
          </w:tcPr>
          <w:p w14:paraId="2C0D7147"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Temperatures below 0</w:t>
            </w:r>
            <w:r>
              <w:rPr>
                <w:rFonts w:asciiTheme="majorHAnsi" w:hAnsiTheme="majorHAnsi"/>
                <w:sz w:val="18"/>
                <w:szCs w:val="22"/>
                <w:vertAlign w:val="superscript"/>
              </w:rPr>
              <w:t>o</w:t>
            </w:r>
            <w:r>
              <w:rPr>
                <w:rFonts w:asciiTheme="majorHAnsi" w:hAnsiTheme="majorHAnsi"/>
                <w:sz w:val="18"/>
                <w:szCs w:val="22"/>
              </w:rPr>
              <w:t>C.</w:t>
            </w:r>
          </w:p>
        </w:tc>
      </w:tr>
      <w:tr w:rsidR="00B67E9C" w14:paraId="27F126C2" w14:textId="77777777" w:rsidTr="00B67E9C">
        <w:trPr>
          <w:trHeight w:val="342"/>
        </w:trPr>
        <w:tc>
          <w:tcPr>
            <w:tcW w:w="2219" w:type="dxa"/>
            <w:hideMark/>
          </w:tcPr>
          <w:p w14:paraId="3D1D09B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lastRenderedPageBreak/>
              <w:t>Minimum energy performance standards (MEPS)</w:t>
            </w:r>
          </w:p>
        </w:tc>
        <w:tc>
          <w:tcPr>
            <w:tcW w:w="7273" w:type="dxa"/>
            <w:gridSpan w:val="3"/>
            <w:hideMark/>
          </w:tcPr>
          <w:p w14:paraId="1E0B05FB"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The Minimum Energy Performance Standard is a specification, containing </w:t>
            </w:r>
            <w:proofErr w:type="gramStart"/>
            <w:r>
              <w:rPr>
                <w:rFonts w:asciiTheme="majorHAnsi" w:hAnsiTheme="majorHAnsi"/>
                <w:sz w:val="18"/>
                <w:szCs w:val="22"/>
              </w:rPr>
              <w:t>a number of</w:t>
            </w:r>
            <w:proofErr w:type="gramEnd"/>
            <w:r>
              <w:rPr>
                <w:rFonts w:asciiTheme="majorHAnsi" w:hAnsiTheme="majorHAnsi"/>
                <w:sz w:val="18"/>
                <w:szCs w:val="22"/>
              </w:rPr>
              <w:t xml:space="preserve"> performance requirements for energy-using devices that effectively limits the maximum amount of energy that may be consumed by a product in performing a specified task. MEPS is regulated under the Greenhouse and Energy Minimum Standards Act 2012 and in the RAC sector covers domestic refrigerators, refrigerated display cases, and most air conditioners (excluding single duct portable, spot coolers, and chillers below 350 </w:t>
            </w:r>
            <w:proofErr w:type="spellStart"/>
            <w:r>
              <w:rPr>
                <w:rFonts w:asciiTheme="majorHAnsi" w:hAnsiTheme="majorHAnsi"/>
                <w:sz w:val="18"/>
                <w:szCs w:val="22"/>
              </w:rPr>
              <w:t>kWr</w:t>
            </w:r>
            <w:proofErr w:type="spellEnd"/>
            <w:r>
              <w:rPr>
                <w:rFonts w:asciiTheme="majorHAnsi" w:hAnsiTheme="majorHAnsi"/>
                <w:sz w:val="18"/>
                <w:szCs w:val="22"/>
              </w:rPr>
              <w:t>).</w:t>
            </w:r>
          </w:p>
        </w:tc>
      </w:tr>
      <w:tr w:rsidR="00B67E9C" w14:paraId="0ABF39B1" w14:textId="77777777" w:rsidTr="00B67E9C">
        <w:trPr>
          <w:trHeight w:val="342"/>
        </w:trPr>
        <w:tc>
          <w:tcPr>
            <w:tcW w:w="2219" w:type="dxa"/>
            <w:hideMark/>
          </w:tcPr>
          <w:p w14:paraId="6968994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Montreal Protocol</w:t>
            </w:r>
          </w:p>
        </w:tc>
        <w:tc>
          <w:tcPr>
            <w:tcW w:w="7273" w:type="dxa"/>
            <w:gridSpan w:val="3"/>
            <w:hideMark/>
          </w:tcPr>
          <w:p w14:paraId="6CCCE021"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The Montreal Protocol on Substances that Deplete the Ozone Layer sets binding obligations for all countries to phase out import and production of ozone depleting substances and phase-down obligations for HFCs.</w:t>
            </w:r>
          </w:p>
        </w:tc>
      </w:tr>
      <w:tr w:rsidR="00B67E9C" w14:paraId="5808AC40" w14:textId="77777777" w:rsidTr="00B67E9C">
        <w:trPr>
          <w:trHeight w:val="342"/>
        </w:trPr>
        <w:tc>
          <w:tcPr>
            <w:tcW w:w="2219" w:type="dxa"/>
            <w:hideMark/>
          </w:tcPr>
          <w:p w14:paraId="6514FDC3"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Natural refrigerants</w:t>
            </w:r>
          </w:p>
        </w:tc>
        <w:tc>
          <w:tcPr>
            <w:tcW w:w="7273" w:type="dxa"/>
            <w:gridSpan w:val="3"/>
            <w:hideMark/>
          </w:tcPr>
          <w:p w14:paraId="7158001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Hydrocarbons (R600a, R290 and R436), ammonia (R717) and carbon dioxide (R744) are commonly referred to as natural refrigerants. The term ‘natural’ implies the origin of the fluids as they occur in nature as a result of geological and/or biological processes, unlike fluorinated substances that are </w:t>
            </w:r>
            <w:proofErr w:type="spellStart"/>
            <w:r>
              <w:rPr>
                <w:rFonts w:asciiTheme="majorHAnsi" w:hAnsiTheme="majorHAnsi"/>
                <w:sz w:val="18"/>
                <w:szCs w:val="22"/>
              </w:rPr>
              <w:t>synthesised</w:t>
            </w:r>
            <w:proofErr w:type="spellEnd"/>
            <w:r>
              <w:rPr>
                <w:rFonts w:asciiTheme="majorHAnsi" w:hAnsiTheme="majorHAnsi"/>
                <w:sz w:val="18"/>
                <w:szCs w:val="22"/>
              </w:rPr>
              <w:t xml:space="preserve"> chemicals. </w:t>
            </w:r>
            <w:proofErr w:type="gramStart"/>
            <w:r>
              <w:rPr>
                <w:rFonts w:asciiTheme="majorHAnsi" w:hAnsiTheme="majorHAnsi"/>
                <w:sz w:val="18"/>
                <w:szCs w:val="22"/>
              </w:rPr>
              <w:t>However</w:t>
            </w:r>
            <w:proofErr w:type="gramEnd"/>
            <w:r>
              <w:rPr>
                <w:rFonts w:asciiTheme="majorHAnsi" w:hAnsiTheme="majorHAnsi"/>
                <w:sz w:val="18"/>
                <w:szCs w:val="22"/>
              </w:rPr>
              <w:t xml:space="preserve"> it has to be noted that all ‘natural’ refrigerants are refined and compressed by bulk gas manufacturers via some process and transported like other commercial gases so also have an ‘energy investment’ in their creation, storage and transport.</w:t>
            </w:r>
          </w:p>
        </w:tc>
      </w:tr>
      <w:tr w:rsidR="00B67E9C" w14:paraId="2183D66B" w14:textId="77777777" w:rsidTr="00B67E9C">
        <w:trPr>
          <w:trHeight w:val="342"/>
        </w:trPr>
        <w:tc>
          <w:tcPr>
            <w:tcW w:w="2219" w:type="dxa"/>
            <w:hideMark/>
          </w:tcPr>
          <w:p w14:paraId="5FC5061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Operating hours per year</w:t>
            </w:r>
          </w:p>
        </w:tc>
        <w:tc>
          <w:tcPr>
            <w:tcW w:w="7273" w:type="dxa"/>
            <w:gridSpan w:val="3"/>
            <w:hideMark/>
          </w:tcPr>
          <w:p w14:paraId="248871D6"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The number of hours the appliance, equipment or system operates at full input load or maximum capacity.</w:t>
            </w:r>
          </w:p>
        </w:tc>
      </w:tr>
      <w:tr w:rsidR="00B67E9C" w14:paraId="16D5A20D" w14:textId="77777777" w:rsidTr="00B67E9C">
        <w:trPr>
          <w:trHeight w:val="342"/>
        </w:trPr>
        <w:tc>
          <w:tcPr>
            <w:tcW w:w="2219" w:type="dxa"/>
            <w:hideMark/>
          </w:tcPr>
          <w:p w14:paraId="59C578C6"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Ozone depleting substances (ODS)</w:t>
            </w:r>
          </w:p>
        </w:tc>
        <w:tc>
          <w:tcPr>
            <w:tcW w:w="7273" w:type="dxa"/>
            <w:gridSpan w:val="3"/>
            <w:hideMark/>
          </w:tcPr>
          <w:p w14:paraId="07B71CB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Chemicals that deplete the ozone layer (</w:t>
            </w:r>
            <w:proofErr w:type="gramStart"/>
            <w:r>
              <w:rPr>
                <w:rFonts w:asciiTheme="majorHAnsi" w:hAnsiTheme="majorHAnsi"/>
                <w:sz w:val="18"/>
                <w:szCs w:val="22"/>
              </w:rPr>
              <w:t>e.g.</w:t>
            </w:r>
            <w:proofErr w:type="gramEnd"/>
            <w:r>
              <w:rPr>
                <w:rFonts w:asciiTheme="majorHAnsi" w:hAnsiTheme="majorHAnsi"/>
                <w:sz w:val="18"/>
                <w:szCs w:val="22"/>
              </w:rPr>
              <w:t xml:space="preserve"> HCFCs) and are controlled under the Montreal Protocol.</w:t>
            </w:r>
            <w:r>
              <w:rPr>
                <w:rFonts w:asciiTheme="majorHAnsi" w:hAnsiTheme="majorHAnsi"/>
                <w:sz w:val="19"/>
                <w:szCs w:val="19"/>
              </w:rPr>
              <w:t xml:space="preserve"> The </w:t>
            </w:r>
            <w:hyperlink r:id="rId11" w:history="1">
              <w:r>
                <w:rPr>
                  <w:rStyle w:val="Emphasis"/>
                  <w:color w:val="0062A0"/>
                  <w:sz w:val="19"/>
                  <w:szCs w:val="19"/>
                  <w:u w:val="single"/>
                </w:rPr>
                <w:t>Ozone Protection and Synthetic Greenhouse Gas Management Act 1989</w:t>
              </w:r>
            </w:hyperlink>
            <w:r>
              <w:rPr>
                <w:rFonts w:asciiTheme="majorHAnsi" w:hAnsiTheme="majorHAnsi"/>
                <w:sz w:val="19"/>
                <w:szCs w:val="19"/>
              </w:rPr>
              <w:t xml:space="preserve"> controls the manufacture, import and export of ozone depleting substances in Australia.</w:t>
            </w:r>
          </w:p>
        </w:tc>
      </w:tr>
      <w:tr w:rsidR="00B67E9C" w14:paraId="5022185D" w14:textId="77777777" w:rsidTr="00B67E9C">
        <w:trPr>
          <w:trHeight w:val="342"/>
        </w:trPr>
        <w:tc>
          <w:tcPr>
            <w:tcW w:w="2219" w:type="dxa"/>
            <w:hideMark/>
          </w:tcPr>
          <w:p w14:paraId="1CB6931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PJ</w:t>
            </w:r>
          </w:p>
        </w:tc>
        <w:tc>
          <w:tcPr>
            <w:tcW w:w="7273" w:type="dxa"/>
            <w:gridSpan w:val="3"/>
            <w:hideMark/>
          </w:tcPr>
          <w:p w14:paraId="2335559C"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Petajoule (1 Joule x 10</w:t>
            </w:r>
            <w:r>
              <w:rPr>
                <w:rFonts w:asciiTheme="majorHAnsi" w:hAnsiTheme="majorHAnsi"/>
                <w:sz w:val="18"/>
                <w:szCs w:val="22"/>
                <w:vertAlign w:val="superscript"/>
                <w:lang w:val="en-AU"/>
              </w:rPr>
              <w:t>15</w:t>
            </w:r>
            <w:r>
              <w:rPr>
                <w:rFonts w:asciiTheme="majorHAnsi" w:hAnsiTheme="majorHAnsi"/>
                <w:sz w:val="18"/>
                <w:szCs w:val="22"/>
                <w:lang w:val="en-AU"/>
              </w:rPr>
              <w:t>).</w:t>
            </w:r>
          </w:p>
        </w:tc>
      </w:tr>
      <w:tr w:rsidR="00B67E9C" w14:paraId="52C9F4A4" w14:textId="77777777" w:rsidTr="00B67E9C">
        <w:trPr>
          <w:trHeight w:val="342"/>
        </w:trPr>
        <w:tc>
          <w:tcPr>
            <w:tcW w:w="2219" w:type="dxa"/>
            <w:hideMark/>
          </w:tcPr>
          <w:p w14:paraId="470D87B1"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Pre-charged equipment (PCE)</w:t>
            </w:r>
          </w:p>
        </w:tc>
        <w:tc>
          <w:tcPr>
            <w:tcW w:w="7273" w:type="dxa"/>
            <w:gridSpan w:val="3"/>
            <w:hideMark/>
          </w:tcPr>
          <w:p w14:paraId="6D1B7E52"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Pre-charged equipment is defined as any equipment, primarily air conditioning equipment or refrigeration equipment, (including equipment fitted to a motor vehicle) that is imported containing an SGG and any air conditioning or refrigeration equipment that is imported containing a HCFC.</w:t>
            </w:r>
          </w:p>
        </w:tc>
      </w:tr>
      <w:tr w:rsidR="00B67E9C" w14:paraId="0FB67556" w14:textId="77777777" w:rsidTr="00B67E9C">
        <w:trPr>
          <w:trHeight w:val="342"/>
        </w:trPr>
        <w:tc>
          <w:tcPr>
            <w:tcW w:w="2219" w:type="dxa"/>
            <w:hideMark/>
          </w:tcPr>
          <w:p w14:paraId="28BB244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RAC</w:t>
            </w:r>
          </w:p>
        </w:tc>
        <w:tc>
          <w:tcPr>
            <w:tcW w:w="7273" w:type="dxa"/>
            <w:gridSpan w:val="3"/>
            <w:hideMark/>
          </w:tcPr>
          <w:p w14:paraId="2E6C66F4"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Refrigeration and air conditioning.</w:t>
            </w:r>
          </w:p>
        </w:tc>
      </w:tr>
      <w:tr w:rsidR="00B67E9C" w14:paraId="39B9857D" w14:textId="77777777" w:rsidTr="00B67E9C">
        <w:trPr>
          <w:trHeight w:val="342"/>
        </w:trPr>
        <w:tc>
          <w:tcPr>
            <w:tcW w:w="2219" w:type="dxa"/>
            <w:hideMark/>
          </w:tcPr>
          <w:p w14:paraId="65C01DC9"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RAC Stock model</w:t>
            </w:r>
          </w:p>
        </w:tc>
        <w:tc>
          <w:tcPr>
            <w:tcW w:w="7273" w:type="dxa"/>
            <w:gridSpan w:val="3"/>
            <w:hideMark/>
          </w:tcPr>
          <w:p w14:paraId="1643950B" w14:textId="77777777" w:rsidR="00B67E9C" w:rsidRDefault="00B67E9C">
            <w:pPr>
              <w:pStyle w:val="BodyText"/>
              <w:spacing w:before="60" w:after="0"/>
              <w:rPr>
                <w:rFonts w:asciiTheme="majorHAnsi" w:hAnsiTheme="majorHAnsi"/>
                <w:sz w:val="18"/>
                <w:szCs w:val="22"/>
                <w:lang w:val="en-AU"/>
              </w:rPr>
            </w:pPr>
            <w:r>
              <w:rPr>
                <w:rFonts w:asciiTheme="majorHAnsi" w:hAnsiTheme="majorHAnsi"/>
                <w:sz w:val="18"/>
                <w:szCs w:val="22"/>
                <w:lang w:val="en-AU"/>
              </w:rPr>
              <w:t>The Expert Group RAC Stock Model is an age-cohort mass balance stock model. Inputs include bulk imports by HFC and HCFC species since 2005; pre-charged equipment (PCE) imports by HFC species by equipment class since 2005; PCE containing HCFCs (largely banned in 2010); motor vehicle registrations; monthly sales ($ and quantity) of HCFCs and HFCs by species including refrigerant re-use; equipment sales data (air conditioning and refrigeration equipment by type); data from targeted surveys including usage of HFC-134a in mobile AC aftermarket; annual sales of natural refrigerants (HC, CO</w:t>
            </w:r>
            <w:r>
              <w:rPr>
                <w:rFonts w:asciiTheme="majorHAnsi" w:hAnsiTheme="majorHAnsi"/>
                <w:sz w:val="18"/>
                <w:szCs w:val="22"/>
                <w:vertAlign w:val="subscript"/>
                <w:lang w:val="en-AU"/>
              </w:rPr>
              <w:t>2</w:t>
            </w:r>
            <w:r>
              <w:rPr>
                <w:rFonts w:asciiTheme="majorHAnsi" w:hAnsiTheme="majorHAnsi"/>
                <w:sz w:val="18"/>
                <w:szCs w:val="22"/>
                <w:lang w:val="en-AU"/>
              </w:rPr>
              <w:t xml:space="preserve"> and ammonia) last 5 years; retail market survey of HC in domestic refrigerators on showroom floors; penetration of CO</w:t>
            </w:r>
            <w:r>
              <w:rPr>
                <w:rFonts w:asciiTheme="majorHAnsi" w:hAnsiTheme="majorHAnsi"/>
                <w:sz w:val="18"/>
                <w:szCs w:val="22"/>
                <w:vertAlign w:val="subscript"/>
                <w:lang w:val="en-AU"/>
              </w:rPr>
              <w:t>2</w:t>
            </w:r>
            <w:r>
              <w:rPr>
                <w:rFonts w:asciiTheme="majorHAnsi" w:hAnsiTheme="majorHAnsi"/>
                <w:sz w:val="18"/>
                <w:szCs w:val="22"/>
                <w:lang w:val="en-AU"/>
              </w:rPr>
              <w:t xml:space="preserve"> in various equipment categories and applications; and, in-confidence interviews.</w:t>
            </w:r>
          </w:p>
        </w:tc>
      </w:tr>
      <w:tr w:rsidR="00B67E9C" w14:paraId="610835C5" w14:textId="77777777" w:rsidTr="00B67E9C">
        <w:trPr>
          <w:trHeight w:val="342"/>
        </w:trPr>
        <w:tc>
          <w:tcPr>
            <w:tcW w:w="2219" w:type="dxa"/>
            <w:hideMark/>
          </w:tcPr>
          <w:p w14:paraId="1D42D29F"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Recovery efficiency</w:t>
            </w:r>
          </w:p>
        </w:tc>
        <w:tc>
          <w:tcPr>
            <w:tcW w:w="7273" w:type="dxa"/>
            <w:gridSpan w:val="3"/>
            <w:hideMark/>
          </w:tcPr>
          <w:p w14:paraId="2796D8CF"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Proportion of refrigerant charge that is recovered from a system when it is decommissioned at the end of its useful working life. The recovery/recycling factor has a value from 0 to 1 with a value of 1 indicating that the entire charge is recovered.</w:t>
            </w:r>
          </w:p>
        </w:tc>
      </w:tr>
      <w:tr w:rsidR="00B67E9C" w14:paraId="3C39A4C5" w14:textId="77777777" w:rsidTr="00B67E9C">
        <w:trPr>
          <w:trHeight w:val="342"/>
        </w:trPr>
        <w:tc>
          <w:tcPr>
            <w:tcW w:w="2219" w:type="dxa"/>
            <w:hideMark/>
          </w:tcPr>
          <w:p w14:paraId="1303A5B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Reduced GWP substances or refrigerants</w:t>
            </w:r>
          </w:p>
        </w:tc>
        <w:tc>
          <w:tcPr>
            <w:tcW w:w="7273" w:type="dxa"/>
            <w:gridSpan w:val="3"/>
            <w:hideMark/>
          </w:tcPr>
          <w:p w14:paraId="0DF99E46" w14:textId="77777777" w:rsidR="00B67E9C" w:rsidRDefault="00B67E9C">
            <w:pPr>
              <w:pStyle w:val="BodyText"/>
              <w:spacing w:before="60" w:after="60"/>
              <w:rPr>
                <w:rFonts w:asciiTheme="majorHAnsi" w:hAnsiTheme="majorHAnsi"/>
                <w:sz w:val="18"/>
              </w:rPr>
            </w:pPr>
            <w:r>
              <w:rPr>
                <w:rFonts w:asciiTheme="majorHAnsi" w:hAnsiTheme="majorHAnsi"/>
                <w:sz w:val="18"/>
              </w:rPr>
              <w:t xml:space="preserve">This term has been used for the purpose of this report. </w:t>
            </w:r>
            <w:proofErr w:type="gramStart"/>
            <w:r>
              <w:rPr>
                <w:rFonts w:asciiTheme="majorHAnsi" w:hAnsiTheme="majorHAnsi"/>
                <w:sz w:val="18"/>
              </w:rPr>
              <w:t>A number of</w:t>
            </w:r>
            <w:proofErr w:type="gramEnd"/>
            <w:r>
              <w:rPr>
                <w:rFonts w:asciiTheme="majorHAnsi" w:hAnsiTheme="majorHAnsi"/>
                <w:sz w:val="18"/>
              </w:rPr>
              <w:t xml:space="preserve"> recently developed or used HFC substances or refrigerants that have significantly reduced GWP relative to those commonly used high GWP refrigerants they are designed to replace. HFC-32 (GWP 675) and blends with GWPs less than 1400 and greater than 10, are referred to as reduced GWP refrigerants. For example, N40 (R-448A) with a GWP of 1387 is a zeotropic blend designed to serve as a replacement for HCFC-22 (GWP of 1810) and HFC-404A (GWP of 3922) in supermarket refrigeration retrofits, or in new systems. Refer to definition of High GWP Refrigerants and Low GWP Refrigerants.</w:t>
            </w:r>
          </w:p>
        </w:tc>
      </w:tr>
      <w:tr w:rsidR="00B67E9C" w14:paraId="249063A5" w14:textId="77777777" w:rsidTr="00B67E9C">
        <w:trPr>
          <w:trHeight w:val="342"/>
        </w:trPr>
        <w:tc>
          <w:tcPr>
            <w:tcW w:w="2219" w:type="dxa"/>
            <w:hideMark/>
          </w:tcPr>
          <w:p w14:paraId="0A72DC08"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Refrigerant</w:t>
            </w:r>
          </w:p>
        </w:tc>
        <w:tc>
          <w:tcPr>
            <w:tcW w:w="7273" w:type="dxa"/>
            <w:gridSpan w:val="3"/>
            <w:hideMark/>
          </w:tcPr>
          <w:p w14:paraId="736FD6CD"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Working fluid in the vapour compression refrigeration cycle.</w:t>
            </w:r>
          </w:p>
        </w:tc>
      </w:tr>
      <w:tr w:rsidR="00B67E9C" w14:paraId="16015473" w14:textId="77777777" w:rsidTr="00B67E9C">
        <w:trPr>
          <w:trHeight w:val="342"/>
        </w:trPr>
        <w:tc>
          <w:tcPr>
            <w:tcW w:w="2219" w:type="dxa"/>
            <w:hideMark/>
          </w:tcPr>
          <w:p w14:paraId="524B7D71"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Refrigerant bank</w:t>
            </w:r>
          </w:p>
        </w:tc>
        <w:tc>
          <w:tcPr>
            <w:tcW w:w="7273" w:type="dxa"/>
            <w:gridSpan w:val="3"/>
            <w:hideMark/>
          </w:tcPr>
          <w:p w14:paraId="3518435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The ‘bank’ of refrigerant gases is the aggregate of all compounds and substances employed as working fluids in the more than 50 million mechanical devices using the </w:t>
            </w:r>
            <w:proofErr w:type="spellStart"/>
            <w:r>
              <w:rPr>
                <w:rFonts w:asciiTheme="majorHAnsi" w:hAnsiTheme="majorHAnsi"/>
                <w:sz w:val="18"/>
                <w:szCs w:val="22"/>
              </w:rPr>
              <w:t>vapour</w:t>
            </w:r>
            <w:proofErr w:type="spellEnd"/>
            <w:r>
              <w:rPr>
                <w:rFonts w:asciiTheme="majorHAnsi" w:hAnsiTheme="majorHAnsi"/>
                <w:sz w:val="18"/>
                <w:szCs w:val="22"/>
              </w:rPr>
              <w:t xml:space="preserve"> compression cycle in Australia. Refrigerant in pre-charged imports is included in this value in the year of import. Refrigerant in equipment that is estimated to have retired from service in any year is not included.</w:t>
            </w:r>
          </w:p>
          <w:p w14:paraId="7EDC8B5D"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lastRenderedPageBreak/>
              <w:t>The ‘Full Bank’, or fully charged bank, is calculated based on the number of devices in the product category multiplied by the average original charge of that type of equipment when it is initially installed/purchased.</w:t>
            </w:r>
          </w:p>
          <w:p w14:paraId="6DDB6D6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The ‘Partially Charged Bank’ generally referred to in this report simply as ‘the Bank’, or sometimes as the ‘working bank’, will in practice, be less than the fully charged bank as the charge in individual pieces of equipment in the category declines over time until the equipment retires.</w:t>
            </w:r>
          </w:p>
        </w:tc>
      </w:tr>
      <w:tr w:rsidR="00B67E9C" w14:paraId="19EF15CC" w14:textId="77777777" w:rsidTr="00B67E9C">
        <w:trPr>
          <w:trHeight w:val="342"/>
        </w:trPr>
        <w:tc>
          <w:tcPr>
            <w:tcW w:w="2219" w:type="dxa"/>
            <w:hideMark/>
          </w:tcPr>
          <w:p w14:paraId="4C118AA1"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lastRenderedPageBreak/>
              <w:t>Refrigerant charge</w:t>
            </w:r>
          </w:p>
        </w:tc>
        <w:tc>
          <w:tcPr>
            <w:tcW w:w="7273" w:type="dxa"/>
            <w:gridSpan w:val="3"/>
            <w:hideMark/>
          </w:tcPr>
          <w:p w14:paraId="58002DEF"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The original refrigerant charge of refrigerant used as the working fluid for heat transfer inside a piece of equipment.</w:t>
            </w:r>
          </w:p>
        </w:tc>
      </w:tr>
      <w:tr w:rsidR="00B67E9C" w14:paraId="2DF6EEFE" w14:textId="77777777" w:rsidTr="00B67E9C">
        <w:trPr>
          <w:trHeight w:val="342"/>
        </w:trPr>
        <w:tc>
          <w:tcPr>
            <w:tcW w:w="2219" w:type="dxa"/>
            <w:hideMark/>
          </w:tcPr>
          <w:p w14:paraId="04240323"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classifications</w:t>
            </w:r>
          </w:p>
        </w:tc>
        <w:tc>
          <w:tcPr>
            <w:tcW w:w="7273" w:type="dxa"/>
            <w:gridSpan w:val="3"/>
            <w:tcBorders>
              <w:top w:val="nil"/>
              <w:left w:val="nil"/>
              <w:bottom w:val="single" w:sz="4" w:space="0" w:color="auto"/>
              <w:right w:val="nil"/>
            </w:tcBorders>
            <w:hideMark/>
          </w:tcPr>
          <w:p w14:paraId="749908E3" w14:textId="77777777" w:rsidR="00B67E9C" w:rsidRDefault="00B67E9C">
            <w:pPr>
              <w:pStyle w:val="BodyText"/>
              <w:spacing w:before="60" w:after="60"/>
              <w:rPr>
                <w:rFonts w:asciiTheme="majorHAnsi" w:hAnsiTheme="majorHAnsi"/>
                <w:sz w:val="18"/>
                <w:szCs w:val="22"/>
                <w:lang w:val="en-AU"/>
              </w:rPr>
            </w:pPr>
            <w:r>
              <w:rPr>
                <w:rFonts w:asciiTheme="majorHAnsi" w:hAnsiTheme="majorHAnsi"/>
                <w:i/>
                <w:sz w:val="18"/>
                <w:szCs w:val="22"/>
                <w:lang w:val="en-AU"/>
              </w:rPr>
              <w:t>AS/NZS ISO 817: 2016 Refrigerants - Designation and safety classification</w:t>
            </w:r>
            <w:r>
              <w:rPr>
                <w:rFonts w:asciiTheme="majorHAnsi" w:hAnsiTheme="majorHAnsi"/>
                <w:sz w:val="18"/>
                <w:szCs w:val="22"/>
                <w:lang w:val="en-AU"/>
              </w:rPr>
              <w:t xml:space="preserve"> assigns safety classification to refrigerants based on toxicity and flammability data; and provides a means of determining the refrigerant concentration limit.</w:t>
            </w:r>
          </w:p>
        </w:tc>
      </w:tr>
      <w:tr w:rsidR="00B67E9C" w14:paraId="471CC7F7" w14:textId="77777777" w:rsidTr="00B67E9C">
        <w:trPr>
          <w:trHeight w:val="342"/>
        </w:trPr>
        <w:tc>
          <w:tcPr>
            <w:tcW w:w="2219" w:type="dxa"/>
            <w:tcBorders>
              <w:top w:val="nil"/>
              <w:left w:val="nil"/>
              <w:bottom w:val="nil"/>
              <w:right w:val="single" w:sz="4" w:space="0" w:color="auto"/>
            </w:tcBorders>
          </w:tcPr>
          <w:p w14:paraId="753B49EE" w14:textId="77777777" w:rsidR="00B67E9C" w:rsidRDefault="00B67E9C">
            <w:pPr>
              <w:pStyle w:val="BodyText"/>
              <w:spacing w:before="60" w:after="60"/>
              <w:jc w:val="left"/>
              <w:rPr>
                <w:rFonts w:asciiTheme="majorHAnsi" w:hAnsiTheme="majorHAnsi"/>
                <w:sz w:val="18"/>
                <w:szCs w:val="22"/>
                <w:lang w:val="en-AU"/>
              </w:rPr>
            </w:pPr>
          </w:p>
        </w:tc>
        <w:tc>
          <w:tcPr>
            <w:tcW w:w="2363" w:type="dxa"/>
            <w:vMerge w:val="restart"/>
            <w:tcBorders>
              <w:top w:val="single" w:sz="4" w:space="0" w:color="auto"/>
              <w:left w:val="single" w:sz="4" w:space="0" w:color="auto"/>
              <w:bottom w:val="single" w:sz="4" w:space="0" w:color="auto"/>
              <w:right w:val="single" w:sz="4" w:space="0" w:color="auto"/>
            </w:tcBorders>
          </w:tcPr>
          <w:p w14:paraId="7E90307C" w14:textId="77777777" w:rsidR="00B67E9C" w:rsidRDefault="00B67E9C">
            <w:pPr>
              <w:pStyle w:val="BodyText"/>
              <w:spacing w:before="60" w:after="60"/>
              <w:rPr>
                <w:rFonts w:asciiTheme="majorHAnsi" w:hAnsiTheme="majorHAnsi"/>
                <w:sz w:val="18"/>
                <w:szCs w:val="22"/>
                <w:lang w:val="en-AU"/>
              </w:rPr>
            </w:pPr>
          </w:p>
        </w:tc>
        <w:tc>
          <w:tcPr>
            <w:tcW w:w="4910" w:type="dxa"/>
            <w:gridSpan w:val="2"/>
            <w:tcBorders>
              <w:top w:val="single" w:sz="4" w:space="0" w:color="auto"/>
              <w:left w:val="single" w:sz="4" w:space="0" w:color="auto"/>
              <w:bottom w:val="single" w:sz="4" w:space="0" w:color="auto"/>
              <w:right w:val="single" w:sz="4" w:space="0" w:color="auto"/>
            </w:tcBorders>
            <w:vAlign w:val="center"/>
            <w:hideMark/>
          </w:tcPr>
          <w:p w14:paraId="7CA0FD27"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Safety Group</w:t>
            </w:r>
          </w:p>
        </w:tc>
      </w:tr>
      <w:tr w:rsidR="00B67E9C" w14:paraId="485974F6" w14:textId="77777777" w:rsidTr="00B67E9C">
        <w:trPr>
          <w:trHeight w:val="342"/>
        </w:trPr>
        <w:tc>
          <w:tcPr>
            <w:tcW w:w="2219" w:type="dxa"/>
            <w:tcBorders>
              <w:top w:val="nil"/>
              <w:left w:val="nil"/>
              <w:bottom w:val="nil"/>
              <w:right w:val="single" w:sz="4" w:space="0" w:color="auto"/>
            </w:tcBorders>
          </w:tcPr>
          <w:p w14:paraId="36301FE1" w14:textId="77777777" w:rsidR="00B67E9C" w:rsidRDefault="00B67E9C">
            <w:pPr>
              <w:pStyle w:val="BodyText"/>
              <w:spacing w:before="60" w:after="60"/>
              <w:jc w:val="left"/>
              <w:rPr>
                <w:rFonts w:asciiTheme="majorHAnsi" w:hAnsiTheme="majorHAnsi"/>
                <w:sz w:val="18"/>
                <w:szCs w:val="22"/>
                <w:lang w:val="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3C9B6" w14:textId="77777777" w:rsidR="00B67E9C" w:rsidRDefault="00B67E9C">
            <w:pPr>
              <w:spacing w:before="0"/>
              <w:jc w:val="left"/>
              <w:rPr>
                <w:rFonts w:asciiTheme="majorHAnsi" w:eastAsia="Times New Roman" w:hAnsiTheme="majorHAnsi" w:cs="Times New Roman"/>
                <w:sz w:val="18"/>
                <w:szCs w:val="22"/>
                <w:lang w:val="en-AU"/>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169E3631"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Lower Toxicity</w:t>
            </w:r>
          </w:p>
        </w:tc>
        <w:tc>
          <w:tcPr>
            <w:tcW w:w="2548" w:type="dxa"/>
            <w:tcBorders>
              <w:top w:val="single" w:sz="4" w:space="0" w:color="auto"/>
              <w:left w:val="single" w:sz="4" w:space="0" w:color="auto"/>
              <w:bottom w:val="single" w:sz="4" w:space="0" w:color="auto"/>
              <w:right w:val="single" w:sz="4" w:space="0" w:color="auto"/>
            </w:tcBorders>
            <w:vAlign w:val="center"/>
            <w:hideMark/>
          </w:tcPr>
          <w:p w14:paraId="4E91BF01"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Higher Toxicity</w:t>
            </w:r>
          </w:p>
        </w:tc>
      </w:tr>
      <w:tr w:rsidR="00B67E9C" w14:paraId="24FAECF9" w14:textId="77777777" w:rsidTr="00B67E9C">
        <w:trPr>
          <w:trHeight w:val="342"/>
        </w:trPr>
        <w:tc>
          <w:tcPr>
            <w:tcW w:w="2219" w:type="dxa"/>
            <w:tcBorders>
              <w:top w:val="nil"/>
              <w:left w:val="nil"/>
              <w:bottom w:val="nil"/>
              <w:right w:val="single" w:sz="4" w:space="0" w:color="auto"/>
            </w:tcBorders>
          </w:tcPr>
          <w:p w14:paraId="2AE8D4EA" w14:textId="77777777" w:rsidR="00B67E9C" w:rsidRDefault="00B67E9C">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hideMark/>
          </w:tcPr>
          <w:p w14:paraId="413CDCCA"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Higher Flammability</w:t>
            </w:r>
          </w:p>
        </w:tc>
        <w:tc>
          <w:tcPr>
            <w:tcW w:w="2362" w:type="dxa"/>
            <w:tcBorders>
              <w:top w:val="single" w:sz="4" w:space="0" w:color="auto"/>
              <w:left w:val="single" w:sz="4" w:space="0" w:color="auto"/>
              <w:bottom w:val="single" w:sz="4" w:space="0" w:color="auto"/>
              <w:right w:val="single" w:sz="4" w:space="0" w:color="auto"/>
            </w:tcBorders>
            <w:vAlign w:val="center"/>
            <w:hideMark/>
          </w:tcPr>
          <w:p w14:paraId="56EF0BAC"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A3</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B9F9A9B"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B3</w:t>
            </w:r>
          </w:p>
        </w:tc>
      </w:tr>
      <w:tr w:rsidR="00B67E9C" w14:paraId="3FE0BD9F" w14:textId="77777777" w:rsidTr="00B67E9C">
        <w:trPr>
          <w:trHeight w:val="342"/>
        </w:trPr>
        <w:tc>
          <w:tcPr>
            <w:tcW w:w="2219" w:type="dxa"/>
            <w:tcBorders>
              <w:top w:val="nil"/>
              <w:left w:val="nil"/>
              <w:bottom w:val="nil"/>
              <w:right w:val="single" w:sz="4" w:space="0" w:color="auto"/>
            </w:tcBorders>
          </w:tcPr>
          <w:p w14:paraId="4961DCEE" w14:textId="77777777" w:rsidR="00B67E9C" w:rsidRDefault="00B67E9C">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hideMark/>
          </w:tcPr>
          <w:p w14:paraId="4A657372"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Flammable</w:t>
            </w:r>
          </w:p>
        </w:tc>
        <w:tc>
          <w:tcPr>
            <w:tcW w:w="2362" w:type="dxa"/>
            <w:tcBorders>
              <w:top w:val="single" w:sz="4" w:space="0" w:color="auto"/>
              <w:left w:val="single" w:sz="4" w:space="0" w:color="auto"/>
              <w:bottom w:val="single" w:sz="4" w:space="0" w:color="auto"/>
              <w:right w:val="single" w:sz="4" w:space="0" w:color="auto"/>
            </w:tcBorders>
            <w:vAlign w:val="center"/>
            <w:hideMark/>
          </w:tcPr>
          <w:p w14:paraId="310AC637"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A2</w:t>
            </w:r>
          </w:p>
        </w:tc>
        <w:tc>
          <w:tcPr>
            <w:tcW w:w="2548" w:type="dxa"/>
            <w:tcBorders>
              <w:top w:val="single" w:sz="4" w:space="0" w:color="auto"/>
              <w:left w:val="single" w:sz="4" w:space="0" w:color="auto"/>
              <w:bottom w:val="single" w:sz="4" w:space="0" w:color="auto"/>
              <w:right w:val="single" w:sz="4" w:space="0" w:color="auto"/>
            </w:tcBorders>
            <w:vAlign w:val="center"/>
            <w:hideMark/>
          </w:tcPr>
          <w:p w14:paraId="0562F1BE"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B2</w:t>
            </w:r>
          </w:p>
        </w:tc>
      </w:tr>
      <w:tr w:rsidR="00B67E9C" w14:paraId="2B9CF03B" w14:textId="77777777" w:rsidTr="00B67E9C">
        <w:trPr>
          <w:trHeight w:val="342"/>
        </w:trPr>
        <w:tc>
          <w:tcPr>
            <w:tcW w:w="2219" w:type="dxa"/>
            <w:tcBorders>
              <w:top w:val="nil"/>
              <w:left w:val="nil"/>
              <w:bottom w:val="nil"/>
              <w:right w:val="single" w:sz="4" w:space="0" w:color="auto"/>
            </w:tcBorders>
          </w:tcPr>
          <w:p w14:paraId="2BD74E0F" w14:textId="77777777" w:rsidR="00B67E9C" w:rsidRDefault="00B67E9C">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hideMark/>
          </w:tcPr>
          <w:p w14:paraId="7DDA725B"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Lower Flammability</w:t>
            </w:r>
          </w:p>
        </w:tc>
        <w:tc>
          <w:tcPr>
            <w:tcW w:w="2362" w:type="dxa"/>
            <w:tcBorders>
              <w:top w:val="single" w:sz="4" w:space="0" w:color="auto"/>
              <w:left w:val="single" w:sz="4" w:space="0" w:color="auto"/>
              <w:bottom w:val="single" w:sz="4" w:space="0" w:color="auto"/>
              <w:right w:val="single" w:sz="4" w:space="0" w:color="auto"/>
            </w:tcBorders>
            <w:vAlign w:val="center"/>
            <w:hideMark/>
          </w:tcPr>
          <w:p w14:paraId="40621641"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A2L</w:t>
            </w:r>
          </w:p>
        </w:tc>
        <w:tc>
          <w:tcPr>
            <w:tcW w:w="2548" w:type="dxa"/>
            <w:tcBorders>
              <w:top w:val="single" w:sz="4" w:space="0" w:color="auto"/>
              <w:left w:val="single" w:sz="4" w:space="0" w:color="auto"/>
              <w:bottom w:val="single" w:sz="4" w:space="0" w:color="auto"/>
              <w:right w:val="single" w:sz="4" w:space="0" w:color="auto"/>
            </w:tcBorders>
            <w:vAlign w:val="center"/>
            <w:hideMark/>
          </w:tcPr>
          <w:p w14:paraId="0DFC8592"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B2L</w:t>
            </w:r>
          </w:p>
        </w:tc>
      </w:tr>
      <w:tr w:rsidR="00B67E9C" w14:paraId="6B00BFFA" w14:textId="77777777" w:rsidTr="00B67E9C">
        <w:trPr>
          <w:trHeight w:val="342"/>
        </w:trPr>
        <w:tc>
          <w:tcPr>
            <w:tcW w:w="2219" w:type="dxa"/>
            <w:tcBorders>
              <w:top w:val="nil"/>
              <w:left w:val="nil"/>
              <w:bottom w:val="nil"/>
              <w:right w:val="single" w:sz="4" w:space="0" w:color="auto"/>
            </w:tcBorders>
          </w:tcPr>
          <w:p w14:paraId="3EB8D822" w14:textId="77777777" w:rsidR="00B67E9C" w:rsidRDefault="00B67E9C">
            <w:pPr>
              <w:pStyle w:val="BodyText"/>
              <w:spacing w:before="60" w:after="60"/>
              <w:jc w:val="left"/>
              <w:rPr>
                <w:rFonts w:asciiTheme="majorHAnsi" w:hAnsiTheme="majorHAnsi"/>
                <w:sz w:val="18"/>
                <w:szCs w:val="22"/>
                <w:lang w:val="en-AU"/>
              </w:rPr>
            </w:pPr>
          </w:p>
        </w:tc>
        <w:tc>
          <w:tcPr>
            <w:tcW w:w="2363" w:type="dxa"/>
            <w:tcBorders>
              <w:top w:val="single" w:sz="4" w:space="0" w:color="auto"/>
              <w:left w:val="single" w:sz="4" w:space="0" w:color="auto"/>
              <w:bottom w:val="single" w:sz="4" w:space="0" w:color="auto"/>
              <w:right w:val="single" w:sz="4" w:space="0" w:color="auto"/>
            </w:tcBorders>
            <w:hideMark/>
          </w:tcPr>
          <w:p w14:paraId="54485BE1"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No Flame Propagation</w:t>
            </w:r>
          </w:p>
        </w:tc>
        <w:tc>
          <w:tcPr>
            <w:tcW w:w="2362" w:type="dxa"/>
            <w:tcBorders>
              <w:top w:val="single" w:sz="4" w:space="0" w:color="auto"/>
              <w:left w:val="single" w:sz="4" w:space="0" w:color="auto"/>
              <w:bottom w:val="single" w:sz="4" w:space="0" w:color="auto"/>
              <w:right w:val="single" w:sz="4" w:space="0" w:color="auto"/>
            </w:tcBorders>
            <w:vAlign w:val="center"/>
            <w:hideMark/>
          </w:tcPr>
          <w:p w14:paraId="76F9A42C"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A1</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21C193A"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B1</w:t>
            </w:r>
          </w:p>
        </w:tc>
      </w:tr>
      <w:tr w:rsidR="00B67E9C" w14:paraId="26D7D36C" w14:textId="77777777" w:rsidTr="00B67E9C">
        <w:trPr>
          <w:trHeight w:val="342"/>
        </w:trPr>
        <w:tc>
          <w:tcPr>
            <w:tcW w:w="2219" w:type="dxa"/>
            <w:tcBorders>
              <w:top w:val="nil"/>
              <w:left w:val="nil"/>
              <w:bottom w:val="nil"/>
              <w:right w:val="single" w:sz="4" w:space="0" w:color="auto"/>
            </w:tcBorders>
          </w:tcPr>
          <w:p w14:paraId="16D1C7F8" w14:textId="77777777" w:rsidR="00B67E9C" w:rsidRDefault="00B67E9C">
            <w:pPr>
              <w:pStyle w:val="BodyText"/>
              <w:spacing w:before="60" w:after="60"/>
              <w:jc w:val="left"/>
              <w:rPr>
                <w:rFonts w:asciiTheme="majorHAnsi" w:hAnsiTheme="majorHAnsi"/>
                <w:sz w:val="18"/>
                <w:szCs w:val="22"/>
                <w:lang w:val="en-AU"/>
              </w:rPr>
            </w:pPr>
          </w:p>
          <w:p w14:paraId="08F1292C" w14:textId="77777777" w:rsidR="00B67E9C" w:rsidRDefault="00B67E9C">
            <w:pPr>
              <w:pStyle w:val="BodyText"/>
              <w:spacing w:before="60" w:after="60"/>
              <w:jc w:val="left"/>
              <w:rPr>
                <w:rFonts w:asciiTheme="majorHAnsi" w:hAnsiTheme="majorHAnsi"/>
                <w:sz w:val="18"/>
                <w:szCs w:val="22"/>
                <w:lang w:val="en-AU"/>
              </w:rPr>
            </w:pPr>
          </w:p>
        </w:tc>
        <w:tc>
          <w:tcPr>
            <w:tcW w:w="7273" w:type="dxa"/>
            <w:gridSpan w:val="3"/>
            <w:tcBorders>
              <w:top w:val="single" w:sz="4" w:space="0" w:color="auto"/>
              <w:left w:val="single" w:sz="4" w:space="0" w:color="auto"/>
              <w:bottom w:val="single" w:sz="4" w:space="0" w:color="auto"/>
              <w:right w:val="single" w:sz="4" w:space="0" w:color="auto"/>
            </w:tcBorders>
            <w:hideMark/>
          </w:tcPr>
          <w:p w14:paraId="26C539AE"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A1 group refrigerants include the majority of HFCs and HCFCs.</w:t>
            </w:r>
          </w:p>
          <w:p w14:paraId="774280A1"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A2L group refrigerants include HFO-1234yf and HFC-32.</w:t>
            </w:r>
          </w:p>
          <w:p w14:paraId="4D4D9813"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B2L group refrigerants include R717 (Ammonia).</w:t>
            </w:r>
          </w:p>
          <w:p w14:paraId="34CFE6D9"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Refer to AS/NZS ISO 817, Supplier Material Data Sheets and equipment supplier Installation Guidelines for further details.</w:t>
            </w:r>
          </w:p>
        </w:tc>
      </w:tr>
      <w:tr w:rsidR="00B67E9C" w14:paraId="1399A6A1" w14:textId="77777777" w:rsidTr="00B67E9C">
        <w:trPr>
          <w:trHeight w:val="342"/>
        </w:trPr>
        <w:tc>
          <w:tcPr>
            <w:tcW w:w="2219" w:type="dxa"/>
            <w:hideMark/>
          </w:tcPr>
          <w:p w14:paraId="40D69FBD"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consumption</w:t>
            </w:r>
          </w:p>
        </w:tc>
        <w:tc>
          <w:tcPr>
            <w:tcW w:w="7273" w:type="dxa"/>
            <w:gridSpan w:val="3"/>
            <w:tcBorders>
              <w:top w:val="single" w:sz="4" w:space="0" w:color="auto"/>
              <w:left w:val="nil"/>
              <w:bottom w:val="nil"/>
              <w:right w:val="nil"/>
            </w:tcBorders>
            <w:hideMark/>
          </w:tcPr>
          <w:p w14:paraId="04BAF6C5"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 xml:space="preserve">The Montreal Protocol definition of consumption is bulk imports plus refrigerant manufacture minus bulk exports. Australian has not manufactured refrigerant since 1996. Bulk refrigerant is imported and used largely for servicing the existing refrigerant bank of equipment, as well as charging new equipment not imported as pre-charged equipment (PCE) and in other applications including foams, fire protection, aerosols, export and other. </w:t>
            </w:r>
            <w:r>
              <w:rPr>
                <w:rFonts w:asciiTheme="majorHAnsi" w:hAnsiTheme="majorHAnsi"/>
                <w:sz w:val="18"/>
                <w:szCs w:val="22"/>
              </w:rPr>
              <w:t>Refer definition refrigerant usage.</w:t>
            </w:r>
          </w:p>
        </w:tc>
      </w:tr>
      <w:tr w:rsidR="00B67E9C" w14:paraId="663FF0FD" w14:textId="77777777" w:rsidTr="00B67E9C">
        <w:trPr>
          <w:trHeight w:val="342"/>
        </w:trPr>
        <w:tc>
          <w:tcPr>
            <w:tcW w:w="2219" w:type="dxa"/>
            <w:hideMark/>
          </w:tcPr>
          <w:p w14:paraId="089A37C6"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decanting into tradable quantities</w:t>
            </w:r>
          </w:p>
        </w:tc>
        <w:tc>
          <w:tcPr>
            <w:tcW w:w="7273" w:type="dxa"/>
            <w:gridSpan w:val="3"/>
            <w:hideMark/>
          </w:tcPr>
          <w:p w14:paraId="1F5A4CC5"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 xml:space="preserve">There are three significant import/decanting facilities in Australia. Gas is decanted at these sites into thousands of cylinders ranging in size through 10 kg, 18 kg, 60 kg and larger transportable tanks. Transportable tanks with a volumetric capacity of approximately 900 litres are commonly referred to as ‘one </w:t>
            </w:r>
            <w:proofErr w:type="gramStart"/>
            <w:r>
              <w:rPr>
                <w:rFonts w:asciiTheme="majorHAnsi" w:hAnsiTheme="majorHAnsi"/>
                <w:sz w:val="18"/>
                <w:szCs w:val="22"/>
                <w:lang w:val="en-AU"/>
              </w:rPr>
              <w:t>tonners’</w:t>
            </w:r>
            <w:proofErr w:type="gramEnd"/>
            <w:r>
              <w:rPr>
                <w:rFonts w:asciiTheme="majorHAnsi" w:hAnsiTheme="majorHAnsi"/>
                <w:sz w:val="18"/>
                <w:szCs w:val="22"/>
                <w:lang w:val="en-AU"/>
              </w:rPr>
              <w:t>, and ‘half tonners’ for tanks with a 450 litres capacity. These transportable tanks can contain between 400 kg and 700 kg of product depending on the gas involved.</w:t>
            </w:r>
          </w:p>
        </w:tc>
      </w:tr>
      <w:tr w:rsidR="00B67E9C" w14:paraId="20627651" w14:textId="77777777" w:rsidTr="00B67E9C">
        <w:trPr>
          <w:trHeight w:val="342"/>
        </w:trPr>
        <w:tc>
          <w:tcPr>
            <w:tcW w:w="2219" w:type="dxa"/>
            <w:hideMark/>
          </w:tcPr>
          <w:p w14:paraId="3E0D086E"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glide</w:t>
            </w:r>
          </w:p>
        </w:tc>
        <w:tc>
          <w:tcPr>
            <w:tcW w:w="7273" w:type="dxa"/>
            <w:gridSpan w:val="3"/>
            <w:hideMark/>
          </w:tcPr>
          <w:p w14:paraId="15093ABB"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 xml:space="preserve">The difference between the saturated vapour temperature (or dew point, the temperature at which all of the </w:t>
            </w:r>
            <w:proofErr w:type="gramStart"/>
            <w:r>
              <w:rPr>
                <w:rFonts w:asciiTheme="majorHAnsi" w:hAnsiTheme="majorHAnsi"/>
                <w:sz w:val="18"/>
                <w:szCs w:val="22"/>
                <w:lang w:val="en-AU"/>
              </w:rPr>
              <w:t>refrigerant</w:t>
            </w:r>
            <w:proofErr w:type="gramEnd"/>
            <w:r>
              <w:rPr>
                <w:rFonts w:asciiTheme="majorHAnsi" w:hAnsiTheme="majorHAnsi"/>
                <w:sz w:val="18"/>
                <w:szCs w:val="22"/>
                <w:lang w:val="en-AU"/>
              </w:rPr>
              <w:t xml:space="preserve"> has been condensed to liquid) and the saturated liquid temperature (temperature at which a liquid refrigerant first begins to boil in the evaporator) is referred to as the temperature glide of the refrigerant.</w:t>
            </w:r>
          </w:p>
          <w:p w14:paraId="1E1ED873"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At a given pressure, single component refrigerants such as HFC-134a have zero glide and are therefore azeotropes. Refrigerant mixtures (blends) behave somewhat differently and have measurable temperature glide when they evaporate (boil) and condense at a constant pressure. HFC-507A is an azeotropic blend whereas HFC-404A is a near azeotrope.</w:t>
            </w:r>
          </w:p>
        </w:tc>
      </w:tr>
      <w:tr w:rsidR="00B67E9C" w14:paraId="164200C7" w14:textId="77777777" w:rsidTr="00B67E9C">
        <w:trPr>
          <w:trHeight w:val="342"/>
        </w:trPr>
        <w:tc>
          <w:tcPr>
            <w:tcW w:w="2219" w:type="dxa"/>
            <w:hideMark/>
          </w:tcPr>
          <w:p w14:paraId="7C61C04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t>Refrigerant leak rate or effective leak rate</w:t>
            </w:r>
          </w:p>
        </w:tc>
        <w:tc>
          <w:tcPr>
            <w:tcW w:w="7273" w:type="dxa"/>
            <w:gridSpan w:val="3"/>
            <w:hideMark/>
          </w:tcPr>
          <w:p w14:paraId="4D1ABFEF"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 xml:space="preserve">The leak rate referred to in this report is expressed as a percentage of the initial charge lost per annum and is calculated as the sum of gradual leaks during normal operation plus: catastrophic losses amortised over the life of the equipment; losses during service and maintenance; </w:t>
            </w:r>
            <w:proofErr w:type="gramStart"/>
            <w:r>
              <w:rPr>
                <w:rFonts w:asciiTheme="majorHAnsi" w:hAnsiTheme="majorHAnsi"/>
                <w:sz w:val="18"/>
                <w:szCs w:val="22"/>
                <w:lang w:val="en-AU"/>
              </w:rPr>
              <w:t>and,</w:t>
            </w:r>
            <w:proofErr w:type="gramEnd"/>
            <w:r>
              <w:rPr>
                <w:rFonts w:asciiTheme="majorHAnsi" w:hAnsiTheme="majorHAnsi"/>
                <w:sz w:val="18"/>
                <w:szCs w:val="22"/>
                <w:lang w:val="en-AU"/>
              </w:rPr>
              <w:t xml:space="preserve"> gas lost along the supply chain. In the case of mobile air conditioning equipment, the annual leak rate </w:t>
            </w:r>
            <w:proofErr w:type="gramStart"/>
            <w:r>
              <w:rPr>
                <w:rFonts w:asciiTheme="majorHAnsi" w:hAnsiTheme="majorHAnsi"/>
                <w:sz w:val="18"/>
                <w:szCs w:val="22"/>
                <w:lang w:val="en-AU"/>
              </w:rPr>
              <w:t>takes into account</w:t>
            </w:r>
            <w:proofErr w:type="gramEnd"/>
            <w:r>
              <w:rPr>
                <w:rFonts w:asciiTheme="majorHAnsi" w:hAnsiTheme="majorHAnsi"/>
                <w:sz w:val="18"/>
                <w:szCs w:val="22"/>
                <w:lang w:val="en-AU"/>
              </w:rPr>
              <w:t xml:space="preserve"> losses from vehicle crashes, which are classed as catastrophic losses.</w:t>
            </w:r>
          </w:p>
        </w:tc>
      </w:tr>
      <w:tr w:rsidR="00B67E9C" w14:paraId="63FC6D1E" w14:textId="77777777" w:rsidTr="00B67E9C">
        <w:trPr>
          <w:trHeight w:val="342"/>
        </w:trPr>
        <w:tc>
          <w:tcPr>
            <w:tcW w:w="2219" w:type="dxa"/>
            <w:hideMark/>
          </w:tcPr>
          <w:p w14:paraId="7D249AAC" w14:textId="77777777" w:rsidR="00B67E9C" w:rsidRDefault="00B67E9C">
            <w:pPr>
              <w:pStyle w:val="BodyText"/>
              <w:spacing w:before="60" w:after="60"/>
              <w:jc w:val="left"/>
              <w:rPr>
                <w:rFonts w:asciiTheme="majorHAnsi" w:hAnsiTheme="majorHAnsi"/>
                <w:sz w:val="18"/>
                <w:szCs w:val="22"/>
                <w:lang w:val="en-AU"/>
              </w:rPr>
            </w:pPr>
            <w:r>
              <w:rPr>
                <w:rFonts w:asciiTheme="majorHAnsi" w:hAnsiTheme="majorHAnsi"/>
                <w:sz w:val="18"/>
                <w:szCs w:val="22"/>
                <w:lang w:val="en-AU"/>
              </w:rPr>
              <w:t>Refrigerant reclamation</w:t>
            </w:r>
          </w:p>
        </w:tc>
        <w:tc>
          <w:tcPr>
            <w:tcW w:w="7273" w:type="dxa"/>
            <w:gridSpan w:val="3"/>
            <w:hideMark/>
          </w:tcPr>
          <w:p w14:paraId="004EA429" w14:textId="77777777" w:rsidR="00B67E9C" w:rsidRDefault="00B67E9C">
            <w:pPr>
              <w:pStyle w:val="BodyText"/>
              <w:spacing w:before="60" w:after="60"/>
              <w:rPr>
                <w:rFonts w:asciiTheme="majorHAnsi" w:hAnsiTheme="majorHAnsi"/>
                <w:sz w:val="18"/>
                <w:szCs w:val="22"/>
                <w:lang w:val="en-AU"/>
              </w:rPr>
            </w:pPr>
            <w:r>
              <w:rPr>
                <w:rFonts w:asciiTheme="majorHAnsi" w:hAnsiTheme="majorHAnsi"/>
                <w:sz w:val="18"/>
                <w:szCs w:val="22"/>
                <w:lang w:val="en-AU"/>
              </w:rPr>
              <w:t xml:space="preserve">Refrigerant reclamation refers to the reprocessing of used refrigerants to AHRI 700 specifications, most commonly by a process of fractional distillation. AHRI 700 establishes purity specifications and specifies methods of testing for fluorocarbon refrigerants to verify composition regardless of </w:t>
            </w:r>
            <w:r>
              <w:rPr>
                <w:rFonts w:asciiTheme="majorHAnsi" w:hAnsiTheme="majorHAnsi"/>
                <w:sz w:val="18"/>
                <w:szCs w:val="22"/>
                <w:lang w:val="en-AU"/>
              </w:rPr>
              <w:lastRenderedPageBreak/>
              <w:t>source (new, reclaimed and/or repackaged). The quality of the reclaimed product must be verified by chemical analysis and meet or exceed AHRI 700 specifications which are the same standards required of virgin refrigerants.</w:t>
            </w:r>
          </w:p>
        </w:tc>
      </w:tr>
      <w:tr w:rsidR="00B67E9C" w14:paraId="68359AA7" w14:textId="77777777" w:rsidTr="00B67E9C">
        <w:trPr>
          <w:trHeight w:val="342"/>
        </w:trPr>
        <w:tc>
          <w:tcPr>
            <w:tcW w:w="2219" w:type="dxa"/>
            <w:hideMark/>
          </w:tcPr>
          <w:p w14:paraId="65F308E4"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lang w:val="en-AU"/>
              </w:rPr>
              <w:lastRenderedPageBreak/>
              <w:t>Refrigerant recovery</w:t>
            </w:r>
          </w:p>
        </w:tc>
        <w:tc>
          <w:tcPr>
            <w:tcW w:w="7273" w:type="dxa"/>
            <w:gridSpan w:val="3"/>
            <w:hideMark/>
          </w:tcPr>
          <w:p w14:paraId="37A8F7C2"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Recovery refers to the removal of refrigerants from equipment and collection in an approved recovery container. As defined by the AHRI, recovery does not involve processing or analytical testing.</w:t>
            </w:r>
          </w:p>
        </w:tc>
      </w:tr>
      <w:tr w:rsidR="00B67E9C" w14:paraId="5052D5EA" w14:textId="77777777" w:rsidTr="00B67E9C">
        <w:trPr>
          <w:trHeight w:val="342"/>
        </w:trPr>
        <w:tc>
          <w:tcPr>
            <w:tcW w:w="2219" w:type="dxa"/>
            <w:hideMark/>
          </w:tcPr>
          <w:p w14:paraId="6B7AD5F4"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Refrigerant species</w:t>
            </w:r>
          </w:p>
        </w:tc>
        <w:tc>
          <w:tcPr>
            <w:tcW w:w="7273" w:type="dxa"/>
            <w:gridSpan w:val="3"/>
            <w:hideMark/>
          </w:tcPr>
          <w:p w14:paraId="626ED0F3"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A refrigerant species is defined as a refrigerant category based on its chemical family. For </w:t>
            </w:r>
            <w:proofErr w:type="gramStart"/>
            <w:r>
              <w:rPr>
                <w:rFonts w:asciiTheme="majorHAnsi" w:hAnsiTheme="majorHAnsi"/>
                <w:sz w:val="18"/>
                <w:szCs w:val="22"/>
              </w:rPr>
              <w:t>example</w:t>
            </w:r>
            <w:proofErr w:type="gramEnd"/>
            <w:r>
              <w:rPr>
                <w:rFonts w:asciiTheme="majorHAnsi" w:hAnsiTheme="majorHAnsi"/>
                <w:sz w:val="18"/>
                <w:szCs w:val="22"/>
              </w:rPr>
              <w:t xml:space="preserve"> CFCs, HCFCs and HFCs are all synthetic gases and are defined as different gas species. </w:t>
            </w:r>
            <w:proofErr w:type="gramStart"/>
            <w:r>
              <w:rPr>
                <w:rFonts w:asciiTheme="majorHAnsi" w:hAnsiTheme="majorHAnsi"/>
                <w:sz w:val="18"/>
                <w:szCs w:val="22"/>
              </w:rPr>
              <w:t>Similarly</w:t>
            </w:r>
            <w:proofErr w:type="gramEnd"/>
            <w:r>
              <w:rPr>
                <w:rFonts w:asciiTheme="majorHAnsi" w:hAnsiTheme="majorHAnsi"/>
                <w:sz w:val="18"/>
                <w:szCs w:val="22"/>
              </w:rPr>
              <w:t xml:space="preserve"> hydrocarbon refrigerant is another gas species, and HC-600a, HC-290 and HC-436 (a blend of HC-600a and HC-290) refrigerants are all part of this family. Other gas species include anhydrous ammonia and carbon dioxide.</w:t>
            </w:r>
          </w:p>
        </w:tc>
      </w:tr>
      <w:tr w:rsidR="00B67E9C" w14:paraId="2964550E" w14:textId="77777777" w:rsidTr="00B67E9C">
        <w:trPr>
          <w:trHeight w:val="342"/>
        </w:trPr>
        <w:tc>
          <w:tcPr>
            <w:tcW w:w="2219" w:type="dxa"/>
            <w:hideMark/>
          </w:tcPr>
          <w:p w14:paraId="14E55178"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Refrigerant usage</w:t>
            </w:r>
          </w:p>
        </w:tc>
        <w:tc>
          <w:tcPr>
            <w:tcW w:w="7273" w:type="dxa"/>
            <w:gridSpan w:val="3"/>
            <w:hideMark/>
          </w:tcPr>
          <w:p w14:paraId="3C732BCE"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Refrigerant usage is the refrigerant used in the economy installing and manufacturing new equipment and maintaining existing equipment. Refer definition refrigerant consumption.</w:t>
            </w:r>
          </w:p>
        </w:tc>
      </w:tr>
      <w:tr w:rsidR="00B67E9C" w14:paraId="75CA22E1" w14:textId="77777777" w:rsidTr="00B67E9C">
        <w:trPr>
          <w:trHeight w:val="342"/>
        </w:trPr>
        <w:tc>
          <w:tcPr>
            <w:tcW w:w="2219" w:type="dxa"/>
            <w:hideMark/>
          </w:tcPr>
          <w:p w14:paraId="091FBE0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Refrigerated cold food chain (RCFC)</w:t>
            </w:r>
          </w:p>
        </w:tc>
        <w:tc>
          <w:tcPr>
            <w:tcW w:w="7273" w:type="dxa"/>
            <w:gridSpan w:val="3"/>
            <w:hideMark/>
          </w:tcPr>
          <w:p w14:paraId="21CAA289"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The refrigerated cold food chain is part of the food value chain, which involves transport, storage, primary and secondary processors, distribution and retailing of chilled and frozen foods from farm gate to consumer. However, in this report domestic refrigeration and freezers are treated as a separate segment.</w:t>
            </w:r>
          </w:p>
        </w:tc>
      </w:tr>
      <w:tr w:rsidR="00B67E9C" w14:paraId="52E6E2BC" w14:textId="77777777" w:rsidTr="00B67E9C">
        <w:trPr>
          <w:trHeight w:val="342"/>
        </w:trPr>
        <w:tc>
          <w:tcPr>
            <w:tcW w:w="2219" w:type="dxa"/>
            <w:hideMark/>
          </w:tcPr>
          <w:p w14:paraId="66A90C0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Remote condensing unit</w:t>
            </w:r>
          </w:p>
        </w:tc>
        <w:tc>
          <w:tcPr>
            <w:tcW w:w="7273" w:type="dxa"/>
            <w:gridSpan w:val="3"/>
            <w:hideMark/>
          </w:tcPr>
          <w:p w14:paraId="7E3F0670"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lang w:val="en-AU"/>
              </w:rPr>
              <w:t>Condensing unit located remotely from the evaporator, typically outdoors (see condensing unit).</w:t>
            </w:r>
          </w:p>
        </w:tc>
      </w:tr>
      <w:tr w:rsidR="00B67E9C" w14:paraId="78DABB70" w14:textId="77777777" w:rsidTr="00B67E9C">
        <w:trPr>
          <w:trHeight w:val="342"/>
        </w:trPr>
        <w:tc>
          <w:tcPr>
            <w:tcW w:w="2219" w:type="dxa"/>
            <w:hideMark/>
          </w:tcPr>
          <w:p w14:paraId="7E951D6F"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Remote RDC</w:t>
            </w:r>
          </w:p>
        </w:tc>
        <w:tc>
          <w:tcPr>
            <w:tcW w:w="7273" w:type="dxa"/>
            <w:gridSpan w:val="3"/>
            <w:hideMark/>
          </w:tcPr>
          <w:p w14:paraId="3997350B"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Refrigerated display cabinet (RDC) with its refrigerating machinery (condensing unit or refrigeration plant) sited remote from the cabinet structure that is located inside the supermarket or store.</w:t>
            </w:r>
          </w:p>
        </w:tc>
      </w:tr>
      <w:tr w:rsidR="00B67E9C" w14:paraId="240B6100" w14:textId="77777777" w:rsidTr="00B67E9C">
        <w:trPr>
          <w:trHeight w:val="342"/>
        </w:trPr>
        <w:tc>
          <w:tcPr>
            <w:tcW w:w="2219" w:type="dxa"/>
            <w:hideMark/>
          </w:tcPr>
          <w:p w14:paraId="7A55ACB9"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Self</w:t>
            </w:r>
            <w:r>
              <w:rPr>
                <w:rFonts w:asciiTheme="majorHAnsi" w:hAnsiTheme="majorHAnsi"/>
                <w:b/>
                <w:bCs/>
                <w:sz w:val="18"/>
                <w:szCs w:val="22"/>
              </w:rPr>
              <w:t>‐</w:t>
            </w:r>
            <w:r>
              <w:rPr>
                <w:rFonts w:asciiTheme="majorHAnsi" w:hAnsiTheme="majorHAnsi"/>
                <w:sz w:val="18"/>
                <w:szCs w:val="22"/>
              </w:rPr>
              <w:t>contained RDC</w:t>
            </w:r>
          </w:p>
        </w:tc>
        <w:tc>
          <w:tcPr>
            <w:tcW w:w="7273" w:type="dxa"/>
            <w:gridSpan w:val="3"/>
            <w:hideMark/>
          </w:tcPr>
          <w:p w14:paraId="43D02AEB"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Refrigerated display cabinet with its refrigerating machinery sited inside the cabinet structure.</w:t>
            </w:r>
          </w:p>
        </w:tc>
      </w:tr>
      <w:tr w:rsidR="00B67E9C" w14:paraId="5FC3B0F6" w14:textId="77777777" w:rsidTr="00B67E9C">
        <w:trPr>
          <w:trHeight w:val="342"/>
        </w:trPr>
        <w:tc>
          <w:tcPr>
            <w:tcW w:w="2219" w:type="dxa"/>
            <w:hideMark/>
          </w:tcPr>
          <w:p w14:paraId="6394F87E"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Second Assessment Report (AR2)</w:t>
            </w:r>
          </w:p>
        </w:tc>
        <w:tc>
          <w:tcPr>
            <w:tcW w:w="7273" w:type="dxa"/>
            <w:gridSpan w:val="3"/>
            <w:hideMark/>
          </w:tcPr>
          <w:p w14:paraId="650DDC27" w14:textId="77777777" w:rsidR="00B67E9C" w:rsidRDefault="00B67E9C">
            <w:pPr>
              <w:pStyle w:val="BodyText"/>
              <w:spacing w:before="60" w:after="60"/>
              <w:rPr>
                <w:rFonts w:asciiTheme="majorHAnsi" w:hAnsiTheme="majorHAnsi"/>
                <w:sz w:val="18"/>
                <w:szCs w:val="22"/>
              </w:rPr>
            </w:pPr>
            <w:proofErr w:type="gramStart"/>
            <w:r>
              <w:rPr>
                <w:rFonts w:asciiTheme="majorHAnsi" w:hAnsiTheme="majorHAnsi"/>
                <w:sz w:val="18"/>
                <w:szCs w:val="22"/>
              </w:rPr>
              <w:t>Second Assessment Report of the Intergovernmental Panel on Climate Change for the United Nations Framework Convention on Climate Change,</w:t>
            </w:r>
            <w:proofErr w:type="gramEnd"/>
            <w:r>
              <w:rPr>
                <w:rFonts w:asciiTheme="majorHAnsi" w:hAnsiTheme="majorHAnsi"/>
                <w:sz w:val="18"/>
                <w:szCs w:val="22"/>
              </w:rPr>
              <w:t xml:space="preserve"> released in 1996. Australia’s legally binding emission obligations under the first Kyoto Protocol commitment period were calculated based on AR2.</w:t>
            </w:r>
          </w:p>
        </w:tc>
      </w:tr>
      <w:tr w:rsidR="00B67E9C" w14:paraId="1E822517" w14:textId="77777777" w:rsidTr="00B67E9C">
        <w:trPr>
          <w:trHeight w:val="342"/>
        </w:trPr>
        <w:tc>
          <w:tcPr>
            <w:tcW w:w="2219" w:type="dxa"/>
            <w:hideMark/>
          </w:tcPr>
          <w:p w14:paraId="7168C3AD"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Fourth Assessment Report (AR4)</w:t>
            </w:r>
          </w:p>
        </w:tc>
        <w:tc>
          <w:tcPr>
            <w:tcW w:w="7273" w:type="dxa"/>
            <w:gridSpan w:val="3"/>
            <w:hideMark/>
          </w:tcPr>
          <w:p w14:paraId="5B27BCC8" w14:textId="77777777" w:rsidR="00B67E9C" w:rsidRDefault="00B67E9C">
            <w:pPr>
              <w:pStyle w:val="BodyText"/>
              <w:spacing w:before="60" w:after="60"/>
              <w:rPr>
                <w:rFonts w:asciiTheme="majorHAnsi" w:hAnsiTheme="majorHAnsi"/>
                <w:sz w:val="18"/>
                <w:szCs w:val="22"/>
              </w:rPr>
            </w:pPr>
            <w:proofErr w:type="gramStart"/>
            <w:r>
              <w:rPr>
                <w:rFonts w:asciiTheme="majorHAnsi" w:hAnsiTheme="majorHAnsi"/>
                <w:sz w:val="18"/>
                <w:szCs w:val="22"/>
              </w:rPr>
              <w:t>Fourth Assessment Report of the Intergovernmental Panel on Climate Change for the United Nations Framework Convention on Climate Change,</w:t>
            </w:r>
            <w:proofErr w:type="gramEnd"/>
            <w:r>
              <w:rPr>
                <w:rFonts w:asciiTheme="majorHAnsi" w:hAnsiTheme="majorHAnsi"/>
                <w:sz w:val="18"/>
                <w:szCs w:val="22"/>
              </w:rPr>
              <w:t xml:space="preserve"> released in 2007. Australia’s legally binding emission obligations under the second Kyoto Protocol commitment period are calculated based on AR4. AR4 GWP values are used throughout this report, unless stated. </w:t>
            </w:r>
          </w:p>
        </w:tc>
      </w:tr>
      <w:tr w:rsidR="00B67E9C" w14:paraId="4F739DED" w14:textId="77777777" w:rsidTr="00B67E9C">
        <w:trPr>
          <w:trHeight w:val="342"/>
        </w:trPr>
        <w:tc>
          <w:tcPr>
            <w:tcW w:w="2219" w:type="dxa"/>
            <w:hideMark/>
          </w:tcPr>
          <w:p w14:paraId="01D5B46F"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Specific Energy Consumption</w:t>
            </w:r>
          </w:p>
        </w:tc>
        <w:tc>
          <w:tcPr>
            <w:tcW w:w="7273" w:type="dxa"/>
            <w:gridSpan w:val="3"/>
            <w:hideMark/>
          </w:tcPr>
          <w:p w14:paraId="7E77A7F7"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Energy consumption benchmark used in large cold storage facilities in kWh per m</w:t>
            </w:r>
            <w:r>
              <w:rPr>
                <w:rFonts w:asciiTheme="majorHAnsi" w:hAnsiTheme="majorHAnsi"/>
                <w:sz w:val="18"/>
                <w:szCs w:val="22"/>
                <w:vertAlign w:val="superscript"/>
              </w:rPr>
              <w:t>3</w:t>
            </w:r>
            <w:r>
              <w:rPr>
                <w:rFonts w:asciiTheme="majorHAnsi" w:hAnsiTheme="majorHAnsi"/>
                <w:sz w:val="18"/>
                <w:szCs w:val="22"/>
              </w:rPr>
              <w:t xml:space="preserve"> per annum.</w:t>
            </w:r>
          </w:p>
        </w:tc>
      </w:tr>
      <w:tr w:rsidR="00B67E9C" w14:paraId="6723A690" w14:textId="77777777" w:rsidTr="00B67E9C">
        <w:trPr>
          <w:trHeight w:val="342"/>
        </w:trPr>
        <w:tc>
          <w:tcPr>
            <w:tcW w:w="2219" w:type="dxa"/>
            <w:hideMark/>
          </w:tcPr>
          <w:p w14:paraId="217E6CEF"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Synthetic greenhouse gases (SGGs)</w:t>
            </w:r>
          </w:p>
        </w:tc>
        <w:tc>
          <w:tcPr>
            <w:tcW w:w="7273" w:type="dxa"/>
            <w:gridSpan w:val="3"/>
            <w:hideMark/>
          </w:tcPr>
          <w:p w14:paraId="0A25CC84"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SGGs listed under the Kyoto Protocol and regulated under the </w:t>
            </w:r>
            <w:hyperlink r:id="rId12" w:history="1">
              <w:r>
                <w:rPr>
                  <w:rStyle w:val="Emphasis"/>
                  <w:color w:val="0062A0"/>
                  <w:sz w:val="19"/>
                  <w:szCs w:val="19"/>
                  <w:u w:val="single"/>
                </w:rPr>
                <w:t>Ozone Protection and Synthetic Greenhouse Gas Management Act 1989</w:t>
              </w:r>
            </w:hyperlink>
            <w:r>
              <w:rPr>
                <w:sz w:val="18"/>
                <w:szCs w:val="22"/>
              </w:rPr>
              <w:t xml:space="preserve">, </w:t>
            </w:r>
            <w:r>
              <w:rPr>
                <w:rFonts w:asciiTheme="majorHAnsi" w:hAnsiTheme="majorHAnsi"/>
                <w:sz w:val="18"/>
                <w:szCs w:val="22"/>
              </w:rPr>
              <w:t xml:space="preserve">hydrofluorocarbons (HFCs), perfluorocarbons (PFCs) </w:t>
            </w:r>
            <w:proofErr w:type="spellStart"/>
            <w:r>
              <w:rPr>
                <w:rFonts w:asciiTheme="majorHAnsi" w:hAnsiTheme="majorHAnsi"/>
                <w:sz w:val="18"/>
                <w:szCs w:val="22"/>
                <w:lang w:val="en-AU"/>
              </w:rPr>
              <w:t>sulfur</w:t>
            </w:r>
            <w:proofErr w:type="spellEnd"/>
            <w:r>
              <w:rPr>
                <w:rFonts w:asciiTheme="majorHAnsi" w:hAnsiTheme="majorHAnsi"/>
                <w:sz w:val="18"/>
                <w:szCs w:val="22"/>
              </w:rPr>
              <w:t xml:space="preserve"> hexafluoride (SF</w:t>
            </w:r>
            <w:r>
              <w:rPr>
                <w:rFonts w:asciiTheme="majorHAnsi" w:hAnsiTheme="majorHAnsi"/>
                <w:sz w:val="18"/>
                <w:szCs w:val="22"/>
                <w:vertAlign w:val="subscript"/>
              </w:rPr>
              <w:t>6</w:t>
            </w:r>
            <w:r>
              <w:rPr>
                <w:rFonts w:asciiTheme="majorHAnsi" w:hAnsiTheme="majorHAnsi"/>
                <w:sz w:val="18"/>
                <w:szCs w:val="22"/>
              </w:rPr>
              <w:t>) and nitrogen trifluoride (NF</w:t>
            </w:r>
            <w:r>
              <w:rPr>
                <w:rFonts w:asciiTheme="majorHAnsi" w:hAnsiTheme="majorHAnsi"/>
                <w:sz w:val="18"/>
                <w:vertAlign w:val="subscript"/>
              </w:rPr>
              <w:t>3</w:t>
            </w:r>
            <w:r>
              <w:rPr>
                <w:rFonts w:asciiTheme="majorHAnsi" w:hAnsiTheme="majorHAnsi"/>
                <w:sz w:val="18"/>
                <w:szCs w:val="22"/>
              </w:rPr>
              <w:t>).</w:t>
            </w:r>
          </w:p>
        </w:tc>
      </w:tr>
      <w:tr w:rsidR="00B67E9C" w14:paraId="3A0E69B5" w14:textId="77777777" w:rsidTr="00B67E9C">
        <w:trPr>
          <w:trHeight w:val="342"/>
        </w:trPr>
        <w:tc>
          <w:tcPr>
            <w:tcW w:w="2219" w:type="dxa"/>
            <w:hideMark/>
          </w:tcPr>
          <w:p w14:paraId="5DB9CE82"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Synthetic substances or synthetic refrigerants</w:t>
            </w:r>
          </w:p>
        </w:tc>
        <w:tc>
          <w:tcPr>
            <w:tcW w:w="7273" w:type="dxa"/>
            <w:gridSpan w:val="3"/>
            <w:hideMark/>
          </w:tcPr>
          <w:p w14:paraId="3C343628"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HCFCs, HFCs and HFOs are commonly referred to as synthetic substances or synthetic refrigerants.</w:t>
            </w:r>
          </w:p>
        </w:tc>
      </w:tr>
      <w:tr w:rsidR="00B67E9C" w14:paraId="1BDBD131" w14:textId="77777777" w:rsidTr="00B67E9C">
        <w:trPr>
          <w:trHeight w:val="342"/>
        </w:trPr>
        <w:tc>
          <w:tcPr>
            <w:tcW w:w="2219" w:type="dxa"/>
            <w:hideMark/>
          </w:tcPr>
          <w:p w14:paraId="55FA220A"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Technology segment</w:t>
            </w:r>
          </w:p>
        </w:tc>
        <w:tc>
          <w:tcPr>
            <w:tcW w:w="7273" w:type="dxa"/>
            <w:gridSpan w:val="3"/>
            <w:hideMark/>
          </w:tcPr>
          <w:p w14:paraId="77F8B8F0"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A term used by the authors to refer to a defined set of technologies within the HVAC&amp;R industry sector. A segment of the broad family of technologies employed in the HVAC&amp;R sector is defined by the application (</w:t>
            </w:r>
            <w:proofErr w:type="gramStart"/>
            <w:r>
              <w:rPr>
                <w:rFonts w:asciiTheme="majorHAnsi" w:hAnsiTheme="majorHAnsi"/>
                <w:sz w:val="18"/>
                <w:szCs w:val="22"/>
              </w:rPr>
              <w:t>i.e.</w:t>
            </w:r>
            <w:proofErr w:type="gramEnd"/>
            <w:r>
              <w:rPr>
                <w:rFonts w:asciiTheme="majorHAnsi" w:hAnsiTheme="majorHAnsi"/>
                <w:sz w:val="18"/>
                <w:szCs w:val="22"/>
              </w:rPr>
              <w:t xml:space="preserve"> mobile or stationary, commercial or residential) and then bounded by a range of size of the charge of working gas, although for the purpose of modeling an average charge size for each segment has been calculated.</w:t>
            </w:r>
          </w:p>
        </w:tc>
      </w:tr>
      <w:tr w:rsidR="00B67E9C" w14:paraId="7858574F" w14:textId="77777777" w:rsidTr="00B67E9C">
        <w:trPr>
          <w:trHeight w:val="342"/>
        </w:trPr>
        <w:tc>
          <w:tcPr>
            <w:tcW w:w="2219" w:type="dxa"/>
            <w:hideMark/>
          </w:tcPr>
          <w:p w14:paraId="5AF4FDF8"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Truck refrigeration unit (TRU)</w:t>
            </w:r>
          </w:p>
        </w:tc>
        <w:tc>
          <w:tcPr>
            <w:tcW w:w="7273" w:type="dxa"/>
            <w:gridSpan w:val="3"/>
            <w:hideMark/>
          </w:tcPr>
          <w:p w14:paraId="03C003A4"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 xml:space="preserve">TRUs are refrigeration systems powered by dedicated diesel internal combustion engines designed to refrigerate fresh and frozen perishable products (mostly food but also </w:t>
            </w:r>
            <w:r>
              <w:rPr>
                <w:rFonts w:asciiTheme="majorHAnsi" w:hAnsiTheme="majorHAnsi"/>
                <w:sz w:val="18"/>
                <w:szCs w:val="22"/>
                <w:lang w:val="en-AU"/>
              </w:rPr>
              <w:t>pharmaceuticals and other materials)</w:t>
            </w:r>
            <w:r>
              <w:rPr>
                <w:rFonts w:asciiTheme="majorHAnsi" w:hAnsiTheme="majorHAnsi"/>
                <w:sz w:val="18"/>
                <w:szCs w:val="22"/>
              </w:rPr>
              <w:t xml:space="preserve"> that are transported on semi-trailers, rigid trucks and rail cars. Fresh is typically classed as 2</w:t>
            </w:r>
            <w:r>
              <w:rPr>
                <w:rFonts w:asciiTheme="majorHAnsi" w:hAnsiTheme="majorHAnsi"/>
                <w:sz w:val="18"/>
                <w:szCs w:val="18"/>
                <w:vertAlign w:val="superscript"/>
              </w:rPr>
              <w:t>o</w:t>
            </w:r>
            <w:r>
              <w:rPr>
                <w:rFonts w:asciiTheme="majorHAnsi" w:hAnsiTheme="majorHAnsi"/>
                <w:sz w:val="18"/>
                <w:szCs w:val="22"/>
              </w:rPr>
              <w:t>C and frozen -20</w:t>
            </w:r>
            <w:r>
              <w:rPr>
                <w:rFonts w:asciiTheme="majorHAnsi" w:hAnsiTheme="majorHAnsi"/>
                <w:sz w:val="18"/>
                <w:szCs w:val="18"/>
                <w:vertAlign w:val="superscript"/>
              </w:rPr>
              <w:t>o</w:t>
            </w:r>
            <w:r>
              <w:rPr>
                <w:rFonts w:asciiTheme="majorHAnsi" w:hAnsiTheme="majorHAnsi"/>
                <w:sz w:val="18"/>
                <w:szCs w:val="22"/>
              </w:rPr>
              <w:t>C.</w:t>
            </w:r>
          </w:p>
        </w:tc>
      </w:tr>
      <w:tr w:rsidR="00B67E9C" w14:paraId="3E17CFB3" w14:textId="77777777" w:rsidTr="00B67E9C">
        <w:trPr>
          <w:trHeight w:val="342"/>
        </w:trPr>
        <w:tc>
          <w:tcPr>
            <w:tcW w:w="2219" w:type="dxa"/>
            <w:hideMark/>
          </w:tcPr>
          <w:p w14:paraId="701A5C65" w14:textId="77777777" w:rsidR="00B67E9C" w:rsidRDefault="00B67E9C">
            <w:pPr>
              <w:pStyle w:val="BodyText"/>
              <w:spacing w:before="60" w:after="60"/>
              <w:jc w:val="left"/>
              <w:rPr>
                <w:rFonts w:asciiTheme="majorHAnsi" w:hAnsiTheme="majorHAnsi"/>
                <w:sz w:val="18"/>
                <w:szCs w:val="22"/>
              </w:rPr>
            </w:pPr>
            <w:r>
              <w:rPr>
                <w:rFonts w:asciiTheme="majorHAnsi" w:hAnsiTheme="majorHAnsi"/>
                <w:sz w:val="18"/>
                <w:szCs w:val="22"/>
              </w:rPr>
              <w:t>Walk</w:t>
            </w:r>
            <w:r>
              <w:rPr>
                <w:rFonts w:asciiTheme="majorHAnsi" w:hAnsiTheme="majorHAnsi"/>
                <w:b/>
                <w:bCs/>
                <w:sz w:val="18"/>
                <w:szCs w:val="22"/>
              </w:rPr>
              <w:t>‐</w:t>
            </w:r>
            <w:r>
              <w:rPr>
                <w:rFonts w:asciiTheme="majorHAnsi" w:hAnsiTheme="majorHAnsi"/>
                <w:sz w:val="18"/>
                <w:szCs w:val="22"/>
              </w:rPr>
              <w:t xml:space="preserve">in cool room </w:t>
            </w:r>
          </w:p>
        </w:tc>
        <w:tc>
          <w:tcPr>
            <w:tcW w:w="7273" w:type="dxa"/>
            <w:gridSpan w:val="3"/>
            <w:hideMark/>
          </w:tcPr>
          <w:p w14:paraId="3E5781B5" w14:textId="77777777" w:rsidR="00B67E9C" w:rsidRDefault="00B67E9C">
            <w:pPr>
              <w:pStyle w:val="BodyText"/>
              <w:spacing w:before="60" w:after="60"/>
              <w:rPr>
                <w:rFonts w:asciiTheme="majorHAnsi" w:hAnsiTheme="majorHAnsi"/>
                <w:sz w:val="18"/>
                <w:szCs w:val="22"/>
              </w:rPr>
            </w:pPr>
            <w:r>
              <w:rPr>
                <w:rFonts w:asciiTheme="majorHAnsi" w:hAnsiTheme="majorHAnsi"/>
                <w:sz w:val="18"/>
                <w:szCs w:val="22"/>
              </w:rPr>
              <w:t>A walk</w:t>
            </w:r>
            <w:r>
              <w:rPr>
                <w:rFonts w:asciiTheme="majorHAnsi" w:hAnsiTheme="majorHAnsi"/>
                <w:b/>
                <w:bCs/>
                <w:sz w:val="18"/>
                <w:szCs w:val="22"/>
              </w:rPr>
              <w:t>‐</w:t>
            </w:r>
            <w:r>
              <w:rPr>
                <w:rFonts w:asciiTheme="majorHAnsi" w:hAnsiTheme="majorHAnsi"/>
                <w:sz w:val="18"/>
                <w:szCs w:val="22"/>
              </w:rPr>
              <w:t>in cool room is a structure formed by an insulated enclosure of walls and ceiling, having a door through which personnel can pass and close behind them. The floor space occupied by this structure may or may not be insulated, depending on the operating temperature level.</w:t>
            </w:r>
          </w:p>
        </w:tc>
      </w:tr>
    </w:tbl>
    <w:p w14:paraId="3287E2CA" w14:textId="77777777" w:rsidR="00B67E9C" w:rsidRDefault="00B67E9C" w:rsidP="00B67E9C">
      <w:pPr>
        <w:rPr>
          <w:rFonts w:cs="Times New Roman"/>
          <w:szCs w:val="22"/>
        </w:rPr>
      </w:pPr>
    </w:p>
    <w:p w14:paraId="22143447" w14:textId="77777777" w:rsidR="00B67E9C" w:rsidRDefault="00B67E9C" w:rsidP="00B67E9C">
      <w:pPr>
        <w:spacing w:before="0"/>
      </w:pPr>
      <w:r>
        <w:br w:type="page"/>
      </w:r>
    </w:p>
    <w:p w14:paraId="7C2659E9" w14:textId="77777777" w:rsidR="00B67E9C" w:rsidRDefault="00B67E9C" w:rsidP="00B67E9C">
      <w:pPr>
        <w:pStyle w:val="Heading1"/>
        <w:numPr>
          <w:ilvl w:val="0"/>
          <w:numId w:val="0"/>
        </w:numPr>
        <w:ind w:left="432" w:hanging="432"/>
        <w:jc w:val="both"/>
      </w:pPr>
      <w:bookmarkStart w:id="1" w:name="_Toc54601637"/>
      <w:r>
        <w:lastRenderedPageBreak/>
        <w:t>Abbreviations</w:t>
      </w:r>
      <w:bookmarkEnd w:id="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365"/>
      </w:tblGrid>
      <w:tr w:rsidR="00B67E9C" w14:paraId="7C084EBF"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65442D8"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AC</w:t>
            </w:r>
          </w:p>
        </w:tc>
        <w:tc>
          <w:tcPr>
            <w:tcW w:w="7365" w:type="dxa"/>
            <w:tcBorders>
              <w:top w:val="single" w:sz="4" w:space="0" w:color="auto"/>
              <w:left w:val="single" w:sz="4" w:space="0" w:color="auto"/>
              <w:bottom w:val="single" w:sz="4" w:space="0" w:color="auto"/>
              <w:right w:val="single" w:sz="4" w:space="0" w:color="auto"/>
            </w:tcBorders>
            <w:hideMark/>
          </w:tcPr>
          <w:p w14:paraId="49953468"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Air conditioning</w:t>
            </w:r>
          </w:p>
        </w:tc>
      </w:tr>
      <w:tr w:rsidR="00B67E9C" w14:paraId="4D5A9865"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5C1F4D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AR2</w:t>
            </w:r>
          </w:p>
        </w:tc>
        <w:tc>
          <w:tcPr>
            <w:tcW w:w="7365" w:type="dxa"/>
            <w:tcBorders>
              <w:top w:val="single" w:sz="4" w:space="0" w:color="auto"/>
              <w:left w:val="single" w:sz="4" w:space="0" w:color="auto"/>
              <w:bottom w:val="single" w:sz="4" w:space="0" w:color="auto"/>
              <w:right w:val="single" w:sz="4" w:space="0" w:color="auto"/>
            </w:tcBorders>
            <w:hideMark/>
          </w:tcPr>
          <w:p w14:paraId="5CDAB4E5"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Second Assessment Report of the IPCC</w:t>
            </w:r>
          </w:p>
        </w:tc>
      </w:tr>
      <w:tr w:rsidR="00B67E9C" w14:paraId="788B7019"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2795476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AR4</w:t>
            </w:r>
          </w:p>
        </w:tc>
        <w:tc>
          <w:tcPr>
            <w:tcW w:w="7365" w:type="dxa"/>
            <w:tcBorders>
              <w:top w:val="single" w:sz="4" w:space="0" w:color="auto"/>
              <w:left w:val="single" w:sz="4" w:space="0" w:color="auto"/>
              <w:bottom w:val="single" w:sz="4" w:space="0" w:color="auto"/>
              <w:right w:val="single" w:sz="4" w:space="0" w:color="auto"/>
            </w:tcBorders>
            <w:hideMark/>
          </w:tcPr>
          <w:p w14:paraId="24E1767D"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Fourth Assessment Report of the IPCC</w:t>
            </w:r>
          </w:p>
        </w:tc>
      </w:tr>
      <w:tr w:rsidR="00B67E9C" w14:paraId="162B5356"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1858755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AR5</w:t>
            </w:r>
          </w:p>
        </w:tc>
        <w:tc>
          <w:tcPr>
            <w:tcW w:w="7365" w:type="dxa"/>
            <w:tcBorders>
              <w:top w:val="single" w:sz="4" w:space="0" w:color="auto"/>
              <w:left w:val="single" w:sz="4" w:space="0" w:color="auto"/>
              <w:bottom w:val="single" w:sz="4" w:space="0" w:color="auto"/>
              <w:right w:val="single" w:sz="4" w:space="0" w:color="auto"/>
            </w:tcBorders>
            <w:hideMark/>
          </w:tcPr>
          <w:p w14:paraId="149AEAB8"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Fifth Assessment Report of the IPCC</w:t>
            </w:r>
          </w:p>
        </w:tc>
      </w:tr>
      <w:tr w:rsidR="00B67E9C" w14:paraId="6DEDC302"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1728D074"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 xml:space="preserve">ABS </w:t>
            </w:r>
          </w:p>
        </w:tc>
        <w:tc>
          <w:tcPr>
            <w:tcW w:w="7365" w:type="dxa"/>
            <w:tcBorders>
              <w:top w:val="single" w:sz="4" w:space="0" w:color="auto"/>
              <w:left w:val="single" w:sz="4" w:space="0" w:color="auto"/>
              <w:bottom w:val="single" w:sz="4" w:space="0" w:color="auto"/>
              <w:right w:val="single" w:sz="4" w:space="0" w:color="auto"/>
            </w:tcBorders>
            <w:hideMark/>
          </w:tcPr>
          <w:p w14:paraId="13D1AD30"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Australian Bureau of Statistics</w:t>
            </w:r>
          </w:p>
        </w:tc>
      </w:tr>
      <w:tr w:rsidR="00B67E9C" w14:paraId="1859CEB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555F02E2"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ANZSCO</w:t>
            </w:r>
          </w:p>
        </w:tc>
        <w:tc>
          <w:tcPr>
            <w:tcW w:w="7365" w:type="dxa"/>
            <w:tcBorders>
              <w:top w:val="single" w:sz="4" w:space="0" w:color="auto"/>
              <w:left w:val="single" w:sz="4" w:space="0" w:color="auto"/>
              <w:bottom w:val="single" w:sz="4" w:space="0" w:color="auto"/>
              <w:right w:val="single" w:sz="4" w:space="0" w:color="auto"/>
            </w:tcBorders>
            <w:hideMark/>
          </w:tcPr>
          <w:p w14:paraId="38FE8C5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Australian and New Zealand Standard Classification of Occupations</w:t>
            </w:r>
          </w:p>
        </w:tc>
      </w:tr>
      <w:tr w:rsidR="00B67E9C" w14:paraId="73AF6D56"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85B899C"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ARC</w:t>
            </w:r>
          </w:p>
        </w:tc>
        <w:tc>
          <w:tcPr>
            <w:tcW w:w="7365" w:type="dxa"/>
            <w:tcBorders>
              <w:top w:val="single" w:sz="4" w:space="0" w:color="auto"/>
              <w:left w:val="single" w:sz="4" w:space="0" w:color="auto"/>
              <w:bottom w:val="single" w:sz="4" w:space="0" w:color="auto"/>
              <w:right w:val="single" w:sz="4" w:space="0" w:color="auto"/>
            </w:tcBorders>
            <w:hideMark/>
          </w:tcPr>
          <w:p w14:paraId="7ABB04AD"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Australian Refrigeration Council</w:t>
            </w:r>
          </w:p>
        </w:tc>
      </w:tr>
      <w:tr w:rsidR="00B67E9C" w14:paraId="414FF3DF"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2C026C43"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BCA</w:t>
            </w:r>
          </w:p>
        </w:tc>
        <w:tc>
          <w:tcPr>
            <w:tcW w:w="7365" w:type="dxa"/>
            <w:tcBorders>
              <w:top w:val="single" w:sz="4" w:space="0" w:color="auto"/>
              <w:left w:val="single" w:sz="4" w:space="0" w:color="auto"/>
              <w:bottom w:val="single" w:sz="4" w:space="0" w:color="auto"/>
              <w:right w:val="single" w:sz="4" w:space="0" w:color="auto"/>
            </w:tcBorders>
            <w:hideMark/>
          </w:tcPr>
          <w:p w14:paraId="74000F18"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Building Code of Australia</w:t>
            </w:r>
          </w:p>
        </w:tc>
      </w:tr>
      <w:tr w:rsidR="00B67E9C" w14:paraId="436E19E7"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334B7812"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CHF</w:t>
            </w:r>
          </w:p>
        </w:tc>
        <w:tc>
          <w:tcPr>
            <w:tcW w:w="7365" w:type="dxa"/>
            <w:tcBorders>
              <w:top w:val="single" w:sz="4" w:space="0" w:color="auto"/>
              <w:left w:val="single" w:sz="4" w:space="0" w:color="auto"/>
              <w:bottom w:val="single" w:sz="4" w:space="0" w:color="auto"/>
              <w:right w:val="single" w:sz="4" w:space="0" w:color="auto"/>
            </w:tcBorders>
            <w:hideMark/>
          </w:tcPr>
          <w:p w14:paraId="714A1E02"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Cold Hard Facts</w:t>
            </w:r>
          </w:p>
        </w:tc>
      </w:tr>
      <w:tr w:rsidR="00B67E9C" w14:paraId="01FDF06B"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71E4916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CO</w:t>
            </w:r>
            <w:r>
              <w:rPr>
                <w:rFonts w:asciiTheme="majorHAnsi" w:hAnsiTheme="majorHAnsi"/>
                <w:sz w:val="18"/>
                <w:szCs w:val="18"/>
                <w:vertAlign w:val="subscript"/>
              </w:rPr>
              <w:t>2</w:t>
            </w:r>
            <w:r>
              <w:rPr>
                <w:rFonts w:asciiTheme="majorHAnsi" w:hAnsiTheme="majorHAnsi"/>
                <w:sz w:val="18"/>
                <w:szCs w:val="18"/>
              </w:rPr>
              <w:t>e</w:t>
            </w:r>
          </w:p>
        </w:tc>
        <w:tc>
          <w:tcPr>
            <w:tcW w:w="7365" w:type="dxa"/>
            <w:tcBorders>
              <w:top w:val="single" w:sz="4" w:space="0" w:color="auto"/>
              <w:left w:val="single" w:sz="4" w:space="0" w:color="auto"/>
              <w:bottom w:val="single" w:sz="4" w:space="0" w:color="auto"/>
              <w:right w:val="single" w:sz="4" w:space="0" w:color="auto"/>
            </w:tcBorders>
            <w:hideMark/>
          </w:tcPr>
          <w:p w14:paraId="68AAF82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Carbon dioxide equivalent</w:t>
            </w:r>
          </w:p>
        </w:tc>
      </w:tr>
      <w:tr w:rsidR="00B67E9C" w14:paraId="4BB5DDF0"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5FCF7F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DAWE</w:t>
            </w:r>
          </w:p>
        </w:tc>
        <w:tc>
          <w:tcPr>
            <w:tcW w:w="7365" w:type="dxa"/>
            <w:tcBorders>
              <w:top w:val="single" w:sz="4" w:space="0" w:color="auto"/>
              <w:left w:val="single" w:sz="4" w:space="0" w:color="auto"/>
              <w:bottom w:val="single" w:sz="4" w:space="0" w:color="auto"/>
              <w:right w:val="single" w:sz="4" w:space="0" w:color="auto"/>
            </w:tcBorders>
            <w:hideMark/>
          </w:tcPr>
          <w:p w14:paraId="54C16FF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The Department of Agriculture, Water and the Environment (DAWE) commenced operation on 1 February 2020, formerly:</w:t>
            </w:r>
          </w:p>
          <w:p w14:paraId="1BF107CD"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Department of the Environment and Energy (</w:t>
            </w:r>
            <w:proofErr w:type="spellStart"/>
            <w:r>
              <w:rPr>
                <w:rFonts w:asciiTheme="majorHAnsi" w:hAnsiTheme="majorHAnsi"/>
                <w:sz w:val="18"/>
                <w:szCs w:val="18"/>
              </w:rPr>
              <w:t>DoEE</w:t>
            </w:r>
            <w:proofErr w:type="spellEnd"/>
            <w:r>
              <w:rPr>
                <w:rFonts w:asciiTheme="majorHAnsi" w:hAnsiTheme="majorHAnsi"/>
                <w:sz w:val="18"/>
                <w:szCs w:val="18"/>
              </w:rPr>
              <w:t>)</w:t>
            </w:r>
          </w:p>
          <w:p w14:paraId="08C50D0E"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Department of the Environment (DoE)</w:t>
            </w:r>
          </w:p>
          <w:p w14:paraId="0A9293CD"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Department of Sustainability, Environment, Water, Population and Communities (</w:t>
            </w:r>
            <w:proofErr w:type="spellStart"/>
            <w:r>
              <w:rPr>
                <w:rFonts w:asciiTheme="majorHAnsi" w:hAnsiTheme="majorHAnsi"/>
                <w:sz w:val="18"/>
                <w:szCs w:val="18"/>
              </w:rPr>
              <w:t>DSEWPaC</w:t>
            </w:r>
            <w:proofErr w:type="spellEnd"/>
            <w:r>
              <w:rPr>
                <w:rFonts w:asciiTheme="majorHAnsi" w:hAnsiTheme="majorHAnsi"/>
                <w:sz w:val="18"/>
                <w:szCs w:val="18"/>
              </w:rPr>
              <w:t>)</w:t>
            </w:r>
          </w:p>
          <w:p w14:paraId="343CDE6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Department of Climate Change and Energy Efficiency (DCCEE)</w:t>
            </w:r>
          </w:p>
          <w:p w14:paraId="1E2D522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Department of Environment, Water, Heritage and the Arts (DEWHA)</w:t>
            </w:r>
          </w:p>
        </w:tc>
      </w:tr>
      <w:tr w:rsidR="00B67E9C" w14:paraId="3DDDB0A8"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1B10215F"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ELV</w:t>
            </w:r>
          </w:p>
        </w:tc>
        <w:tc>
          <w:tcPr>
            <w:tcW w:w="7365" w:type="dxa"/>
            <w:tcBorders>
              <w:top w:val="single" w:sz="4" w:space="0" w:color="auto"/>
              <w:left w:val="single" w:sz="4" w:space="0" w:color="auto"/>
              <w:bottom w:val="single" w:sz="4" w:space="0" w:color="auto"/>
              <w:right w:val="single" w:sz="4" w:space="0" w:color="auto"/>
            </w:tcBorders>
            <w:hideMark/>
          </w:tcPr>
          <w:p w14:paraId="54DD038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End-of-life vehicle</w:t>
            </w:r>
          </w:p>
        </w:tc>
      </w:tr>
      <w:tr w:rsidR="00B67E9C" w14:paraId="6D48CE6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7CCEE99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EOL</w:t>
            </w:r>
          </w:p>
        </w:tc>
        <w:tc>
          <w:tcPr>
            <w:tcW w:w="7365" w:type="dxa"/>
            <w:tcBorders>
              <w:top w:val="single" w:sz="4" w:space="0" w:color="auto"/>
              <w:left w:val="single" w:sz="4" w:space="0" w:color="auto"/>
              <w:bottom w:val="single" w:sz="4" w:space="0" w:color="auto"/>
              <w:right w:val="single" w:sz="4" w:space="0" w:color="auto"/>
            </w:tcBorders>
            <w:hideMark/>
          </w:tcPr>
          <w:p w14:paraId="28E4D193"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End-of-life</w:t>
            </w:r>
          </w:p>
        </w:tc>
      </w:tr>
      <w:tr w:rsidR="00B67E9C" w14:paraId="456C5337"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1D22B1F0"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GHG</w:t>
            </w:r>
          </w:p>
        </w:tc>
        <w:tc>
          <w:tcPr>
            <w:tcW w:w="7365" w:type="dxa"/>
            <w:tcBorders>
              <w:top w:val="single" w:sz="4" w:space="0" w:color="auto"/>
              <w:left w:val="single" w:sz="4" w:space="0" w:color="auto"/>
              <w:bottom w:val="single" w:sz="4" w:space="0" w:color="auto"/>
              <w:right w:val="single" w:sz="4" w:space="0" w:color="auto"/>
            </w:tcBorders>
            <w:hideMark/>
          </w:tcPr>
          <w:p w14:paraId="57111555"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Greenhouse gas</w:t>
            </w:r>
          </w:p>
        </w:tc>
      </w:tr>
      <w:tr w:rsidR="00B67E9C" w14:paraId="03E10C9D"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7C1500D"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GWh</w:t>
            </w:r>
          </w:p>
        </w:tc>
        <w:tc>
          <w:tcPr>
            <w:tcW w:w="7365" w:type="dxa"/>
            <w:tcBorders>
              <w:top w:val="single" w:sz="4" w:space="0" w:color="auto"/>
              <w:left w:val="single" w:sz="4" w:space="0" w:color="auto"/>
              <w:bottom w:val="single" w:sz="4" w:space="0" w:color="auto"/>
              <w:right w:val="single" w:sz="4" w:space="0" w:color="auto"/>
            </w:tcBorders>
            <w:hideMark/>
          </w:tcPr>
          <w:p w14:paraId="7E28F23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Gigawatt hour</w:t>
            </w:r>
          </w:p>
        </w:tc>
      </w:tr>
      <w:tr w:rsidR="00B67E9C" w14:paraId="5447DBF1"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BAD9469"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HVAC&amp;R</w:t>
            </w:r>
          </w:p>
        </w:tc>
        <w:tc>
          <w:tcPr>
            <w:tcW w:w="7365" w:type="dxa"/>
            <w:tcBorders>
              <w:top w:val="single" w:sz="4" w:space="0" w:color="auto"/>
              <w:left w:val="single" w:sz="4" w:space="0" w:color="auto"/>
              <w:bottom w:val="single" w:sz="4" w:space="0" w:color="auto"/>
              <w:right w:val="single" w:sz="4" w:space="0" w:color="auto"/>
            </w:tcBorders>
            <w:hideMark/>
          </w:tcPr>
          <w:p w14:paraId="7D2374E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Heating, ventilation, air conditioning, and refrigeration</w:t>
            </w:r>
          </w:p>
        </w:tc>
      </w:tr>
      <w:tr w:rsidR="00B67E9C" w14:paraId="21523933"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3CD7E4C"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IEA</w:t>
            </w:r>
          </w:p>
        </w:tc>
        <w:tc>
          <w:tcPr>
            <w:tcW w:w="7365" w:type="dxa"/>
            <w:tcBorders>
              <w:top w:val="single" w:sz="4" w:space="0" w:color="auto"/>
              <w:left w:val="single" w:sz="4" w:space="0" w:color="auto"/>
              <w:bottom w:val="single" w:sz="4" w:space="0" w:color="auto"/>
              <w:right w:val="single" w:sz="4" w:space="0" w:color="auto"/>
            </w:tcBorders>
            <w:hideMark/>
          </w:tcPr>
          <w:p w14:paraId="5D7309F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International Energy Agency</w:t>
            </w:r>
          </w:p>
        </w:tc>
      </w:tr>
      <w:tr w:rsidR="00B67E9C" w14:paraId="622695AF"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A6925A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IPCC</w:t>
            </w:r>
          </w:p>
        </w:tc>
        <w:tc>
          <w:tcPr>
            <w:tcW w:w="7365" w:type="dxa"/>
            <w:tcBorders>
              <w:top w:val="single" w:sz="4" w:space="0" w:color="auto"/>
              <w:left w:val="single" w:sz="4" w:space="0" w:color="auto"/>
              <w:bottom w:val="single" w:sz="4" w:space="0" w:color="auto"/>
              <w:right w:val="single" w:sz="4" w:space="0" w:color="auto"/>
            </w:tcBorders>
            <w:hideMark/>
          </w:tcPr>
          <w:p w14:paraId="5ED6667C"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Intergovernmental Panel on Climate Change</w:t>
            </w:r>
          </w:p>
        </w:tc>
      </w:tr>
      <w:tr w:rsidR="00B67E9C" w14:paraId="2943B727"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7D495754"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kWh</w:t>
            </w:r>
          </w:p>
        </w:tc>
        <w:tc>
          <w:tcPr>
            <w:tcW w:w="7365" w:type="dxa"/>
            <w:tcBorders>
              <w:top w:val="single" w:sz="4" w:space="0" w:color="auto"/>
              <w:left w:val="single" w:sz="4" w:space="0" w:color="auto"/>
              <w:bottom w:val="single" w:sz="4" w:space="0" w:color="auto"/>
              <w:right w:val="single" w:sz="4" w:space="0" w:color="auto"/>
            </w:tcBorders>
            <w:hideMark/>
          </w:tcPr>
          <w:p w14:paraId="01A81BE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Kilowatt hour</w:t>
            </w:r>
          </w:p>
        </w:tc>
      </w:tr>
      <w:tr w:rsidR="00B67E9C" w14:paraId="728A59AF"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25D6102A" w14:textId="77777777" w:rsidR="00B67E9C" w:rsidRDefault="00B67E9C">
            <w:pPr>
              <w:pStyle w:val="BodyText"/>
              <w:spacing w:before="60" w:after="60"/>
              <w:rPr>
                <w:rFonts w:asciiTheme="majorHAnsi" w:hAnsiTheme="majorHAnsi"/>
                <w:sz w:val="18"/>
                <w:szCs w:val="18"/>
              </w:rPr>
            </w:pPr>
            <w:proofErr w:type="spellStart"/>
            <w:r>
              <w:rPr>
                <w:rFonts w:asciiTheme="majorHAnsi" w:hAnsiTheme="majorHAnsi"/>
                <w:sz w:val="18"/>
                <w:szCs w:val="18"/>
              </w:rPr>
              <w:t>kWr</w:t>
            </w:r>
            <w:proofErr w:type="spellEnd"/>
          </w:p>
        </w:tc>
        <w:tc>
          <w:tcPr>
            <w:tcW w:w="7365" w:type="dxa"/>
            <w:tcBorders>
              <w:top w:val="single" w:sz="4" w:space="0" w:color="auto"/>
              <w:left w:val="single" w:sz="4" w:space="0" w:color="auto"/>
              <w:bottom w:val="single" w:sz="4" w:space="0" w:color="auto"/>
              <w:right w:val="single" w:sz="4" w:space="0" w:color="auto"/>
            </w:tcBorders>
            <w:hideMark/>
          </w:tcPr>
          <w:p w14:paraId="2036D4B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Kilowatt refrigeration</w:t>
            </w:r>
          </w:p>
        </w:tc>
      </w:tr>
      <w:tr w:rsidR="00B67E9C" w14:paraId="5EB7EBD2"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09F8CC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kt</w:t>
            </w:r>
          </w:p>
        </w:tc>
        <w:tc>
          <w:tcPr>
            <w:tcW w:w="7365" w:type="dxa"/>
            <w:tcBorders>
              <w:top w:val="single" w:sz="4" w:space="0" w:color="auto"/>
              <w:left w:val="single" w:sz="4" w:space="0" w:color="auto"/>
              <w:bottom w:val="single" w:sz="4" w:space="0" w:color="auto"/>
              <w:right w:val="single" w:sz="4" w:space="0" w:color="auto"/>
            </w:tcBorders>
            <w:hideMark/>
          </w:tcPr>
          <w:p w14:paraId="43E90D81" w14:textId="77777777" w:rsidR="00B67E9C" w:rsidRDefault="00B67E9C">
            <w:pPr>
              <w:pStyle w:val="BodyText"/>
              <w:spacing w:before="60" w:after="60"/>
              <w:rPr>
                <w:rFonts w:asciiTheme="majorHAnsi" w:hAnsiTheme="majorHAnsi"/>
                <w:sz w:val="18"/>
                <w:szCs w:val="18"/>
              </w:rPr>
            </w:pPr>
            <w:proofErr w:type="spellStart"/>
            <w:r>
              <w:rPr>
                <w:rFonts w:asciiTheme="majorHAnsi" w:hAnsiTheme="majorHAnsi"/>
                <w:sz w:val="18"/>
                <w:szCs w:val="18"/>
              </w:rPr>
              <w:t>Kilotonnes</w:t>
            </w:r>
            <w:proofErr w:type="spellEnd"/>
            <w:r>
              <w:rPr>
                <w:rFonts w:asciiTheme="majorHAnsi" w:hAnsiTheme="majorHAnsi"/>
                <w:sz w:val="18"/>
                <w:szCs w:val="18"/>
              </w:rPr>
              <w:t xml:space="preserve">, or thousand </w:t>
            </w:r>
            <w:proofErr w:type="spellStart"/>
            <w:r>
              <w:rPr>
                <w:rFonts w:asciiTheme="majorHAnsi" w:hAnsiTheme="majorHAnsi"/>
                <w:sz w:val="18"/>
                <w:szCs w:val="18"/>
              </w:rPr>
              <w:t>tonnes</w:t>
            </w:r>
            <w:proofErr w:type="spellEnd"/>
          </w:p>
        </w:tc>
      </w:tr>
      <w:tr w:rsidR="00B67E9C" w14:paraId="7B8A9D4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50DECEF3"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LPG</w:t>
            </w:r>
          </w:p>
        </w:tc>
        <w:tc>
          <w:tcPr>
            <w:tcW w:w="7365" w:type="dxa"/>
            <w:tcBorders>
              <w:top w:val="single" w:sz="4" w:space="0" w:color="auto"/>
              <w:left w:val="single" w:sz="4" w:space="0" w:color="auto"/>
              <w:bottom w:val="single" w:sz="4" w:space="0" w:color="auto"/>
              <w:right w:val="single" w:sz="4" w:space="0" w:color="auto"/>
            </w:tcBorders>
            <w:hideMark/>
          </w:tcPr>
          <w:p w14:paraId="0EB61D3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Liquefied petroleum gas</w:t>
            </w:r>
          </w:p>
        </w:tc>
      </w:tr>
      <w:tr w:rsidR="00B67E9C" w14:paraId="1A09F110"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FC029F3"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L</w:t>
            </w:r>
          </w:p>
        </w:tc>
        <w:tc>
          <w:tcPr>
            <w:tcW w:w="7365" w:type="dxa"/>
            <w:tcBorders>
              <w:top w:val="single" w:sz="4" w:space="0" w:color="auto"/>
              <w:left w:val="single" w:sz="4" w:space="0" w:color="auto"/>
              <w:bottom w:val="single" w:sz="4" w:space="0" w:color="auto"/>
              <w:right w:val="single" w:sz="4" w:space="0" w:color="auto"/>
            </w:tcBorders>
            <w:hideMark/>
          </w:tcPr>
          <w:p w14:paraId="5A1606A6" w14:textId="77777777" w:rsidR="00B67E9C" w:rsidRDefault="00B67E9C">
            <w:pPr>
              <w:pStyle w:val="BodyText"/>
              <w:spacing w:before="60" w:after="60"/>
              <w:rPr>
                <w:rFonts w:asciiTheme="majorHAnsi" w:hAnsiTheme="majorHAnsi"/>
                <w:sz w:val="18"/>
                <w:szCs w:val="18"/>
              </w:rPr>
            </w:pPr>
            <w:proofErr w:type="spellStart"/>
            <w:r>
              <w:rPr>
                <w:rFonts w:asciiTheme="majorHAnsi" w:hAnsiTheme="majorHAnsi"/>
                <w:sz w:val="18"/>
                <w:szCs w:val="18"/>
              </w:rPr>
              <w:t>Litre</w:t>
            </w:r>
            <w:proofErr w:type="spellEnd"/>
          </w:p>
        </w:tc>
      </w:tr>
      <w:tr w:rsidR="00B67E9C" w14:paraId="30B3F47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A71B5B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MEPS</w:t>
            </w:r>
          </w:p>
        </w:tc>
        <w:tc>
          <w:tcPr>
            <w:tcW w:w="7365" w:type="dxa"/>
            <w:tcBorders>
              <w:top w:val="single" w:sz="4" w:space="0" w:color="auto"/>
              <w:left w:val="single" w:sz="4" w:space="0" w:color="auto"/>
              <w:bottom w:val="single" w:sz="4" w:space="0" w:color="auto"/>
              <w:right w:val="single" w:sz="4" w:space="0" w:color="auto"/>
            </w:tcBorders>
            <w:hideMark/>
          </w:tcPr>
          <w:p w14:paraId="47555BE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Minimum energy performance standards</w:t>
            </w:r>
          </w:p>
        </w:tc>
      </w:tr>
      <w:tr w:rsidR="00B67E9C" w14:paraId="1147163F"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2B5D4D2"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MAC</w:t>
            </w:r>
          </w:p>
        </w:tc>
        <w:tc>
          <w:tcPr>
            <w:tcW w:w="7365" w:type="dxa"/>
            <w:tcBorders>
              <w:top w:val="single" w:sz="4" w:space="0" w:color="auto"/>
              <w:left w:val="single" w:sz="4" w:space="0" w:color="auto"/>
              <w:bottom w:val="single" w:sz="4" w:space="0" w:color="auto"/>
              <w:right w:val="single" w:sz="4" w:space="0" w:color="auto"/>
            </w:tcBorders>
            <w:hideMark/>
          </w:tcPr>
          <w:p w14:paraId="14B2252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Mobile air conditioning</w:t>
            </w:r>
          </w:p>
        </w:tc>
      </w:tr>
      <w:tr w:rsidR="00B67E9C" w14:paraId="02BEAFD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F2D1C4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MJ</w:t>
            </w:r>
          </w:p>
        </w:tc>
        <w:tc>
          <w:tcPr>
            <w:tcW w:w="7365" w:type="dxa"/>
            <w:tcBorders>
              <w:top w:val="single" w:sz="4" w:space="0" w:color="auto"/>
              <w:left w:val="single" w:sz="4" w:space="0" w:color="auto"/>
              <w:bottom w:val="single" w:sz="4" w:space="0" w:color="auto"/>
              <w:right w:val="single" w:sz="4" w:space="0" w:color="auto"/>
            </w:tcBorders>
            <w:hideMark/>
          </w:tcPr>
          <w:p w14:paraId="30A345EF"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Megajoule, or million joules</w:t>
            </w:r>
          </w:p>
        </w:tc>
      </w:tr>
      <w:tr w:rsidR="00B67E9C" w14:paraId="02884CE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686C0EDC"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Mt</w:t>
            </w:r>
          </w:p>
        </w:tc>
        <w:tc>
          <w:tcPr>
            <w:tcW w:w="7365" w:type="dxa"/>
            <w:tcBorders>
              <w:top w:val="single" w:sz="4" w:space="0" w:color="auto"/>
              <w:left w:val="single" w:sz="4" w:space="0" w:color="auto"/>
              <w:bottom w:val="single" w:sz="4" w:space="0" w:color="auto"/>
              <w:right w:val="single" w:sz="4" w:space="0" w:color="auto"/>
            </w:tcBorders>
            <w:hideMark/>
          </w:tcPr>
          <w:p w14:paraId="14830CA2" w14:textId="77777777" w:rsidR="00B67E9C" w:rsidRDefault="00B67E9C">
            <w:pPr>
              <w:pStyle w:val="BodyText"/>
              <w:spacing w:before="60" w:after="60"/>
              <w:rPr>
                <w:rFonts w:asciiTheme="majorHAnsi" w:hAnsiTheme="majorHAnsi"/>
                <w:sz w:val="18"/>
                <w:szCs w:val="18"/>
              </w:rPr>
            </w:pPr>
            <w:proofErr w:type="spellStart"/>
            <w:r>
              <w:rPr>
                <w:rFonts w:asciiTheme="majorHAnsi" w:hAnsiTheme="majorHAnsi"/>
                <w:sz w:val="18"/>
                <w:szCs w:val="18"/>
              </w:rPr>
              <w:t>Megatonne</w:t>
            </w:r>
            <w:proofErr w:type="spellEnd"/>
            <w:r>
              <w:rPr>
                <w:rFonts w:asciiTheme="majorHAnsi" w:hAnsiTheme="majorHAnsi"/>
                <w:sz w:val="18"/>
                <w:szCs w:val="18"/>
              </w:rPr>
              <w:t xml:space="preserve">, or million </w:t>
            </w:r>
            <w:proofErr w:type="spellStart"/>
            <w:r>
              <w:rPr>
                <w:rFonts w:asciiTheme="majorHAnsi" w:hAnsiTheme="majorHAnsi"/>
                <w:sz w:val="18"/>
                <w:szCs w:val="18"/>
              </w:rPr>
              <w:t>tonnes</w:t>
            </w:r>
            <w:proofErr w:type="spellEnd"/>
          </w:p>
        </w:tc>
      </w:tr>
      <w:tr w:rsidR="00B67E9C" w14:paraId="5DF528B2"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1FA767C"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ODS</w:t>
            </w:r>
          </w:p>
        </w:tc>
        <w:tc>
          <w:tcPr>
            <w:tcW w:w="7365" w:type="dxa"/>
            <w:tcBorders>
              <w:top w:val="single" w:sz="4" w:space="0" w:color="auto"/>
              <w:left w:val="single" w:sz="4" w:space="0" w:color="auto"/>
              <w:bottom w:val="single" w:sz="4" w:space="0" w:color="auto"/>
              <w:right w:val="single" w:sz="4" w:space="0" w:color="auto"/>
            </w:tcBorders>
            <w:hideMark/>
          </w:tcPr>
          <w:p w14:paraId="40A03A9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Ozone depleting substances</w:t>
            </w:r>
          </w:p>
        </w:tc>
      </w:tr>
      <w:tr w:rsidR="00B67E9C" w14:paraId="5B39513C"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21270D15"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OEM</w:t>
            </w:r>
          </w:p>
        </w:tc>
        <w:tc>
          <w:tcPr>
            <w:tcW w:w="7365" w:type="dxa"/>
            <w:tcBorders>
              <w:top w:val="single" w:sz="4" w:space="0" w:color="auto"/>
              <w:left w:val="single" w:sz="4" w:space="0" w:color="auto"/>
              <w:bottom w:val="single" w:sz="4" w:space="0" w:color="auto"/>
              <w:right w:val="single" w:sz="4" w:space="0" w:color="auto"/>
            </w:tcBorders>
            <w:hideMark/>
          </w:tcPr>
          <w:p w14:paraId="722D9EFD"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Original equipment manufacturer</w:t>
            </w:r>
          </w:p>
        </w:tc>
      </w:tr>
      <w:tr w:rsidR="00B67E9C" w14:paraId="56CEFAFD"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0EE586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OHS</w:t>
            </w:r>
          </w:p>
        </w:tc>
        <w:tc>
          <w:tcPr>
            <w:tcW w:w="7365" w:type="dxa"/>
            <w:tcBorders>
              <w:top w:val="single" w:sz="4" w:space="0" w:color="auto"/>
              <w:left w:val="single" w:sz="4" w:space="0" w:color="auto"/>
              <w:bottom w:val="single" w:sz="4" w:space="0" w:color="auto"/>
              <w:right w:val="single" w:sz="4" w:space="0" w:color="auto"/>
            </w:tcBorders>
            <w:hideMark/>
          </w:tcPr>
          <w:p w14:paraId="12C2D0BF" w14:textId="77777777" w:rsidR="00B67E9C" w:rsidRDefault="00B67E9C">
            <w:pPr>
              <w:pStyle w:val="BodyText"/>
              <w:spacing w:before="60" w:after="60"/>
              <w:rPr>
                <w:rFonts w:asciiTheme="majorHAnsi" w:hAnsiTheme="majorHAnsi"/>
                <w:i/>
                <w:sz w:val="18"/>
                <w:szCs w:val="18"/>
              </w:rPr>
            </w:pPr>
            <w:r>
              <w:rPr>
                <w:rFonts w:asciiTheme="majorHAnsi" w:hAnsiTheme="majorHAnsi"/>
                <w:sz w:val="18"/>
                <w:szCs w:val="18"/>
              </w:rPr>
              <w:t>Occupational Health and Safety</w:t>
            </w:r>
          </w:p>
        </w:tc>
      </w:tr>
      <w:tr w:rsidR="00B67E9C" w14:paraId="27983336"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5D7FA050"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lastRenderedPageBreak/>
              <w:t>OPSGGM Act</w:t>
            </w:r>
          </w:p>
        </w:tc>
        <w:tc>
          <w:tcPr>
            <w:tcW w:w="7365" w:type="dxa"/>
            <w:tcBorders>
              <w:top w:val="single" w:sz="4" w:space="0" w:color="auto"/>
              <w:left w:val="single" w:sz="4" w:space="0" w:color="auto"/>
              <w:bottom w:val="single" w:sz="4" w:space="0" w:color="auto"/>
              <w:right w:val="single" w:sz="4" w:space="0" w:color="auto"/>
            </w:tcBorders>
            <w:hideMark/>
          </w:tcPr>
          <w:p w14:paraId="0436063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Ozone Protection and Synthetic Greenhouse Gas Management Act 1989, including amendments</w:t>
            </w:r>
          </w:p>
        </w:tc>
      </w:tr>
      <w:tr w:rsidR="00B67E9C" w14:paraId="07457191"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14F154F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PCE</w:t>
            </w:r>
          </w:p>
        </w:tc>
        <w:tc>
          <w:tcPr>
            <w:tcW w:w="7365" w:type="dxa"/>
            <w:tcBorders>
              <w:top w:val="single" w:sz="4" w:space="0" w:color="auto"/>
              <w:left w:val="single" w:sz="4" w:space="0" w:color="auto"/>
              <w:bottom w:val="single" w:sz="4" w:space="0" w:color="auto"/>
              <w:right w:val="single" w:sz="4" w:space="0" w:color="auto"/>
            </w:tcBorders>
            <w:hideMark/>
          </w:tcPr>
          <w:p w14:paraId="09546F7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Pre-charged equipment</w:t>
            </w:r>
          </w:p>
        </w:tc>
      </w:tr>
      <w:tr w:rsidR="00B67E9C" w14:paraId="1C8C83AC"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E227DC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PJ</w:t>
            </w:r>
          </w:p>
        </w:tc>
        <w:tc>
          <w:tcPr>
            <w:tcW w:w="7365" w:type="dxa"/>
            <w:tcBorders>
              <w:top w:val="single" w:sz="4" w:space="0" w:color="auto"/>
              <w:left w:val="single" w:sz="4" w:space="0" w:color="auto"/>
              <w:bottom w:val="single" w:sz="4" w:space="0" w:color="auto"/>
              <w:right w:val="single" w:sz="4" w:space="0" w:color="auto"/>
            </w:tcBorders>
            <w:hideMark/>
          </w:tcPr>
          <w:p w14:paraId="5C3FF450" w14:textId="77777777" w:rsidR="00B67E9C" w:rsidRDefault="00B67E9C">
            <w:pPr>
              <w:pStyle w:val="BodyText"/>
              <w:spacing w:before="60" w:after="60"/>
              <w:rPr>
                <w:rFonts w:asciiTheme="majorHAnsi" w:hAnsiTheme="majorHAnsi"/>
                <w:i/>
                <w:sz w:val="18"/>
                <w:szCs w:val="18"/>
              </w:rPr>
            </w:pPr>
            <w:r>
              <w:rPr>
                <w:rFonts w:asciiTheme="majorHAnsi" w:hAnsiTheme="majorHAnsi"/>
                <w:sz w:val="18"/>
                <w:szCs w:val="18"/>
              </w:rPr>
              <w:t>Petajoule, or 10</w:t>
            </w:r>
            <w:r>
              <w:rPr>
                <w:rFonts w:asciiTheme="majorHAnsi" w:hAnsiTheme="majorHAnsi"/>
                <w:sz w:val="18"/>
                <w:szCs w:val="18"/>
                <w:vertAlign w:val="superscript"/>
              </w:rPr>
              <w:t>9</w:t>
            </w:r>
            <w:r>
              <w:rPr>
                <w:rFonts w:asciiTheme="majorHAnsi" w:hAnsiTheme="majorHAnsi"/>
                <w:sz w:val="18"/>
                <w:szCs w:val="18"/>
              </w:rPr>
              <w:t xml:space="preserve"> Joules</w:t>
            </w:r>
          </w:p>
        </w:tc>
      </w:tr>
      <w:tr w:rsidR="00B67E9C" w14:paraId="4735C1D6"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55A41275"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RAC</w:t>
            </w:r>
          </w:p>
        </w:tc>
        <w:tc>
          <w:tcPr>
            <w:tcW w:w="7365" w:type="dxa"/>
            <w:tcBorders>
              <w:top w:val="single" w:sz="4" w:space="0" w:color="auto"/>
              <w:left w:val="single" w:sz="4" w:space="0" w:color="auto"/>
              <w:bottom w:val="single" w:sz="4" w:space="0" w:color="auto"/>
              <w:right w:val="single" w:sz="4" w:space="0" w:color="auto"/>
            </w:tcBorders>
            <w:hideMark/>
          </w:tcPr>
          <w:p w14:paraId="1264FC75"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Refrigeration and air conditioning</w:t>
            </w:r>
          </w:p>
        </w:tc>
      </w:tr>
      <w:tr w:rsidR="00B67E9C" w14:paraId="47E58AF3"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745A0475"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RCFC</w:t>
            </w:r>
          </w:p>
        </w:tc>
        <w:tc>
          <w:tcPr>
            <w:tcW w:w="7365" w:type="dxa"/>
            <w:tcBorders>
              <w:top w:val="single" w:sz="4" w:space="0" w:color="auto"/>
              <w:left w:val="single" w:sz="4" w:space="0" w:color="auto"/>
              <w:bottom w:val="single" w:sz="4" w:space="0" w:color="auto"/>
              <w:right w:val="single" w:sz="4" w:space="0" w:color="auto"/>
            </w:tcBorders>
            <w:hideMark/>
          </w:tcPr>
          <w:p w14:paraId="3C69F4E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Refrigerated cold food chain</w:t>
            </w:r>
          </w:p>
        </w:tc>
      </w:tr>
      <w:tr w:rsidR="00B67E9C" w14:paraId="529D434B"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C10733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RHL</w:t>
            </w:r>
          </w:p>
        </w:tc>
        <w:tc>
          <w:tcPr>
            <w:tcW w:w="7365" w:type="dxa"/>
            <w:tcBorders>
              <w:top w:val="single" w:sz="4" w:space="0" w:color="auto"/>
              <w:left w:val="single" w:sz="4" w:space="0" w:color="auto"/>
              <w:bottom w:val="single" w:sz="4" w:space="0" w:color="auto"/>
              <w:right w:val="single" w:sz="4" w:space="0" w:color="auto"/>
            </w:tcBorders>
            <w:hideMark/>
          </w:tcPr>
          <w:p w14:paraId="2E2167F1"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 xml:space="preserve">Refrigerant handling </w:t>
            </w:r>
            <w:proofErr w:type="spellStart"/>
            <w:r>
              <w:rPr>
                <w:rFonts w:asciiTheme="majorHAnsi" w:hAnsiTheme="majorHAnsi"/>
                <w:sz w:val="18"/>
                <w:szCs w:val="18"/>
              </w:rPr>
              <w:t>licence</w:t>
            </w:r>
            <w:proofErr w:type="spellEnd"/>
          </w:p>
        </w:tc>
      </w:tr>
      <w:tr w:rsidR="00B67E9C" w14:paraId="57D4438E"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762B7DA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ROI</w:t>
            </w:r>
          </w:p>
        </w:tc>
        <w:tc>
          <w:tcPr>
            <w:tcW w:w="7365" w:type="dxa"/>
            <w:tcBorders>
              <w:top w:val="single" w:sz="4" w:space="0" w:color="auto"/>
              <w:left w:val="single" w:sz="4" w:space="0" w:color="auto"/>
              <w:bottom w:val="single" w:sz="4" w:space="0" w:color="auto"/>
              <w:right w:val="single" w:sz="4" w:space="0" w:color="auto"/>
            </w:tcBorders>
            <w:hideMark/>
          </w:tcPr>
          <w:p w14:paraId="7D80F8C3"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Return on investment</w:t>
            </w:r>
          </w:p>
        </w:tc>
      </w:tr>
      <w:tr w:rsidR="00B67E9C" w14:paraId="59526E35"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5307C0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RRA</w:t>
            </w:r>
          </w:p>
        </w:tc>
        <w:tc>
          <w:tcPr>
            <w:tcW w:w="7365" w:type="dxa"/>
            <w:tcBorders>
              <w:top w:val="single" w:sz="4" w:space="0" w:color="auto"/>
              <w:left w:val="single" w:sz="4" w:space="0" w:color="auto"/>
              <w:bottom w:val="single" w:sz="4" w:space="0" w:color="auto"/>
              <w:right w:val="single" w:sz="4" w:space="0" w:color="auto"/>
            </w:tcBorders>
            <w:hideMark/>
          </w:tcPr>
          <w:p w14:paraId="3012B910"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Refrigerant Reclaim Australia</w:t>
            </w:r>
          </w:p>
        </w:tc>
      </w:tr>
      <w:tr w:rsidR="00B67E9C" w14:paraId="5DEE096C"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A5AC77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RTA</w:t>
            </w:r>
          </w:p>
        </w:tc>
        <w:tc>
          <w:tcPr>
            <w:tcW w:w="7365" w:type="dxa"/>
            <w:tcBorders>
              <w:top w:val="single" w:sz="4" w:space="0" w:color="auto"/>
              <w:left w:val="single" w:sz="4" w:space="0" w:color="auto"/>
              <w:bottom w:val="single" w:sz="4" w:space="0" w:color="auto"/>
              <w:right w:val="single" w:sz="4" w:space="0" w:color="auto"/>
            </w:tcBorders>
            <w:hideMark/>
          </w:tcPr>
          <w:p w14:paraId="17A2DC6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 xml:space="preserve">Refrigerant trading </w:t>
            </w:r>
            <w:proofErr w:type="spellStart"/>
            <w:r>
              <w:rPr>
                <w:rFonts w:asciiTheme="majorHAnsi" w:hAnsiTheme="majorHAnsi"/>
                <w:sz w:val="18"/>
                <w:szCs w:val="18"/>
              </w:rPr>
              <w:t>authorisation</w:t>
            </w:r>
            <w:proofErr w:type="spellEnd"/>
          </w:p>
        </w:tc>
      </w:tr>
      <w:tr w:rsidR="00B67E9C" w14:paraId="39728F46"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FEC624F"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SEC</w:t>
            </w:r>
          </w:p>
        </w:tc>
        <w:tc>
          <w:tcPr>
            <w:tcW w:w="7365" w:type="dxa"/>
            <w:tcBorders>
              <w:top w:val="single" w:sz="4" w:space="0" w:color="auto"/>
              <w:left w:val="single" w:sz="4" w:space="0" w:color="auto"/>
              <w:bottom w:val="single" w:sz="4" w:space="0" w:color="auto"/>
              <w:right w:val="single" w:sz="4" w:space="0" w:color="auto"/>
            </w:tcBorders>
            <w:hideMark/>
          </w:tcPr>
          <w:p w14:paraId="7A841DA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Specific Energy Consumption</w:t>
            </w:r>
          </w:p>
        </w:tc>
      </w:tr>
      <w:tr w:rsidR="00B67E9C" w14:paraId="52812B60"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7AEF30C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SGG</w:t>
            </w:r>
          </w:p>
        </w:tc>
        <w:tc>
          <w:tcPr>
            <w:tcW w:w="7365" w:type="dxa"/>
            <w:tcBorders>
              <w:top w:val="single" w:sz="4" w:space="0" w:color="auto"/>
              <w:left w:val="single" w:sz="4" w:space="0" w:color="auto"/>
              <w:bottom w:val="single" w:sz="4" w:space="0" w:color="auto"/>
              <w:right w:val="single" w:sz="4" w:space="0" w:color="auto"/>
            </w:tcBorders>
            <w:hideMark/>
          </w:tcPr>
          <w:p w14:paraId="452FB6B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Synthetic greenhouse gas</w:t>
            </w:r>
          </w:p>
        </w:tc>
      </w:tr>
      <w:tr w:rsidR="00B67E9C" w14:paraId="461C2719"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069D1C0"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TAFE</w:t>
            </w:r>
          </w:p>
        </w:tc>
        <w:tc>
          <w:tcPr>
            <w:tcW w:w="7365" w:type="dxa"/>
            <w:tcBorders>
              <w:top w:val="single" w:sz="4" w:space="0" w:color="auto"/>
              <w:left w:val="single" w:sz="4" w:space="0" w:color="auto"/>
              <w:bottom w:val="single" w:sz="4" w:space="0" w:color="auto"/>
              <w:right w:val="single" w:sz="4" w:space="0" w:color="auto"/>
            </w:tcBorders>
            <w:hideMark/>
          </w:tcPr>
          <w:p w14:paraId="36A07E5B"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Technical and Further Education</w:t>
            </w:r>
          </w:p>
        </w:tc>
      </w:tr>
      <w:tr w:rsidR="00B67E9C" w14:paraId="6CF7FEDD"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4114D335" w14:textId="77777777" w:rsidR="00B67E9C" w:rsidRDefault="00B67E9C">
            <w:pPr>
              <w:pStyle w:val="BodyText"/>
              <w:spacing w:before="60" w:after="60"/>
              <w:rPr>
                <w:rFonts w:asciiTheme="majorHAnsi" w:hAnsiTheme="majorHAnsi"/>
                <w:sz w:val="18"/>
                <w:szCs w:val="18"/>
              </w:rPr>
            </w:pPr>
            <w:proofErr w:type="spellStart"/>
            <w:r>
              <w:rPr>
                <w:rFonts w:asciiTheme="majorHAnsi" w:hAnsiTheme="majorHAnsi"/>
                <w:sz w:val="18"/>
                <w:szCs w:val="18"/>
              </w:rPr>
              <w:t>Tonne</w:t>
            </w:r>
            <w:proofErr w:type="spellEnd"/>
            <w:r>
              <w:rPr>
                <w:rFonts w:asciiTheme="majorHAnsi" w:hAnsiTheme="majorHAnsi"/>
                <w:sz w:val="18"/>
                <w:szCs w:val="18"/>
              </w:rPr>
              <w:t xml:space="preserve"> or t</w:t>
            </w:r>
          </w:p>
        </w:tc>
        <w:tc>
          <w:tcPr>
            <w:tcW w:w="7365" w:type="dxa"/>
            <w:tcBorders>
              <w:top w:val="single" w:sz="4" w:space="0" w:color="auto"/>
              <w:left w:val="single" w:sz="4" w:space="0" w:color="auto"/>
              <w:bottom w:val="single" w:sz="4" w:space="0" w:color="auto"/>
              <w:right w:val="single" w:sz="4" w:space="0" w:color="auto"/>
            </w:tcBorders>
            <w:hideMark/>
          </w:tcPr>
          <w:p w14:paraId="56F76C06"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 xml:space="preserve">Metric </w:t>
            </w:r>
            <w:proofErr w:type="spellStart"/>
            <w:r>
              <w:rPr>
                <w:rFonts w:asciiTheme="majorHAnsi" w:hAnsiTheme="majorHAnsi"/>
                <w:sz w:val="18"/>
                <w:szCs w:val="18"/>
              </w:rPr>
              <w:t>tonne</w:t>
            </w:r>
            <w:proofErr w:type="spellEnd"/>
          </w:p>
        </w:tc>
      </w:tr>
      <w:tr w:rsidR="00B67E9C" w14:paraId="255BF768"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00F95894"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UNFCCC</w:t>
            </w:r>
          </w:p>
        </w:tc>
        <w:tc>
          <w:tcPr>
            <w:tcW w:w="7365" w:type="dxa"/>
            <w:tcBorders>
              <w:top w:val="single" w:sz="4" w:space="0" w:color="auto"/>
              <w:left w:val="single" w:sz="4" w:space="0" w:color="auto"/>
              <w:bottom w:val="single" w:sz="4" w:space="0" w:color="auto"/>
              <w:right w:val="single" w:sz="4" w:space="0" w:color="auto"/>
            </w:tcBorders>
            <w:hideMark/>
          </w:tcPr>
          <w:p w14:paraId="78C7D5A4"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 xml:space="preserve">United Nations Framework Convention on Climate Change </w:t>
            </w:r>
          </w:p>
        </w:tc>
      </w:tr>
      <w:tr w:rsidR="00B67E9C" w14:paraId="52D7EDC4" w14:textId="77777777" w:rsidTr="00B67E9C">
        <w:trPr>
          <w:trHeight w:val="342"/>
        </w:trPr>
        <w:tc>
          <w:tcPr>
            <w:tcW w:w="2127" w:type="dxa"/>
            <w:tcBorders>
              <w:top w:val="single" w:sz="4" w:space="0" w:color="auto"/>
              <w:left w:val="single" w:sz="4" w:space="0" w:color="auto"/>
              <w:bottom w:val="single" w:sz="4" w:space="0" w:color="auto"/>
              <w:right w:val="single" w:sz="4" w:space="0" w:color="auto"/>
            </w:tcBorders>
            <w:hideMark/>
          </w:tcPr>
          <w:p w14:paraId="542F1557"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VRV/F</w:t>
            </w:r>
          </w:p>
        </w:tc>
        <w:tc>
          <w:tcPr>
            <w:tcW w:w="7365" w:type="dxa"/>
            <w:tcBorders>
              <w:top w:val="single" w:sz="4" w:space="0" w:color="auto"/>
              <w:left w:val="single" w:sz="4" w:space="0" w:color="auto"/>
              <w:bottom w:val="single" w:sz="4" w:space="0" w:color="auto"/>
              <w:right w:val="single" w:sz="4" w:space="0" w:color="auto"/>
            </w:tcBorders>
            <w:hideMark/>
          </w:tcPr>
          <w:p w14:paraId="2D528C2A" w14:textId="77777777" w:rsidR="00B67E9C" w:rsidRDefault="00B67E9C">
            <w:pPr>
              <w:pStyle w:val="BodyText"/>
              <w:spacing w:before="60" w:after="60"/>
              <w:rPr>
                <w:rFonts w:asciiTheme="majorHAnsi" w:hAnsiTheme="majorHAnsi"/>
                <w:sz w:val="18"/>
                <w:szCs w:val="18"/>
              </w:rPr>
            </w:pPr>
            <w:r>
              <w:rPr>
                <w:rFonts w:asciiTheme="majorHAnsi" w:hAnsiTheme="majorHAnsi"/>
                <w:sz w:val="18"/>
                <w:szCs w:val="18"/>
              </w:rPr>
              <w:t>Variable refrigerant volume/flow</w:t>
            </w:r>
          </w:p>
        </w:tc>
      </w:tr>
    </w:tbl>
    <w:p w14:paraId="40C94F1F" w14:textId="77777777" w:rsidR="00B67E9C" w:rsidRDefault="00B67E9C" w:rsidP="00B67E9C">
      <w:pPr>
        <w:spacing w:before="0"/>
      </w:pPr>
    </w:p>
    <w:p w14:paraId="05ED26B7" w14:textId="77777777" w:rsidR="00B67E9C" w:rsidRDefault="00B67E9C" w:rsidP="00B67E9C">
      <w:pPr>
        <w:spacing w:before="0"/>
        <w:jc w:val="left"/>
      </w:pPr>
      <w:r>
        <w:br w:type="page"/>
      </w:r>
    </w:p>
    <w:p w14:paraId="75F2F4C6" w14:textId="77777777" w:rsidR="00B67E9C" w:rsidRDefault="00B67E9C" w:rsidP="00B67E9C">
      <w:pPr>
        <w:pStyle w:val="Heading1"/>
        <w:numPr>
          <w:ilvl w:val="0"/>
          <w:numId w:val="5"/>
        </w:numPr>
      </w:pPr>
      <w:bookmarkStart w:id="2" w:name="_Toc54601638"/>
      <w:r>
        <w:lastRenderedPageBreak/>
        <w:t>Appendix A: Methodology – Taxonomy, data and assumptions</w:t>
      </w:r>
      <w:bookmarkEnd w:id="2"/>
    </w:p>
    <w:p w14:paraId="04A535E9" w14:textId="77777777" w:rsidR="00B67E9C" w:rsidRDefault="00B67E9C" w:rsidP="00B67E9C">
      <w:pPr>
        <w:pStyle w:val="Heading2"/>
        <w:numPr>
          <w:ilvl w:val="1"/>
          <w:numId w:val="5"/>
        </w:numPr>
      </w:pPr>
      <w:bookmarkStart w:id="3" w:name="_Toc54601639"/>
      <w:r>
        <w:t>Taxonomy of a technology</w:t>
      </w:r>
      <w:bookmarkEnd w:id="3"/>
    </w:p>
    <w:p w14:paraId="5111E75D" w14:textId="77777777" w:rsidR="00B67E9C" w:rsidRDefault="00B67E9C" w:rsidP="00B67E9C">
      <w:pPr>
        <w:rPr>
          <w:rFonts w:cs="Times New Roman"/>
          <w:szCs w:val="22"/>
          <w:lang w:val="en-US"/>
        </w:rPr>
      </w:pPr>
      <w:r>
        <w:rPr>
          <w:rFonts w:cs="Times New Roman"/>
          <w:szCs w:val="22"/>
          <w:lang w:val="en-US"/>
        </w:rPr>
        <w:t xml:space="preserve">The data presented in this report has been derived from an extensive Excel workbook that has, at its core, a stock model of all RAC equipment employed in Australia. The central feature of the stock of equipment in this model is that it all employs vapor compression refrigeration systems in the delivery of an energy service, either cooling or heating, or both. </w:t>
      </w:r>
    </w:p>
    <w:p w14:paraId="36E5ABB5" w14:textId="77777777" w:rsidR="00B67E9C" w:rsidRDefault="00B67E9C" w:rsidP="00B67E9C">
      <w:pPr>
        <w:rPr>
          <w:rFonts w:cs="Times New Roman"/>
          <w:szCs w:val="22"/>
          <w:lang w:val="en-US"/>
        </w:rPr>
      </w:pPr>
      <w:r>
        <w:rPr>
          <w:rFonts w:cs="Times New Roman"/>
          <w:szCs w:val="22"/>
          <w:lang w:val="en-US"/>
        </w:rPr>
        <w:t>All electro-mechanical RAC equipment employing vapor compression refrigeration systems use just four essential technical elements:</w:t>
      </w:r>
    </w:p>
    <w:p w14:paraId="23F91F30"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 xml:space="preserve">a </w:t>
      </w:r>
      <w:proofErr w:type="gramStart"/>
      <w:r>
        <w:rPr>
          <w:rFonts w:ascii="Times New Roman" w:hAnsi="Times New Roman"/>
        </w:rPr>
        <w:t>compressor;</w:t>
      </w:r>
      <w:proofErr w:type="gramEnd"/>
    </w:p>
    <w:p w14:paraId="272E4583"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a refrigerant (the thermal medium which is used to move heat from one place to another</w:t>
      </w:r>
      <w:proofErr w:type="gramStart"/>
      <w:r>
        <w:rPr>
          <w:rFonts w:ascii="Times New Roman" w:hAnsi="Times New Roman"/>
        </w:rPr>
        <w:t>);</w:t>
      </w:r>
      <w:proofErr w:type="gramEnd"/>
    </w:p>
    <w:p w14:paraId="352D7A99"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an evaporator that uses the adiabatic effect to reduce the temperature of a space by evaporating the previously compressed refrigerant gas; and,</w:t>
      </w:r>
    </w:p>
    <w:p w14:paraId="2CC5086A"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a condenser or heat exchanger outside the refrigerated space that allows the evaporated then recompressed gas to cool, transferring the excess heat to the atmosphere (air cooled) or into water (water cooled).</w:t>
      </w:r>
    </w:p>
    <w:p w14:paraId="1DE09344" w14:textId="77777777" w:rsidR="00B67E9C" w:rsidRDefault="00B67E9C" w:rsidP="00B67E9C">
      <w:pPr>
        <w:rPr>
          <w:rFonts w:cs="Times New Roman"/>
          <w:szCs w:val="22"/>
          <w:lang w:val="en-US"/>
        </w:rPr>
      </w:pPr>
      <w:r>
        <w:rPr>
          <w:rFonts w:cs="Times New Roman"/>
          <w:szCs w:val="22"/>
          <w:lang w:val="en-US"/>
        </w:rPr>
        <w:t xml:space="preserve">These common electro-mechanical elements of RAC technology can be fabricated into equipment in </w:t>
      </w:r>
      <w:proofErr w:type="gramStart"/>
      <w:r>
        <w:rPr>
          <w:rFonts w:cs="Times New Roman"/>
          <w:szCs w:val="22"/>
          <w:lang w:val="en-US"/>
        </w:rPr>
        <w:t>a number of</w:t>
      </w:r>
      <w:proofErr w:type="gramEnd"/>
      <w:r>
        <w:rPr>
          <w:rFonts w:cs="Times New Roman"/>
          <w:szCs w:val="22"/>
          <w:lang w:val="en-US"/>
        </w:rPr>
        <w:t xml:space="preserve"> different ways, with the main components incorporated in quite different physical relationships to each other, to deliver heat exchange/cooling services. For instance, </w:t>
      </w:r>
      <w:proofErr w:type="gramStart"/>
      <w:r>
        <w:rPr>
          <w:rFonts w:cs="Times New Roman"/>
          <w:szCs w:val="22"/>
          <w:lang w:val="en-US"/>
        </w:rPr>
        <w:t>all of</w:t>
      </w:r>
      <w:proofErr w:type="gramEnd"/>
      <w:r>
        <w:rPr>
          <w:rFonts w:cs="Times New Roman"/>
          <w:szCs w:val="22"/>
          <w:lang w:val="en-US"/>
        </w:rPr>
        <w:t xml:space="preserve"> the four basic elements of vapor compression refrigeration are present in both a domestic refrigerator that is small enough for a single person can pick up, and into a system that has the capacity to regulate the temperature and humidity of an airport terminal, or the cockpit of a fighter aircraft, but obviously all in very different formats. </w:t>
      </w:r>
    </w:p>
    <w:p w14:paraId="4B7E597D" w14:textId="77777777" w:rsidR="00B67E9C" w:rsidRDefault="00B67E9C" w:rsidP="00B67E9C">
      <w:pPr>
        <w:rPr>
          <w:rFonts w:cs="Times New Roman"/>
          <w:szCs w:val="22"/>
          <w:lang w:val="en-US"/>
        </w:rPr>
      </w:pPr>
      <w:r>
        <w:rPr>
          <w:rFonts w:cs="Times New Roman"/>
          <w:szCs w:val="22"/>
          <w:lang w:val="en-US"/>
        </w:rPr>
        <w:t xml:space="preserve">Because RAC technology and services, after 150 years of development, have become integrated into every sector of the modern economy, the number and variety of equipment formats that the RAC industry now supplies is highly varied. </w:t>
      </w:r>
    </w:p>
    <w:p w14:paraId="493BFCAE" w14:textId="77777777" w:rsidR="00B67E9C" w:rsidRDefault="00B67E9C" w:rsidP="00B67E9C">
      <w:pPr>
        <w:rPr>
          <w:rFonts w:cs="Times New Roman"/>
          <w:szCs w:val="22"/>
          <w:lang w:val="en-US"/>
        </w:rPr>
      </w:pPr>
      <w:r>
        <w:rPr>
          <w:rFonts w:cs="Times New Roman"/>
          <w:szCs w:val="22"/>
          <w:lang w:val="en-US"/>
        </w:rPr>
        <w:t xml:space="preserve">To best manage the mass of data that must be captured and </w:t>
      </w:r>
      <w:proofErr w:type="spellStart"/>
      <w:r>
        <w:rPr>
          <w:rFonts w:cs="Times New Roman"/>
          <w:szCs w:val="22"/>
          <w:lang w:val="en-US"/>
        </w:rPr>
        <w:t>analysed</w:t>
      </w:r>
      <w:proofErr w:type="spellEnd"/>
      <w:r>
        <w:rPr>
          <w:rFonts w:cs="Times New Roman"/>
          <w:szCs w:val="22"/>
          <w:lang w:val="en-US"/>
        </w:rPr>
        <w:t xml:space="preserve"> in the stock model to understand the scale of the RAC industry and </w:t>
      </w:r>
      <w:proofErr w:type="gramStart"/>
      <w:r>
        <w:rPr>
          <w:rFonts w:cs="Times New Roman"/>
          <w:szCs w:val="22"/>
          <w:lang w:val="en-US"/>
        </w:rPr>
        <w:t>all of</w:t>
      </w:r>
      <w:proofErr w:type="gramEnd"/>
      <w:r>
        <w:rPr>
          <w:rFonts w:cs="Times New Roman"/>
          <w:szCs w:val="22"/>
          <w:lang w:val="en-US"/>
        </w:rPr>
        <w:t xml:space="preserve"> the applications and equipment formats that it delivers, the stock of RAC equipment has been divided and </w:t>
      </w:r>
      <w:proofErr w:type="spellStart"/>
      <w:r>
        <w:rPr>
          <w:rFonts w:cs="Times New Roman"/>
          <w:szCs w:val="22"/>
          <w:lang w:val="en-US"/>
        </w:rPr>
        <w:t>categorised</w:t>
      </w:r>
      <w:proofErr w:type="spellEnd"/>
      <w:r>
        <w:rPr>
          <w:rFonts w:cs="Times New Roman"/>
          <w:szCs w:val="22"/>
          <w:lang w:val="en-US"/>
        </w:rPr>
        <w:t xml:space="preserve"> into a taxonomy. </w:t>
      </w:r>
    </w:p>
    <w:p w14:paraId="1D598B1C" w14:textId="77777777" w:rsidR="00B67E9C" w:rsidRDefault="00B67E9C" w:rsidP="00B67E9C">
      <w:pPr>
        <w:rPr>
          <w:rFonts w:cs="Times New Roman"/>
          <w:szCs w:val="22"/>
          <w:lang w:val="en-US"/>
        </w:rPr>
      </w:pPr>
      <w:r>
        <w:rPr>
          <w:rFonts w:cs="Times New Roman"/>
          <w:szCs w:val="22"/>
          <w:lang w:val="en-US"/>
        </w:rPr>
        <w:t xml:space="preserve">This taxonomy of a technology is made up of 4 broad classes, 14 segments and 59 product categories as set out in </w:t>
      </w:r>
      <w:r>
        <w:rPr>
          <w:rFonts w:cs="Times New Roman"/>
          <w:i/>
          <w:szCs w:val="22"/>
          <w:lang w:val="en-US"/>
        </w:rPr>
        <w:t>Appendix: B1: CHF3 Taxonomy</w:t>
      </w:r>
      <w:r>
        <w:rPr>
          <w:rFonts w:cs="Times New Roman"/>
          <w:szCs w:val="22"/>
          <w:lang w:val="en-US"/>
        </w:rPr>
        <w:t xml:space="preserve">. </w:t>
      </w:r>
    </w:p>
    <w:p w14:paraId="0F3A7A3B" w14:textId="77777777" w:rsidR="00B67E9C" w:rsidRDefault="00B67E9C" w:rsidP="00B67E9C">
      <w:pPr>
        <w:rPr>
          <w:rFonts w:cs="Times New Roman"/>
          <w:szCs w:val="22"/>
          <w:lang w:val="en-US"/>
        </w:rPr>
      </w:pPr>
      <w:r>
        <w:rPr>
          <w:rFonts w:cs="Times New Roman"/>
          <w:szCs w:val="22"/>
          <w:lang w:val="en-US"/>
        </w:rPr>
        <w:t>The 4 classes of equipment encompass the four main applications for RAC technology, being stationary air conditioning, mobile air conditioning, domestic refrigeration, and the refrigerated cold food chain. These four classes are listed in order of the size of the refrigerant bank of refrigerant they employ, at least in the Australian context.</w:t>
      </w:r>
    </w:p>
    <w:p w14:paraId="516FE0BB" w14:textId="77777777" w:rsidR="00B67E9C" w:rsidRDefault="00B67E9C" w:rsidP="00B67E9C">
      <w:pPr>
        <w:rPr>
          <w:rFonts w:cs="Times New Roman"/>
          <w:szCs w:val="22"/>
          <w:lang w:val="en-US"/>
        </w:rPr>
      </w:pPr>
      <w:r>
        <w:rPr>
          <w:rFonts w:cs="Times New Roman"/>
          <w:szCs w:val="22"/>
          <w:lang w:val="en-US"/>
        </w:rPr>
        <w:t>Starting with these four classes the taxonomy is built on a second and a third order classification in the following hierarchy:</w:t>
      </w:r>
    </w:p>
    <w:p w14:paraId="4C0D41B8" w14:textId="77777777" w:rsidR="00B67E9C" w:rsidRDefault="00B67E9C" w:rsidP="00B67E9C">
      <w:pPr>
        <w:pStyle w:val="ListParagraph"/>
        <w:numPr>
          <w:ilvl w:val="0"/>
          <w:numId w:val="7"/>
        </w:numPr>
        <w:spacing w:before="120" w:after="0" w:line="240" w:lineRule="auto"/>
        <w:jc w:val="both"/>
        <w:rPr>
          <w:rFonts w:ascii="Times New Roman" w:hAnsi="Times New Roman"/>
        </w:rPr>
      </w:pPr>
      <w:r>
        <w:rPr>
          <w:rFonts w:ascii="Times New Roman" w:hAnsi="Times New Roman"/>
        </w:rPr>
        <w:t>Class</w:t>
      </w:r>
    </w:p>
    <w:p w14:paraId="339F1D3D" w14:textId="77777777" w:rsidR="00B67E9C" w:rsidRDefault="00B67E9C" w:rsidP="00B67E9C">
      <w:pPr>
        <w:pStyle w:val="ListParagraph"/>
        <w:numPr>
          <w:ilvl w:val="0"/>
          <w:numId w:val="7"/>
        </w:numPr>
        <w:spacing w:before="120" w:after="0" w:line="240" w:lineRule="auto"/>
        <w:jc w:val="both"/>
        <w:rPr>
          <w:rFonts w:ascii="Times New Roman" w:hAnsi="Times New Roman"/>
        </w:rPr>
      </w:pPr>
      <w:r>
        <w:rPr>
          <w:rFonts w:ascii="Times New Roman" w:hAnsi="Times New Roman"/>
        </w:rPr>
        <w:t>Segment</w:t>
      </w:r>
    </w:p>
    <w:p w14:paraId="7A318E7D" w14:textId="77777777" w:rsidR="00B67E9C" w:rsidRDefault="00B67E9C" w:rsidP="00B67E9C">
      <w:pPr>
        <w:pStyle w:val="ListParagraph"/>
        <w:numPr>
          <w:ilvl w:val="0"/>
          <w:numId w:val="7"/>
        </w:numPr>
        <w:spacing w:before="120" w:after="0" w:line="240" w:lineRule="auto"/>
        <w:jc w:val="both"/>
        <w:rPr>
          <w:rFonts w:ascii="Times New Roman" w:hAnsi="Times New Roman"/>
        </w:rPr>
      </w:pPr>
      <w:r>
        <w:rPr>
          <w:rFonts w:ascii="Times New Roman" w:hAnsi="Times New Roman"/>
        </w:rPr>
        <w:t>Product category</w:t>
      </w:r>
    </w:p>
    <w:p w14:paraId="5A344FBD" w14:textId="77777777" w:rsidR="00B67E9C" w:rsidRDefault="00B67E9C" w:rsidP="00B67E9C">
      <w:pPr>
        <w:rPr>
          <w:rFonts w:cs="Times New Roman"/>
          <w:szCs w:val="22"/>
          <w:lang w:val="en-US"/>
        </w:rPr>
      </w:pPr>
      <w:r>
        <w:rPr>
          <w:rFonts w:cs="Times New Roman"/>
          <w:szCs w:val="22"/>
          <w:lang w:val="en-US"/>
        </w:rPr>
        <w:t>Each product category has a product code which uses an abbreviation of the name of the class to identify the class to which it belongs followed by a set of numbers identifying the segment number within the class and then the products position or order in the segment. The abbreviations used for each class are listed below:</w:t>
      </w:r>
    </w:p>
    <w:p w14:paraId="23E3E918"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Stationary air conditioning – AC</w:t>
      </w:r>
    </w:p>
    <w:p w14:paraId="7971F29D"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Mobile air conditioning – MAC</w:t>
      </w:r>
    </w:p>
    <w:p w14:paraId="23757A61"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lastRenderedPageBreak/>
        <w:t>Domestic refrigeration – DR</w:t>
      </w:r>
    </w:p>
    <w:p w14:paraId="6CE4B320"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Refrigerated cold food chain – RCFC</w:t>
      </w:r>
    </w:p>
    <w:p w14:paraId="1CB8D54D" w14:textId="77777777" w:rsidR="00B67E9C" w:rsidRDefault="00B67E9C" w:rsidP="00B67E9C">
      <w:pPr>
        <w:rPr>
          <w:rFonts w:cs="Times New Roman"/>
          <w:szCs w:val="22"/>
          <w:lang w:val="en-US"/>
        </w:rPr>
      </w:pPr>
      <w:r>
        <w:rPr>
          <w:rFonts w:cs="Times New Roman"/>
          <w:szCs w:val="22"/>
          <w:lang w:val="en-US"/>
        </w:rPr>
        <w:t>The second order nomenclature of each class or equipment is the segment which describes the general product formats and size of the RAC technology. For instance, the equipment segments in the stationary air conditioning class, include:</w:t>
      </w:r>
    </w:p>
    <w:p w14:paraId="79DBBC6B" w14:textId="77777777" w:rsidR="00B67E9C" w:rsidRDefault="00B67E9C" w:rsidP="00B67E9C">
      <w:pPr>
        <w:pStyle w:val="ListParagraph"/>
        <w:numPr>
          <w:ilvl w:val="0"/>
          <w:numId w:val="6"/>
        </w:numPr>
        <w:spacing w:before="120" w:after="0" w:line="240" w:lineRule="auto"/>
        <w:ind w:left="357" w:hanging="357"/>
        <w:jc w:val="both"/>
      </w:pPr>
      <w:r>
        <w:rPr>
          <w:rFonts w:ascii="Times New Roman" w:hAnsi="Times New Roman"/>
        </w:rPr>
        <w:t>AC1: Small AC: Self-contained</w:t>
      </w:r>
    </w:p>
    <w:p w14:paraId="7DD83FB7" w14:textId="77777777" w:rsidR="00B67E9C" w:rsidRDefault="00B67E9C" w:rsidP="00B67E9C">
      <w:pPr>
        <w:pStyle w:val="ListParagraph"/>
        <w:numPr>
          <w:ilvl w:val="0"/>
          <w:numId w:val="6"/>
        </w:numPr>
        <w:spacing w:before="120" w:after="0" w:line="240" w:lineRule="auto"/>
        <w:ind w:left="357" w:hanging="357"/>
        <w:jc w:val="both"/>
      </w:pPr>
      <w:r>
        <w:rPr>
          <w:rFonts w:ascii="Times New Roman" w:hAnsi="Times New Roman"/>
        </w:rPr>
        <w:t>AC2: Small AC: Non ducted</w:t>
      </w:r>
    </w:p>
    <w:p w14:paraId="6C115094" w14:textId="77777777" w:rsidR="00B67E9C" w:rsidRDefault="00B67E9C" w:rsidP="00B67E9C">
      <w:pPr>
        <w:pStyle w:val="ListParagraph"/>
        <w:numPr>
          <w:ilvl w:val="0"/>
          <w:numId w:val="6"/>
        </w:numPr>
        <w:spacing w:before="120" w:after="0" w:line="240" w:lineRule="auto"/>
        <w:ind w:left="357" w:hanging="357"/>
        <w:jc w:val="both"/>
      </w:pPr>
      <w:r>
        <w:rPr>
          <w:rFonts w:ascii="Times New Roman" w:hAnsi="Times New Roman"/>
        </w:rPr>
        <w:t>AC3: Medium AC: Ducted &amp; light commercial</w:t>
      </w:r>
    </w:p>
    <w:p w14:paraId="6F4D3CC4" w14:textId="77777777" w:rsidR="00B67E9C" w:rsidRDefault="00B67E9C" w:rsidP="00B67E9C">
      <w:pPr>
        <w:pStyle w:val="ListParagraph"/>
        <w:numPr>
          <w:ilvl w:val="0"/>
          <w:numId w:val="6"/>
        </w:numPr>
        <w:spacing w:before="120" w:after="0" w:line="240" w:lineRule="auto"/>
        <w:ind w:left="357" w:hanging="357"/>
        <w:jc w:val="both"/>
      </w:pPr>
      <w:r>
        <w:rPr>
          <w:rFonts w:ascii="Times New Roman" w:hAnsi="Times New Roman"/>
        </w:rPr>
        <w:t>AC4: Large AC: Chillers</w:t>
      </w:r>
    </w:p>
    <w:p w14:paraId="012126EA" w14:textId="77777777" w:rsidR="00B67E9C" w:rsidRDefault="00B67E9C" w:rsidP="00B67E9C">
      <w:pPr>
        <w:pStyle w:val="ListParagraph"/>
        <w:numPr>
          <w:ilvl w:val="0"/>
          <w:numId w:val="6"/>
        </w:numPr>
        <w:spacing w:before="120" w:after="0" w:line="240" w:lineRule="auto"/>
        <w:ind w:left="357" w:hanging="357"/>
        <w:jc w:val="both"/>
      </w:pPr>
      <w:r>
        <w:rPr>
          <w:rFonts w:ascii="Times New Roman" w:hAnsi="Times New Roman"/>
        </w:rPr>
        <w:t>AC5: Other</w:t>
      </w:r>
    </w:p>
    <w:p w14:paraId="6FDE8E49" w14:textId="77777777" w:rsidR="00B67E9C" w:rsidRDefault="00B67E9C" w:rsidP="00B67E9C">
      <w:pPr>
        <w:rPr>
          <w:rFonts w:cs="Times New Roman"/>
          <w:szCs w:val="22"/>
          <w:lang w:val="en-US"/>
        </w:rPr>
      </w:pPr>
      <w:r>
        <w:rPr>
          <w:rFonts w:cs="Times New Roman"/>
          <w:szCs w:val="22"/>
          <w:lang w:val="en-US"/>
        </w:rPr>
        <w:t>Finally, the third order nomenclature of the taxonomy is the product category, which are simply numbered for their order in the Segment. Product Categories may distinguish products on the basis of the size of their refrigerant charge, their refrigerating capacity, or some other distinguishing feature that both limits or defines the application of the product, or determines the physical equipment format, the way in which the elements of the core technology of vapor compression refrigeration relate to each other (</w:t>
      </w:r>
      <w:proofErr w:type="gramStart"/>
      <w:r>
        <w:rPr>
          <w:rFonts w:cs="Times New Roman"/>
          <w:szCs w:val="22"/>
          <w:lang w:val="en-US"/>
        </w:rPr>
        <w:t>i.e.</w:t>
      </w:r>
      <w:proofErr w:type="gramEnd"/>
      <w:r>
        <w:rPr>
          <w:rFonts w:cs="Times New Roman"/>
          <w:szCs w:val="22"/>
          <w:lang w:val="en-US"/>
        </w:rPr>
        <w:t xml:space="preserve"> self-contained or remote condenser).</w:t>
      </w:r>
    </w:p>
    <w:p w14:paraId="480577F6" w14:textId="77777777" w:rsidR="00B67E9C" w:rsidRDefault="00B67E9C" w:rsidP="00B67E9C">
      <w:pPr>
        <w:rPr>
          <w:rFonts w:cs="Times New Roman"/>
          <w:szCs w:val="22"/>
          <w:lang w:val="en-US"/>
        </w:rPr>
      </w:pPr>
      <w:r>
        <w:rPr>
          <w:rFonts w:cs="Times New Roman"/>
          <w:szCs w:val="22"/>
          <w:lang w:val="en-US"/>
        </w:rPr>
        <w:t xml:space="preserve">For </w:t>
      </w:r>
      <w:proofErr w:type="gramStart"/>
      <w:r>
        <w:rPr>
          <w:rFonts w:cs="Times New Roman"/>
          <w:szCs w:val="22"/>
          <w:lang w:val="en-US"/>
        </w:rPr>
        <w:t>instance</w:t>
      </w:r>
      <w:proofErr w:type="gramEnd"/>
      <w:r>
        <w:rPr>
          <w:rFonts w:cs="Times New Roman"/>
          <w:szCs w:val="22"/>
          <w:lang w:val="en-US"/>
        </w:rPr>
        <w:t xml:space="preserve"> the stationary air conditioning class includes ‘Single split: non-ducted’ (AC2-1 and AC2-2) and ‘Single split system: Ducted (AC3-1), describing the two most numerous equipment formats where the indoor evaporator is mounted separately from the outdoor condenser and the two are connected by piping through which the refrigerant is pumped back and forth between them. AC1-1 is ‘Window Wall: Non-ducted unitary &lt;10kWr, distinguishing this product category from the AC2 Segment because all of the elements of the vapor compression refrigeration system are integrated into a single device. Portable air conditioners are in the same segment as window wall units as they are also sealed unit (</w:t>
      </w:r>
      <w:proofErr w:type="gramStart"/>
      <w:r>
        <w:rPr>
          <w:rFonts w:cs="Times New Roman"/>
          <w:szCs w:val="22"/>
          <w:lang w:val="en-US"/>
        </w:rPr>
        <w:t>i.e.</w:t>
      </w:r>
      <w:proofErr w:type="gramEnd"/>
      <w:r>
        <w:rPr>
          <w:rFonts w:cs="Times New Roman"/>
          <w:szCs w:val="22"/>
          <w:lang w:val="en-US"/>
        </w:rPr>
        <w:t xml:space="preserve"> self-contained) and with similar refrigerating capacities.</w:t>
      </w:r>
    </w:p>
    <w:p w14:paraId="14D7FDE6" w14:textId="77777777" w:rsidR="00B67E9C" w:rsidRDefault="00B67E9C" w:rsidP="00B67E9C">
      <w:pPr>
        <w:rPr>
          <w:rFonts w:cs="Times New Roman"/>
          <w:szCs w:val="22"/>
          <w:lang w:val="en-US"/>
        </w:rPr>
      </w:pPr>
      <w:r>
        <w:rPr>
          <w:rFonts w:cs="Times New Roman"/>
          <w:szCs w:val="22"/>
          <w:lang w:val="en-US"/>
        </w:rPr>
        <w:t>Some numerous equipment types have two product categories, for instance:</w:t>
      </w:r>
    </w:p>
    <w:p w14:paraId="3D3418C0"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 xml:space="preserve">‘Single split: Ducted single phase (AC3-1); and </w:t>
      </w:r>
    </w:p>
    <w:p w14:paraId="12A6606F"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 xml:space="preserve">‘Single split: Ducted three </w:t>
      </w:r>
      <w:proofErr w:type="gramStart"/>
      <w:r>
        <w:rPr>
          <w:rFonts w:ascii="Times New Roman" w:hAnsi="Times New Roman"/>
        </w:rPr>
        <w:t>phase</w:t>
      </w:r>
      <w:proofErr w:type="gramEnd"/>
      <w:r>
        <w:rPr>
          <w:rFonts w:ascii="Times New Roman" w:hAnsi="Times New Roman"/>
        </w:rPr>
        <w:t xml:space="preserve"> (AC3-2).</w:t>
      </w:r>
    </w:p>
    <w:p w14:paraId="13CE3E45" w14:textId="77777777" w:rsidR="00B67E9C" w:rsidRDefault="00B67E9C" w:rsidP="00B67E9C">
      <w:pPr>
        <w:rPr>
          <w:lang w:val="en-US"/>
        </w:rPr>
      </w:pPr>
      <w:r>
        <w:rPr>
          <w:lang w:val="en-US"/>
        </w:rPr>
        <w:t>The two product categories AC3-1 and AC3-2 are distinguished by whether the equipment can be connected to single phase or three phase power. In this instance this distinction provides a direct correlation to the capacity of the compressors used and thus the refrigerating capacity range of the products in each product category.</w:t>
      </w:r>
    </w:p>
    <w:p w14:paraId="6A379C87" w14:textId="77777777" w:rsidR="00B67E9C" w:rsidRDefault="00B67E9C" w:rsidP="00B67E9C">
      <w:pPr>
        <w:rPr>
          <w:lang w:val="en-US"/>
        </w:rPr>
      </w:pPr>
      <w:r>
        <w:rPr>
          <w:lang w:val="en-US"/>
        </w:rPr>
        <w:t xml:space="preserve">Not all product category allocations may appear an obvious fit on first inspection. For instance, in the light commercial segment (AC6) of stationary air conditioning there are five product categories including AC6-5 pool heat pump as the last product in the segment. This product has been classified in the selected light commercial segment because in terms of electrical capacity, functional design, refrigerant type, refrigerant charge size and energy service delivered, it is effectively </w:t>
      </w:r>
      <w:proofErr w:type="gramStart"/>
      <w:r>
        <w:rPr>
          <w:lang w:val="en-US"/>
        </w:rPr>
        <w:t>similar to</w:t>
      </w:r>
      <w:proofErr w:type="gramEnd"/>
      <w:r>
        <w:rPr>
          <w:lang w:val="en-US"/>
        </w:rPr>
        <w:t xml:space="preserve"> other products in the segment. </w:t>
      </w:r>
    </w:p>
    <w:p w14:paraId="727CE179" w14:textId="77777777" w:rsidR="00B67E9C" w:rsidRDefault="00B67E9C" w:rsidP="00B67E9C">
      <w:pPr>
        <w:rPr>
          <w:lang w:val="en-US"/>
        </w:rPr>
      </w:pPr>
      <w:r>
        <w:rPr>
          <w:lang w:val="en-US"/>
        </w:rPr>
        <w:t xml:space="preserve">Due to the ubiquitous reach of RAC technology there are also some segments and product categories that include some ‘miscellaneous’ and ‘other’ descriptions, for instance in the mobile air conditioning class, in the large mobile air conditioning segment, several product categories are listed that include registered shipping and aircraft, locomotives and caravans. Obviously while the physical formats and even the refrigerants used are likely to be very different across these diverse applications, </w:t>
      </w:r>
      <w:proofErr w:type="gramStart"/>
      <w:r>
        <w:rPr>
          <w:lang w:val="en-US"/>
        </w:rPr>
        <w:t>all of</w:t>
      </w:r>
      <w:proofErr w:type="gramEnd"/>
      <w:r>
        <w:rPr>
          <w:lang w:val="en-US"/>
        </w:rPr>
        <w:t xml:space="preserve"> these product categories are defined by their end use in mobile systems.</w:t>
      </w:r>
    </w:p>
    <w:p w14:paraId="3BE2D784" w14:textId="77777777" w:rsidR="00B67E9C" w:rsidRDefault="00B67E9C" w:rsidP="00B67E9C">
      <w:pPr>
        <w:rPr>
          <w:lang w:val="en-US"/>
        </w:rPr>
      </w:pPr>
      <w:r>
        <w:rPr>
          <w:lang w:val="en-US"/>
        </w:rPr>
        <w:t xml:space="preserve">The concept and framework of the taxonomy was developed in the early stages of researching and writing Cold Hard Facts 1 in 2006 and was then </w:t>
      </w:r>
      <w:proofErr w:type="spellStart"/>
      <w:r>
        <w:rPr>
          <w:lang w:val="en-US"/>
        </w:rPr>
        <w:t>formalised</w:t>
      </w:r>
      <w:proofErr w:type="spellEnd"/>
      <w:r>
        <w:rPr>
          <w:lang w:val="en-US"/>
        </w:rPr>
        <w:t xml:space="preserve"> and updated in 2013. Since that time additional data has come to light, and indeed some large populations of RAC equipment that were essentially not </w:t>
      </w:r>
      <w:proofErr w:type="spellStart"/>
      <w:r>
        <w:rPr>
          <w:lang w:val="en-US"/>
        </w:rPr>
        <w:t>recognised</w:t>
      </w:r>
      <w:proofErr w:type="spellEnd"/>
      <w:r>
        <w:rPr>
          <w:lang w:val="en-US"/>
        </w:rPr>
        <w:t xml:space="preserve"> in 2012, that has required some changes to be made to the taxonomy. The taxonomy in </w:t>
      </w:r>
      <w:r>
        <w:rPr>
          <w:rFonts w:cs="Times New Roman"/>
          <w:i/>
          <w:szCs w:val="22"/>
          <w:lang w:val="en-US"/>
        </w:rPr>
        <w:t xml:space="preserve">Appendix B1: CHF3 </w:t>
      </w:r>
      <w:r>
        <w:rPr>
          <w:rFonts w:cs="Times New Roman"/>
          <w:i/>
          <w:szCs w:val="22"/>
          <w:lang w:val="en-US"/>
        </w:rPr>
        <w:lastRenderedPageBreak/>
        <w:t>Taxonomy</w:t>
      </w:r>
      <w:r>
        <w:rPr>
          <w:lang w:val="en-US"/>
        </w:rPr>
        <w:t xml:space="preserve"> is the system of </w:t>
      </w:r>
      <w:proofErr w:type="spellStart"/>
      <w:r>
        <w:rPr>
          <w:lang w:val="en-US"/>
        </w:rPr>
        <w:t>organising</w:t>
      </w:r>
      <w:proofErr w:type="spellEnd"/>
      <w:r>
        <w:rPr>
          <w:lang w:val="en-US"/>
        </w:rPr>
        <w:t xml:space="preserve"> RAC technology that has been used in research and writing this report, Cold Hard Facts 2020 (CHF 2020) based on the 2019 calendar year. </w:t>
      </w:r>
    </w:p>
    <w:p w14:paraId="0872C6D6" w14:textId="77777777" w:rsidR="00B67E9C" w:rsidRDefault="00B67E9C" w:rsidP="00B67E9C">
      <w:pPr>
        <w:rPr>
          <w:rFonts w:cs="Times New Roman"/>
          <w:szCs w:val="22"/>
          <w:highlight w:val="yellow"/>
          <w:lang w:val="en-US"/>
        </w:rPr>
      </w:pPr>
    </w:p>
    <w:p w14:paraId="3642B817" w14:textId="77777777" w:rsidR="00B67E9C" w:rsidRDefault="00B67E9C" w:rsidP="00B67E9C">
      <w:pPr>
        <w:pStyle w:val="Heading2"/>
        <w:numPr>
          <w:ilvl w:val="1"/>
          <w:numId w:val="5"/>
        </w:numPr>
      </w:pPr>
      <w:bookmarkStart w:id="4" w:name="_Toc54601640"/>
      <w:r>
        <w:t>Data and assumptions</w:t>
      </w:r>
      <w:bookmarkEnd w:id="4"/>
    </w:p>
    <w:p w14:paraId="389D149C" w14:textId="77777777" w:rsidR="00B67E9C" w:rsidRDefault="00B67E9C" w:rsidP="00B67E9C">
      <w:pPr>
        <w:rPr>
          <w:rFonts w:cs="Times New Roman"/>
          <w:szCs w:val="22"/>
          <w:lang w:val="en-US"/>
        </w:rPr>
      </w:pPr>
      <w:r>
        <w:rPr>
          <w:rFonts w:cs="Times New Roman"/>
          <w:szCs w:val="22"/>
          <w:lang w:val="en-US"/>
        </w:rPr>
        <w:t xml:space="preserve">The data presented in this report has been derived from an extensive Excel workbook that has, at its core, a stock model of RAC equipment employed in Australia </w:t>
      </w:r>
      <w:proofErr w:type="spellStart"/>
      <w:r>
        <w:rPr>
          <w:rFonts w:cs="Times New Roman"/>
          <w:szCs w:val="22"/>
          <w:lang w:val="en-US"/>
        </w:rPr>
        <w:t>organised</w:t>
      </w:r>
      <w:proofErr w:type="spellEnd"/>
      <w:r>
        <w:rPr>
          <w:rFonts w:cs="Times New Roman"/>
          <w:szCs w:val="22"/>
          <w:lang w:val="en-US"/>
        </w:rPr>
        <w:t xml:space="preserve"> into a comprehensive taxonomy of equipment types, sizes and end-use applications. This model also reports annual usage, consumption and emissions of ODS and SGGs for non-refrigerating applications such as foam blowing, aerosols, and fire protection.</w:t>
      </w:r>
    </w:p>
    <w:p w14:paraId="7D2C7EBB" w14:textId="77777777" w:rsidR="00B67E9C" w:rsidRDefault="00B67E9C" w:rsidP="00B67E9C">
      <w:r>
        <w:t>In this report the Expert Group RAC Age-Cohort Mass Balance Stock Model is referred to as the RAC Stock model.</w:t>
      </w:r>
    </w:p>
    <w:p w14:paraId="2F06D8E0" w14:textId="77777777" w:rsidR="00B67E9C" w:rsidRDefault="00B67E9C" w:rsidP="00B67E9C">
      <w:pPr>
        <w:rPr>
          <w:rFonts w:cs="Times New Roman"/>
          <w:szCs w:val="22"/>
          <w:lang w:val="en-US"/>
        </w:rPr>
      </w:pPr>
      <w:r>
        <w:t xml:space="preserve"> </w:t>
      </w:r>
    </w:p>
    <w:p w14:paraId="34BAD67A" w14:textId="77777777" w:rsidR="00B67E9C" w:rsidRDefault="00B67E9C" w:rsidP="00B67E9C">
      <w:pPr>
        <w:pStyle w:val="Heading3"/>
        <w:numPr>
          <w:ilvl w:val="2"/>
          <w:numId w:val="5"/>
        </w:numPr>
      </w:pPr>
      <w:bookmarkStart w:id="5" w:name="_Toc54601641"/>
      <w:r>
        <w:t>Data underlying the stock model</w:t>
      </w:r>
      <w:bookmarkEnd w:id="5"/>
    </w:p>
    <w:p w14:paraId="7EC2DCA2" w14:textId="77777777" w:rsidR="00B67E9C" w:rsidRDefault="00B67E9C" w:rsidP="00B67E9C">
      <w:pPr>
        <w:rPr>
          <w:rFonts w:cs="Times New Roman"/>
          <w:szCs w:val="22"/>
          <w:lang w:val="en-US"/>
        </w:rPr>
      </w:pPr>
      <w:r>
        <w:rPr>
          <w:rFonts w:cs="Times New Roman"/>
          <w:szCs w:val="22"/>
          <w:lang w:val="en-US"/>
        </w:rPr>
        <w:t>The first version of the RAC Stock model was developed in 2006 during research for what became the first edition of Cold Hard Facts (CHF1). Primary data sources used for the construction of the original stock model included:</w:t>
      </w:r>
    </w:p>
    <w:p w14:paraId="14973CA6" w14:textId="77777777" w:rsidR="00B67E9C" w:rsidRDefault="00B67E9C" w:rsidP="00B67E9C">
      <w:pPr>
        <w:pStyle w:val="ListParagraph"/>
        <w:numPr>
          <w:ilvl w:val="0"/>
          <w:numId w:val="8"/>
        </w:numPr>
        <w:spacing w:before="120" w:after="0"/>
        <w:ind w:left="357"/>
        <w:jc w:val="both"/>
        <w:rPr>
          <w:rFonts w:ascii="Times New Roman" w:hAnsi="Times New Roman"/>
          <w:lang w:val="en-US"/>
        </w:rPr>
      </w:pPr>
      <w:r>
        <w:rPr>
          <w:rFonts w:ascii="Times New Roman" w:hAnsi="Times New Roman"/>
          <w:lang w:val="en-US"/>
        </w:rPr>
        <w:t>Australian Customs import reports for various product categories (primarily air conditioning equipment by capacity, and some categories</w:t>
      </w:r>
      <w:proofErr w:type="gramStart"/>
      <w:r>
        <w:rPr>
          <w:rFonts w:ascii="Times New Roman" w:hAnsi="Times New Roman"/>
          <w:lang w:val="en-US"/>
        </w:rPr>
        <w:t>);</w:t>
      </w:r>
      <w:proofErr w:type="gramEnd"/>
    </w:p>
    <w:p w14:paraId="08FE6148" w14:textId="77777777" w:rsidR="00B67E9C" w:rsidRDefault="00B67E9C" w:rsidP="00B67E9C">
      <w:pPr>
        <w:pStyle w:val="ListParagraph"/>
        <w:numPr>
          <w:ilvl w:val="0"/>
          <w:numId w:val="8"/>
        </w:numPr>
        <w:spacing w:before="120" w:after="0"/>
        <w:ind w:left="357"/>
        <w:jc w:val="both"/>
        <w:rPr>
          <w:rFonts w:ascii="Times New Roman" w:hAnsi="Times New Roman"/>
          <w:lang w:val="en-US"/>
        </w:rPr>
      </w:pPr>
      <w:r>
        <w:rPr>
          <w:rFonts w:ascii="Times New Roman" w:hAnsi="Times New Roman"/>
          <w:lang w:val="en-US"/>
        </w:rPr>
        <w:t xml:space="preserve">Department of Environment Water Heritage and the Arts (DEWHA) (now the Department of the Environment and Energy) data on pre-charged equipment imports for 2005 and </w:t>
      </w:r>
      <w:proofErr w:type="gramStart"/>
      <w:r>
        <w:rPr>
          <w:rFonts w:ascii="Times New Roman" w:hAnsi="Times New Roman"/>
          <w:lang w:val="en-US"/>
        </w:rPr>
        <w:t>2006;</w:t>
      </w:r>
      <w:proofErr w:type="gramEnd"/>
    </w:p>
    <w:p w14:paraId="21E6CABE" w14:textId="77777777" w:rsidR="00B67E9C" w:rsidRDefault="00B67E9C" w:rsidP="00B67E9C">
      <w:pPr>
        <w:pStyle w:val="ListParagraph"/>
        <w:numPr>
          <w:ilvl w:val="0"/>
          <w:numId w:val="8"/>
        </w:numPr>
        <w:spacing w:before="120" w:after="0"/>
        <w:ind w:left="357"/>
        <w:jc w:val="both"/>
        <w:rPr>
          <w:rFonts w:ascii="Times New Roman" w:hAnsi="Times New Roman"/>
          <w:lang w:val="en-US"/>
        </w:rPr>
      </w:pPr>
      <w:r>
        <w:rPr>
          <w:rFonts w:ascii="Times New Roman" w:hAnsi="Times New Roman"/>
          <w:lang w:val="en-US"/>
        </w:rPr>
        <w:t>Commercial market research estimating the numbers of residential and small commercial split and packaged air conditioning systems sold in the few years prior to 2006 (by capacity and product type</w:t>
      </w:r>
      <w:proofErr w:type="gramStart"/>
      <w:r>
        <w:rPr>
          <w:rFonts w:ascii="Times New Roman" w:hAnsi="Times New Roman"/>
          <w:lang w:val="en-US"/>
        </w:rPr>
        <w:t>);</w:t>
      </w:r>
      <w:proofErr w:type="gramEnd"/>
    </w:p>
    <w:p w14:paraId="2DFCAEB8" w14:textId="77777777" w:rsidR="00B67E9C" w:rsidRDefault="00B67E9C" w:rsidP="00B67E9C">
      <w:pPr>
        <w:pStyle w:val="ListParagraph"/>
        <w:numPr>
          <w:ilvl w:val="0"/>
          <w:numId w:val="8"/>
        </w:numPr>
        <w:spacing w:before="120" w:after="0"/>
        <w:ind w:left="357"/>
        <w:jc w:val="both"/>
        <w:rPr>
          <w:rFonts w:ascii="Times New Roman" w:hAnsi="Times New Roman"/>
          <w:lang w:val="en-US"/>
        </w:rPr>
      </w:pPr>
      <w:r>
        <w:rPr>
          <w:rFonts w:ascii="Times New Roman" w:hAnsi="Times New Roman"/>
          <w:lang w:val="en-US"/>
        </w:rPr>
        <w:t xml:space="preserve">Various sales datasets, some partial, from 2004 and going back as far as 1995 for domestic refrigeration, residential and small commercial air conditioning, collected from a number of importers, manufacturers and from published market research, constructed into the early years of the model and then released for industry comment and </w:t>
      </w:r>
      <w:proofErr w:type="gramStart"/>
      <w:r>
        <w:rPr>
          <w:rFonts w:ascii="Times New Roman" w:hAnsi="Times New Roman"/>
          <w:lang w:val="en-US"/>
        </w:rPr>
        <w:t>review;</w:t>
      </w:r>
      <w:proofErr w:type="gramEnd"/>
    </w:p>
    <w:p w14:paraId="51C79E90" w14:textId="77777777" w:rsidR="00B67E9C" w:rsidRDefault="00B67E9C" w:rsidP="00B67E9C">
      <w:pPr>
        <w:pStyle w:val="ListParagraph"/>
        <w:numPr>
          <w:ilvl w:val="0"/>
          <w:numId w:val="8"/>
        </w:numPr>
        <w:spacing w:before="120" w:after="0"/>
        <w:ind w:left="357"/>
        <w:jc w:val="both"/>
        <w:rPr>
          <w:rFonts w:ascii="Times New Roman" w:hAnsi="Times New Roman"/>
          <w:lang w:val="en-US"/>
        </w:rPr>
      </w:pPr>
      <w:r>
        <w:rPr>
          <w:rFonts w:ascii="Times New Roman" w:hAnsi="Times New Roman"/>
          <w:lang w:val="en-US"/>
        </w:rPr>
        <w:t>Personal communications and interviews with manufacturers and importers of commercial split systems and chillers, and</w:t>
      </w:r>
    </w:p>
    <w:p w14:paraId="721ACC5B" w14:textId="77777777" w:rsidR="00B67E9C" w:rsidRDefault="00B67E9C" w:rsidP="00B67E9C">
      <w:pPr>
        <w:pStyle w:val="ListParagraph"/>
        <w:numPr>
          <w:ilvl w:val="0"/>
          <w:numId w:val="8"/>
        </w:numPr>
        <w:spacing w:before="120" w:after="0"/>
        <w:ind w:left="357"/>
        <w:jc w:val="both"/>
        <w:rPr>
          <w:rFonts w:ascii="Times New Roman" w:hAnsi="Times New Roman"/>
          <w:lang w:val="en-US"/>
        </w:rPr>
      </w:pPr>
      <w:r>
        <w:rPr>
          <w:rFonts w:ascii="Times New Roman" w:hAnsi="Times New Roman"/>
          <w:lang w:val="en-US"/>
        </w:rPr>
        <w:t>Personal communications and interviews with manufacturers of commercial and domestic refrigeration systems.</w:t>
      </w:r>
    </w:p>
    <w:p w14:paraId="091EBB4B" w14:textId="77777777" w:rsidR="00B67E9C" w:rsidRDefault="00B67E9C" w:rsidP="00B67E9C">
      <w:pPr>
        <w:rPr>
          <w:rFonts w:cs="Times New Roman"/>
          <w:szCs w:val="22"/>
          <w:lang w:val="en-US"/>
        </w:rPr>
      </w:pPr>
      <w:r>
        <w:rPr>
          <w:rFonts w:cs="Times New Roman"/>
          <w:szCs w:val="22"/>
          <w:lang w:val="en-US"/>
        </w:rPr>
        <w:t xml:space="preserve">This extensive stock model eventually included estimates of stocks of equipment in </w:t>
      </w:r>
      <w:proofErr w:type="gramStart"/>
      <w:r>
        <w:rPr>
          <w:rFonts w:cs="Times New Roman"/>
          <w:szCs w:val="22"/>
          <w:lang w:val="en-US"/>
        </w:rPr>
        <w:t>all of</w:t>
      </w:r>
      <w:proofErr w:type="gramEnd"/>
      <w:r>
        <w:rPr>
          <w:rFonts w:cs="Times New Roman"/>
          <w:szCs w:val="22"/>
          <w:lang w:val="en-US"/>
        </w:rPr>
        <w:t xml:space="preserve"> the major classes of equipment and main applications from as early as 1996 through to 2006. </w:t>
      </w:r>
    </w:p>
    <w:p w14:paraId="7B03E603" w14:textId="77777777" w:rsidR="00B67E9C" w:rsidRDefault="00B67E9C" w:rsidP="00B67E9C">
      <w:pPr>
        <w:rPr>
          <w:rFonts w:cs="Times New Roman"/>
          <w:szCs w:val="22"/>
          <w:lang w:val="en-US"/>
        </w:rPr>
      </w:pPr>
      <w:r>
        <w:rPr>
          <w:rFonts w:cs="Times New Roman"/>
          <w:szCs w:val="22"/>
          <w:lang w:val="en-US"/>
        </w:rPr>
        <w:t>Equipment retirement rates were developed using knowledge of manufacturers’ warranty conditions, interviews with suppliers, designers and engineers.</w:t>
      </w:r>
    </w:p>
    <w:p w14:paraId="5F9C0304" w14:textId="77777777" w:rsidR="00B67E9C" w:rsidRDefault="00B67E9C" w:rsidP="00B67E9C">
      <w:pPr>
        <w:rPr>
          <w:rFonts w:cs="Times New Roman"/>
          <w:szCs w:val="22"/>
          <w:lang w:val="en-US"/>
        </w:rPr>
      </w:pPr>
      <w:r>
        <w:rPr>
          <w:rFonts w:cs="Times New Roman"/>
          <w:szCs w:val="22"/>
          <w:lang w:val="en-US"/>
        </w:rPr>
        <w:t>Since 2007 when the CHF1 was published, the stock model has been used by the original authors for several major studies in this field, each one adding something to the scope and substance of the model.</w:t>
      </w:r>
    </w:p>
    <w:p w14:paraId="7F2C8917" w14:textId="77777777" w:rsidR="00B67E9C" w:rsidRDefault="00B67E9C" w:rsidP="00B67E9C">
      <w:pPr>
        <w:rPr>
          <w:rFonts w:cs="Times New Roman"/>
          <w:szCs w:val="22"/>
          <w:lang w:val="en-US"/>
        </w:rPr>
      </w:pPr>
      <w:r>
        <w:rPr>
          <w:rFonts w:cs="Times New Roman"/>
          <w:szCs w:val="22"/>
          <w:lang w:val="en-US"/>
        </w:rPr>
        <w:t>As a result, the original stock model has been extended and refined with new sources of data and market intelligence that included:</w:t>
      </w:r>
    </w:p>
    <w:p w14:paraId="6A9432FC" w14:textId="77777777" w:rsidR="00B67E9C" w:rsidRDefault="00B67E9C" w:rsidP="00B67E9C">
      <w:pPr>
        <w:pStyle w:val="ListParagraph"/>
        <w:numPr>
          <w:ilvl w:val="0"/>
          <w:numId w:val="8"/>
        </w:numPr>
        <w:spacing w:before="120" w:after="0"/>
        <w:ind w:left="357"/>
        <w:jc w:val="both"/>
        <w:rPr>
          <w:rFonts w:ascii="Times New Roman" w:hAnsi="Times New Roman"/>
        </w:rPr>
      </w:pPr>
      <w:r>
        <w:rPr>
          <w:rFonts w:ascii="Times New Roman" w:hAnsi="Times New Roman"/>
        </w:rPr>
        <w:lastRenderedPageBreak/>
        <w:t>The latest issue the Department of the Environment and Energy data including bulk and pre-charged equipment import statistics by quantity, mass, species, licence holder, product category from 2006 to 2019 (DAWE 2020a);</w:t>
      </w:r>
      <w:r>
        <w:rPr>
          <w:rStyle w:val="FootnoteReference"/>
          <w:lang w:val="en-US"/>
        </w:rPr>
        <w:t xml:space="preserve"> </w:t>
      </w:r>
      <w:r>
        <w:rPr>
          <w:rStyle w:val="FootnoteReference"/>
          <w:lang w:val="en-US"/>
        </w:rPr>
        <w:footnoteReference w:id="2"/>
      </w:r>
    </w:p>
    <w:p w14:paraId="5274E2A9"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Reviews of data included in regulatory impact statements and product profiles for air conditioning equipment (</w:t>
      </w:r>
      <w:proofErr w:type="gramStart"/>
      <w:r>
        <w:rPr>
          <w:rFonts w:ascii="Times New Roman" w:hAnsi="Times New Roman"/>
          <w:lang w:val="en-US"/>
        </w:rPr>
        <w:t>i.e.</w:t>
      </w:r>
      <w:proofErr w:type="gramEnd"/>
      <w:r>
        <w:rPr>
          <w:rFonts w:ascii="Times New Roman" w:hAnsi="Times New Roman"/>
          <w:lang w:val="en-US"/>
        </w:rPr>
        <w:t xml:space="preserve"> split systems, chillers, close control, portable, etc.) (E3 2017a), refrigeration display and storage cabinets (E3 2016), domestic refrigerators and freezers, non-domestic refrigeration (E3 2009), and other products such as high efficiency fans (E3 2017b</w:t>
      </w:r>
      <w:proofErr w:type="gramStart"/>
      <w:r>
        <w:rPr>
          <w:rFonts w:ascii="Times New Roman" w:hAnsi="Times New Roman"/>
          <w:lang w:val="en-US"/>
        </w:rPr>
        <w:t>);</w:t>
      </w:r>
      <w:proofErr w:type="gramEnd"/>
    </w:p>
    <w:p w14:paraId="6928438F"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Reviews of data created for models of domestic energy </w:t>
      </w:r>
      <w:proofErr w:type="gramStart"/>
      <w:r>
        <w:rPr>
          <w:rFonts w:ascii="Times New Roman" w:hAnsi="Times New Roman"/>
          <w:lang w:val="en-US"/>
        </w:rPr>
        <w:t>production;</w:t>
      </w:r>
      <w:proofErr w:type="gramEnd"/>
    </w:p>
    <w:p w14:paraId="48B4C0CE"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Interviews with and surveys of manufacturers, importers and resellers of equipment, and with importers and wholesalers of refrigerant, parts, and tools for the purpose of other RAC industry related </w:t>
      </w:r>
      <w:proofErr w:type="gramStart"/>
      <w:r>
        <w:rPr>
          <w:rFonts w:ascii="Times New Roman" w:hAnsi="Times New Roman"/>
          <w:lang w:val="en-US"/>
        </w:rPr>
        <w:t>studies;</w:t>
      </w:r>
      <w:proofErr w:type="gramEnd"/>
    </w:p>
    <w:p w14:paraId="59558257"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Interviews with industry associations and professional bodies for the purposes of other industry and government </w:t>
      </w:r>
      <w:proofErr w:type="gramStart"/>
      <w:r>
        <w:rPr>
          <w:rFonts w:ascii="Times New Roman" w:hAnsi="Times New Roman"/>
          <w:lang w:val="en-US"/>
        </w:rPr>
        <w:t>programs;</w:t>
      </w:r>
      <w:proofErr w:type="gramEnd"/>
    </w:p>
    <w:p w14:paraId="407625D6"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In-confidence industry wide surveys of major participants selling commercial refrigeration condensing units and compressors dissected by capacity and </w:t>
      </w:r>
      <w:proofErr w:type="gramStart"/>
      <w:r>
        <w:rPr>
          <w:rFonts w:ascii="Times New Roman" w:hAnsi="Times New Roman"/>
          <w:lang w:val="en-US"/>
        </w:rPr>
        <w:t>refrigerant;</w:t>
      </w:r>
      <w:proofErr w:type="gramEnd"/>
    </w:p>
    <w:p w14:paraId="0F96619B"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In-confidence industry wide surveys of suppliers, upstream processors and end-users of natural refrigerants to establish aggregate industry </w:t>
      </w:r>
      <w:proofErr w:type="gramStart"/>
      <w:r>
        <w:rPr>
          <w:rFonts w:ascii="Times New Roman" w:hAnsi="Times New Roman"/>
          <w:lang w:val="en-US"/>
        </w:rPr>
        <w:t>measures;</w:t>
      </w:r>
      <w:proofErr w:type="gramEnd"/>
    </w:p>
    <w:p w14:paraId="172B2924"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Market intelligence reports with monthly sales ($ and quantity) of HCFCs and HFCs by species including refrigerant re-</w:t>
      </w:r>
      <w:proofErr w:type="gramStart"/>
      <w:r>
        <w:rPr>
          <w:rFonts w:ascii="Times New Roman" w:hAnsi="Times New Roman"/>
          <w:lang w:val="en-US"/>
        </w:rPr>
        <w:t>use;</w:t>
      </w:r>
      <w:proofErr w:type="gramEnd"/>
    </w:p>
    <w:p w14:paraId="6DD5F589"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Market intelligence reports of refrigeration equipment sales (by type and capacity); and,</w:t>
      </w:r>
    </w:p>
    <w:p w14:paraId="44397019"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Surveys of stock on the floor of domestic equipment retailers.</w:t>
      </w:r>
    </w:p>
    <w:p w14:paraId="6A8E3523" w14:textId="77777777" w:rsidR="00B67E9C" w:rsidRDefault="00B67E9C" w:rsidP="00B67E9C">
      <w:pPr>
        <w:rPr>
          <w:rFonts w:cs="Times New Roman"/>
          <w:szCs w:val="22"/>
          <w:lang w:val="en-US"/>
        </w:rPr>
      </w:pPr>
      <w:r>
        <w:rPr>
          <w:rFonts w:cs="Times New Roman"/>
          <w:szCs w:val="22"/>
          <w:lang w:val="en-US"/>
        </w:rPr>
        <w:t>The authors were unable to identify any similar stock model for any other economy to compare the methodology, the main outputs, or the structure of the model.</w:t>
      </w:r>
    </w:p>
    <w:p w14:paraId="6C99798C" w14:textId="77777777" w:rsidR="00B67E9C" w:rsidRDefault="00B67E9C" w:rsidP="00B67E9C">
      <w:pPr>
        <w:rPr>
          <w:rFonts w:cs="Times New Roman"/>
          <w:szCs w:val="22"/>
          <w:lang w:val="en-US"/>
        </w:rPr>
      </w:pPr>
      <w:r>
        <w:rPr>
          <w:rFonts w:cs="Times New Roman"/>
          <w:szCs w:val="22"/>
          <w:lang w:val="en-US"/>
        </w:rPr>
        <w:t>The stock model has been further refined following more recent assignment including:</w:t>
      </w:r>
    </w:p>
    <w:p w14:paraId="56D8D709"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Cold Hard Facts 2 prepared the Department of the Environment and Energy, </w:t>
      </w:r>
      <w:proofErr w:type="gramStart"/>
      <w:r>
        <w:rPr>
          <w:rFonts w:ascii="Times New Roman" w:hAnsi="Times New Roman"/>
          <w:lang w:val="en-US"/>
        </w:rPr>
        <w:t>2013;</w:t>
      </w:r>
      <w:proofErr w:type="gramEnd"/>
    </w:p>
    <w:p w14:paraId="57BE52C1"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A study into HFC consumption in Australia in 2013, and an assessment of the capacity of Australian industry to transition to nil and lower GWP alternatives way from HFCs, prepared for the Department of the Environment and Energy, April </w:t>
      </w:r>
      <w:proofErr w:type="gramStart"/>
      <w:r>
        <w:rPr>
          <w:rFonts w:ascii="Times New Roman" w:hAnsi="Times New Roman"/>
          <w:lang w:val="en-US"/>
        </w:rPr>
        <w:t>2014;</w:t>
      </w:r>
      <w:proofErr w:type="gramEnd"/>
    </w:p>
    <w:p w14:paraId="3B7991D3"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Environmental Impacts of Refrigerant Gas in End-of-Life Vehicles in Australia, prepared for the Department of the Environment and Energy, </w:t>
      </w:r>
      <w:proofErr w:type="gramStart"/>
      <w:r>
        <w:rPr>
          <w:rFonts w:ascii="Times New Roman" w:hAnsi="Times New Roman"/>
          <w:lang w:val="en-US"/>
        </w:rPr>
        <w:t>2014;</w:t>
      </w:r>
      <w:proofErr w:type="gramEnd"/>
    </w:p>
    <w:p w14:paraId="41DC3214"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Assessment of environmental impacts from the Ozone Protection and Synthetic Greenhouse Gas Management Act 1989, prepared for the Department of the Environment and Energy, April 2015; and,</w:t>
      </w:r>
    </w:p>
    <w:p w14:paraId="377A0EB8"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Cold Hard Facts 3, prepared for the then Department of the Environment and Energy (</w:t>
      </w:r>
      <w:proofErr w:type="spellStart"/>
      <w:r>
        <w:rPr>
          <w:rFonts w:ascii="Times New Roman" w:hAnsi="Times New Roman"/>
          <w:lang w:val="en-US"/>
        </w:rPr>
        <w:t>DoEE</w:t>
      </w:r>
      <w:proofErr w:type="spellEnd"/>
      <w:r>
        <w:rPr>
          <w:rFonts w:ascii="Times New Roman" w:hAnsi="Times New Roman"/>
          <w:lang w:val="en-US"/>
        </w:rPr>
        <w:t xml:space="preserve"> 2018) the first annual update in the CHF series, CHF 2019 (</w:t>
      </w:r>
      <w:proofErr w:type="spellStart"/>
      <w:r>
        <w:rPr>
          <w:rFonts w:ascii="Times New Roman" w:hAnsi="Times New Roman"/>
          <w:lang w:val="en-US"/>
        </w:rPr>
        <w:t>DoEE</w:t>
      </w:r>
      <w:proofErr w:type="spellEnd"/>
      <w:r>
        <w:rPr>
          <w:rFonts w:ascii="Times New Roman" w:hAnsi="Times New Roman"/>
          <w:lang w:val="en-US"/>
        </w:rPr>
        <w:t xml:space="preserve"> 2019a) and this report CHF 2020 prepared for the Department of Agriculture Water and Environment (DAWE 2020).</w:t>
      </w:r>
    </w:p>
    <w:p w14:paraId="6093806F" w14:textId="77777777" w:rsidR="00B67E9C" w:rsidRDefault="00B67E9C" w:rsidP="00B67E9C">
      <w:pPr>
        <w:rPr>
          <w:lang w:val="en-US"/>
        </w:rPr>
      </w:pPr>
    </w:p>
    <w:p w14:paraId="15B30921" w14:textId="77777777" w:rsidR="00B67E9C" w:rsidRDefault="00B67E9C" w:rsidP="00B67E9C">
      <w:pPr>
        <w:pStyle w:val="Heading3"/>
        <w:numPr>
          <w:ilvl w:val="2"/>
          <w:numId w:val="5"/>
        </w:numPr>
        <w:spacing w:before="0"/>
      </w:pPr>
      <w:bookmarkStart w:id="6" w:name="_Toc54601642"/>
      <w:r>
        <w:t>Product category stock models</w:t>
      </w:r>
      <w:bookmarkEnd w:id="6"/>
    </w:p>
    <w:p w14:paraId="1071F28F" w14:textId="77777777" w:rsidR="00B67E9C" w:rsidRDefault="00B67E9C" w:rsidP="00B67E9C">
      <w:pPr>
        <w:rPr>
          <w:rFonts w:cs="Times New Roman"/>
          <w:szCs w:val="22"/>
          <w:lang w:val="en-US"/>
        </w:rPr>
      </w:pPr>
      <w:r>
        <w:rPr>
          <w:rFonts w:cs="Times New Roman"/>
          <w:szCs w:val="22"/>
          <w:lang w:val="en-US"/>
        </w:rPr>
        <w:t>Detailed and quite high resolution and high confidence stock models have been developed for some major product categories where sufficient quality historical sales data has been discovered. These models use a cumulative distribution function of the normal distribution function to develop survival curves, stock population and annual equipment retirement estimates by refrigerant species.</w:t>
      </w:r>
    </w:p>
    <w:p w14:paraId="7E731AEE" w14:textId="77777777" w:rsidR="00B67E9C" w:rsidRDefault="00B67E9C" w:rsidP="00B67E9C">
      <w:pPr>
        <w:rPr>
          <w:rFonts w:cs="Times New Roman"/>
          <w:szCs w:val="22"/>
          <w:lang w:val="en-US"/>
        </w:rPr>
      </w:pPr>
      <w:r>
        <w:rPr>
          <w:rFonts w:cs="Times New Roman"/>
          <w:szCs w:val="22"/>
          <w:lang w:val="en-US"/>
        </w:rPr>
        <w:t xml:space="preserve">Where data was available, the model calculates the number of units of a particular vintage that remain in service at the end of a given year as the total number of units sold in the year of the vintage, minus the proportion of units that have been scrapped prior to the end of the given year. </w:t>
      </w:r>
    </w:p>
    <w:p w14:paraId="20DD2B80" w14:textId="77777777" w:rsidR="00B67E9C" w:rsidRDefault="00B67E9C" w:rsidP="00B67E9C">
      <w:pPr>
        <w:rPr>
          <w:rFonts w:cs="Times New Roman"/>
          <w:szCs w:val="22"/>
          <w:lang w:val="en-US"/>
        </w:rPr>
      </w:pPr>
      <w:r>
        <w:rPr>
          <w:rFonts w:cs="Times New Roman"/>
          <w:szCs w:val="22"/>
          <w:lang w:val="en-US"/>
        </w:rPr>
        <w:lastRenderedPageBreak/>
        <w:t>We assume that the lifetime of a unit is normally distributed with a mean lifespan (in years) and standard deviation (in years). The model assumes that on average, units are sold in the middle of a year. For example, the number of units that were sold in the year 2000 that remain in service at the end of 2012 is given by N</w:t>
      </w:r>
      <w:r>
        <w:rPr>
          <w:rFonts w:cs="Times New Roman"/>
          <w:szCs w:val="22"/>
          <w:vertAlign w:val="subscript"/>
          <w:lang w:val="en-US"/>
        </w:rPr>
        <w:t>2000</w:t>
      </w:r>
      <w:r>
        <w:rPr>
          <w:rFonts w:cs="Times New Roman"/>
          <w:szCs w:val="22"/>
          <w:lang w:val="en-US"/>
        </w:rPr>
        <w:t xml:space="preserve"> (1-p), where N</w:t>
      </w:r>
      <w:r>
        <w:rPr>
          <w:rFonts w:cs="Times New Roman"/>
          <w:szCs w:val="22"/>
          <w:vertAlign w:val="subscript"/>
          <w:lang w:val="en-US"/>
        </w:rPr>
        <w:t>2000</w:t>
      </w:r>
      <w:r>
        <w:rPr>
          <w:rFonts w:cs="Times New Roman"/>
          <w:szCs w:val="22"/>
          <w:lang w:val="en-US"/>
        </w:rPr>
        <w:t xml:space="preserve"> is the number of units sold in 2000, and p is the proportion that have been scrapped between 2000 and 2012 inclusive and is given by the following function:</w:t>
      </w:r>
    </w:p>
    <w:p w14:paraId="5FDA9DE5" w14:textId="77777777" w:rsidR="00B67E9C" w:rsidRDefault="00B67E9C" w:rsidP="00B67E9C">
      <w:pPr>
        <w:rPr>
          <w:rFonts w:cs="Times New Roman"/>
          <w:szCs w:val="22"/>
          <w:lang w:val="en-US"/>
        </w:rPr>
      </w:pPr>
      <w:r>
        <w:rPr>
          <w:rFonts w:cs="Times New Roman"/>
          <w:szCs w:val="22"/>
          <w:lang w:val="en-US"/>
        </w:rPr>
        <w:t>Φ (2012-2000+0.</w:t>
      </w:r>
      <w:proofErr w:type="gramStart"/>
      <w:r>
        <w:rPr>
          <w:rFonts w:cs="Times New Roman"/>
          <w:szCs w:val="22"/>
          <w:lang w:val="en-US"/>
        </w:rPr>
        <w:t>5;μ</w:t>
      </w:r>
      <w:proofErr w:type="gramEnd"/>
      <w:r>
        <w:rPr>
          <w:rFonts w:cs="Times New Roman"/>
          <w:szCs w:val="22"/>
          <w:lang w:val="en-US"/>
        </w:rPr>
        <w:t>,σ) = Φ (12.5;μ,σ)</w:t>
      </w:r>
    </w:p>
    <w:p w14:paraId="60E85692" w14:textId="77777777" w:rsidR="00B67E9C" w:rsidRDefault="00B67E9C" w:rsidP="00B67E9C">
      <w:pPr>
        <w:rPr>
          <w:rFonts w:cs="Times New Roman"/>
          <w:szCs w:val="22"/>
          <w:lang w:val="en-US"/>
        </w:rPr>
      </w:pPr>
      <w:r>
        <w:rPr>
          <w:rFonts w:cs="Times New Roman"/>
          <w:szCs w:val="22"/>
          <w:lang w:val="en-US"/>
        </w:rPr>
        <w:t>Where Φ (</w:t>
      </w:r>
      <w:proofErr w:type="spellStart"/>
      <w:proofErr w:type="gramStart"/>
      <w:r>
        <w:rPr>
          <w:rFonts w:cs="Times New Roman"/>
          <w:szCs w:val="22"/>
          <w:lang w:val="en-US"/>
        </w:rPr>
        <w:t>x;μ</w:t>
      </w:r>
      <w:proofErr w:type="gramEnd"/>
      <w:r>
        <w:rPr>
          <w:rFonts w:cs="Times New Roman"/>
          <w:szCs w:val="22"/>
          <w:lang w:val="en-US"/>
        </w:rPr>
        <w:t>,σ</w:t>
      </w:r>
      <w:proofErr w:type="spellEnd"/>
      <w:r>
        <w:rPr>
          <w:rFonts w:cs="Times New Roman"/>
          <w:szCs w:val="22"/>
          <w:lang w:val="en-US"/>
        </w:rPr>
        <w:t>) is the cumulative distribution function (CDF) of the normal distribution with mean μ and standard deviation σ evaluated at x.</w:t>
      </w:r>
    </w:p>
    <w:p w14:paraId="4C4E0CF5" w14:textId="77777777" w:rsidR="00B67E9C" w:rsidRDefault="00B67E9C" w:rsidP="00B67E9C">
      <w:pPr>
        <w:rPr>
          <w:rFonts w:cs="Times New Roman"/>
          <w:szCs w:val="22"/>
          <w:lang w:val="en-US"/>
        </w:rPr>
      </w:pPr>
      <w:r>
        <w:rPr>
          <w:rFonts w:cs="Times New Roman"/>
          <w:szCs w:val="22"/>
          <w:lang w:val="en-US"/>
        </w:rPr>
        <w:t xml:space="preserve">The number of units of a particular vintage that are retired </w:t>
      </w:r>
      <w:proofErr w:type="gramStart"/>
      <w:r>
        <w:rPr>
          <w:rFonts w:cs="Times New Roman"/>
          <w:szCs w:val="22"/>
          <w:lang w:val="en-US"/>
        </w:rPr>
        <w:t>in a given year</w:t>
      </w:r>
      <w:proofErr w:type="gramEnd"/>
      <w:r>
        <w:rPr>
          <w:rFonts w:cs="Times New Roman"/>
          <w:szCs w:val="22"/>
          <w:lang w:val="en-US"/>
        </w:rPr>
        <w:t xml:space="preserve"> equates to the number of units sold in the year of the vintage that remained in service at the beginning of the given year, minus the number that remain in service at the end of the given year.</w:t>
      </w:r>
    </w:p>
    <w:p w14:paraId="6953FEC0" w14:textId="77777777" w:rsidR="00B67E9C" w:rsidRDefault="00B67E9C" w:rsidP="00B67E9C">
      <w:r>
        <w:rPr>
          <w:rFonts w:cs="Times New Roman"/>
          <w:szCs w:val="22"/>
          <w:lang w:val="en-US"/>
        </w:rPr>
        <w:t xml:space="preserve">The historical sales data is dissected by refrigerant species to predict the refrigerant mix of the bank and in retiring equipment. This methodology has been refined further for end-of-life vehicles with a survival curve which is a normal distribution with a mean retirement age of 18.6 years and a standard deviation of 6.2 years up to age 27, then uniform distribution out to age 64 years where it hits 100% of retirements. This curve simulates actual vehicle registrations in </w:t>
      </w:r>
      <w:r>
        <w:t xml:space="preserve">ABS Census of Motor Vehicles, 2014, </w:t>
      </w:r>
      <w:proofErr w:type="spellStart"/>
      <w:r>
        <w:t>TableBuilder</w:t>
      </w:r>
      <w:proofErr w:type="spellEnd"/>
      <w:r>
        <w:t>.</w:t>
      </w:r>
    </w:p>
    <w:p w14:paraId="5660ED3B" w14:textId="77777777" w:rsidR="00B67E9C" w:rsidRDefault="00B67E9C" w:rsidP="00B67E9C">
      <w:pPr>
        <w:spacing w:before="0" w:after="240"/>
        <w:rPr>
          <w:rFonts w:cs="Times New Roman"/>
          <w:szCs w:val="22"/>
          <w:lang w:val="en-US"/>
        </w:rPr>
      </w:pPr>
    </w:p>
    <w:p w14:paraId="5F79D656" w14:textId="77777777" w:rsidR="00B67E9C" w:rsidRDefault="00B67E9C" w:rsidP="00B67E9C">
      <w:pPr>
        <w:pStyle w:val="Heading3"/>
        <w:numPr>
          <w:ilvl w:val="2"/>
          <w:numId w:val="5"/>
        </w:numPr>
        <w:spacing w:before="0"/>
      </w:pPr>
      <w:bookmarkStart w:id="7" w:name="_Toc54601643"/>
      <w:r>
        <w:t>Refrigerant charges and species</w:t>
      </w:r>
      <w:bookmarkEnd w:id="7"/>
    </w:p>
    <w:p w14:paraId="60207C47" w14:textId="77777777" w:rsidR="00B67E9C" w:rsidRDefault="00B67E9C" w:rsidP="00B67E9C">
      <w:pPr>
        <w:rPr>
          <w:rFonts w:cs="Times New Roman"/>
          <w:szCs w:val="22"/>
          <w:lang w:val="en-US"/>
        </w:rPr>
      </w:pPr>
      <w:r>
        <w:rPr>
          <w:rFonts w:cs="Times New Roman"/>
          <w:szCs w:val="22"/>
          <w:lang w:val="en-US"/>
        </w:rPr>
        <w:t>The size of the refrigerant charges and species used in various equipment classes are known from manufacturers’ documentation and checks of equipment and appliances in the market. The size of refrigerant charges can also be correlated (to some extent) with the input power and size of the compressor employed, and the resulting refrigerating capacity of a piece of equipment.</w:t>
      </w:r>
    </w:p>
    <w:p w14:paraId="594CA43B" w14:textId="77777777" w:rsidR="00B67E9C" w:rsidRDefault="00B67E9C" w:rsidP="00B67E9C">
      <w:pPr>
        <w:rPr>
          <w:rFonts w:cs="Times New Roman"/>
          <w:szCs w:val="22"/>
          <w:lang w:val="en-US"/>
        </w:rPr>
      </w:pPr>
      <w:r>
        <w:rPr>
          <w:rFonts w:cs="Times New Roman"/>
          <w:szCs w:val="22"/>
          <w:lang w:val="en-US"/>
        </w:rPr>
        <w:t xml:space="preserve">In some product categories the average charge size has been changed to reflect changing average refrigerating capacity, and due to the natural rate of improvement of the technology towards smaller charge sizes. For example, air conditioning systems on large buses and coaches greater than 12 </w:t>
      </w:r>
      <w:proofErr w:type="spellStart"/>
      <w:r>
        <w:rPr>
          <w:rFonts w:cs="Times New Roman"/>
          <w:szCs w:val="22"/>
          <w:lang w:val="en-US"/>
        </w:rPr>
        <w:t>tonnes</w:t>
      </w:r>
      <w:proofErr w:type="spellEnd"/>
      <w:r>
        <w:rPr>
          <w:rFonts w:cs="Times New Roman"/>
          <w:szCs w:val="22"/>
          <w:lang w:val="en-US"/>
        </w:rPr>
        <w:t xml:space="preserve"> GVM had an average charge of 9.0 kg prior to 2012. Following a detailed review of equipment models from major participants the average charge in 2016 has been revised down to 5.5 kg.</w:t>
      </w:r>
    </w:p>
    <w:p w14:paraId="6C454F9C" w14:textId="77777777" w:rsidR="00B67E9C" w:rsidRDefault="00B67E9C" w:rsidP="00B67E9C">
      <w:pPr>
        <w:rPr>
          <w:rFonts w:cs="Times New Roman"/>
          <w:szCs w:val="22"/>
          <w:lang w:val="en-US"/>
        </w:rPr>
      </w:pPr>
      <w:r>
        <w:rPr>
          <w:rFonts w:cs="Times New Roman"/>
          <w:szCs w:val="22"/>
          <w:lang w:val="en-US"/>
        </w:rPr>
        <w:t xml:space="preserve">The average charge for the same type of equipment with roughly the same refrigerating capacity can be different by species. For example, the same capacity wall hung split air conditioning system contains an average charge of 1.7 kg of HCFC-22 as this is older technology, 1.45 kg of HFC-410A and 1.15 kg of HFC-32. </w:t>
      </w:r>
    </w:p>
    <w:p w14:paraId="3A0C0E41" w14:textId="77777777" w:rsidR="00B67E9C" w:rsidRDefault="00B67E9C" w:rsidP="00B67E9C">
      <w:pPr>
        <w:rPr>
          <w:rFonts w:cs="Times New Roman"/>
          <w:szCs w:val="22"/>
          <w:lang w:val="en-US"/>
        </w:rPr>
      </w:pPr>
      <w:r>
        <w:rPr>
          <w:rFonts w:cs="Times New Roman"/>
          <w:szCs w:val="22"/>
          <w:lang w:val="en-US"/>
        </w:rPr>
        <w:t xml:space="preserve">The refrigerant species </w:t>
      </w:r>
      <w:proofErr w:type="gramStart"/>
      <w:r>
        <w:rPr>
          <w:rFonts w:cs="Times New Roman"/>
          <w:szCs w:val="22"/>
          <w:lang w:val="en-US"/>
        </w:rPr>
        <w:t>most commonly employed</w:t>
      </w:r>
      <w:proofErr w:type="gramEnd"/>
      <w:r>
        <w:rPr>
          <w:rFonts w:cs="Times New Roman"/>
          <w:szCs w:val="22"/>
          <w:lang w:val="en-US"/>
        </w:rPr>
        <w:t xml:space="preserve"> in the different products are known, although these are not entirely uniform. The proportion of any product in the stock of equipment that is estimated to employ a particular refrigerant species can be checked in many cases by the mix of species employed in pre-charged equipment imports in any year, and against information gleaned from bulk importers and wholesalers of refrigerant.</w:t>
      </w:r>
    </w:p>
    <w:p w14:paraId="7B8BB3BE" w14:textId="77777777" w:rsidR="00B67E9C" w:rsidRDefault="00B67E9C" w:rsidP="00B67E9C">
      <w:pPr>
        <w:rPr>
          <w:rFonts w:cs="Times New Roman"/>
          <w:szCs w:val="22"/>
          <w:lang w:val="en-US"/>
        </w:rPr>
      </w:pPr>
      <w:r>
        <w:rPr>
          <w:rFonts w:cs="Times New Roman"/>
          <w:szCs w:val="22"/>
          <w:lang w:val="en-US"/>
        </w:rPr>
        <w:t>From 2006 to July 2012 the Department of the Environment and Energy pre-charged equipment import data was dissected into specific equipment categories including:</w:t>
      </w:r>
    </w:p>
    <w:p w14:paraId="397B81F3"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Air conditioning </w:t>
      </w:r>
      <w:proofErr w:type="gramStart"/>
      <w:r>
        <w:rPr>
          <w:rFonts w:ascii="Times New Roman" w:hAnsi="Times New Roman"/>
          <w:lang w:val="en-US"/>
        </w:rPr>
        <w:t>chillers;</w:t>
      </w:r>
      <w:proofErr w:type="gramEnd"/>
    </w:p>
    <w:p w14:paraId="52351FEB"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Packaged air conditioning </w:t>
      </w:r>
      <w:proofErr w:type="gramStart"/>
      <w:r>
        <w:rPr>
          <w:rFonts w:ascii="Times New Roman" w:hAnsi="Times New Roman"/>
          <w:lang w:val="en-US"/>
        </w:rPr>
        <w:t>equipment;</w:t>
      </w:r>
      <w:proofErr w:type="gramEnd"/>
      <w:r>
        <w:rPr>
          <w:rFonts w:ascii="Times New Roman" w:hAnsi="Times New Roman"/>
          <w:lang w:val="en-US"/>
        </w:rPr>
        <w:t xml:space="preserve"> </w:t>
      </w:r>
    </w:p>
    <w:p w14:paraId="5B164FA3"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Window/wall </w:t>
      </w:r>
      <w:proofErr w:type="gramStart"/>
      <w:r>
        <w:rPr>
          <w:rFonts w:ascii="Times New Roman" w:hAnsi="Times New Roman"/>
          <w:lang w:val="en-US"/>
        </w:rPr>
        <w:t>units;</w:t>
      </w:r>
      <w:proofErr w:type="gramEnd"/>
      <w:r>
        <w:rPr>
          <w:rFonts w:ascii="Times New Roman" w:hAnsi="Times New Roman"/>
          <w:lang w:val="en-US"/>
        </w:rPr>
        <w:t xml:space="preserve"> </w:t>
      </w:r>
    </w:p>
    <w:p w14:paraId="01FA152F"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Portable air </w:t>
      </w:r>
      <w:proofErr w:type="gramStart"/>
      <w:r>
        <w:rPr>
          <w:rFonts w:ascii="Times New Roman" w:hAnsi="Times New Roman"/>
          <w:lang w:val="en-US"/>
        </w:rPr>
        <w:t>conditioning;</w:t>
      </w:r>
      <w:proofErr w:type="gramEnd"/>
      <w:r>
        <w:rPr>
          <w:rFonts w:ascii="Times New Roman" w:hAnsi="Times New Roman"/>
          <w:lang w:val="en-US"/>
        </w:rPr>
        <w:t xml:space="preserve"> </w:t>
      </w:r>
    </w:p>
    <w:p w14:paraId="720B4DF0"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proofErr w:type="gramStart"/>
      <w:r>
        <w:rPr>
          <w:rFonts w:ascii="Times New Roman" w:hAnsi="Times New Roman"/>
          <w:lang w:val="en-US"/>
        </w:rPr>
        <w:t>Splits</w:t>
      </w:r>
      <w:proofErr w:type="gramEnd"/>
      <w:r>
        <w:rPr>
          <w:rFonts w:ascii="Times New Roman" w:hAnsi="Times New Roman"/>
          <w:lang w:val="en-US"/>
        </w:rPr>
        <w:t xml:space="preserve"> systems (single and multi-head/variable refrigerant flow); </w:t>
      </w:r>
    </w:p>
    <w:p w14:paraId="36B9F44A"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proofErr w:type="gramStart"/>
      <w:r>
        <w:rPr>
          <w:rFonts w:ascii="Times New Roman" w:hAnsi="Times New Roman"/>
          <w:lang w:val="en-US"/>
        </w:rPr>
        <w:t>Aircraft;</w:t>
      </w:r>
      <w:proofErr w:type="gramEnd"/>
      <w:r>
        <w:rPr>
          <w:rFonts w:ascii="Times New Roman" w:hAnsi="Times New Roman"/>
          <w:lang w:val="en-US"/>
        </w:rPr>
        <w:t xml:space="preserve"> </w:t>
      </w:r>
    </w:p>
    <w:p w14:paraId="16DD8E48"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lastRenderedPageBreak/>
        <w:t xml:space="preserve">Other heat </w:t>
      </w:r>
      <w:proofErr w:type="gramStart"/>
      <w:r>
        <w:rPr>
          <w:rFonts w:ascii="Times New Roman" w:hAnsi="Times New Roman"/>
          <w:lang w:val="en-US"/>
        </w:rPr>
        <w:t>pumps;</w:t>
      </w:r>
      <w:proofErr w:type="gramEnd"/>
    </w:p>
    <w:p w14:paraId="4CA81A00"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Mobile air conditioning (vehicles less than and greater than 3.5t gross vehicle mass</w:t>
      </w:r>
      <w:proofErr w:type="gramStart"/>
      <w:r>
        <w:rPr>
          <w:rFonts w:ascii="Times New Roman" w:hAnsi="Times New Roman"/>
          <w:lang w:val="en-US"/>
        </w:rPr>
        <w:t>);</w:t>
      </w:r>
      <w:proofErr w:type="gramEnd"/>
      <w:r>
        <w:rPr>
          <w:rFonts w:ascii="Times New Roman" w:hAnsi="Times New Roman"/>
          <w:lang w:val="en-US"/>
        </w:rPr>
        <w:t xml:space="preserve"> </w:t>
      </w:r>
    </w:p>
    <w:p w14:paraId="67FA5487"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Commercial refrigerated </w:t>
      </w:r>
      <w:proofErr w:type="gramStart"/>
      <w:r>
        <w:rPr>
          <w:rFonts w:ascii="Times New Roman" w:hAnsi="Times New Roman"/>
          <w:lang w:val="en-US"/>
        </w:rPr>
        <w:t>cabinets;</w:t>
      </w:r>
      <w:proofErr w:type="gramEnd"/>
      <w:r>
        <w:rPr>
          <w:rFonts w:ascii="Times New Roman" w:hAnsi="Times New Roman"/>
          <w:lang w:val="en-US"/>
        </w:rPr>
        <w:t xml:space="preserve"> </w:t>
      </w:r>
    </w:p>
    <w:p w14:paraId="0989B9C7"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Domestic refrigerators and </w:t>
      </w:r>
      <w:proofErr w:type="gramStart"/>
      <w:r>
        <w:rPr>
          <w:rFonts w:ascii="Times New Roman" w:hAnsi="Times New Roman"/>
          <w:lang w:val="en-US"/>
        </w:rPr>
        <w:t>freezers;</w:t>
      </w:r>
      <w:proofErr w:type="gramEnd"/>
      <w:r>
        <w:rPr>
          <w:rFonts w:ascii="Times New Roman" w:hAnsi="Times New Roman"/>
          <w:lang w:val="en-US"/>
        </w:rPr>
        <w:t xml:space="preserve"> </w:t>
      </w:r>
    </w:p>
    <w:p w14:paraId="03A8CF01"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Transport refrigeration (self and vehicle powered truck refrigeration); and, </w:t>
      </w:r>
    </w:p>
    <w:p w14:paraId="7E1A0651" w14:textId="77777777" w:rsidR="00B67E9C" w:rsidRDefault="00B67E9C" w:rsidP="00B67E9C">
      <w:pPr>
        <w:pStyle w:val="ListParagraph"/>
        <w:numPr>
          <w:ilvl w:val="0"/>
          <w:numId w:val="9"/>
        </w:numPr>
        <w:spacing w:before="120" w:after="0" w:line="240" w:lineRule="auto"/>
        <w:jc w:val="both"/>
        <w:rPr>
          <w:rFonts w:ascii="Times New Roman" w:hAnsi="Times New Roman"/>
          <w:lang w:val="en-US"/>
        </w:rPr>
      </w:pPr>
      <w:r>
        <w:rPr>
          <w:rFonts w:ascii="Times New Roman" w:hAnsi="Times New Roman"/>
          <w:lang w:val="en-US"/>
        </w:rPr>
        <w:t xml:space="preserve">Other commercial refrigeration categories.  </w:t>
      </w:r>
    </w:p>
    <w:p w14:paraId="47715107" w14:textId="77777777" w:rsidR="00B67E9C" w:rsidRDefault="00B67E9C" w:rsidP="00B67E9C">
      <w:pPr>
        <w:rPr>
          <w:rFonts w:cs="Times New Roman"/>
          <w:szCs w:val="22"/>
          <w:lang w:val="en-US"/>
        </w:rPr>
      </w:pPr>
      <w:r>
        <w:rPr>
          <w:rFonts w:cs="Times New Roman"/>
          <w:szCs w:val="22"/>
          <w:lang w:val="en-US"/>
        </w:rPr>
        <w:t xml:space="preserve">This information provided seven years of history that was reviewed in </w:t>
      </w:r>
      <w:proofErr w:type="gramStart"/>
      <w:r>
        <w:rPr>
          <w:rFonts w:cs="Times New Roman"/>
          <w:szCs w:val="22"/>
          <w:lang w:val="en-US"/>
        </w:rPr>
        <w:t>great detail</w:t>
      </w:r>
      <w:proofErr w:type="gramEnd"/>
      <w:r>
        <w:rPr>
          <w:rFonts w:cs="Times New Roman"/>
          <w:szCs w:val="22"/>
          <w:lang w:val="en-US"/>
        </w:rPr>
        <w:t xml:space="preserve"> to form or confirm views about average refrigerant charges in various products, and the dissection and transition of refrigerant species in products. The pre-charged equipment date collected by the Department since July 2012 has been aggregated into broader equipment categories that require greater interpretation to assess average charges and refrigerant types.</w:t>
      </w:r>
    </w:p>
    <w:p w14:paraId="613E6045" w14:textId="77777777" w:rsidR="00B67E9C" w:rsidRDefault="00B67E9C" w:rsidP="00B67E9C">
      <w:pPr>
        <w:rPr>
          <w:szCs w:val="22"/>
        </w:rPr>
      </w:pPr>
      <w:r>
        <w:rPr>
          <w:szCs w:val="22"/>
        </w:rPr>
        <w:t xml:space="preserve">The average charge used in the table above is the average charge of the most common species found in that product category. Charges of other species used in the same product category may differ to some extent. </w:t>
      </w:r>
    </w:p>
    <w:p w14:paraId="31001208" w14:textId="77777777" w:rsidR="00B67E9C" w:rsidRDefault="00B67E9C" w:rsidP="00B67E9C">
      <w:pPr>
        <w:rPr>
          <w:rFonts w:cs="Times New Roman"/>
          <w:szCs w:val="22"/>
          <w:lang w:val="en-US"/>
        </w:rPr>
      </w:pPr>
      <w:r>
        <w:rPr>
          <w:szCs w:val="22"/>
        </w:rPr>
        <w:t>R</w:t>
      </w:r>
      <w:proofErr w:type="spellStart"/>
      <w:r>
        <w:rPr>
          <w:rFonts w:cs="Times New Roman"/>
          <w:szCs w:val="22"/>
          <w:lang w:val="en-US"/>
        </w:rPr>
        <w:t>efer</w:t>
      </w:r>
      <w:proofErr w:type="spellEnd"/>
      <w:r>
        <w:rPr>
          <w:rFonts w:cs="Times New Roman"/>
          <w:szCs w:val="22"/>
          <w:lang w:val="en-US"/>
        </w:rPr>
        <w:t xml:space="preserve"> to </w:t>
      </w:r>
      <w:r>
        <w:rPr>
          <w:rFonts w:cs="Times New Roman"/>
          <w:i/>
          <w:szCs w:val="22"/>
          <w:lang w:val="en-US"/>
        </w:rPr>
        <w:t>Table 1: Technical characteristics by product category (average charge, end-of-life factors, service rates, leak rates and average lifespan) for most common substance,</w:t>
      </w:r>
      <w:r>
        <w:rPr>
          <w:rFonts w:cs="Times New Roman"/>
          <w:szCs w:val="22"/>
          <w:lang w:val="en-US"/>
        </w:rPr>
        <w:t xml:space="preserve"> for average charges applied to all product categories in the taxonomy.</w:t>
      </w:r>
    </w:p>
    <w:p w14:paraId="6AC08403" w14:textId="77777777" w:rsidR="00B67E9C" w:rsidRDefault="00B67E9C" w:rsidP="00B67E9C">
      <w:pPr>
        <w:rPr>
          <w:rFonts w:cs="Times New Roman"/>
          <w:szCs w:val="22"/>
          <w:lang w:val="en-US"/>
        </w:rPr>
      </w:pPr>
    </w:p>
    <w:p w14:paraId="76954F63" w14:textId="77777777" w:rsidR="00B67E9C" w:rsidRDefault="00B67E9C" w:rsidP="00B67E9C">
      <w:pPr>
        <w:pStyle w:val="Heading3"/>
        <w:numPr>
          <w:ilvl w:val="2"/>
          <w:numId w:val="5"/>
        </w:numPr>
      </w:pPr>
      <w:bookmarkStart w:id="8" w:name="_Toc54601644"/>
      <w:r>
        <w:t>Small MAC refrigerant charges</w:t>
      </w:r>
      <w:bookmarkEnd w:id="8"/>
      <w:r>
        <w:t xml:space="preserve"> </w:t>
      </w:r>
    </w:p>
    <w:p w14:paraId="5913832C" w14:textId="77777777" w:rsidR="00B67E9C" w:rsidRDefault="00B67E9C" w:rsidP="00B67E9C">
      <w:pPr>
        <w:rPr>
          <w:rFonts w:cs="Times New Roman"/>
          <w:lang w:val="en-AU"/>
        </w:rPr>
      </w:pPr>
      <w:r>
        <w:rPr>
          <w:rFonts w:cs="Times New Roman"/>
          <w:lang w:val="en-AU"/>
        </w:rPr>
        <w:t xml:space="preserve">The CHF2019 RAC Stock model uses both sales data (ABS 9314.0 2017 and </w:t>
      </w:r>
      <w:r>
        <w:rPr>
          <w:color w:val="000000" w:themeColor="text1"/>
          <w:sz w:val="20"/>
          <w:szCs w:val="20"/>
        </w:rPr>
        <w:t>FCAI 2019</w:t>
      </w:r>
      <w:r>
        <w:rPr>
          <w:rFonts w:cs="Times New Roman"/>
          <w:lang w:val="en-AU"/>
        </w:rPr>
        <w:t>) and registration data (ABS 93090.0 2019) to calculate the current fleet of small MAC comprising passenger and light commercial vehicles, rigid trucks, articulated trucks, non-freight trucks. and small buses with a GVM less than 4.5 tonnes and assumes 100% of vehicles manufactured after 2000 contain air conditioning.</w:t>
      </w:r>
    </w:p>
    <w:p w14:paraId="5C9C12B6" w14:textId="77777777" w:rsidR="00B67E9C" w:rsidRDefault="00B67E9C" w:rsidP="00B67E9C">
      <w:pPr>
        <w:rPr>
          <w:rFonts w:cs="Times New Roman"/>
          <w:lang w:val="en-AU"/>
        </w:rPr>
      </w:pPr>
      <w:r>
        <w:rPr>
          <w:rFonts w:cs="Times New Roman"/>
          <w:lang w:val="en-AU"/>
        </w:rPr>
        <w:t xml:space="preserve">The RAC Stock model uses the polynomial in </w:t>
      </w:r>
      <w:r>
        <w:rPr>
          <w:rFonts w:cs="Times New Roman"/>
          <w:i/>
          <w:lang w:val="en-AU"/>
        </w:rPr>
        <w:t>Figure 1</w:t>
      </w:r>
      <w:r>
        <w:rPr>
          <w:rFonts w:cs="Times New Roman"/>
          <w:lang w:val="en-AU"/>
        </w:rPr>
        <w:t xml:space="preserve"> to calculate average charge by year of manufacture for Small MAC.</w:t>
      </w:r>
    </w:p>
    <w:p w14:paraId="6A86C740" w14:textId="77777777" w:rsidR="00B67E9C" w:rsidRDefault="00B67E9C" w:rsidP="00B67E9C">
      <w:pPr>
        <w:rPr>
          <w:rFonts w:cs="Times New Roman"/>
          <w:lang w:val="en-AU"/>
        </w:rPr>
      </w:pPr>
    </w:p>
    <w:p w14:paraId="4F96DB1C" w14:textId="77777777" w:rsidR="00B67E9C" w:rsidRDefault="00B67E9C" w:rsidP="00B67E9C">
      <w:pPr>
        <w:rPr>
          <w:rFonts w:cs="Times New Roman"/>
          <w:lang w:val="en-AU"/>
        </w:rPr>
      </w:pP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B67E9C" w14:paraId="3A1374AB" w14:textId="77777777" w:rsidTr="00B67E9C">
        <w:tc>
          <w:tcPr>
            <w:tcW w:w="9490" w:type="dxa"/>
            <w:tcBorders>
              <w:top w:val="single" w:sz="4" w:space="0" w:color="000000"/>
              <w:left w:val="single" w:sz="4" w:space="0" w:color="000000"/>
              <w:bottom w:val="single" w:sz="4" w:space="0" w:color="000000"/>
              <w:right w:val="single" w:sz="4" w:space="0" w:color="000000"/>
            </w:tcBorders>
            <w:vAlign w:val="center"/>
            <w:hideMark/>
          </w:tcPr>
          <w:p w14:paraId="69609A7C" w14:textId="77777777" w:rsidR="00B67E9C" w:rsidRDefault="00B67E9C">
            <w:pPr>
              <w:spacing w:after="120"/>
              <w:jc w:val="center"/>
              <w:rPr>
                <w:rFonts w:cs="Times New Roman"/>
                <w:b/>
              </w:rPr>
            </w:pPr>
            <w:r>
              <w:rPr>
                <w:rFonts w:cs="Times New Roman"/>
                <w:b/>
              </w:rPr>
              <w:br w:type="page"/>
              <w:t>Small MAC: Average charge by year of manufacture</w:t>
            </w:r>
          </w:p>
        </w:tc>
      </w:tr>
      <w:tr w:rsidR="00B67E9C" w14:paraId="020B2D91" w14:textId="77777777" w:rsidTr="00B67E9C">
        <w:tc>
          <w:tcPr>
            <w:tcW w:w="9490" w:type="dxa"/>
            <w:tcBorders>
              <w:top w:val="single" w:sz="4" w:space="0" w:color="000000"/>
              <w:left w:val="single" w:sz="4" w:space="0" w:color="000000"/>
              <w:bottom w:val="single" w:sz="4" w:space="0" w:color="000000"/>
              <w:right w:val="single" w:sz="4" w:space="0" w:color="000000"/>
            </w:tcBorders>
            <w:vAlign w:val="center"/>
          </w:tcPr>
          <w:p w14:paraId="176F93FF" w14:textId="77777777" w:rsidR="00B67E9C" w:rsidRDefault="00B67E9C">
            <w:pPr>
              <w:spacing w:before="60" w:after="60"/>
              <w:jc w:val="center"/>
              <w:rPr>
                <w:sz w:val="16"/>
                <w:szCs w:val="16"/>
              </w:rPr>
            </w:pPr>
          </w:p>
          <w:p w14:paraId="2E8D693E" w14:textId="6690105E" w:rsidR="00B67E9C" w:rsidRDefault="00B67E9C">
            <w:pPr>
              <w:spacing w:before="60" w:after="60"/>
              <w:jc w:val="center"/>
              <w:rPr>
                <w:sz w:val="16"/>
                <w:szCs w:val="16"/>
              </w:rPr>
            </w:pPr>
            <w:r>
              <w:rPr>
                <w:noProof/>
                <w:lang w:val="en-AU" w:eastAsia="en-AU"/>
              </w:rPr>
              <w:lastRenderedPageBreak/>
              <w:drawing>
                <wp:inline distT="0" distB="0" distL="0" distR="0" wp14:anchorId="5C540B21" wp14:editId="6387A9F5">
                  <wp:extent cx="4686300" cy="2781300"/>
                  <wp:effectExtent l="0" t="0" r="0" b="0"/>
                  <wp:docPr id="8" name="Picture 8" descr="Shows the average charge in the small mobile air conditioning sector by year of manufacture. This reduces from around 1160 grams in 1992 to 620 gram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the average charge in the small mobile air conditioning sector by year of manufacture. This reduces from around 1160 grams in 1992 to 620 grams in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2781300"/>
                          </a:xfrm>
                          <a:prstGeom prst="rect">
                            <a:avLst/>
                          </a:prstGeom>
                          <a:noFill/>
                          <a:ln>
                            <a:noFill/>
                          </a:ln>
                        </pic:spPr>
                      </pic:pic>
                    </a:graphicData>
                  </a:graphic>
                </wp:inline>
              </w:drawing>
            </w:r>
          </w:p>
        </w:tc>
      </w:tr>
      <w:tr w:rsidR="00B67E9C" w14:paraId="03325A77" w14:textId="77777777" w:rsidTr="00B67E9C">
        <w:tc>
          <w:tcPr>
            <w:tcW w:w="9490" w:type="dxa"/>
            <w:tcBorders>
              <w:top w:val="single" w:sz="4" w:space="0" w:color="000000"/>
              <w:left w:val="single" w:sz="4" w:space="0" w:color="000000"/>
              <w:bottom w:val="single" w:sz="4" w:space="0" w:color="000000"/>
              <w:right w:val="single" w:sz="4" w:space="0" w:color="000000"/>
            </w:tcBorders>
            <w:vAlign w:val="center"/>
            <w:hideMark/>
          </w:tcPr>
          <w:p w14:paraId="01DFD671" w14:textId="744CAB8E" w:rsidR="00B67E9C" w:rsidRDefault="00B67E9C">
            <w:pPr>
              <w:pStyle w:val="Caption"/>
            </w:pPr>
            <w:bookmarkStart w:id="9" w:name="_Toc54602339"/>
            <w:r>
              <w:lastRenderedPageBreak/>
              <w:t xml:space="preserve">Figure </w:t>
            </w:r>
            <w:r>
              <w:fldChar w:fldCharType="begin"/>
            </w:r>
            <w:r>
              <w:rPr>
                <w:noProof/>
              </w:rPr>
              <w:instrText xml:space="preserve"> SEQ Figure \* ARABIC </w:instrText>
            </w:r>
            <w:r>
              <w:fldChar w:fldCharType="separate"/>
            </w:r>
            <w:r w:rsidR="007B01C2">
              <w:rPr>
                <w:noProof/>
              </w:rPr>
              <w:t>1</w:t>
            </w:r>
            <w:r>
              <w:fldChar w:fldCharType="end"/>
            </w:r>
            <w:r>
              <w:rPr>
                <w:bCs w:val="0"/>
              </w:rPr>
              <w:t>: Polynomial used in RAC Stock model based on sample of more than 10,000 vehicles.</w:t>
            </w:r>
            <w:bookmarkEnd w:id="9"/>
          </w:p>
        </w:tc>
      </w:tr>
    </w:tbl>
    <w:p w14:paraId="3DC52E30" w14:textId="77777777" w:rsidR="00B67E9C" w:rsidRDefault="00B67E9C" w:rsidP="00B67E9C"/>
    <w:p w14:paraId="5089CB08" w14:textId="77777777" w:rsidR="00B67E9C" w:rsidRDefault="00B67E9C" w:rsidP="00B67E9C">
      <w:pPr>
        <w:pStyle w:val="Heading3"/>
        <w:numPr>
          <w:ilvl w:val="2"/>
          <w:numId w:val="5"/>
        </w:numPr>
      </w:pPr>
      <w:bookmarkStart w:id="10" w:name="_Toc54601645"/>
      <w:r>
        <w:t>Proportion of hydrocarbon in small MAC</w:t>
      </w:r>
      <w:bookmarkEnd w:id="10"/>
    </w:p>
    <w:p w14:paraId="513EE299" w14:textId="77777777" w:rsidR="00B67E9C" w:rsidRDefault="00B67E9C" w:rsidP="00B67E9C">
      <w:pPr>
        <w:rPr>
          <w:rFonts w:cs="Times New Roman"/>
          <w:lang w:val="en-AU"/>
        </w:rPr>
      </w:pPr>
      <w:r>
        <w:rPr>
          <w:rFonts w:cs="Times New Roman"/>
          <w:lang w:val="en-AU"/>
        </w:rPr>
        <w:t>The estimated portion of the fleet containing hydrocarbon refrigerant in 2012 has been revised down to 3.8%. The 2016 estimate was at most 4.2%, which equated to around 743,000 vehicles. The 2018 estimate is 4.1% which equates to around 754,000 vehicles that contain hydrocarbon.</w:t>
      </w:r>
    </w:p>
    <w:p w14:paraId="7487E89C" w14:textId="77777777" w:rsidR="00B67E9C" w:rsidRDefault="00B67E9C" w:rsidP="00B67E9C">
      <w:pPr>
        <w:rPr>
          <w:rFonts w:cs="Times New Roman"/>
          <w:lang w:val="en-AU"/>
        </w:rPr>
      </w:pPr>
      <w:r>
        <w:rPr>
          <w:rFonts w:cs="Times New Roman"/>
          <w:lang w:val="en-AU"/>
        </w:rPr>
        <w:t>The CHF3 RAC Stock model estimates the number of vehicles charged with hydrocarbon based on the following method and assumptions:</w:t>
      </w:r>
    </w:p>
    <w:p w14:paraId="1CF3B17E" w14:textId="77777777" w:rsidR="00B67E9C" w:rsidRDefault="00B67E9C" w:rsidP="00B67E9C">
      <w:pPr>
        <w:rPr>
          <w:rFonts w:cs="Times New Roman"/>
          <w:lang w:val="en-AU"/>
        </w:rPr>
      </w:pPr>
      <w:r>
        <w:rPr>
          <w:rFonts w:cs="Times New Roman"/>
          <w:lang w:val="en-AU"/>
        </w:rPr>
        <w:t>Calculation method:</w:t>
      </w:r>
    </w:p>
    <w:p w14:paraId="4BECFC53"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The annual supply of hydrocarbon, less service usage equals volume available for conversions.</w:t>
      </w:r>
    </w:p>
    <w:p w14:paraId="5D98D5EA"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The volume available for conversions, adds vehicles to the hydrocarbon fleet.</w:t>
      </w:r>
    </w:p>
    <w:p w14:paraId="4B536313"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The attrition rate retires vehicles from the hydrocarbon fleet.</w:t>
      </w:r>
    </w:p>
    <w:p w14:paraId="590CAD69"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 xml:space="preserve">The number of </w:t>
      </w:r>
      <w:proofErr w:type="gramStart"/>
      <w:r>
        <w:rPr>
          <w:rFonts w:ascii="Times New Roman" w:hAnsi="Times New Roman"/>
          <w:lang w:val="en-AU"/>
        </w:rPr>
        <w:t>hydrocarbon</w:t>
      </w:r>
      <w:proofErr w:type="gramEnd"/>
      <w:r>
        <w:rPr>
          <w:rFonts w:ascii="Times New Roman" w:hAnsi="Times New Roman"/>
          <w:lang w:val="en-AU"/>
        </w:rPr>
        <w:t xml:space="preserve"> charged vehicles at the commencement of the following year is the starting fleet, plus conversion, less retirements.</w:t>
      </w:r>
    </w:p>
    <w:p w14:paraId="5665895B" w14:textId="77777777" w:rsidR="00B67E9C" w:rsidRDefault="00B67E9C" w:rsidP="00B67E9C">
      <w:pPr>
        <w:rPr>
          <w:rFonts w:cs="Times New Roman"/>
          <w:lang w:val="en-AU"/>
        </w:rPr>
      </w:pPr>
      <w:r>
        <w:rPr>
          <w:rFonts w:cs="Times New Roman"/>
          <w:lang w:val="en-AU"/>
        </w:rPr>
        <w:t>Assumptions:</w:t>
      </w:r>
    </w:p>
    <w:p w14:paraId="10535DB3"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Number of vehicles charged with HC in 2002 is 50,000.</w:t>
      </w:r>
    </w:p>
    <w:p w14:paraId="693E563F"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Average age of vehicle converted is greater than 10 years.</w:t>
      </w:r>
      <w:r>
        <w:rPr>
          <w:rFonts w:ascii="Times New Roman" w:hAnsi="Times New Roman"/>
          <w:lang w:val="en-AU"/>
        </w:rPr>
        <w:tab/>
      </w:r>
    </w:p>
    <w:p w14:paraId="177F8DE6"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Attrition rate of vehicles greater than 10 years old is 10%.</w:t>
      </w:r>
    </w:p>
    <w:p w14:paraId="13737052"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Annual leak rate is 10%.</w:t>
      </w:r>
    </w:p>
    <w:p w14:paraId="4EA8C35E" w14:textId="77777777" w:rsidR="00B67E9C" w:rsidRDefault="00B67E9C" w:rsidP="00B67E9C">
      <w:pPr>
        <w:pStyle w:val="ListParagraph"/>
        <w:numPr>
          <w:ilvl w:val="0"/>
          <w:numId w:val="10"/>
        </w:numPr>
        <w:spacing w:before="120" w:after="0" w:line="240" w:lineRule="auto"/>
        <w:ind w:left="357" w:hanging="357"/>
        <w:rPr>
          <w:rFonts w:ascii="Times New Roman" w:hAnsi="Times New Roman"/>
          <w:lang w:val="en-AU"/>
        </w:rPr>
      </w:pPr>
      <w:r>
        <w:rPr>
          <w:rFonts w:ascii="Times New Roman" w:hAnsi="Times New Roman"/>
          <w:lang w:val="en-AU"/>
        </w:rPr>
        <w:t>Proportion HC charge to 134a based on mass is 30%.</w:t>
      </w:r>
    </w:p>
    <w:p w14:paraId="3B5BD539" w14:textId="77777777" w:rsidR="00B67E9C" w:rsidRDefault="00B67E9C" w:rsidP="00B67E9C">
      <w:pPr>
        <w:pStyle w:val="ListParagraph"/>
        <w:numPr>
          <w:ilvl w:val="0"/>
          <w:numId w:val="10"/>
        </w:numPr>
        <w:spacing w:before="120" w:after="0" w:line="240" w:lineRule="auto"/>
        <w:ind w:left="357" w:hanging="357"/>
        <w:rPr>
          <w:lang w:val="en-AU"/>
        </w:rPr>
      </w:pPr>
      <w:r>
        <w:rPr>
          <w:rFonts w:ascii="Times New Roman" w:hAnsi="Times New Roman"/>
          <w:lang w:val="en-AU"/>
        </w:rPr>
        <w:t>Growth in aggregate supply beyond 2016 is 2% per annum</w:t>
      </w:r>
      <w:r>
        <w:rPr>
          <w:lang w:val="en-AU"/>
        </w:rPr>
        <w:t>.</w:t>
      </w:r>
    </w:p>
    <w:p w14:paraId="4D0FD102" w14:textId="77777777" w:rsidR="00B67E9C" w:rsidRDefault="00B67E9C" w:rsidP="00B67E9C">
      <w:pPr>
        <w:rPr>
          <w:rFonts w:cs="Times New Roman"/>
          <w:lang w:val="en-AU"/>
        </w:rPr>
      </w:pPr>
      <w:r>
        <w:rPr>
          <w:rFonts w:cs="Times New Roman"/>
          <w:lang w:val="en-AU"/>
        </w:rPr>
        <w:t>The annual aggregate supply of hydrocarbon to the automotive market was provided in confidence by all market participants.</w:t>
      </w:r>
    </w:p>
    <w:p w14:paraId="72D229BE" w14:textId="77777777" w:rsidR="00B67E9C" w:rsidRDefault="00B67E9C" w:rsidP="00B67E9C">
      <w:pPr>
        <w:rPr>
          <w:rFonts w:cs="Times New Roman"/>
          <w:lang w:val="en-AU"/>
        </w:rPr>
      </w:pPr>
    </w:p>
    <w:p w14:paraId="03984D12" w14:textId="77777777" w:rsidR="00B67E9C" w:rsidRDefault="00B67E9C" w:rsidP="00B67E9C">
      <w:pPr>
        <w:pStyle w:val="Heading3"/>
        <w:numPr>
          <w:ilvl w:val="2"/>
          <w:numId w:val="5"/>
        </w:numPr>
      </w:pPr>
      <w:bookmarkStart w:id="11" w:name="_Toc54601646"/>
      <w:r>
        <w:lastRenderedPageBreak/>
        <w:t>Surveys of mobile air conditioner refrigerants</w:t>
      </w:r>
      <w:bookmarkEnd w:id="11"/>
    </w:p>
    <w:p w14:paraId="04D16683" w14:textId="77777777" w:rsidR="00B67E9C" w:rsidRDefault="00B67E9C" w:rsidP="00B67E9C">
      <w:pPr>
        <w:rPr>
          <w:rFonts w:cs="Times New Roman"/>
          <w:lang w:val="en-AU"/>
        </w:rPr>
      </w:pPr>
      <w:r>
        <w:rPr>
          <w:rFonts w:cs="Times New Roman"/>
          <w:lang w:val="en-AU"/>
        </w:rPr>
        <w:t xml:space="preserve">Refrigerant Reclaim Australia (RRA) conducted more than 2,000 inspections of passenger and light commercial vehicles between 2013 to 2017 to analyse the refrigerants in mobile air conditioners. </w:t>
      </w:r>
    </w:p>
    <w:p w14:paraId="70566131" w14:textId="77777777" w:rsidR="00B67E9C" w:rsidRDefault="00B67E9C" w:rsidP="00B67E9C">
      <w:pPr>
        <w:rPr>
          <w:rFonts w:cs="Times New Roman"/>
          <w:lang w:val="en-AU"/>
        </w:rPr>
      </w:pPr>
      <w:r>
        <w:rPr>
          <w:rFonts w:cs="Times New Roman"/>
          <w:lang w:val="en-AU"/>
        </w:rPr>
        <w:t>The surveys were conducted across all major capital cities as well as regional areas to provide national coverage and dissect the refrigerant types found into the following categories HFC-134a (100% and &gt;95%), HC (100%, &gt;95% and HC mix), CFC-12, and empty. The surveys record the year of vehicle manufacture, which shows a sample that is consistent with the age range of the current fleet with the vehicles most frequently inspected being around 10 years old, and with a long tail of vehicles dating back to the 1970s.</w:t>
      </w:r>
    </w:p>
    <w:p w14:paraId="3CDB7815" w14:textId="77777777" w:rsidR="00B67E9C" w:rsidRDefault="00B67E9C" w:rsidP="00B67E9C">
      <w:pPr>
        <w:rPr>
          <w:rFonts w:cs="Times New Roman"/>
          <w:lang w:val="en-AU"/>
        </w:rPr>
      </w:pPr>
      <w:r>
        <w:rPr>
          <w:rFonts w:cs="Times New Roman"/>
          <w:lang w:val="en-AU"/>
        </w:rPr>
        <w:t xml:space="preserve">The 2017 survey results found 86.0% of vehicles contained HFC-134a, 6.4% contained some HC, 0.2% contained CFC-12, and 7.5% were empty. The presence of CFC-12 found in the surveys has declined from 2.6% in 2013 to 0.2% in 2017. </w:t>
      </w:r>
    </w:p>
    <w:p w14:paraId="4A9A8B08" w14:textId="77777777" w:rsidR="00B67E9C" w:rsidRDefault="00B67E9C" w:rsidP="00B67E9C">
      <w:pPr>
        <w:rPr>
          <w:rFonts w:cs="Times New Roman"/>
          <w:lang w:val="en-AU"/>
        </w:rPr>
      </w:pPr>
      <w:r>
        <w:rPr>
          <w:rFonts w:cs="Times New Roman"/>
          <w:lang w:val="en-AU"/>
        </w:rPr>
        <w:t xml:space="preserve">The proportion of vehicles that contained some portion of hydrocarbon varied from 3.7% to 6.5% over the </w:t>
      </w:r>
      <w:proofErr w:type="gramStart"/>
      <w:r>
        <w:rPr>
          <w:rFonts w:cs="Times New Roman"/>
          <w:lang w:val="en-AU"/>
        </w:rPr>
        <w:t>five year</w:t>
      </w:r>
      <w:proofErr w:type="gramEnd"/>
      <w:r>
        <w:rPr>
          <w:rFonts w:cs="Times New Roman"/>
          <w:lang w:val="en-AU"/>
        </w:rPr>
        <w:t xml:space="preserve"> survey period, however the number of vehicles that contained &gt;95% HC ranged from 0.6% to 2.5%.</w:t>
      </w:r>
    </w:p>
    <w:p w14:paraId="25D47DBC" w14:textId="77777777" w:rsidR="00B67E9C" w:rsidRDefault="00B67E9C" w:rsidP="00B67E9C">
      <w:pPr>
        <w:rPr>
          <w:rFonts w:cs="Times New Roman"/>
          <w:lang w:val="en-AU"/>
        </w:rPr>
      </w:pPr>
    </w:p>
    <w:p w14:paraId="63E8683E" w14:textId="77777777" w:rsidR="00B67E9C" w:rsidRDefault="00B67E9C" w:rsidP="00B67E9C">
      <w:pPr>
        <w:pStyle w:val="Heading3"/>
        <w:numPr>
          <w:ilvl w:val="2"/>
          <w:numId w:val="5"/>
        </w:numPr>
      </w:pPr>
      <w:bookmarkStart w:id="12" w:name="_Toc54601647"/>
      <w:r>
        <w:t>Leak rates and direct emissions</w:t>
      </w:r>
      <w:bookmarkEnd w:id="12"/>
    </w:p>
    <w:p w14:paraId="65F3EF48" w14:textId="77777777" w:rsidR="00B67E9C" w:rsidRDefault="00B67E9C" w:rsidP="00B67E9C">
      <w:r>
        <w:t xml:space="preserve">At various points in the report the ‘leak rate’ of refrigerant from a class, segment or product category is discussed. </w:t>
      </w:r>
    </w:p>
    <w:p w14:paraId="5A2F9869" w14:textId="77777777" w:rsidR="00B67E9C" w:rsidRDefault="00B67E9C" w:rsidP="00B67E9C">
      <w:pPr>
        <w:rPr>
          <w:rFonts w:cs="Times New Roman"/>
          <w:szCs w:val="22"/>
          <w:lang w:val="en-US"/>
        </w:rPr>
      </w:pPr>
      <w:r>
        <w:rPr>
          <w:rFonts w:cs="Times New Roman"/>
          <w:szCs w:val="22"/>
          <w:lang w:val="en-US"/>
        </w:rPr>
        <w:t>The rates that different product categories actually leak over a period varies significantly depending on the class of equipment, refrigerant type, vintage, equipment design (</w:t>
      </w:r>
      <w:proofErr w:type="gramStart"/>
      <w:r>
        <w:rPr>
          <w:rFonts w:cs="Times New Roman"/>
          <w:szCs w:val="22"/>
          <w:lang w:val="en-US"/>
        </w:rPr>
        <w:t>i.e.</w:t>
      </w:r>
      <w:proofErr w:type="gramEnd"/>
      <w:r>
        <w:rPr>
          <w:rFonts w:cs="Times New Roman"/>
          <w:szCs w:val="22"/>
          <w:lang w:val="en-US"/>
        </w:rPr>
        <w:t xml:space="preserve"> flared connections, Schrader valves, type of condenser), workmanship of installation, vibration elimination, refrigerant leak detection, maintenance, operating conditions, and several other factors. </w:t>
      </w:r>
    </w:p>
    <w:p w14:paraId="6EF6ECA0" w14:textId="77777777" w:rsidR="00B67E9C" w:rsidRDefault="00B67E9C" w:rsidP="00B67E9C">
      <w:r>
        <w:t xml:space="preserve">On occasion leak rates are discussed which refer only to the rate of loss of refrigerant from an individual type or even individual piece of working equipment over a period, or as an instantaneous observation. When the term leak is used it is not intended to capture the entirety of losses of refrigerant over the lifetime of the equipment. </w:t>
      </w:r>
    </w:p>
    <w:p w14:paraId="11E0B954" w14:textId="77777777" w:rsidR="00B67E9C" w:rsidRDefault="00B67E9C" w:rsidP="00B67E9C">
      <w:r>
        <w:t xml:space="preserve">Losses of refrigerant over the total life of a piece of equipment or even a class of equipment are referred to as ‘direct emissions’ when discussed in the context of greenhouse gas emissions – as compared to the ‘indirect emissions’ created by the consumption of electricity. </w:t>
      </w:r>
    </w:p>
    <w:p w14:paraId="75328116" w14:textId="77777777" w:rsidR="00B67E9C" w:rsidRDefault="00B67E9C" w:rsidP="00B67E9C">
      <w:pPr>
        <w:rPr>
          <w:rFonts w:cs="Times New Roman"/>
          <w:szCs w:val="22"/>
          <w:lang w:val="en-US"/>
        </w:rPr>
      </w:pPr>
      <w:r>
        <w:rPr>
          <w:rFonts w:cs="Times New Roman"/>
          <w:szCs w:val="22"/>
          <w:lang w:val="en-US"/>
        </w:rPr>
        <w:t xml:space="preserve">The annual leak rates referred to above are expressed as a percentage of the initial charge per annum, and defined as </w:t>
      </w:r>
      <w:r>
        <w:t>‘direct emissions’ incorporating:</w:t>
      </w:r>
    </w:p>
    <w:p w14:paraId="2D8F2453"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 xml:space="preserve">Refrigerant that leaks from equipment, either from slow leaks in operation, or as a result of ‘catastrophic’ losses when a piece of equipment suffers some sort of breakdown or failure of containment and the entire charge is lost to </w:t>
      </w:r>
      <w:proofErr w:type="gramStart"/>
      <w:r>
        <w:rPr>
          <w:rFonts w:ascii="Times New Roman" w:hAnsi="Times New Roman"/>
        </w:rPr>
        <w:t>air;</w:t>
      </w:r>
      <w:proofErr w:type="gramEnd"/>
    </w:p>
    <w:p w14:paraId="67715D64"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Refrigerant that is lost through handling losses during installation and commissioning of equipment, and during servicing of equipment; and,</w:t>
      </w:r>
    </w:p>
    <w:p w14:paraId="0318ABFC"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rPr>
        <w:t>Refrigerant that is lost along the supply chain for the species of gas that the class of equipment requires while gas is being transported, decanted or handled.</w:t>
      </w:r>
    </w:p>
    <w:p w14:paraId="648A902D" w14:textId="77777777" w:rsidR="00B67E9C" w:rsidRDefault="00B67E9C" w:rsidP="00B67E9C">
      <w:r>
        <w:t xml:space="preserve">Direct emission rates applied in the model are listed against product categories in </w:t>
      </w:r>
      <w:r>
        <w:rPr>
          <w:i/>
        </w:rPr>
        <w:t>Appendix: B1: CHF3 Taxonomy</w:t>
      </w:r>
      <w:r>
        <w:t xml:space="preserve">. </w:t>
      </w:r>
    </w:p>
    <w:p w14:paraId="32C9FFF1" w14:textId="77777777" w:rsidR="00B67E9C" w:rsidRDefault="00B67E9C" w:rsidP="00B67E9C">
      <w:pPr>
        <w:rPr>
          <w:rFonts w:cs="Times New Roman"/>
          <w:szCs w:val="22"/>
          <w:lang w:val="en-US"/>
        </w:rPr>
      </w:pPr>
      <w:r>
        <w:rPr>
          <w:rFonts w:cs="Times New Roman"/>
          <w:szCs w:val="22"/>
          <w:lang w:val="en-US"/>
        </w:rPr>
        <w:t xml:space="preserve">The understanding of the equipment in the product categories has evolved over several years and partly as a result of having to prepare a series of research papers in this area. </w:t>
      </w:r>
      <w:proofErr w:type="gramStart"/>
      <w:r>
        <w:rPr>
          <w:rFonts w:cs="Times New Roman"/>
          <w:szCs w:val="22"/>
          <w:lang w:val="en-US"/>
        </w:rPr>
        <w:t>In the course of</w:t>
      </w:r>
      <w:proofErr w:type="gramEnd"/>
      <w:r>
        <w:rPr>
          <w:rFonts w:cs="Times New Roman"/>
          <w:szCs w:val="22"/>
          <w:lang w:val="en-US"/>
        </w:rPr>
        <w:t xml:space="preserve"> various projects all available data in this area was reviewed and a database of findings and observations of leak rates by other researchers was constructed.  </w:t>
      </w:r>
    </w:p>
    <w:p w14:paraId="0A6C991F" w14:textId="77777777" w:rsidR="00B67E9C" w:rsidRDefault="00B67E9C" w:rsidP="00B67E9C">
      <w:pPr>
        <w:rPr>
          <w:rFonts w:cs="Times New Roman"/>
          <w:szCs w:val="22"/>
          <w:lang w:val="en-US"/>
        </w:rPr>
      </w:pPr>
      <w:r>
        <w:rPr>
          <w:rFonts w:cs="Times New Roman"/>
          <w:szCs w:val="22"/>
          <w:lang w:val="en-US"/>
        </w:rPr>
        <w:lastRenderedPageBreak/>
        <w:t>The main technical papers undertaken by the authors that assisted in determining the leak rate and service rate estimates used in this report include:</w:t>
      </w:r>
    </w:p>
    <w:p w14:paraId="033AE234" w14:textId="77777777" w:rsidR="00B67E9C" w:rsidRDefault="00B67E9C" w:rsidP="00B67E9C">
      <w:pPr>
        <w:pStyle w:val="ListParagraph"/>
        <w:numPr>
          <w:ilvl w:val="0"/>
          <w:numId w:val="11"/>
        </w:numPr>
        <w:spacing w:before="120" w:after="0" w:line="240" w:lineRule="auto"/>
        <w:ind w:left="357" w:hanging="357"/>
        <w:jc w:val="both"/>
        <w:rPr>
          <w:rFonts w:ascii="Times New Roman" w:hAnsi="Times New Roman"/>
          <w:lang w:val="en-US"/>
        </w:rPr>
      </w:pPr>
      <w:r>
        <w:rPr>
          <w:rFonts w:ascii="Times New Roman" w:hAnsi="Times New Roman"/>
          <w:i/>
          <w:lang w:val="en-US"/>
        </w:rPr>
        <w:t>A study into the HFC Consumption in Australia</w:t>
      </w:r>
      <w:r>
        <w:rPr>
          <w:rFonts w:ascii="Times New Roman" w:hAnsi="Times New Roman"/>
          <w:lang w:val="en-US"/>
        </w:rPr>
        <w:t xml:space="preserve"> prepared by the Expert Group for </w:t>
      </w:r>
      <w:proofErr w:type="spellStart"/>
      <w:r>
        <w:rPr>
          <w:rFonts w:ascii="Times New Roman" w:hAnsi="Times New Roman"/>
          <w:lang w:val="en-US"/>
        </w:rPr>
        <w:t>DSEWPaC</w:t>
      </w:r>
      <w:proofErr w:type="spellEnd"/>
      <w:r>
        <w:rPr>
          <w:rFonts w:ascii="Times New Roman" w:hAnsi="Times New Roman"/>
          <w:lang w:val="en-US"/>
        </w:rPr>
        <w:t xml:space="preserve">, October 2011. This assignment involved the development of a </w:t>
      </w:r>
      <w:proofErr w:type="gramStart"/>
      <w:r>
        <w:rPr>
          <w:rFonts w:ascii="Times New Roman" w:hAnsi="Times New Roman"/>
          <w:lang w:val="en-US"/>
        </w:rPr>
        <w:t>bottom up</w:t>
      </w:r>
      <w:proofErr w:type="gramEnd"/>
      <w:r>
        <w:rPr>
          <w:rFonts w:ascii="Times New Roman" w:hAnsi="Times New Roman"/>
          <w:lang w:val="en-US"/>
        </w:rPr>
        <w:t xml:space="preserve"> model of the national inventories of synthetic greenhouse gases in order to reconcile the </w:t>
      </w:r>
      <w:proofErr w:type="spellStart"/>
      <w:r>
        <w:rPr>
          <w:rFonts w:ascii="Times New Roman" w:hAnsi="Times New Roman"/>
          <w:lang w:val="en-US"/>
        </w:rPr>
        <w:t>tonnes</w:t>
      </w:r>
      <w:proofErr w:type="spellEnd"/>
      <w:r>
        <w:rPr>
          <w:rFonts w:ascii="Times New Roman" w:hAnsi="Times New Roman"/>
          <w:lang w:val="en-US"/>
        </w:rPr>
        <w:t xml:space="preserve"> of each HFC imported with consumption in key industry sector/sub-sector/applications.</w:t>
      </w:r>
    </w:p>
    <w:p w14:paraId="05049141" w14:textId="77777777" w:rsidR="00B67E9C" w:rsidRDefault="00B67E9C" w:rsidP="00B67E9C">
      <w:pPr>
        <w:pStyle w:val="ListParagraph"/>
        <w:numPr>
          <w:ilvl w:val="0"/>
          <w:numId w:val="11"/>
        </w:numPr>
        <w:spacing w:before="120" w:after="0" w:line="240" w:lineRule="auto"/>
        <w:jc w:val="both"/>
      </w:pPr>
      <w:r>
        <w:rPr>
          <w:rFonts w:ascii="Times New Roman" w:hAnsi="Times New Roman"/>
          <w:i/>
          <w:lang w:val="en-US"/>
        </w:rPr>
        <w:t>Giving Teeth to TEWI</w:t>
      </w:r>
      <w:r>
        <w:rPr>
          <w:rFonts w:ascii="Times New Roman" w:hAnsi="Times New Roman"/>
          <w:lang w:val="en-US"/>
        </w:rPr>
        <w:t xml:space="preserve"> prepared by Expert Group for Refrigerants Australia in association with AIRAH Natural Refrigerants Steering Group. This project developed a best practice guideline and methodology for calculating Total Environmental Warming Impact (TEWI) to facilitate more informed investment decisions in low emission technology in the HVAC&amp;R industries. This research commenced in 2010 and resulted in </w:t>
      </w:r>
      <w:r>
        <w:rPr>
          <w:rFonts w:ascii="Times New Roman" w:hAnsi="Times New Roman"/>
          <w:i/>
          <w:lang w:val="en-US"/>
        </w:rPr>
        <w:t>The AIRAH Best Practice Guidelines: Methods of calculating TEWI</w:t>
      </w:r>
      <w:r>
        <w:rPr>
          <w:rFonts w:ascii="Times New Roman" w:hAnsi="Times New Roman"/>
          <w:lang w:val="en-US"/>
        </w:rPr>
        <w:t xml:space="preserve"> being published in 2012. The guideline includes a range of lower, upper and typical leak rates for key air conditioning and refrigeration applications. The upper range being those cited in the National Greenhouse and Energy Reporting (NGERS) Technical Guidelines and the NGERS Act 2007 that prescribes 9% for commercial air conditioning, 23% for commercial refrigeration and 16% for industrial refrigeration. Research involving reconciling consumption concludes that whilst these upper leak rates can occur with some </w:t>
      </w:r>
      <w:proofErr w:type="gramStart"/>
      <w:r>
        <w:rPr>
          <w:rFonts w:ascii="Times New Roman" w:hAnsi="Times New Roman"/>
          <w:lang w:val="en-US"/>
        </w:rPr>
        <w:t>systems</w:t>
      </w:r>
      <w:proofErr w:type="gramEnd"/>
      <w:r>
        <w:rPr>
          <w:rFonts w:ascii="Times New Roman" w:hAnsi="Times New Roman"/>
          <w:lang w:val="en-US"/>
        </w:rPr>
        <w:t xml:space="preserve"> they are not the current weighted average across the economy.</w:t>
      </w:r>
    </w:p>
    <w:p w14:paraId="1B450C1C" w14:textId="77777777" w:rsidR="00B67E9C" w:rsidRDefault="00B67E9C" w:rsidP="00B67E9C">
      <w:pPr>
        <w:pStyle w:val="ListParagraph"/>
        <w:numPr>
          <w:ilvl w:val="0"/>
          <w:numId w:val="11"/>
        </w:numPr>
        <w:spacing w:before="120" w:after="0" w:line="240" w:lineRule="auto"/>
        <w:ind w:left="357" w:hanging="357"/>
        <w:jc w:val="both"/>
        <w:rPr>
          <w:rFonts w:ascii="Times New Roman" w:hAnsi="Times New Roman"/>
          <w:lang w:val="en-US"/>
        </w:rPr>
      </w:pPr>
      <w:r>
        <w:rPr>
          <w:rFonts w:ascii="Times New Roman" w:hAnsi="Times New Roman"/>
          <w:i/>
          <w:lang w:val="en-US"/>
        </w:rPr>
        <w:t>Refrigerant Emissions in Australia: Sources, Causes and Remedies</w:t>
      </w:r>
      <w:r>
        <w:rPr>
          <w:rFonts w:ascii="Times New Roman" w:hAnsi="Times New Roman"/>
          <w:lang w:val="en-US"/>
        </w:rPr>
        <w:t xml:space="preserve"> prepared by Expert Group for DEWHA March 2010. DEWHA commissioned this study to establish a greater understanding of the sources and causes of refrigerant leaks, and technical standards that could reduce leaks on small to medium commercial refrigeration, and the quantitative benefits of such standards. This study involved extensive research and improved understanding on leak rates found in commercial refrigeration.</w:t>
      </w:r>
    </w:p>
    <w:p w14:paraId="42EE600F" w14:textId="77777777" w:rsidR="00B67E9C" w:rsidRDefault="00B67E9C" w:rsidP="00B67E9C">
      <w:pPr>
        <w:pStyle w:val="ListParagraph"/>
        <w:numPr>
          <w:ilvl w:val="0"/>
          <w:numId w:val="11"/>
        </w:numPr>
        <w:spacing w:before="120" w:after="0" w:line="240" w:lineRule="auto"/>
        <w:ind w:left="357" w:hanging="357"/>
        <w:jc w:val="both"/>
        <w:rPr>
          <w:rFonts w:ascii="Times New Roman" w:hAnsi="Times New Roman"/>
          <w:lang w:val="en-US"/>
        </w:rPr>
      </w:pPr>
      <w:r>
        <w:rPr>
          <w:rFonts w:ascii="Times New Roman" w:hAnsi="Times New Roman"/>
          <w:i/>
          <w:lang w:val="en-US"/>
        </w:rPr>
        <w:t>Leak rate database for Refrigerants Australia, 2009</w:t>
      </w:r>
      <w:r>
        <w:rPr>
          <w:rFonts w:ascii="Times New Roman" w:hAnsi="Times New Roman"/>
          <w:lang w:val="en-US"/>
        </w:rPr>
        <w:t xml:space="preserve">. This assignment involved developing leak rate benchmarks for each main application supported by a database of global references. This involved investigation into leak </w:t>
      </w:r>
      <w:proofErr w:type="spellStart"/>
      <w:r>
        <w:rPr>
          <w:rFonts w:ascii="Times New Roman" w:hAnsi="Times New Roman"/>
          <w:lang w:val="en-US"/>
        </w:rPr>
        <w:t>minimisation</w:t>
      </w:r>
      <w:proofErr w:type="spellEnd"/>
      <w:r>
        <w:rPr>
          <w:rFonts w:ascii="Times New Roman" w:hAnsi="Times New Roman"/>
          <w:lang w:val="en-US"/>
        </w:rPr>
        <w:t xml:space="preserve"> best practice and a greater understanding of the range of factors influencing leak rates.</w:t>
      </w:r>
    </w:p>
    <w:p w14:paraId="4DE7FE7F" w14:textId="77777777" w:rsidR="00B67E9C" w:rsidRDefault="00B67E9C" w:rsidP="00B67E9C">
      <w:pPr>
        <w:pStyle w:val="ListParagraph"/>
        <w:numPr>
          <w:ilvl w:val="0"/>
          <w:numId w:val="11"/>
        </w:numPr>
        <w:spacing w:before="120" w:after="0" w:line="240" w:lineRule="auto"/>
        <w:ind w:left="357" w:hanging="357"/>
        <w:jc w:val="both"/>
        <w:rPr>
          <w:rFonts w:ascii="Times New Roman" w:hAnsi="Times New Roman"/>
          <w:lang w:val="en-US"/>
        </w:rPr>
      </w:pPr>
      <w:r>
        <w:rPr>
          <w:rFonts w:ascii="Times New Roman" w:hAnsi="Times New Roman"/>
          <w:lang w:val="en-US"/>
        </w:rPr>
        <w:t xml:space="preserve">Other research used to inform leak rate estimates include the various United Nations Environment </w:t>
      </w:r>
      <w:proofErr w:type="spellStart"/>
      <w:r>
        <w:rPr>
          <w:rFonts w:ascii="Times New Roman" w:hAnsi="Times New Roman"/>
          <w:lang w:val="en-US"/>
        </w:rPr>
        <w:t>Programme</w:t>
      </w:r>
      <w:proofErr w:type="spellEnd"/>
      <w:r>
        <w:rPr>
          <w:rFonts w:ascii="Times New Roman" w:hAnsi="Times New Roman"/>
          <w:lang w:val="en-US"/>
        </w:rPr>
        <w:t xml:space="preserve"> (UNEP) Technology and Economic Assessment Panel reports prepared by the Refrigeration, Air Conditioning and Heat Pumps, Technical Options Committee, technical papers by the Institute of Refrigeration in the UK, and a series of papers undertaken by Denis </w:t>
      </w:r>
      <w:proofErr w:type="spellStart"/>
      <w:r>
        <w:rPr>
          <w:rFonts w:ascii="Times New Roman" w:hAnsi="Times New Roman"/>
          <w:lang w:val="en-US"/>
        </w:rPr>
        <w:t>Clodic</w:t>
      </w:r>
      <w:proofErr w:type="spellEnd"/>
      <w:r>
        <w:rPr>
          <w:rFonts w:ascii="Times New Roman" w:hAnsi="Times New Roman"/>
          <w:lang w:val="en-US"/>
        </w:rPr>
        <w:t xml:space="preserve"> and his various associates over the last decade for various policy makers in the US and EU.</w:t>
      </w:r>
    </w:p>
    <w:p w14:paraId="581B249A" w14:textId="77777777" w:rsidR="00B67E9C" w:rsidRDefault="00B67E9C" w:rsidP="00B67E9C">
      <w:pPr>
        <w:rPr>
          <w:rFonts w:cs="Times New Roman"/>
          <w:szCs w:val="22"/>
          <w:lang w:val="en-US"/>
        </w:rPr>
      </w:pPr>
      <w:r>
        <w:rPr>
          <w:rFonts w:cs="Times New Roman"/>
          <w:szCs w:val="22"/>
          <w:lang w:val="en-US"/>
        </w:rPr>
        <w:t xml:space="preserve">Direct emissions from product category, in any one year, are always going to be greater than or, at the very best, equal to the service usage for that product category in that year. This is a conclusion from other data and research that shows that in </w:t>
      </w:r>
      <w:proofErr w:type="gramStart"/>
      <w:r>
        <w:rPr>
          <w:rFonts w:cs="Times New Roman"/>
          <w:szCs w:val="22"/>
          <w:lang w:val="en-US"/>
        </w:rPr>
        <w:t>the majority of</w:t>
      </w:r>
      <w:proofErr w:type="gramEnd"/>
      <w:r>
        <w:rPr>
          <w:rFonts w:cs="Times New Roman"/>
          <w:szCs w:val="22"/>
          <w:lang w:val="en-US"/>
        </w:rPr>
        <w:t xml:space="preserve"> product categories, particularly those categories that encompass smaller privately owned equipment, service is rarely comprehensive across the stock and at least some part of the stock of equipment in any category at any time, is operating on less than the full technical capacity of the refrigerant charge. This is discussed further in </w:t>
      </w:r>
      <w:r>
        <w:rPr>
          <w:rFonts w:cs="Times New Roman"/>
          <w:i/>
          <w:szCs w:val="22"/>
          <w:lang w:val="en-US"/>
        </w:rPr>
        <w:t>Section 11.2.9</w:t>
      </w:r>
      <w:r>
        <w:rPr>
          <w:rFonts w:cs="Times New Roman"/>
          <w:szCs w:val="22"/>
          <w:lang w:val="en-US"/>
        </w:rPr>
        <w:t xml:space="preserve"> below.</w:t>
      </w:r>
    </w:p>
    <w:p w14:paraId="24581950" w14:textId="77777777" w:rsidR="00B67E9C" w:rsidRDefault="00B67E9C" w:rsidP="00B67E9C">
      <w:pPr>
        <w:rPr>
          <w:rFonts w:cs="Times New Roman"/>
          <w:szCs w:val="22"/>
          <w:lang w:val="en-US"/>
        </w:rPr>
      </w:pPr>
    </w:p>
    <w:p w14:paraId="62CFE515" w14:textId="77777777" w:rsidR="00B67E9C" w:rsidRDefault="00B67E9C" w:rsidP="00B67E9C">
      <w:pPr>
        <w:pStyle w:val="Heading3"/>
        <w:numPr>
          <w:ilvl w:val="2"/>
          <w:numId w:val="5"/>
        </w:numPr>
      </w:pPr>
      <w:bookmarkStart w:id="13" w:name="_Toc54601648"/>
      <w:r>
        <w:t>OEM, service usage and service rates</w:t>
      </w:r>
      <w:bookmarkEnd w:id="13"/>
    </w:p>
    <w:p w14:paraId="5C943A5B" w14:textId="77777777" w:rsidR="00B67E9C" w:rsidRDefault="00B67E9C" w:rsidP="00B67E9C">
      <w:pPr>
        <w:rPr>
          <w:rFonts w:cs="Times New Roman"/>
          <w:szCs w:val="22"/>
          <w:lang w:val="en-US"/>
        </w:rPr>
      </w:pPr>
      <w:r>
        <w:rPr>
          <w:rFonts w:cs="Times New Roman"/>
          <w:szCs w:val="22"/>
          <w:lang w:val="en-US"/>
        </w:rPr>
        <w:t>Bulk refrigerant is primarily imported for servicing and manufacturing RAC equipment. Other uses include, for instance, charging new commercial refrigeration equipment with remote condensers that have been manufactured or imported with a nitrogen charge and then charged on site. Smaller volumes of bulk refrigerant imports are used in non-RAC applications including foam blowing, aerosols, fire protection, as cleaning agents (solvents), and electricity distribution.</w:t>
      </w:r>
    </w:p>
    <w:p w14:paraId="3D8FAC32" w14:textId="77777777" w:rsidR="00B67E9C" w:rsidRDefault="00B67E9C" w:rsidP="00B67E9C">
      <w:pPr>
        <w:rPr>
          <w:rFonts w:cs="Times New Roman"/>
          <w:szCs w:val="22"/>
          <w:lang w:val="en-US"/>
        </w:rPr>
      </w:pPr>
      <w:r>
        <w:rPr>
          <w:rFonts w:cs="Times New Roman"/>
          <w:szCs w:val="22"/>
          <w:lang w:val="en-US"/>
        </w:rPr>
        <w:t xml:space="preserve">The volume of refrigerant required for manufacturing is known by directly surveying equipment manufacturers </w:t>
      </w:r>
      <w:proofErr w:type="gramStart"/>
      <w:r>
        <w:rPr>
          <w:rFonts w:cs="Times New Roman"/>
          <w:szCs w:val="22"/>
          <w:lang w:val="en-US"/>
        </w:rPr>
        <w:t>with regard to</w:t>
      </w:r>
      <w:proofErr w:type="gramEnd"/>
      <w:r>
        <w:rPr>
          <w:rFonts w:cs="Times New Roman"/>
          <w:szCs w:val="22"/>
          <w:lang w:val="en-US"/>
        </w:rPr>
        <w:t xml:space="preserve"> their manufacturing output, the species employed in the equipment they make </w:t>
      </w:r>
      <w:r>
        <w:rPr>
          <w:rFonts w:cs="Times New Roman"/>
          <w:szCs w:val="22"/>
          <w:lang w:val="en-US"/>
        </w:rPr>
        <w:lastRenderedPageBreak/>
        <w:t xml:space="preserve">and sell, or charge and sell, and the charges employed in that equipment. Many manufacturers have also provided data on the volumes of bulk refrigerant purchased in any year for their production. </w:t>
      </w:r>
    </w:p>
    <w:p w14:paraId="4BCDCCA9" w14:textId="77777777" w:rsidR="00B67E9C" w:rsidRDefault="00B67E9C" w:rsidP="00B67E9C">
      <w:r>
        <w:t>In CHF2 the annual usage of bulk imports of HFCs, after deducting refrigerant used in installation of new systems and by OEMs in Australia, was used as a proxy for effective leak rates of equipment. It was assumed that the balance of the refrigerant imported every year, and not used in new installations or by OEMs was therefore used maintaining and servicing the stock of equipment. It was further assumed that all product categories in the stock of equipment were maintained at close to an optimal charge, on average, over the effective life of the equipment.</w:t>
      </w:r>
    </w:p>
    <w:p w14:paraId="313148B6" w14:textId="77777777" w:rsidR="00B67E9C" w:rsidRDefault="00B67E9C" w:rsidP="00B67E9C">
      <w:r>
        <w:t xml:space="preserve">Since CHF2 </w:t>
      </w:r>
      <w:proofErr w:type="gramStart"/>
      <w:r>
        <w:t>a number of</w:t>
      </w:r>
      <w:proofErr w:type="gramEnd"/>
      <w:r>
        <w:t xml:space="preserve"> pieces of research have demonstrated that stocks of operating equipment are not always maintained at optimal charges and that, as evidenced by reports from service technicians, and from surveys of the charge remaining in equipment that has reached the end of its useful life, some segments and product categories will operate for a significant portion of their operating life on sub-optimal charges.</w:t>
      </w:r>
    </w:p>
    <w:p w14:paraId="4ABF3560" w14:textId="77777777" w:rsidR="00B67E9C" w:rsidRDefault="00B67E9C" w:rsidP="00B67E9C">
      <w:pPr>
        <w:rPr>
          <w:rFonts w:cs="Times New Roman"/>
          <w:szCs w:val="22"/>
          <w:lang w:val="en-US"/>
        </w:rPr>
      </w:pPr>
      <w:r>
        <w:rPr>
          <w:rFonts w:cs="Times New Roman"/>
          <w:szCs w:val="22"/>
          <w:lang w:val="en-US"/>
        </w:rPr>
        <w:t xml:space="preserve">This </w:t>
      </w:r>
      <w:proofErr w:type="spellStart"/>
      <w:r>
        <w:rPr>
          <w:rFonts w:cs="Times New Roman"/>
          <w:szCs w:val="22"/>
          <w:lang w:val="en-US"/>
        </w:rPr>
        <w:t>realisation</w:t>
      </w:r>
      <w:proofErr w:type="spellEnd"/>
      <w:r>
        <w:rPr>
          <w:rFonts w:cs="Times New Roman"/>
          <w:szCs w:val="22"/>
          <w:lang w:val="en-US"/>
        </w:rPr>
        <w:t xml:space="preserve"> has been built over a period during which a great deal of work was undertaken by the authors </w:t>
      </w:r>
      <w:proofErr w:type="gramStart"/>
      <w:r>
        <w:rPr>
          <w:rFonts w:cs="Times New Roman"/>
          <w:szCs w:val="22"/>
          <w:lang w:val="en-US"/>
        </w:rPr>
        <w:t>in the course of</w:t>
      </w:r>
      <w:proofErr w:type="gramEnd"/>
      <w:r>
        <w:rPr>
          <w:rFonts w:cs="Times New Roman"/>
          <w:szCs w:val="22"/>
          <w:lang w:val="en-US"/>
        </w:rPr>
        <w:t xml:space="preserve"> several projects to reconcile usage of declared bulk refrigerant imports into Australia, for all major refrigerant species, with all the possible end uses of the refrigerant. </w:t>
      </w:r>
    </w:p>
    <w:p w14:paraId="246F73C0" w14:textId="77777777" w:rsidR="00B67E9C" w:rsidRDefault="00B67E9C" w:rsidP="00B67E9C">
      <w:pPr>
        <w:rPr>
          <w:rFonts w:cs="Times New Roman"/>
          <w:szCs w:val="22"/>
          <w:lang w:val="en-US"/>
        </w:rPr>
      </w:pPr>
      <w:r>
        <w:rPr>
          <w:rFonts w:cs="Times New Roman"/>
          <w:szCs w:val="22"/>
          <w:lang w:val="en-US"/>
        </w:rPr>
        <w:t xml:space="preserve">Combined with supply chain and service company interviews, the analysis of bulk refrigerant imports, plus the expected losses from the stock of equipment is used to deduce the total volume of refrigerant applied to </w:t>
      </w:r>
      <w:proofErr w:type="gramStart"/>
      <w:r>
        <w:rPr>
          <w:rFonts w:cs="Times New Roman"/>
          <w:szCs w:val="22"/>
          <w:lang w:val="en-US"/>
        </w:rPr>
        <w:t>particular product</w:t>
      </w:r>
      <w:proofErr w:type="gramEnd"/>
      <w:r>
        <w:rPr>
          <w:rFonts w:cs="Times New Roman"/>
          <w:szCs w:val="22"/>
          <w:lang w:val="en-US"/>
        </w:rPr>
        <w:t xml:space="preserve"> categories to at least partially replace lost refrigerant across the stock of equipment in the Australian economy.  </w:t>
      </w:r>
    </w:p>
    <w:p w14:paraId="62B8585A" w14:textId="77777777" w:rsidR="00B67E9C" w:rsidRDefault="00B67E9C" w:rsidP="00B67E9C">
      <w:pPr>
        <w:rPr>
          <w:rFonts w:cs="Times New Roman"/>
          <w:szCs w:val="22"/>
          <w:lang w:val="en-US"/>
        </w:rPr>
      </w:pPr>
      <w:r>
        <w:rPr>
          <w:rFonts w:cs="Times New Roman"/>
          <w:szCs w:val="22"/>
          <w:lang w:val="en-US"/>
        </w:rPr>
        <w:t>For example, a mobile air conditioning aftermarket survey was undertaken to assess HFC-134a usage for service, repairs and losses as the result of car crashes. The assessment concluded that the service usage rate for the last three years was less than 5% per annum of the MAC bank, versus the estimate of 10% leak rate, plus 1.5% applied for car crash losses in 2012. On this basis the service rate is around half of the leak rate, however the usage prior to 2012 was known to be much higher.</w:t>
      </w:r>
    </w:p>
    <w:p w14:paraId="55225919" w14:textId="77777777" w:rsidR="00B67E9C" w:rsidRDefault="00B67E9C" w:rsidP="00B67E9C">
      <w:pPr>
        <w:rPr>
          <w:rFonts w:cs="Times New Roman"/>
          <w:szCs w:val="22"/>
          <w:lang w:val="en-US"/>
        </w:rPr>
      </w:pPr>
      <w:r>
        <w:rPr>
          <w:rFonts w:cs="Times New Roman"/>
          <w:szCs w:val="22"/>
          <w:lang w:val="en-US"/>
        </w:rPr>
        <w:t xml:space="preserve">Assuming this under-servicing of the stock of equipment is consistently around 25% to 30% of annual losses, then the actual bank of refrigerant in the stock of MAC is about 82% of the capacity of that stock if it was fully charged. The banks in other sectors, with less under-servicing, would be </w:t>
      </w:r>
      <w:proofErr w:type="gramStart"/>
      <w:r>
        <w:rPr>
          <w:rFonts w:cs="Times New Roman"/>
          <w:szCs w:val="22"/>
          <w:lang w:val="en-US"/>
        </w:rPr>
        <w:t>more full</w:t>
      </w:r>
      <w:proofErr w:type="gramEnd"/>
      <w:r>
        <w:rPr>
          <w:rFonts w:cs="Times New Roman"/>
          <w:szCs w:val="22"/>
          <w:lang w:val="en-US"/>
        </w:rPr>
        <w:t xml:space="preserve"> and the total bank is around 92% full.  </w:t>
      </w:r>
    </w:p>
    <w:p w14:paraId="21C0FD35" w14:textId="77777777" w:rsidR="00B67E9C" w:rsidRDefault="00B67E9C" w:rsidP="00B67E9C">
      <w:r>
        <w:t>These new insights into the industry and the operation and maintenance of the stock of equipment have led to the development of the concept of a ‘service rate’ for certain segments and product categories, where a discounted service rate (</w:t>
      </w:r>
      <w:proofErr w:type="gramStart"/>
      <w:r>
        <w:t>i.e.</w:t>
      </w:r>
      <w:proofErr w:type="gramEnd"/>
      <w:r>
        <w:t xml:space="preserve"> a service rate of less than 100%) leads to calculation of a ‘partially charged bank’, being less than the optimal or full bank.</w:t>
      </w:r>
    </w:p>
    <w:p w14:paraId="03BEAE07" w14:textId="77777777" w:rsidR="00B67E9C" w:rsidRDefault="00B67E9C" w:rsidP="00B67E9C">
      <w:pPr>
        <w:rPr>
          <w:rFonts w:cs="Times New Roman"/>
          <w:szCs w:val="22"/>
          <w:lang w:val="en-US"/>
        </w:rPr>
      </w:pPr>
      <w:r>
        <w:rPr>
          <w:rFonts w:cs="Times New Roman"/>
          <w:szCs w:val="22"/>
          <w:lang w:val="en-US"/>
        </w:rPr>
        <w:t>The main segments where under-servicing is thought to be significant includes small MAC and whitegoods (</w:t>
      </w:r>
      <w:proofErr w:type="gramStart"/>
      <w:r>
        <w:rPr>
          <w:rFonts w:cs="Times New Roman"/>
          <w:szCs w:val="22"/>
          <w:lang w:val="en-US"/>
        </w:rPr>
        <w:t>i.e.</w:t>
      </w:r>
      <w:proofErr w:type="gramEnd"/>
      <w:r>
        <w:rPr>
          <w:rFonts w:cs="Times New Roman"/>
          <w:szCs w:val="22"/>
          <w:lang w:val="en-US"/>
        </w:rPr>
        <w:t xml:space="preserve"> domestic refrigeration, portable AC, window/wall AC and wall hung split systems) particularly where the device is cheaper to replace than service. Notably these two segments are dominated by private ownership.</w:t>
      </w:r>
    </w:p>
    <w:p w14:paraId="4526F8DE" w14:textId="77777777" w:rsidR="00B67E9C" w:rsidRDefault="00B67E9C" w:rsidP="00B67E9C">
      <w:pPr>
        <w:rPr>
          <w:rFonts w:cs="Times New Roman"/>
          <w:szCs w:val="22"/>
          <w:lang w:val="en-US"/>
        </w:rPr>
      </w:pPr>
    </w:p>
    <w:p w14:paraId="03262A94" w14:textId="77777777" w:rsidR="00B67E9C" w:rsidRDefault="00B67E9C" w:rsidP="00B67E9C">
      <w:pPr>
        <w:pStyle w:val="Heading3"/>
        <w:numPr>
          <w:ilvl w:val="2"/>
          <w:numId w:val="5"/>
        </w:numPr>
      </w:pPr>
      <w:bookmarkStart w:id="14" w:name="_Toc54601649"/>
      <w:r>
        <w:t>Calculating the full bank and partially charged bank</w:t>
      </w:r>
      <w:bookmarkEnd w:id="14"/>
      <w:r>
        <w:t xml:space="preserve"> </w:t>
      </w:r>
    </w:p>
    <w:p w14:paraId="6A3C1FA4" w14:textId="77777777" w:rsidR="00B67E9C" w:rsidRDefault="00B67E9C" w:rsidP="00B67E9C">
      <w:pPr>
        <w:rPr>
          <w:rFonts w:cs="Times New Roman"/>
          <w:szCs w:val="22"/>
          <w:lang w:val="en-US"/>
        </w:rPr>
      </w:pPr>
      <w:r>
        <w:rPr>
          <w:rFonts w:cs="Times New Roman"/>
          <w:szCs w:val="22"/>
          <w:lang w:val="en-US"/>
        </w:rPr>
        <w:t xml:space="preserve">External references and field experience are used as a starting point for leak rates applied to product categories. Service rates are as set out in the section above. A ‘full bank’ is the product of a known stock of equipment multiplied by the average original charge rates in the various cohorts of equipment that make up a product category, derived largely from manufacturers’ specifications. Residual charges in end-of-life equipment are estimated based on various surveys and published sources. </w:t>
      </w:r>
    </w:p>
    <w:p w14:paraId="1F96D968" w14:textId="77777777" w:rsidR="00B67E9C" w:rsidRDefault="00B67E9C" w:rsidP="00B67E9C">
      <w:pPr>
        <w:rPr>
          <w:rFonts w:cs="Times New Roman"/>
          <w:szCs w:val="22"/>
          <w:lang w:val="en-US"/>
        </w:rPr>
      </w:pPr>
      <w:r>
        <w:rPr>
          <w:rFonts w:cs="Times New Roman"/>
          <w:szCs w:val="22"/>
          <w:lang w:val="en-US"/>
        </w:rPr>
        <w:lastRenderedPageBreak/>
        <w:t>Using this data, a mass balance equation is used to calculate the actual refrigerant bank, referred to as the ‘partial bank’, in a product category and thus in the stock of equipment.</w:t>
      </w:r>
    </w:p>
    <w:p w14:paraId="791F3ACD" w14:textId="77777777" w:rsidR="00B67E9C" w:rsidRDefault="00B67E9C" w:rsidP="00B67E9C">
      <w:pPr>
        <w:rPr>
          <w:rFonts w:cs="Times New Roman"/>
          <w:szCs w:val="22"/>
          <w:lang w:val="en-US"/>
        </w:rPr>
      </w:pPr>
      <w:r>
        <w:rPr>
          <w:rFonts w:cs="Times New Roman"/>
          <w:i/>
          <w:szCs w:val="22"/>
          <w:lang w:val="en-US"/>
        </w:rPr>
        <w:t>Figure 2</w:t>
      </w:r>
      <w:r>
        <w:rPr>
          <w:rFonts w:cs="Times New Roman"/>
          <w:szCs w:val="22"/>
          <w:lang w:val="en-US"/>
        </w:rPr>
        <w:t xml:space="preserve"> below illustrates the mass balance concept and relationship between the full bank, service usage and total possible end-of-life residual charges on one side of the equation, and the partial bank, direct emissions and actual end-of-life retirements from the partial bank on the other.</w:t>
      </w:r>
    </w:p>
    <w:p w14:paraId="3E1FCA60" w14:textId="77777777" w:rsidR="00B67E9C" w:rsidRDefault="00B67E9C" w:rsidP="00B67E9C">
      <w:pPr>
        <w:spacing w:before="0"/>
        <w:jc w:val="left"/>
        <w:rPr>
          <w:rFonts w:cs="Times New Roman"/>
          <w:lang w:val="en-AU"/>
        </w:rPr>
      </w:pPr>
      <w:r>
        <w:rPr>
          <w:rFonts w:cs="Times New Roman"/>
          <w:lang w:val="en-AU"/>
        </w:rPr>
        <w:br w:type="page"/>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B67E9C" w14:paraId="7468A003" w14:textId="77777777" w:rsidTr="00B67E9C">
        <w:tc>
          <w:tcPr>
            <w:tcW w:w="9490" w:type="dxa"/>
            <w:tcBorders>
              <w:top w:val="single" w:sz="4" w:space="0" w:color="000000"/>
              <w:left w:val="single" w:sz="4" w:space="0" w:color="000000"/>
              <w:bottom w:val="single" w:sz="4" w:space="0" w:color="000000"/>
              <w:right w:val="single" w:sz="4" w:space="0" w:color="000000"/>
            </w:tcBorders>
            <w:vAlign w:val="center"/>
            <w:hideMark/>
          </w:tcPr>
          <w:p w14:paraId="64A3A11C" w14:textId="77777777" w:rsidR="00B67E9C" w:rsidRDefault="00B67E9C">
            <w:pPr>
              <w:spacing w:after="120"/>
              <w:jc w:val="center"/>
              <w:rPr>
                <w:rFonts w:cs="Times New Roman"/>
                <w:b/>
              </w:rPr>
            </w:pPr>
            <w:r>
              <w:rPr>
                <w:rFonts w:cs="Times New Roman"/>
                <w:b/>
              </w:rPr>
              <w:lastRenderedPageBreak/>
              <w:br w:type="page"/>
              <w:t>Refrigerant mass flow concept diagram</w:t>
            </w:r>
          </w:p>
        </w:tc>
      </w:tr>
      <w:tr w:rsidR="00B67E9C" w14:paraId="03D7EF45" w14:textId="77777777" w:rsidTr="00B67E9C">
        <w:tc>
          <w:tcPr>
            <w:tcW w:w="9490" w:type="dxa"/>
            <w:tcBorders>
              <w:top w:val="single" w:sz="4" w:space="0" w:color="000000"/>
              <w:left w:val="single" w:sz="4" w:space="0" w:color="000000"/>
              <w:bottom w:val="single" w:sz="4" w:space="0" w:color="000000"/>
              <w:right w:val="single" w:sz="4" w:space="0" w:color="000000"/>
            </w:tcBorders>
            <w:vAlign w:val="center"/>
          </w:tcPr>
          <w:p w14:paraId="6CCF820E" w14:textId="77777777" w:rsidR="00B67E9C" w:rsidRDefault="00B67E9C">
            <w:pPr>
              <w:spacing w:before="60" w:after="60"/>
              <w:jc w:val="center"/>
              <w:rPr>
                <w:sz w:val="16"/>
                <w:szCs w:val="16"/>
              </w:rPr>
            </w:pPr>
          </w:p>
          <w:p w14:paraId="6FBD53BC" w14:textId="32443CAF" w:rsidR="00B67E9C" w:rsidRDefault="00B67E9C">
            <w:pPr>
              <w:spacing w:before="60" w:after="60"/>
              <w:jc w:val="center"/>
              <w:rPr>
                <w:sz w:val="16"/>
                <w:szCs w:val="16"/>
              </w:rPr>
            </w:pPr>
            <w:r>
              <w:rPr>
                <w:rFonts w:asciiTheme="majorHAnsi" w:hAnsiTheme="majorHAnsi"/>
                <w:b/>
                <w:noProof/>
                <w:sz w:val="32"/>
                <w:szCs w:val="32"/>
                <w:lang w:val="en-AU" w:eastAsia="en-AU"/>
              </w:rPr>
              <w:drawing>
                <wp:inline distT="0" distB="0" distL="0" distR="0" wp14:anchorId="1F3BDC83" wp14:editId="7769D604">
                  <wp:extent cx="2895600" cy="3886200"/>
                  <wp:effectExtent l="0" t="0" r="0" b="0"/>
                  <wp:docPr id="6" name="Picture 6" descr="This is a concept diagram that shows the flow of refrigerants from the full bank, through service use and leak emissions, to the partial bank, to equipment retired at end of life, either partially or fully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concept diagram that shows the flow of refrigerants from the full bank, through service use and leak emissions, to the partial bank, to equipment retired at end of life, either partially or fully charg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3886200"/>
                          </a:xfrm>
                          <a:prstGeom prst="rect">
                            <a:avLst/>
                          </a:prstGeom>
                          <a:noFill/>
                          <a:ln>
                            <a:noFill/>
                          </a:ln>
                        </pic:spPr>
                      </pic:pic>
                    </a:graphicData>
                  </a:graphic>
                </wp:inline>
              </w:drawing>
            </w:r>
          </w:p>
          <w:p w14:paraId="4D424EDA" w14:textId="77777777" w:rsidR="00B67E9C" w:rsidRDefault="00B67E9C">
            <w:pPr>
              <w:spacing w:before="60" w:after="60"/>
              <w:jc w:val="center"/>
              <w:rPr>
                <w:sz w:val="16"/>
                <w:szCs w:val="16"/>
              </w:rPr>
            </w:pPr>
          </w:p>
        </w:tc>
      </w:tr>
      <w:tr w:rsidR="00B67E9C" w14:paraId="1DFFDA6C" w14:textId="77777777" w:rsidTr="00B67E9C">
        <w:tc>
          <w:tcPr>
            <w:tcW w:w="9490" w:type="dxa"/>
            <w:tcBorders>
              <w:top w:val="single" w:sz="4" w:space="0" w:color="000000"/>
              <w:left w:val="single" w:sz="4" w:space="0" w:color="000000"/>
              <w:bottom w:val="single" w:sz="4" w:space="0" w:color="000000"/>
              <w:right w:val="single" w:sz="4" w:space="0" w:color="000000"/>
            </w:tcBorders>
            <w:vAlign w:val="center"/>
            <w:hideMark/>
          </w:tcPr>
          <w:p w14:paraId="0E02D707" w14:textId="7DD06A62" w:rsidR="00B67E9C" w:rsidRDefault="00B67E9C">
            <w:pPr>
              <w:pStyle w:val="Caption"/>
            </w:pPr>
            <w:bookmarkStart w:id="15" w:name="_Toc54602340"/>
            <w:r>
              <w:t xml:space="preserve">Figure </w:t>
            </w:r>
            <w:r>
              <w:fldChar w:fldCharType="begin"/>
            </w:r>
            <w:r>
              <w:rPr>
                <w:noProof/>
              </w:rPr>
              <w:instrText xml:space="preserve"> SEQ Figure \* ARABIC </w:instrText>
            </w:r>
            <w:r>
              <w:fldChar w:fldCharType="separate"/>
            </w:r>
            <w:r w:rsidR="007B01C2">
              <w:rPr>
                <w:noProof/>
              </w:rPr>
              <w:t>2</w:t>
            </w:r>
            <w:r>
              <w:fldChar w:fldCharType="end"/>
            </w:r>
            <w:r>
              <w:rPr>
                <w:bCs w:val="0"/>
              </w:rPr>
              <w:t>: Refrigerant mass flow equation concept diagram.</w:t>
            </w:r>
            <w:bookmarkEnd w:id="15"/>
          </w:p>
        </w:tc>
      </w:tr>
    </w:tbl>
    <w:p w14:paraId="7B6B2185" w14:textId="77777777" w:rsidR="00B67E9C" w:rsidRDefault="00B67E9C" w:rsidP="00B67E9C">
      <w:pPr>
        <w:rPr>
          <w:rFonts w:cs="Times New Roman"/>
          <w:szCs w:val="22"/>
          <w:lang w:val="en-US"/>
        </w:rPr>
      </w:pPr>
    </w:p>
    <w:p w14:paraId="57F1E5AC" w14:textId="77777777" w:rsidR="00B67E9C" w:rsidRDefault="00B67E9C" w:rsidP="00B67E9C">
      <w:pPr>
        <w:rPr>
          <w:rFonts w:cs="Times New Roman"/>
          <w:szCs w:val="22"/>
          <w:lang w:val="en-US"/>
        </w:rPr>
      </w:pPr>
      <w:r>
        <w:rPr>
          <w:rFonts w:cs="Times New Roman"/>
          <w:szCs w:val="22"/>
          <w:lang w:val="en-US"/>
        </w:rPr>
        <w:t>The conceptual model of the partial bank can be validated by applying the same data and mass balance equations in a segment or product category for which all data required can be found.</w:t>
      </w:r>
    </w:p>
    <w:p w14:paraId="7604E926" w14:textId="77777777" w:rsidR="00B67E9C" w:rsidRDefault="00B67E9C" w:rsidP="00B67E9C">
      <w:pPr>
        <w:rPr>
          <w:rFonts w:cs="Times New Roman"/>
          <w:szCs w:val="22"/>
          <w:lang w:val="en-US"/>
        </w:rPr>
      </w:pPr>
      <w:r>
        <w:rPr>
          <w:rFonts w:cs="Times New Roman"/>
          <w:szCs w:val="22"/>
          <w:lang w:val="en-US"/>
        </w:rPr>
        <w:t>For example, aftermarket surveys covering all major market participants determined that service usage for small MAC was found to be around 5% of the MAC full bank in 2014, 2015 and 2016.</w:t>
      </w:r>
    </w:p>
    <w:p w14:paraId="357145B3" w14:textId="77777777" w:rsidR="00B67E9C" w:rsidRDefault="00B67E9C" w:rsidP="00B67E9C">
      <w:pPr>
        <w:rPr>
          <w:rFonts w:cs="Times New Roman"/>
          <w:szCs w:val="22"/>
          <w:lang w:val="en-US"/>
        </w:rPr>
      </w:pPr>
      <w:r>
        <w:rPr>
          <w:rFonts w:cs="Times New Roman"/>
          <w:szCs w:val="22"/>
          <w:lang w:val="en-US"/>
        </w:rPr>
        <w:t xml:space="preserve">The average end-of-life charge in small MAC is known from surveys of ELVs to be 67% of the original charge. A life cycle charge profile for small MAC was developed that assumes vehicles retain 100% of the original charge from years one to five during the typical warranty period, then follows a linear decline from 100% in year five to 67% of original charge at retirement. </w:t>
      </w:r>
    </w:p>
    <w:p w14:paraId="558BB746" w14:textId="77777777" w:rsidR="00B67E9C" w:rsidRDefault="00B67E9C" w:rsidP="00B67E9C">
      <w:pPr>
        <w:rPr>
          <w:rFonts w:cs="Times New Roman"/>
          <w:szCs w:val="22"/>
          <w:lang w:val="en-US"/>
        </w:rPr>
      </w:pPr>
      <w:r>
        <w:rPr>
          <w:rFonts w:cs="Times New Roman"/>
          <w:szCs w:val="22"/>
          <w:lang w:val="en-US"/>
        </w:rPr>
        <w:t xml:space="preserve">Therefore, the annual leaks can be calculated from the mass balance equations in kilograms or </w:t>
      </w:r>
      <w:proofErr w:type="spellStart"/>
      <w:r>
        <w:rPr>
          <w:rFonts w:cs="Times New Roman"/>
          <w:szCs w:val="22"/>
          <w:lang w:val="en-US"/>
        </w:rPr>
        <w:t>tonnes</w:t>
      </w:r>
      <w:proofErr w:type="spellEnd"/>
      <w:r>
        <w:rPr>
          <w:rFonts w:cs="Times New Roman"/>
          <w:szCs w:val="22"/>
          <w:lang w:val="en-US"/>
        </w:rPr>
        <w:t>, then converted to a percentage based on the original charge in the full bank. In small MAC this analysis yields an annual average leak rate of the equipment of 6.8% in 2016.</w:t>
      </w:r>
    </w:p>
    <w:p w14:paraId="6C02CAB3" w14:textId="77777777" w:rsidR="00B67E9C" w:rsidRDefault="00B67E9C" w:rsidP="00B67E9C">
      <w:pPr>
        <w:rPr>
          <w:rFonts w:cs="Times New Roman"/>
          <w:szCs w:val="22"/>
          <w:lang w:val="en-US"/>
        </w:rPr>
      </w:pPr>
      <w:r>
        <w:rPr>
          <w:rFonts w:cs="Times New Roman"/>
          <w:szCs w:val="22"/>
          <w:lang w:val="en-US"/>
        </w:rPr>
        <w:t xml:space="preserve">The leak rate in the model depends on the assumptions, for example the theoretical rate of small AC: Split AC is 3.6% based on a 2% service rate, average lifespan of 12 years and EOL residual of </w:t>
      </w:r>
      <w:proofErr w:type="gramStart"/>
      <w:r>
        <w:rPr>
          <w:rFonts w:cs="Times New Roman"/>
          <w:szCs w:val="22"/>
          <w:lang w:val="en-US"/>
        </w:rPr>
        <w:t>80%, and</w:t>
      </w:r>
      <w:proofErr w:type="gramEnd"/>
      <w:r>
        <w:rPr>
          <w:rFonts w:cs="Times New Roman"/>
          <w:szCs w:val="22"/>
          <w:lang w:val="en-US"/>
        </w:rPr>
        <w:t xml:space="preserve"> has a theoretical leak rate of 2.8% based on an EOL residual of 90%.</w:t>
      </w:r>
    </w:p>
    <w:p w14:paraId="42271FCD" w14:textId="77777777" w:rsidR="00B67E9C" w:rsidRDefault="00B67E9C" w:rsidP="00B67E9C">
      <w:pPr>
        <w:rPr>
          <w:rFonts w:cs="Times New Roman"/>
          <w:szCs w:val="22"/>
          <w:lang w:val="en-US"/>
        </w:rPr>
      </w:pPr>
      <w:r>
        <w:rPr>
          <w:rFonts w:cs="Times New Roman"/>
          <w:i/>
          <w:szCs w:val="22"/>
          <w:lang w:val="en-US"/>
        </w:rPr>
        <w:t>Figure 3</w:t>
      </w:r>
      <w:r>
        <w:rPr>
          <w:rFonts w:cs="Times New Roman"/>
          <w:szCs w:val="22"/>
          <w:lang w:val="en-US"/>
        </w:rPr>
        <w:t xml:space="preserve"> provides a graph of the mass balance elements for small MAC from 2016 to 2030. The full and partial bank axis is on the right in </w:t>
      </w:r>
      <w:proofErr w:type="spellStart"/>
      <w:r>
        <w:rPr>
          <w:rFonts w:cs="Times New Roman"/>
          <w:szCs w:val="22"/>
          <w:lang w:val="en-US"/>
        </w:rPr>
        <w:t>tonnes</w:t>
      </w:r>
      <w:proofErr w:type="spellEnd"/>
      <w:r>
        <w:rPr>
          <w:rFonts w:cs="Times New Roman"/>
          <w:szCs w:val="22"/>
          <w:lang w:val="en-US"/>
        </w:rPr>
        <w:t xml:space="preserve">, and the annual flows axis is on the left. This modelling approach </w:t>
      </w:r>
      <w:r>
        <w:rPr>
          <w:rFonts w:cs="Times New Roman"/>
          <w:szCs w:val="22"/>
          <w:lang w:val="en-US"/>
        </w:rPr>
        <w:lastRenderedPageBreak/>
        <w:t xml:space="preserve">provides regulators with reconciled usage which is important from a Montreal Protocol perspective, and annual emissions (leak and end-of-life minus recoveries), essential for domestic emission reduction policy and understanding Kyoto Protocol elements. </w:t>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B67E9C" w14:paraId="64477A56"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71FBCF2A" w14:textId="77777777" w:rsidR="00B67E9C" w:rsidRDefault="00B67E9C">
            <w:pPr>
              <w:spacing w:after="120"/>
              <w:jc w:val="center"/>
              <w:rPr>
                <w:rFonts w:cs="Times New Roman"/>
                <w:b/>
              </w:rPr>
            </w:pPr>
            <w:r>
              <w:rPr>
                <w:rFonts w:cs="Times New Roman"/>
                <w:b/>
              </w:rPr>
              <w:br w:type="page"/>
              <w:t>Annual flows (left axis tonnes), banks (right axis tonnes)</w:t>
            </w:r>
          </w:p>
        </w:tc>
      </w:tr>
      <w:tr w:rsidR="00B67E9C" w14:paraId="6FC5C1BD"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tcPr>
          <w:p w14:paraId="252D2DA7" w14:textId="77777777" w:rsidR="00B67E9C" w:rsidRDefault="00B67E9C">
            <w:pPr>
              <w:spacing w:before="60" w:after="60"/>
              <w:jc w:val="center"/>
              <w:rPr>
                <w:sz w:val="16"/>
                <w:szCs w:val="16"/>
              </w:rPr>
            </w:pPr>
          </w:p>
          <w:p w14:paraId="513D3589" w14:textId="370D3672" w:rsidR="00B67E9C" w:rsidRDefault="00B67E9C">
            <w:pPr>
              <w:spacing w:before="60" w:after="60"/>
              <w:jc w:val="center"/>
              <w:rPr>
                <w:sz w:val="16"/>
                <w:szCs w:val="16"/>
              </w:rPr>
            </w:pPr>
            <w:r>
              <w:rPr>
                <w:noProof/>
                <w:lang w:val="en-AU" w:eastAsia="en-AU"/>
              </w:rPr>
              <w:drawing>
                <wp:inline distT="0" distB="0" distL="0" distR="0" wp14:anchorId="56875A2A" wp14:editId="4FB6E8C9">
                  <wp:extent cx="5270500" cy="2053590"/>
                  <wp:effectExtent l="0" t="0" r="6350" b="3810"/>
                  <wp:docPr id="5" name="Picture 5" descr="Shows a projection of small mobile air conditioning growth in metric tonnes from 2016 to 2030.  The separate elements shown are; full bank, partial bank, annual servicing, annual leakage, and annual retirements both full and partial. All elements show predicted slow steady growth as the sector exp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ws a projection of small mobile air conditioning growth in metric tonnes from 2016 to 2030.  The separate elements shown are; full bank, partial bank, annual servicing, annual leakage, and annual retirements both full and partial. All elements show predicted slow steady growth as the sector exp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053590"/>
                          </a:xfrm>
                          <a:prstGeom prst="rect">
                            <a:avLst/>
                          </a:prstGeom>
                          <a:noFill/>
                          <a:ln>
                            <a:noFill/>
                          </a:ln>
                        </pic:spPr>
                      </pic:pic>
                    </a:graphicData>
                  </a:graphic>
                </wp:inline>
              </w:drawing>
            </w:r>
          </w:p>
          <w:p w14:paraId="343BA8C1" w14:textId="77777777" w:rsidR="00B67E9C" w:rsidRDefault="00B67E9C">
            <w:pPr>
              <w:spacing w:before="60" w:after="60"/>
              <w:jc w:val="center"/>
              <w:rPr>
                <w:sz w:val="16"/>
                <w:szCs w:val="16"/>
              </w:rPr>
            </w:pPr>
          </w:p>
        </w:tc>
      </w:tr>
      <w:tr w:rsidR="00B67E9C" w14:paraId="5766F959"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10A65065" w14:textId="3E37035A" w:rsidR="00B67E9C" w:rsidRDefault="00B67E9C">
            <w:pPr>
              <w:pStyle w:val="Caption"/>
            </w:pPr>
            <w:bookmarkStart w:id="16" w:name="_Toc54602341"/>
            <w:r>
              <w:t xml:space="preserve">Figure </w:t>
            </w:r>
            <w:r>
              <w:fldChar w:fldCharType="begin"/>
            </w:r>
            <w:r>
              <w:rPr>
                <w:noProof/>
              </w:rPr>
              <w:instrText xml:space="preserve"> SEQ Figure \* ARABIC </w:instrText>
            </w:r>
            <w:r>
              <w:fldChar w:fldCharType="separate"/>
            </w:r>
            <w:r w:rsidR="007B01C2">
              <w:rPr>
                <w:noProof/>
              </w:rPr>
              <w:t>3</w:t>
            </w:r>
            <w:r>
              <w:fldChar w:fldCharType="end"/>
            </w:r>
            <w:r>
              <w:rPr>
                <w:bCs w:val="0"/>
              </w:rPr>
              <w:t xml:space="preserve">: Small MAC Mass balance elements, annual flows and banks from 2016 to 2030 in </w:t>
            </w:r>
            <w:proofErr w:type="spellStart"/>
            <w:r>
              <w:rPr>
                <w:bCs w:val="0"/>
              </w:rPr>
              <w:t>tonnes</w:t>
            </w:r>
            <w:proofErr w:type="spellEnd"/>
            <w:r>
              <w:rPr>
                <w:bCs w:val="0"/>
              </w:rPr>
              <w:t>.</w:t>
            </w:r>
            <w:bookmarkEnd w:id="16"/>
          </w:p>
        </w:tc>
      </w:tr>
    </w:tbl>
    <w:p w14:paraId="2478B030" w14:textId="77777777" w:rsidR="00B67E9C" w:rsidRDefault="00B67E9C" w:rsidP="00B67E9C">
      <w:pPr>
        <w:rPr>
          <w:rFonts w:cs="Times New Roman"/>
          <w:szCs w:val="22"/>
          <w:lang w:val="en-US"/>
        </w:rPr>
      </w:pPr>
      <w:r>
        <w:rPr>
          <w:rFonts w:cs="Times New Roman"/>
          <w:szCs w:val="22"/>
          <w:lang w:val="en-US"/>
        </w:rPr>
        <w:t xml:space="preserve">Refer to </w:t>
      </w:r>
      <w:r>
        <w:rPr>
          <w:rFonts w:cs="Times New Roman"/>
          <w:i/>
          <w:szCs w:val="22"/>
          <w:lang w:val="en-US"/>
        </w:rPr>
        <w:t>Table 1: Technical characteristics by product category (average charge, end-of-life factors, service rates, leak rates and average lifespan) for most common substance,</w:t>
      </w:r>
      <w:r>
        <w:rPr>
          <w:rFonts w:cs="Times New Roman"/>
          <w:szCs w:val="22"/>
          <w:lang w:val="en-US"/>
        </w:rPr>
        <w:t xml:space="preserve"> for equipment service usage rates for each product category in the taxonomy.</w:t>
      </w:r>
    </w:p>
    <w:p w14:paraId="450BE7A5" w14:textId="77777777" w:rsidR="00B67E9C" w:rsidRDefault="00B67E9C" w:rsidP="00B67E9C">
      <w:pPr>
        <w:rPr>
          <w:rFonts w:cs="Times New Roman"/>
          <w:b/>
          <w:szCs w:val="22"/>
        </w:rPr>
      </w:pPr>
    </w:p>
    <w:p w14:paraId="74C28658" w14:textId="77777777" w:rsidR="00B67E9C" w:rsidRDefault="00B67E9C" w:rsidP="00B67E9C">
      <w:pPr>
        <w:pStyle w:val="Heading3"/>
        <w:numPr>
          <w:ilvl w:val="2"/>
          <w:numId w:val="5"/>
        </w:numPr>
      </w:pPr>
      <w:bookmarkStart w:id="17" w:name="_Toc54601650"/>
      <w:r>
        <w:t>The bank of refrigerant</w:t>
      </w:r>
      <w:bookmarkEnd w:id="17"/>
    </w:p>
    <w:p w14:paraId="65A8E344" w14:textId="77777777" w:rsidR="00B67E9C" w:rsidRDefault="00B67E9C" w:rsidP="00B67E9C">
      <w:pPr>
        <w:rPr>
          <w:rFonts w:cs="Times New Roman"/>
          <w:szCs w:val="22"/>
          <w:lang w:val="en-US"/>
        </w:rPr>
      </w:pPr>
      <w:r>
        <w:rPr>
          <w:rFonts w:cs="Times New Roman"/>
          <w:szCs w:val="22"/>
          <w:lang w:val="en-US"/>
        </w:rPr>
        <w:t xml:space="preserve">In simple terms the bank of refrigerant is calculated by using average charges of refrigerant in each product category to calculate the total ‘full bank’ of refrigerant by product category and segment, and by species. </w:t>
      </w:r>
    </w:p>
    <w:p w14:paraId="1B2386F1" w14:textId="77777777" w:rsidR="00B67E9C" w:rsidRDefault="00B67E9C" w:rsidP="00B67E9C">
      <w:pPr>
        <w:rPr>
          <w:rFonts w:cs="Times New Roman"/>
          <w:szCs w:val="22"/>
          <w:lang w:val="en-US"/>
        </w:rPr>
      </w:pPr>
      <w:r>
        <w:rPr>
          <w:rFonts w:cs="Times New Roman"/>
          <w:szCs w:val="22"/>
          <w:lang w:val="en-US"/>
        </w:rPr>
        <w:t xml:space="preserve">Leak rates are used to assess the volume of refrigerant required for servicing equipment segments in any year. This service demand is reconciled against the known volumes imported and sold to deduce a service rate for each product category. The full bank multiplied by the service rate results in a calculation of the ‘partially charged bank’, generally referred to in this report simply as ‘the bank’, or the ‘refrigerant bank’. </w:t>
      </w:r>
    </w:p>
    <w:p w14:paraId="3CFC79DB" w14:textId="77777777" w:rsidR="00B67E9C" w:rsidRDefault="00B67E9C" w:rsidP="00B67E9C">
      <w:pPr>
        <w:rPr>
          <w:rFonts w:cs="Times New Roman"/>
          <w:szCs w:val="22"/>
          <w:lang w:val="en-US"/>
        </w:rPr>
      </w:pPr>
      <w:r>
        <w:rPr>
          <w:rFonts w:cs="Times New Roman"/>
          <w:szCs w:val="22"/>
          <w:lang w:val="en-US"/>
        </w:rPr>
        <w:t>In generating a ‘partially charged bank’ for any product category, the RAC Stock model also takes account of the changing charge size of the various vintages of equipment in some product categories.</w:t>
      </w:r>
    </w:p>
    <w:p w14:paraId="3CDBAA24" w14:textId="77777777" w:rsidR="00B67E9C" w:rsidRDefault="00B67E9C" w:rsidP="00B67E9C">
      <w:pPr>
        <w:rPr>
          <w:rFonts w:cs="Times New Roman"/>
          <w:szCs w:val="22"/>
          <w:lang w:val="en-US"/>
        </w:rPr>
      </w:pPr>
      <w:r>
        <w:rPr>
          <w:rFonts w:cs="Times New Roman"/>
          <w:szCs w:val="22"/>
          <w:lang w:val="en-US"/>
        </w:rPr>
        <w:t>Starting with the bank in 2016, projections of the changing composition of the bank out to 2030 were prepared by combining the outputs from the model that projects the future sales mix of equipment by species employed.</w:t>
      </w:r>
    </w:p>
    <w:p w14:paraId="521AE9EA" w14:textId="77777777" w:rsidR="00B67E9C" w:rsidRDefault="00B67E9C" w:rsidP="00B67E9C">
      <w:pPr>
        <w:rPr>
          <w:rFonts w:cs="Times New Roman"/>
          <w:b/>
          <w:szCs w:val="22"/>
        </w:rPr>
      </w:pPr>
    </w:p>
    <w:p w14:paraId="6D8C90BE" w14:textId="77777777" w:rsidR="00B67E9C" w:rsidRDefault="00B67E9C" w:rsidP="00B67E9C">
      <w:pPr>
        <w:pStyle w:val="Heading3"/>
        <w:numPr>
          <w:ilvl w:val="2"/>
          <w:numId w:val="5"/>
        </w:numPr>
      </w:pPr>
      <w:bookmarkStart w:id="18" w:name="_Toc54601651"/>
      <w:r>
        <w:t>Bank by product category</w:t>
      </w:r>
      <w:bookmarkEnd w:id="18"/>
    </w:p>
    <w:p w14:paraId="4499C7F4" w14:textId="77777777" w:rsidR="00B67E9C" w:rsidRDefault="00B67E9C" w:rsidP="00B67E9C">
      <w:pPr>
        <w:rPr>
          <w:rFonts w:eastAsia="Times New Roman" w:cs="Times New Roman"/>
          <w:bCs/>
          <w:szCs w:val="22"/>
          <w:lang w:val="en-US"/>
        </w:rPr>
      </w:pPr>
      <w:r>
        <w:rPr>
          <w:rFonts w:eastAsia="Times New Roman" w:cs="Times New Roman"/>
          <w:bCs/>
          <w:szCs w:val="22"/>
          <w:lang w:val="en-US"/>
        </w:rPr>
        <w:t>A ‘full bank’ and ‘partially charged bank’ of refrigerant can be calculated for each product category with varying degrees of confidence depending on some of the characteristics of the product category, particularly the estimated leak rates and service rates of the different categories.</w:t>
      </w:r>
    </w:p>
    <w:p w14:paraId="5A98AA17" w14:textId="77777777" w:rsidR="00B67E9C" w:rsidRDefault="00B67E9C" w:rsidP="00B67E9C">
      <w:pPr>
        <w:rPr>
          <w:rFonts w:eastAsia="Times New Roman" w:cs="Times New Roman"/>
          <w:bCs/>
          <w:szCs w:val="22"/>
          <w:lang w:val="en-US"/>
        </w:rPr>
      </w:pPr>
      <w:r>
        <w:rPr>
          <w:rFonts w:eastAsia="Times New Roman" w:cs="Times New Roman"/>
          <w:bCs/>
          <w:szCs w:val="22"/>
          <w:lang w:val="en-US"/>
        </w:rPr>
        <w:lastRenderedPageBreak/>
        <w:t xml:space="preserve">The ‘full bank’, or fully charged bank, is calculated based on the number of devices in the product category multiplied by the average original charge of that type of equipment when it is initially installed/purchased. </w:t>
      </w:r>
    </w:p>
    <w:p w14:paraId="2DC21504" w14:textId="77777777" w:rsidR="00B67E9C" w:rsidRDefault="00B67E9C" w:rsidP="00B67E9C">
      <w:pPr>
        <w:rPr>
          <w:rFonts w:eastAsia="Times New Roman" w:cs="Times New Roman"/>
          <w:bCs/>
          <w:szCs w:val="22"/>
          <w:lang w:val="en-US"/>
        </w:rPr>
      </w:pPr>
      <w:r>
        <w:rPr>
          <w:rFonts w:eastAsia="Times New Roman" w:cs="Times New Roman"/>
          <w:bCs/>
          <w:szCs w:val="22"/>
          <w:lang w:val="en-US"/>
        </w:rPr>
        <w:t xml:space="preserve">The ‘partially charged bank’ will, in practice, be less than the fully charged bank as the charge in individual pieces of equipment in the category declines over time until the equipment retires. How much less the actual bank is than the full bank at any time is determined by </w:t>
      </w:r>
      <w:proofErr w:type="gramStart"/>
      <w:r>
        <w:rPr>
          <w:rFonts w:eastAsia="Times New Roman" w:cs="Times New Roman"/>
          <w:bCs/>
          <w:szCs w:val="22"/>
          <w:lang w:val="en-US"/>
        </w:rPr>
        <w:t>both the</w:t>
      </w:r>
      <w:proofErr w:type="gramEnd"/>
      <w:r>
        <w:rPr>
          <w:rFonts w:eastAsia="Times New Roman" w:cs="Times New Roman"/>
          <w:bCs/>
          <w:szCs w:val="22"/>
          <w:lang w:val="en-US"/>
        </w:rPr>
        <w:t xml:space="preserve"> level of leaks from the equipment in that particular product category, off-set by the normal level of servicing of the stock in that product category. Both leak rates and service rates differ across the entire stock of equipment.</w:t>
      </w:r>
    </w:p>
    <w:p w14:paraId="09ACFA12" w14:textId="77777777" w:rsidR="00B67E9C" w:rsidRDefault="00B67E9C" w:rsidP="00B67E9C">
      <w:pPr>
        <w:rPr>
          <w:rFonts w:eastAsia="Times New Roman" w:cs="Times New Roman"/>
          <w:bCs/>
          <w:szCs w:val="22"/>
          <w:lang w:val="en-US"/>
        </w:rPr>
      </w:pPr>
      <w:r>
        <w:rPr>
          <w:rFonts w:eastAsia="Times New Roman" w:cs="Times New Roman"/>
          <w:bCs/>
          <w:szCs w:val="22"/>
          <w:lang w:val="en-US"/>
        </w:rPr>
        <w:t>The stock of equipment in each product category is made up of equipment cohorts based on date of manufacture, ranging from new equipment that is fully charged, through to aging equipment eventually reaching end-of-life with only a residual charge of refrigerant remaining. For example, the residual charge of a small mobile air conditioner at end-of-life is estimated to be just two thirds of the original charge, and the average age of vehicles in the fleet is around 10 years (</w:t>
      </w:r>
      <w:proofErr w:type="spellStart"/>
      <w:r>
        <w:rPr>
          <w:rFonts w:eastAsia="Times New Roman" w:cs="Times New Roman"/>
          <w:bCs/>
          <w:szCs w:val="22"/>
          <w:lang w:val="en-US"/>
        </w:rPr>
        <w:t>DoEE</w:t>
      </w:r>
      <w:proofErr w:type="spellEnd"/>
      <w:r>
        <w:rPr>
          <w:rFonts w:eastAsia="Times New Roman" w:cs="Times New Roman"/>
          <w:bCs/>
          <w:szCs w:val="22"/>
          <w:lang w:val="en-US"/>
        </w:rPr>
        <w:t xml:space="preserve"> 2015b).</w:t>
      </w:r>
    </w:p>
    <w:p w14:paraId="4C02402E" w14:textId="77777777" w:rsidR="00B67E9C" w:rsidRDefault="00B67E9C" w:rsidP="00B67E9C">
      <w:pPr>
        <w:rPr>
          <w:szCs w:val="22"/>
        </w:rPr>
      </w:pPr>
      <w:r>
        <w:rPr>
          <w:szCs w:val="22"/>
        </w:rPr>
        <w:t xml:space="preserve">The table below provides a summary of the refrigerant charges, end-of-life charges, leak rates, service rates and average equipment life span that are applied in the stock model. These metrics are applied to produce </w:t>
      </w:r>
      <w:proofErr w:type="gramStart"/>
      <w:r>
        <w:rPr>
          <w:szCs w:val="22"/>
        </w:rPr>
        <w:t>a number of</w:t>
      </w:r>
      <w:proofErr w:type="gramEnd"/>
      <w:r>
        <w:rPr>
          <w:szCs w:val="22"/>
        </w:rPr>
        <w:t xml:space="preserve"> outputs of the RAC Stock model, and ultimately define the bank of refrigerant.</w:t>
      </w:r>
    </w:p>
    <w:p w14:paraId="0D651508" w14:textId="77777777" w:rsidR="00B67E9C" w:rsidRDefault="00B67E9C" w:rsidP="00B67E9C">
      <w:pPr>
        <w:spacing w:before="0"/>
        <w:jc w:val="left"/>
        <w:rPr>
          <w:rFonts w:cs="Times New Roman"/>
          <w:i/>
          <w:szCs w:val="22"/>
        </w:rPr>
      </w:pPr>
      <w:r>
        <w:rPr>
          <w:rFonts w:cs="Times New Roman"/>
          <w:i/>
          <w:szCs w:val="22"/>
        </w:rPr>
        <w:br w:type="page"/>
      </w:r>
    </w:p>
    <w:p w14:paraId="79E49218" w14:textId="1717B0FE" w:rsidR="00B67E9C" w:rsidRDefault="00B67E9C" w:rsidP="00B67E9C">
      <w:pPr>
        <w:pStyle w:val="Caption"/>
      </w:pPr>
      <w:bookmarkStart w:id="19" w:name="_Toc54602346"/>
      <w:r>
        <w:lastRenderedPageBreak/>
        <w:t xml:space="preserve">Table </w:t>
      </w:r>
      <w:r>
        <w:fldChar w:fldCharType="begin"/>
      </w:r>
      <w:r>
        <w:rPr>
          <w:noProof/>
        </w:rPr>
        <w:instrText xml:space="preserve"> SEQ Table \* ARABIC </w:instrText>
      </w:r>
      <w:r>
        <w:fldChar w:fldCharType="separate"/>
      </w:r>
      <w:r w:rsidR="007B01C2">
        <w:rPr>
          <w:noProof/>
        </w:rPr>
        <w:t>1</w:t>
      </w:r>
      <w:r>
        <w:fldChar w:fldCharType="end"/>
      </w:r>
      <w:r>
        <w:rPr>
          <w:szCs w:val="22"/>
        </w:rPr>
        <w:t>: Technical characteristics by product category (average charge, end-of-life factors, service rates, leak rates and average lifespan) for most common substances.</w:t>
      </w:r>
      <w:bookmarkEnd w:id="19"/>
    </w:p>
    <w:tbl>
      <w:tblPr>
        <w:tblStyle w:val="TableGrid"/>
        <w:tblW w:w="0" w:type="auto"/>
        <w:tblInd w:w="-5" w:type="dxa"/>
        <w:tblLook w:val="04A0" w:firstRow="1" w:lastRow="0" w:firstColumn="1" w:lastColumn="0" w:noHBand="0" w:noVBand="1"/>
      </w:tblPr>
      <w:tblGrid>
        <w:gridCol w:w="2001"/>
        <w:gridCol w:w="990"/>
        <w:gridCol w:w="989"/>
        <w:gridCol w:w="1001"/>
        <w:gridCol w:w="948"/>
        <w:gridCol w:w="1272"/>
        <w:gridCol w:w="1294"/>
        <w:gridCol w:w="997"/>
      </w:tblGrid>
      <w:tr w:rsidR="00B67E9C" w14:paraId="76460E45" w14:textId="77777777" w:rsidTr="00B67E9C">
        <w:trPr>
          <w:tblHeader/>
        </w:trPr>
        <w:tc>
          <w:tcPr>
            <w:tcW w:w="2001" w:type="dxa"/>
            <w:vMerge w:val="restart"/>
            <w:tcBorders>
              <w:top w:val="single" w:sz="4" w:space="0" w:color="000000"/>
              <w:left w:val="single" w:sz="4" w:space="0" w:color="000000"/>
              <w:bottom w:val="single" w:sz="4" w:space="0" w:color="000000" w:themeColor="text1"/>
              <w:right w:val="single" w:sz="4" w:space="0" w:color="FFFFFF" w:themeColor="background1"/>
            </w:tcBorders>
            <w:shd w:val="clear" w:color="auto" w:fill="000000" w:themeFill="text1"/>
            <w:vAlign w:val="center"/>
            <w:hideMark/>
          </w:tcPr>
          <w:p w14:paraId="50C599C7" w14:textId="77777777" w:rsidR="00B67E9C" w:rsidRDefault="00B67E9C">
            <w:pPr>
              <w:spacing w:before="60" w:after="60"/>
              <w:jc w:val="left"/>
              <w:rPr>
                <w:color w:val="FFFFFF" w:themeColor="background1"/>
              </w:rPr>
            </w:pPr>
            <w:r>
              <w:rPr>
                <w:color w:val="FFFFFF" w:themeColor="background1"/>
              </w:rPr>
              <w:t>Product category</w:t>
            </w:r>
          </w:p>
        </w:tc>
        <w:tc>
          <w:tcPr>
            <w:tcW w:w="19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47A95942" w14:textId="77777777" w:rsidR="00B67E9C" w:rsidRDefault="00B67E9C">
            <w:pPr>
              <w:spacing w:before="60" w:after="60"/>
              <w:jc w:val="center"/>
              <w:rPr>
                <w:color w:val="FFFFFF" w:themeColor="background1"/>
              </w:rPr>
            </w:pPr>
            <w:r>
              <w:rPr>
                <w:color w:val="FFFFFF" w:themeColor="background1"/>
              </w:rPr>
              <w:t>Average charge (kg)</w:t>
            </w:r>
          </w:p>
        </w:tc>
        <w:tc>
          <w:tcPr>
            <w:tcW w:w="19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46D21D61" w14:textId="77777777" w:rsidR="00B67E9C" w:rsidRDefault="00B67E9C">
            <w:pPr>
              <w:spacing w:before="60" w:after="60"/>
              <w:jc w:val="center"/>
              <w:rPr>
                <w:color w:val="FFFFFF" w:themeColor="background1"/>
              </w:rPr>
            </w:pPr>
            <w:r>
              <w:rPr>
                <w:color w:val="FFFFFF" w:themeColor="background1"/>
              </w:rPr>
              <w:t>EOL Factors (%)</w:t>
            </w:r>
          </w:p>
        </w:tc>
        <w:tc>
          <w:tcPr>
            <w:tcW w:w="25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05BDFB5E" w14:textId="77777777" w:rsidR="00B67E9C" w:rsidRDefault="00B67E9C">
            <w:pPr>
              <w:spacing w:before="60" w:after="60"/>
              <w:jc w:val="center"/>
              <w:rPr>
                <w:color w:val="FFFFFF" w:themeColor="background1"/>
              </w:rPr>
            </w:pPr>
            <w:r>
              <w:rPr>
                <w:color w:val="FFFFFF" w:themeColor="background1"/>
              </w:rPr>
              <w:t>Rates (% of original charge)</w:t>
            </w:r>
          </w:p>
        </w:tc>
        <w:tc>
          <w:tcPr>
            <w:tcW w:w="997" w:type="dxa"/>
            <w:vMerge w:val="restart"/>
            <w:tcBorders>
              <w:top w:val="single" w:sz="4" w:space="0" w:color="000000"/>
              <w:left w:val="single" w:sz="4" w:space="0" w:color="FFFFFF" w:themeColor="background1"/>
              <w:bottom w:val="single" w:sz="4" w:space="0" w:color="000000" w:themeColor="text1"/>
              <w:right w:val="single" w:sz="4" w:space="0" w:color="000000"/>
            </w:tcBorders>
            <w:shd w:val="clear" w:color="auto" w:fill="000000" w:themeFill="text1"/>
            <w:vAlign w:val="center"/>
            <w:hideMark/>
          </w:tcPr>
          <w:p w14:paraId="6460F28E" w14:textId="77777777" w:rsidR="00B67E9C" w:rsidRDefault="00B67E9C">
            <w:pPr>
              <w:spacing w:before="60" w:after="60"/>
              <w:jc w:val="center"/>
              <w:rPr>
                <w:color w:val="FFFFFF" w:themeColor="background1"/>
              </w:rPr>
            </w:pPr>
            <w:r>
              <w:rPr>
                <w:color w:val="FFFFFF" w:themeColor="background1"/>
              </w:rPr>
              <w:t>Nominal Av. Lifespan (</w:t>
            </w:r>
            <w:proofErr w:type="spellStart"/>
            <w:r>
              <w:rPr>
                <w:color w:val="FFFFFF" w:themeColor="background1"/>
              </w:rPr>
              <w:t>Yrs</w:t>
            </w:r>
            <w:proofErr w:type="spellEnd"/>
            <w:r>
              <w:rPr>
                <w:color w:val="FFFFFF" w:themeColor="background1"/>
              </w:rPr>
              <w:t>)</w:t>
            </w:r>
          </w:p>
        </w:tc>
      </w:tr>
      <w:tr w:rsidR="00B67E9C" w14:paraId="5DEB67EA" w14:textId="77777777" w:rsidTr="00B67E9C">
        <w:trPr>
          <w:tblHeader/>
        </w:trPr>
        <w:tc>
          <w:tcPr>
            <w:tcW w:w="0" w:type="auto"/>
            <w:vMerge/>
            <w:tcBorders>
              <w:top w:val="single" w:sz="4" w:space="0" w:color="000000"/>
              <w:left w:val="single" w:sz="4" w:space="0" w:color="000000"/>
              <w:bottom w:val="single" w:sz="4" w:space="0" w:color="000000" w:themeColor="text1"/>
              <w:right w:val="single" w:sz="4" w:space="0" w:color="FFFFFF" w:themeColor="background1"/>
            </w:tcBorders>
            <w:vAlign w:val="center"/>
            <w:hideMark/>
          </w:tcPr>
          <w:p w14:paraId="789E615A" w14:textId="77777777" w:rsidR="00B67E9C" w:rsidRDefault="00B67E9C">
            <w:pPr>
              <w:spacing w:before="0"/>
              <w:jc w:val="left"/>
              <w:rPr>
                <w:color w:val="FFFFFF" w:themeColor="background1"/>
              </w:rPr>
            </w:pPr>
          </w:p>
        </w:tc>
        <w:tc>
          <w:tcPr>
            <w:tcW w:w="99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hideMark/>
          </w:tcPr>
          <w:p w14:paraId="6F09B64C" w14:textId="77777777" w:rsidR="00B67E9C" w:rsidRDefault="00B67E9C">
            <w:pPr>
              <w:spacing w:before="60" w:after="60"/>
              <w:jc w:val="center"/>
              <w:rPr>
                <w:color w:val="FFFFFF" w:themeColor="background1"/>
              </w:rPr>
            </w:pPr>
            <w:r>
              <w:rPr>
                <w:color w:val="FFFFFF" w:themeColor="background1"/>
              </w:rPr>
              <w:t>2012</w:t>
            </w:r>
          </w:p>
        </w:tc>
        <w:tc>
          <w:tcPr>
            <w:tcW w:w="98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hideMark/>
          </w:tcPr>
          <w:p w14:paraId="62A38482" w14:textId="77777777" w:rsidR="00B67E9C" w:rsidRDefault="00B67E9C">
            <w:pPr>
              <w:spacing w:before="60" w:after="60"/>
              <w:jc w:val="center"/>
              <w:rPr>
                <w:color w:val="FFFFFF" w:themeColor="background1"/>
              </w:rPr>
            </w:pPr>
            <w:r>
              <w:rPr>
                <w:color w:val="FFFFFF" w:themeColor="background1"/>
              </w:rPr>
              <w:t>2019</w:t>
            </w:r>
          </w:p>
        </w:tc>
        <w:tc>
          <w:tcPr>
            <w:tcW w:w="100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hideMark/>
          </w:tcPr>
          <w:p w14:paraId="361F55A8" w14:textId="77777777" w:rsidR="00B67E9C" w:rsidRDefault="00B67E9C">
            <w:pPr>
              <w:spacing w:before="60" w:after="60"/>
              <w:jc w:val="center"/>
              <w:rPr>
                <w:color w:val="FFFFFF" w:themeColor="background1"/>
              </w:rPr>
            </w:pPr>
            <w:r>
              <w:rPr>
                <w:color w:val="FFFFFF" w:themeColor="background1"/>
              </w:rPr>
              <w:t>EOL</w:t>
            </w:r>
            <w:r>
              <w:rPr>
                <w:rStyle w:val="FootnoteReference"/>
                <w:color w:val="FFFFFF" w:themeColor="background1"/>
                <w:sz w:val="20"/>
              </w:rPr>
              <w:footnoteReference w:id="3"/>
            </w:r>
          </w:p>
        </w:tc>
        <w:tc>
          <w:tcPr>
            <w:tcW w:w="94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hideMark/>
          </w:tcPr>
          <w:p w14:paraId="6B25CD1E" w14:textId="77777777" w:rsidR="00B67E9C" w:rsidRDefault="00B67E9C">
            <w:pPr>
              <w:spacing w:before="60" w:after="60"/>
              <w:jc w:val="center"/>
              <w:rPr>
                <w:color w:val="FFFFFF" w:themeColor="background1"/>
              </w:rPr>
            </w:pPr>
            <w:r>
              <w:rPr>
                <w:color w:val="FFFFFF" w:themeColor="background1"/>
              </w:rPr>
              <w:t>Tech Rec</w:t>
            </w:r>
            <w:r>
              <w:rPr>
                <w:rStyle w:val="FootnoteReference"/>
                <w:color w:val="FFFFFF" w:themeColor="background1"/>
                <w:sz w:val="20"/>
              </w:rPr>
              <w:footnoteReference w:id="4"/>
            </w:r>
          </w:p>
        </w:tc>
        <w:tc>
          <w:tcPr>
            <w:tcW w:w="127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hideMark/>
          </w:tcPr>
          <w:p w14:paraId="243AF5DB" w14:textId="77777777" w:rsidR="00B67E9C" w:rsidRDefault="00B67E9C">
            <w:pPr>
              <w:spacing w:before="60" w:after="60"/>
              <w:jc w:val="center"/>
              <w:rPr>
                <w:color w:val="FFFFFF" w:themeColor="background1"/>
              </w:rPr>
            </w:pPr>
            <w:r>
              <w:rPr>
                <w:color w:val="FFFFFF" w:themeColor="background1"/>
              </w:rPr>
              <w:t xml:space="preserve">Service rate      </w:t>
            </w:r>
            <w:proofErr w:type="gramStart"/>
            <w:r>
              <w:rPr>
                <w:color w:val="FFFFFF" w:themeColor="background1"/>
              </w:rPr>
              <w:t xml:space="preserve">   (</w:t>
            </w:r>
            <w:proofErr w:type="gramEnd"/>
            <w:r>
              <w:rPr>
                <w:color w:val="FFFFFF" w:themeColor="background1"/>
              </w:rPr>
              <w:t>2019)</w:t>
            </w:r>
          </w:p>
        </w:tc>
        <w:tc>
          <w:tcPr>
            <w:tcW w:w="129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hideMark/>
          </w:tcPr>
          <w:p w14:paraId="04F69313" w14:textId="77777777" w:rsidR="00B67E9C" w:rsidRDefault="00B67E9C">
            <w:pPr>
              <w:spacing w:before="60" w:after="60"/>
              <w:jc w:val="center"/>
              <w:rPr>
                <w:color w:val="FFFFFF" w:themeColor="background1"/>
              </w:rPr>
            </w:pPr>
            <w:r>
              <w:rPr>
                <w:color w:val="FFFFFF" w:themeColor="background1"/>
              </w:rPr>
              <w:t>Theoretical leak rate (2019)</w:t>
            </w:r>
          </w:p>
        </w:tc>
        <w:tc>
          <w:tcPr>
            <w:tcW w:w="0" w:type="auto"/>
            <w:vMerge/>
            <w:tcBorders>
              <w:top w:val="single" w:sz="4" w:space="0" w:color="000000"/>
              <w:left w:val="single" w:sz="4" w:space="0" w:color="FFFFFF" w:themeColor="background1"/>
              <w:bottom w:val="single" w:sz="4" w:space="0" w:color="000000" w:themeColor="text1"/>
              <w:right w:val="single" w:sz="4" w:space="0" w:color="000000"/>
            </w:tcBorders>
            <w:vAlign w:val="center"/>
            <w:hideMark/>
          </w:tcPr>
          <w:p w14:paraId="02750271" w14:textId="77777777" w:rsidR="00B67E9C" w:rsidRDefault="00B67E9C">
            <w:pPr>
              <w:spacing w:before="0"/>
              <w:jc w:val="left"/>
              <w:rPr>
                <w:color w:val="FFFFFF" w:themeColor="background1"/>
              </w:rPr>
            </w:pPr>
          </w:p>
        </w:tc>
      </w:tr>
      <w:tr w:rsidR="00B67E9C" w14:paraId="4DBBB53B" w14:textId="77777777" w:rsidTr="00B67E9C">
        <w:tc>
          <w:tcPr>
            <w:tcW w:w="2001" w:type="dxa"/>
            <w:tcBorders>
              <w:top w:val="single" w:sz="4" w:space="0" w:color="000000" w:themeColor="text1"/>
              <w:left w:val="single" w:sz="4" w:space="0" w:color="000000"/>
              <w:bottom w:val="single" w:sz="4" w:space="0" w:color="000000"/>
              <w:right w:val="nil"/>
            </w:tcBorders>
            <w:shd w:val="clear" w:color="auto" w:fill="DAEEF3" w:themeFill="accent5" w:themeFillTint="33"/>
            <w:vAlign w:val="center"/>
            <w:hideMark/>
          </w:tcPr>
          <w:p w14:paraId="2AFE6510" w14:textId="77777777" w:rsidR="00B67E9C" w:rsidRDefault="00B67E9C">
            <w:pPr>
              <w:spacing w:before="60" w:after="60"/>
              <w:jc w:val="left"/>
            </w:pPr>
            <w:r>
              <w:t>Small AC: Sealed</w:t>
            </w:r>
          </w:p>
        </w:tc>
        <w:tc>
          <w:tcPr>
            <w:tcW w:w="990" w:type="dxa"/>
            <w:tcBorders>
              <w:top w:val="single" w:sz="4" w:space="0" w:color="000000" w:themeColor="text1"/>
              <w:left w:val="nil"/>
              <w:bottom w:val="single" w:sz="4" w:space="0" w:color="000000"/>
              <w:right w:val="nil"/>
            </w:tcBorders>
            <w:shd w:val="clear" w:color="auto" w:fill="DAEEF3" w:themeFill="accent5" w:themeFillTint="33"/>
            <w:vAlign w:val="center"/>
          </w:tcPr>
          <w:p w14:paraId="7C77D440" w14:textId="77777777" w:rsidR="00B67E9C" w:rsidRDefault="00B67E9C">
            <w:pPr>
              <w:spacing w:before="60" w:after="60"/>
              <w:jc w:val="center"/>
            </w:pPr>
          </w:p>
        </w:tc>
        <w:tc>
          <w:tcPr>
            <w:tcW w:w="989" w:type="dxa"/>
            <w:tcBorders>
              <w:top w:val="single" w:sz="4" w:space="0" w:color="000000" w:themeColor="text1"/>
              <w:left w:val="nil"/>
              <w:bottom w:val="single" w:sz="4" w:space="0" w:color="000000"/>
              <w:right w:val="nil"/>
            </w:tcBorders>
            <w:shd w:val="clear" w:color="auto" w:fill="DAEEF3" w:themeFill="accent5" w:themeFillTint="33"/>
            <w:vAlign w:val="center"/>
          </w:tcPr>
          <w:p w14:paraId="1C16995B" w14:textId="77777777" w:rsidR="00B67E9C" w:rsidRDefault="00B67E9C">
            <w:pPr>
              <w:spacing w:before="60" w:after="60"/>
              <w:jc w:val="center"/>
            </w:pPr>
          </w:p>
        </w:tc>
        <w:tc>
          <w:tcPr>
            <w:tcW w:w="1001" w:type="dxa"/>
            <w:tcBorders>
              <w:top w:val="single" w:sz="4" w:space="0" w:color="000000" w:themeColor="text1"/>
              <w:left w:val="nil"/>
              <w:bottom w:val="single" w:sz="4" w:space="0" w:color="000000"/>
              <w:right w:val="nil"/>
            </w:tcBorders>
            <w:shd w:val="clear" w:color="auto" w:fill="DAEEF3" w:themeFill="accent5" w:themeFillTint="33"/>
            <w:vAlign w:val="center"/>
          </w:tcPr>
          <w:p w14:paraId="2A060683" w14:textId="77777777" w:rsidR="00B67E9C" w:rsidRDefault="00B67E9C">
            <w:pPr>
              <w:spacing w:before="60" w:after="60"/>
              <w:jc w:val="center"/>
            </w:pPr>
          </w:p>
        </w:tc>
        <w:tc>
          <w:tcPr>
            <w:tcW w:w="948" w:type="dxa"/>
            <w:tcBorders>
              <w:top w:val="single" w:sz="4" w:space="0" w:color="000000" w:themeColor="text1"/>
              <w:left w:val="nil"/>
              <w:bottom w:val="single" w:sz="4" w:space="0" w:color="000000"/>
              <w:right w:val="nil"/>
            </w:tcBorders>
            <w:shd w:val="clear" w:color="auto" w:fill="DAEEF3" w:themeFill="accent5" w:themeFillTint="33"/>
            <w:vAlign w:val="center"/>
          </w:tcPr>
          <w:p w14:paraId="443489E2" w14:textId="77777777" w:rsidR="00B67E9C" w:rsidRDefault="00B67E9C">
            <w:pPr>
              <w:spacing w:before="60" w:after="60"/>
              <w:jc w:val="center"/>
            </w:pPr>
          </w:p>
        </w:tc>
        <w:tc>
          <w:tcPr>
            <w:tcW w:w="1272" w:type="dxa"/>
            <w:tcBorders>
              <w:top w:val="single" w:sz="4" w:space="0" w:color="000000" w:themeColor="text1"/>
              <w:left w:val="nil"/>
              <w:bottom w:val="single" w:sz="4" w:space="0" w:color="000000"/>
              <w:right w:val="nil"/>
            </w:tcBorders>
            <w:shd w:val="clear" w:color="auto" w:fill="DAEEF3" w:themeFill="accent5" w:themeFillTint="33"/>
            <w:vAlign w:val="center"/>
          </w:tcPr>
          <w:p w14:paraId="2E9A8915" w14:textId="77777777" w:rsidR="00B67E9C" w:rsidRDefault="00B67E9C">
            <w:pPr>
              <w:spacing w:before="60" w:after="60"/>
              <w:jc w:val="center"/>
            </w:pPr>
          </w:p>
        </w:tc>
        <w:tc>
          <w:tcPr>
            <w:tcW w:w="1294" w:type="dxa"/>
            <w:tcBorders>
              <w:top w:val="single" w:sz="4" w:space="0" w:color="000000" w:themeColor="text1"/>
              <w:left w:val="nil"/>
              <w:bottom w:val="single" w:sz="4" w:space="0" w:color="000000"/>
              <w:right w:val="nil"/>
            </w:tcBorders>
            <w:shd w:val="clear" w:color="auto" w:fill="DAEEF3" w:themeFill="accent5" w:themeFillTint="33"/>
            <w:vAlign w:val="center"/>
          </w:tcPr>
          <w:p w14:paraId="7989A645" w14:textId="77777777" w:rsidR="00B67E9C" w:rsidRDefault="00B67E9C">
            <w:pPr>
              <w:spacing w:before="60" w:after="60"/>
              <w:jc w:val="center"/>
            </w:pPr>
          </w:p>
        </w:tc>
        <w:tc>
          <w:tcPr>
            <w:tcW w:w="997" w:type="dxa"/>
            <w:tcBorders>
              <w:top w:val="single" w:sz="4" w:space="0" w:color="000000" w:themeColor="text1"/>
              <w:left w:val="nil"/>
              <w:bottom w:val="single" w:sz="4" w:space="0" w:color="000000"/>
              <w:right w:val="single" w:sz="4" w:space="0" w:color="000000"/>
            </w:tcBorders>
            <w:shd w:val="clear" w:color="auto" w:fill="DAEEF3" w:themeFill="accent5" w:themeFillTint="33"/>
            <w:vAlign w:val="center"/>
          </w:tcPr>
          <w:p w14:paraId="30BC9563" w14:textId="77777777" w:rsidR="00B67E9C" w:rsidRDefault="00B67E9C">
            <w:pPr>
              <w:spacing w:before="60" w:after="60"/>
              <w:jc w:val="center"/>
            </w:pPr>
          </w:p>
        </w:tc>
      </w:tr>
      <w:tr w:rsidR="00B67E9C" w14:paraId="12CA4AB8" w14:textId="77777777" w:rsidTr="00B67E9C">
        <w:tc>
          <w:tcPr>
            <w:tcW w:w="2001" w:type="dxa"/>
            <w:tcBorders>
              <w:top w:val="single" w:sz="4" w:space="0" w:color="000000"/>
              <w:left w:val="single" w:sz="4" w:space="0" w:color="000000"/>
              <w:bottom w:val="single" w:sz="4" w:space="0" w:color="000000"/>
              <w:right w:val="single" w:sz="4" w:space="0" w:color="000000"/>
            </w:tcBorders>
            <w:vAlign w:val="center"/>
            <w:hideMark/>
          </w:tcPr>
          <w:p w14:paraId="3524701A" w14:textId="77777777" w:rsidR="00B67E9C" w:rsidRDefault="00B67E9C">
            <w:pPr>
              <w:spacing w:before="60" w:after="60"/>
              <w:jc w:val="left"/>
            </w:pPr>
            <w:r>
              <w:t xml:space="preserve">Non-ducted: unitary 0-10 </w:t>
            </w:r>
            <w:proofErr w:type="spellStart"/>
            <w:r>
              <w:t>kWr</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1ED5CDA" w14:textId="77777777" w:rsidR="00B67E9C" w:rsidRDefault="00B67E9C">
            <w:pPr>
              <w:spacing w:before="60" w:after="60"/>
              <w:jc w:val="center"/>
            </w:pPr>
            <w:r>
              <w:t>0.75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A0FF502" w14:textId="77777777" w:rsidR="00B67E9C" w:rsidRDefault="00B67E9C">
            <w:pPr>
              <w:spacing w:before="60" w:after="60"/>
              <w:jc w:val="center"/>
            </w:pPr>
            <w:r>
              <w:t>0.65</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71371116" w14:textId="77777777" w:rsidR="00B67E9C" w:rsidRDefault="00B67E9C">
            <w:pPr>
              <w:spacing w:before="60" w:after="60"/>
              <w:jc w:val="center"/>
            </w:pPr>
            <w:r>
              <w:t>85%</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68975E25"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20393AD" w14:textId="77777777" w:rsidR="00B67E9C" w:rsidRDefault="00B67E9C">
            <w:pPr>
              <w:spacing w:before="60" w:after="60"/>
              <w:jc w:val="center"/>
            </w:pPr>
            <w:r>
              <w:t>2.0%</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2E450C58" w14:textId="77777777" w:rsidR="00B67E9C" w:rsidRDefault="00B67E9C">
            <w:pPr>
              <w:spacing w:before="60" w:after="60"/>
              <w:jc w:val="center"/>
            </w:pPr>
            <w:r>
              <w:t>2.5%</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29F76429" w14:textId="77777777" w:rsidR="00B67E9C" w:rsidRDefault="00B67E9C">
            <w:pPr>
              <w:spacing w:before="60" w:after="60"/>
              <w:jc w:val="center"/>
            </w:pPr>
            <w:r>
              <w:t>12.0</w:t>
            </w:r>
          </w:p>
        </w:tc>
      </w:tr>
      <w:tr w:rsidR="00B67E9C" w14:paraId="6FB3B430" w14:textId="77777777" w:rsidTr="00B67E9C">
        <w:tc>
          <w:tcPr>
            <w:tcW w:w="2001" w:type="dxa"/>
            <w:tcBorders>
              <w:top w:val="single" w:sz="4" w:space="0" w:color="000000"/>
              <w:left w:val="single" w:sz="4" w:space="0" w:color="000000"/>
              <w:bottom w:val="single" w:sz="4" w:space="0" w:color="000000"/>
              <w:right w:val="single" w:sz="4" w:space="0" w:color="000000"/>
            </w:tcBorders>
            <w:vAlign w:val="center"/>
            <w:hideMark/>
          </w:tcPr>
          <w:p w14:paraId="75A135CE" w14:textId="77777777" w:rsidR="00B67E9C" w:rsidRDefault="00B67E9C">
            <w:pPr>
              <w:spacing w:before="60" w:after="60"/>
              <w:jc w:val="left"/>
            </w:pPr>
            <w:r>
              <w:t xml:space="preserve">Portable AC: 0-10 </w:t>
            </w:r>
            <w:proofErr w:type="spellStart"/>
            <w:r>
              <w:t>kWr</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49A0C2F" w14:textId="77777777" w:rsidR="00B67E9C" w:rsidRDefault="00B67E9C">
            <w:pPr>
              <w:spacing w:before="60" w:after="60"/>
              <w:jc w:val="center"/>
            </w:pPr>
            <w:r>
              <w:t>0.6</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4D233B9" w14:textId="77777777" w:rsidR="00B67E9C" w:rsidRDefault="00B67E9C">
            <w:pPr>
              <w:spacing w:before="60" w:after="60"/>
              <w:jc w:val="center"/>
            </w:pPr>
            <w:r>
              <w:t>0.55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73970"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0379D7"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5662C8F" w14:textId="77777777" w:rsidR="00B67E9C" w:rsidRDefault="00B67E9C">
            <w:pPr>
              <w:spacing w:before="60" w:after="60"/>
              <w:jc w:val="center"/>
            </w:pPr>
            <w:r>
              <w:t>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842A9"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4CB24FFE" w14:textId="77777777" w:rsidR="00B67E9C" w:rsidRDefault="00B67E9C">
            <w:pPr>
              <w:spacing w:before="60" w:after="60"/>
              <w:jc w:val="center"/>
            </w:pPr>
            <w:r>
              <w:t>8.0</w:t>
            </w:r>
          </w:p>
        </w:tc>
      </w:tr>
      <w:tr w:rsidR="00B67E9C" w14:paraId="11F20A01" w14:textId="77777777" w:rsidTr="00B67E9C">
        <w:tc>
          <w:tcPr>
            <w:tcW w:w="2001" w:type="dxa"/>
            <w:tcBorders>
              <w:top w:val="single" w:sz="4" w:space="0" w:color="000000"/>
              <w:left w:val="single" w:sz="4" w:space="0" w:color="000000"/>
              <w:bottom w:val="single" w:sz="4" w:space="0" w:color="000000"/>
              <w:right w:val="single" w:sz="4" w:space="0" w:color="000000"/>
            </w:tcBorders>
            <w:vAlign w:val="center"/>
            <w:hideMark/>
          </w:tcPr>
          <w:p w14:paraId="5C148B60" w14:textId="77777777" w:rsidR="00B67E9C" w:rsidRDefault="00B67E9C">
            <w:pPr>
              <w:spacing w:before="60" w:after="60"/>
              <w:jc w:val="left"/>
            </w:pPr>
            <w:r>
              <w:t>HW heat pump: domestic</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B33B81F" w14:textId="77777777" w:rsidR="00B67E9C" w:rsidRDefault="00B67E9C">
            <w:pPr>
              <w:spacing w:before="60" w:after="60"/>
              <w:jc w:val="center"/>
            </w:pPr>
            <w:r>
              <w:t>0.9</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2A2B335D" w14:textId="77777777" w:rsidR="00B67E9C" w:rsidRDefault="00B67E9C">
            <w:pPr>
              <w:spacing w:before="60" w:after="60"/>
              <w:jc w:val="center"/>
            </w:pPr>
            <w:r>
              <w:t>0.9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5E2FCE"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CD470"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624ECE63" w14:textId="77777777" w:rsidR="00B67E9C" w:rsidRDefault="00B67E9C">
            <w:pPr>
              <w:spacing w:before="60" w:after="60"/>
              <w:jc w:val="center"/>
            </w:pPr>
            <w: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5095FE"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2296E593" w14:textId="77777777" w:rsidR="00B67E9C" w:rsidRDefault="00B67E9C">
            <w:pPr>
              <w:spacing w:before="60" w:after="60"/>
              <w:jc w:val="center"/>
            </w:pPr>
            <w:r>
              <w:t>15.0</w:t>
            </w:r>
          </w:p>
        </w:tc>
      </w:tr>
      <w:tr w:rsidR="00B67E9C" w14:paraId="08DE30A8" w14:textId="77777777" w:rsidTr="00B67E9C">
        <w:tc>
          <w:tcPr>
            <w:tcW w:w="2001" w:type="dxa"/>
            <w:tcBorders>
              <w:top w:val="single" w:sz="4" w:space="0" w:color="000000"/>
              <w:left w:val="single" w:sz="4" w:space="0" w:color="000000"/>
              <w:bottom w:val="single" w:sz="4" w:space="0" w:color="000000"/>
              <w:right w:val="single" w:sz="4" w:space="0" w:color="000000"/>
            </w:tcBorders>
            <w:vAlign w:val="center"/>
            <w:hideMark/>
          </w:tcPr>
          <w:p w14:paraId="0D76746D" w14:textId="77777777" w:rsidR="00B67E9C" w:rsidRDefault="00B67E9C">
            <w:pPr>
              <w:spacing w:before="60" w:after="60"/>
              <w:jc w:val="left"/>
            </w:pPr>
            <w:r>
              <w:t>Heat pump clothes dryers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45D2595" w14:textId="77777777" w:rsidR="00B67E9C" w:rsidRDefault="00B67E9C">
            <w:pPr>
              <w:spacing w:before="60" w:after="60"/>
              <w:jc w:val="center"/>
            </w:pPr>
            <w:r>
              <w:t>0.46</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4779081" w14:textId="77777777" w:rsidR="00B67E9C" w:rsidRDefault="00B67E9C">
            <w:pPr>
              <w:spacing w:before="60" w:after="60"/>
              <w:jc w:val="center"/>
            </w:pPr>
            <w:r>
              <w:t>0.47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EF9ABB"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FA0B2"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A949F50" w14:textId="77777777" w:rsidR="00B67E9C" w:rsidRDefault="00B67E9C">
            <w:pPr>
              <w:spacing w:before="60" w:after="60"/>
              <w:jc w:val="center"/>
            </w:pPr>
            <w: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B080F3"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584FCFA7" w14:textId="77777777" w:rsidR="00B67E9C" w:rsidRDefault="00B67E9C">
            <w:pPr>
              <w:spacing w:before="60" w:after="60"/>
              <w:jc w:val="center"/>
            </w:pPr>
            <w:r>
              <w:t>16.5</w:t>
            </w:r>
          </w:p>
        </w:tc>
      </w:tr>
      <w:tr w:rsidR="00B67E9C" w14:paraId="21C393DF" w14:textId="77777777" w:rsidTr="00B67E9C">
        <w:tc>
          <w:tcPr>
            <w:tcW w:w="2001" w:type="dxa"/>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14:paraId="4EFD6197" w14:textId="77777777" w:rsidR="00B67E9C" w:rsidRDefault="00B67E9C">
            <w:pPr>
              <w:spacing w:before="60" w:after="60"/>
              <w:jc w:val="left"/>
            </w:pPr>
            <w:r>
              <w:t>Small AC: Split</w:t>
            </w:r>
          </w:p>
        </w:tc>
        <w:tc>
          <w:tcPr>
            <w:tcW w:w="990" w:type="dxa"/>
            <w:tcBorders>
              <w:top w:val="single" w:sz="4" w:space="0" w:color="000000"/>
              <w:left w:val="nil"/>
              <w:bottom w:val="single" w:sz="4" w:space="0" w:color="000000"/>
              <w:right w:val="nil"/>
            </w:tcBorders>
            <w:shd w:val="clear" w:color="auto" w:fill="DAEEF3" w:themeFill="accent5" w:themeFillTint="33"/>
            <w:vAlign w:val="center"/>
          </w:tcPr>
          <w:p w14:paraId="6995BF69" w14:textId="77777777" w:rsidR="00B67E9C" w:rsidRDefault="00B67E9C">
            <w:pPr>
              <w:spacing w:before="60" w:after="60"/>
              <w:jc w:val="center"/>
            </w:pPr>
          </w:p>
        </w:tc>
        <w:tc>
          <w:tcPr>
            <w:tcW w:w="989" w:type="dxa"/>
            <w:tcBorders>
              <w:top w:val="single" w:sz="4" w:space="0" w:color="000000"/>
              <w:left w:val="nil"/>
              <w:bottom w:val="single" w:sz="4" w:space="0" w:color="000000"/>
              <w:right w:val="nil"/>
            </w:tcBorders>
            <w:shd w:val="clear" w:color="auto" w:fill="DAEEF3" w:themeFill="accent5" w:themeFillTint="33"/>
            <w:vAlign w:val="center"/>
          </w:tcPr>
          <w:p w14:paraId="30DD0C04" w14:textId="77777777" w:rsidR="00B67E9C" w:rsidRDefault="00B67E9C">
            <w:pPr>
              <w:spacing w:before="60" w:after="60"/>
              <w:jc w:val="center"/>
            </w:pPr>
          </w:p>
        </w:tc>
        <w:tc>
          <w:tcPr>
            <w:tcW w:w="1001" w:type="dxa"/>
            <w:tcBorders>
              <w:top w:val="single" w:sz="4" w:space="0" w:color="000000"/>
              <w:left w:val="nil"/>
              <w:bottom w:val="single" w:sz="4" w:space="0" w:color="000000"/>
              <w:right w:val="nil"/>
            </w:tcBorders>
            <w:shd w:val="clear" w:color="auto" w:fill="DAEEF3" w:themeFill="accent5" w:themeFillTint="33"/>
            <w:vAlign w:val="center"/>
          </w:tcPr>
          <w:p w14:paraId="2B22CC5F" w14:textId="77777777" w:rsidR="00B67E9C" w:rsidRDefault="00B67E9C">
            <w:pPr>
              <w:spacing w:before="60" w:after="60"/>
              <w:jc w:val="center"/>
            </w:pPr>
          </w:p>
        </w:tc>
        <w:tc>
          <w:tcPr>
            <w:tcW w:w="948" w:type="dxa"/>
            <w:tcBorders>
              <w:top w:val="single" w:sz="4" w:space="0" w:color="000000"/>
              <w:left w:val="nil"/>
              <w:bottom w:val="single" w:sz="4" w:space="0" w:color="000000"/>
              <w:right w:val="nil"/>
            </w:tcBorders>
            <w:shd w:val="clear" w:color="auto" w:fill="DAEEF3" w:themeFill="accent5" w:themeFillTint="33"/>
            <w:vAlign w:val="center"/>
          </w:tcPr>
          <w:p w14:paraId="710726F5" w14:textId="77777777" w:rsidR="00B67E9C" w:rsidRDefault="00B67E9C">
            <w:pPr>
              <w:spacing w:before="60" w:after="60"/>
              <w:jc w:val="center"/>
            </w:pPr>
          </w:p>
        </w:tc>
        <w:tc>
          <w:tcPr>
            <w:tcW w:w="1272" w:type="dxa"/>
            <w:tcBorders>
              <w:top w:val="single" w:sz="4" w:space="0" w:color="000000"/>
              <w:left w:val="nil"/>
              <w:bottom w:val="single" w:sz="4" w:space="0" w:color="000000"/>
              <w:right w:val="nil"/>
            </w:tcBorders>
            <w:shd w:val="clear" w:color="auto" w:fill="DAEEF3" w:themeFill="accent5" w:themeFillTint="33"/>
            <w:vAlign w:val="center"/>
          </w:tcPr>
          <w:p w14:paraId="3A6E8C06" w14:textId="77777777" w:rsidR="00B67E9C" w:rsidRDefault="00B67E9C">
            <w:pPr>
              <w:spacing w:before="60" w:after="60"/>
              <w:jc w:val="center"/>
            </w:pPr>
          </w:p>
        </w:tc>
        <w:tc>
          <w:tcPr>
            <w:tcW w:w="1294" w:type="dxa"/>
            <w:tcBorders>
              <w:top w:val="single" w:sz="4" w:space="0" w:color="000000"/>
              <w:left w:val="nil"/>
              <w:bottom w:val="single" w:sz="4" w:space="0" w:color="000000"/>
              <w:right w:val="nil"/>
            </w:tcBorders>
            <w:shd w:val="clear" w:color="auto" w:fill="DAEEF3" w:themeFill="accent5" w:themeFillTint="33"/>
            <w:vAlign w:val="center"/>
          </w:tcPr>
          <w:p w14:paraId="3DFEA84F" w14:textId="77777777" w:rsidR="00B67E9C" w:rsidRDefault="00B67E9C">
            <w:pPr>
              <w:spacing w:before="60" w:after="60"/>
              <w:jc w:val="center"/>
            </w:pPr>
          </w:p>
        </w:tc>
        <w:tc>
          <w:tcPr>
            <w:tcW w:w="99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6D8BA847" w14:textId="77777777" w:rsidR="00B67E9C" w:rsidRDefault="00B67E9C">
            <w:pPr>
              <w:spacing w:before="60" w:after="60"/>
              <w:jc w:val="center"/>
            </w:pPr>
          </w:p>
        </w:tc>
      </w:tr>
      <w:tr w:rsidR="00B67E9C" w14:paraId="727906DD" w14:textId="77777777" w:rsidTr="00B67E9C">
        <w:tc>
          <w:tcPr>
            <w:tcW w:w="2001" w:type="dxa"/>
            <w:tcBorders>
              <w:top w:val="single" w:sz="4" w:space="0" w:color="000000"/>
              <w:left w:val="single" w:sz="4" w:space="0" w:color="000000"/>
              <w:bottom w:val="single" w:sz="4" w:space="0" w:color="000000"/>
              <w:right w:val="single" w:sz="4" w:space="0" w:color="000000"/>
            </w:tcBorders>
            <w:vAlign w:val="center"/>
            <w:hideMark/>
          </w:tcPr>
          <w:p w14:paraId="670C9106" w14:textId="77777777" w:rsidR="00B67E9C" w:rsidRDefault="00B67E9C">
            <w:pPr>
              <w:spacing w:before="60" w:after="60"/>
              <w:jc w:val="left"/>
            </w:pPr>
            <w:r>
              <w:t xml:space="preserve">Single split: non-ducted </w:t>
            </w:r>
            <w:r>
              <w:rPr>
                <w:vertAlign w:val="superscript"/>
              </w:rPr>
              <w:t>(1)</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8248A2A" w14:textId="77777777" w:rsidR="00B67E9C" w:rsidRDefault="00B67E9C">
            <w:pPr>
              <w:spacing w:before="60" w:after="60"/>
              <w:jc w:val="center"/>
            </w:pPr>
            <w:r>
              <w:t xml:space="preserve">1.7 </w:t>
            </w:r>
            <w:r>
              <w:rPr>
                <w:sz w:val="16"/>
                <w:szCs w:val="16"/>
              </w:rPr>
              <w:t>(HCFC-22)</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CD5582E" w14:textId="77777777" w:rsidR="00B67E9C" w:rsidRDefault="00B67E9C">
            <w:pPr>
              <w:spacing w:before="60" w:after="60"/>
              <w:jc w:val="center"/>
            </w:pPr>
            <w:r>
              <w:t xml:space="preserve">1.08 </w:t>
            </w:r>
            <w:r>
              <w:rPr>
                <w:sz w:val="16"/>
                <w:szCs w:val="16"/>
              </w:rPr>
              <w:t>(HFC-32)</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7FA4BE44" w14:textId="77777777" w:rsidR="00B67E9C" w:rsidRDefault="00B67E9C">
            <w:pPr>
              <w:spacing w:before="60" w:after="60"/>
              <w:jc w:val="center"/>
            </w:pPr>
            <w:r>
              <w:t>80%</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6E242392"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B759564" w14:textId="77777777" w:rsidR="00B67E9C" w:rsidRDefault="00B67E9C">
            <w:pPr>
              <w:spacing w:before="60" w:after="60"/>
              <w:jc w:val="center"/>
            </w:pPr>
            <w:r>
              <w:t>2.2%</w:t>
            </w:r>
          </w:p>
        </w:tc>
        <w:tc>
          <w:tcPr>
            <w:tcW w:w="1294" w:type="dxa"/>
            <w:tcBorders>
              <w:top w:val="single" w:sz="4" w:space="0" w:color="000000"/>
              <w:left w:val="single" w:sz="4" w:space="0" w:color="000000"/>
              <w:bottom w:val="single" w:sz="4" w:space="0" w:color="000000"/>
              <w:right w:val="single" w:sz="4" w:space="0" w:color="000000"/>
            </w:tcBorders>
            <w:vAlign w:val="center"/>
            <w:hideMark/>
          </w:tcPr>
          <w:p w14:paraId="68F1192F" w14:textId="77777777" w:rsidR="00B67E9C" w:rsidRDefault="00B67E9C">
            <w:pPr>
              <w:spacing w:before="60" w:after="60"/>
              <w:jc w:val="center"/>
            </w:pPr>
            <w:r>
              <w:t>2.7%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46003A8" w14:textId="77777777" w:rsidR="00B67E9C" w:rsidRDefault="00B67E9C">
            <w:pPr>
              <w:spacing w:before="60" w:after="60"/>
              <w:jc w:val="center"/>
            </w:pPr>
            <w:r>
              <w:t>12.0</w:t>
            </w:r>
          </w:p>
        </w:tc>
      </w:tr>
      <w:tr w:rsidR="00B67E9C" w14:paraId="1E4CC989" w14:textId="77777777" w:rsidTr="00B67E9C">
        <w:tc>
          <w:tcPr>
            <w:tcW w:w="2001" w:type="dxa"/>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14:paraId="28094D63" w14:textId="77777777" w:rsidR="00B67E9C" w:rsidRDefault="00B67E9C">
            <w:pPr>
              <w:spacing w:before="60" w:after="60"/>
              <w:jc w:val="left"/>
            </w:pPr>
            <w:r>
              <w:t>Medium AC</w:t>
            </w:r>
          </w:p>
        </w:tc>
        <w:tc>
          <w:tcPr>
            <w:tcW w:w="990" w:type="dxa"/>
            <w:tcBorders>
              <w:top w:val="single" w:sz="4" w:space="0" w:color="000000"/>
              <w:left w:val="nil"/>
              <w:bottom w:val="single" w:sz="4" w:space="0" w:color="000000"/>
              <w:right w:val="nil"/>
            </w:tcBorders>
            <w:shd w:val="clear" w:color="auto" w:fill="DAEEF3" w:themeFill="accent5" w:themeFillTint="33"/>
            <w:vAlign w:val="center"/>
          </w:tcPr>
          <w:p w14:paraId="07EAA79C" w14:textId="77777777" w:rsidR="00B67E9C" w:rsidRDefault="00B67E9C">
            <w:pPr>
              <w:spacing w:before="60" w:after="60"/>
              <w:jc w:val="center"/>
            </w:pPr>
          </w:p>
        </w:tc>
        <w:tc>
          <w:tcPr>
            <w:tcW w:w="989" w:type="dxa"/>
            <w:tcBorders>
              <w:top w:val="single" w:sz="4" w:space="0" w:color="000000"/>
              <w:left w:val="nil"/>
              <w:bottom w:val="single" w:sz="4" w:space="0" w:color="000000"/>
              <w:right w:val="nil"/>
            </w:tcBorders>
            <w:shd w:val="clear" w:color="auto" w:fill="DAEEF3" w:themeFill="accent5" w:themeFillTint="33"/>
            <w:vAlign w:val="center"/>
          </w:tcPr>
          <w:p w14:paraId="502CBA94" w14:textId="77777777" w:rsidR="00B67E9C" w:rsidRDefault="00B67E9C">
            <w:pPr>
              <w:spacing w:before="60" w:after="60"/>
              <w:jc w:val="center"/>
            </w:pPr>
          </w:p>
        </w:tc>
        <w:tc>
          <w:tcPr>
            <w:tcW w:w="1001" w:type="dxa"/>
            <w:tcBorders>
              <w:top w:val="single" w:sz="4" w:space="0" w:color="000000"/>
              <w:left w:val="nil"/>
              <w:bottom w:val="single" w:sz="4" w:space="0" w:color="000000"/>
              <w:right w:val="nil"/>
            </w:tcBorders>
            <w:shd w:val="clear" w:color="auto" w:fill="DAEEF3" w:themeFill="accent5" w:themeFillTint="33"/>
            <w:vAlign w:val="center"/>
          </w:tcPr>
          <w:p w14:paraId="5EFE8E5D" w14:textId="77777777" w:rsidR="00B67E9C" w:rsidRDefault="00B67E9C">
            <w:pPr>
              <w:spacing w:before="60" w:after="60"/>
              <w:jc w:val="center"/>
            </w:pPr>
          </w:p>
        </w:tc>
        <w:tc>
          <w:tcPr>
            <w:tcW w:w="948" w:type="dxa"/>
            <w:tcBorders>
              <w:top w:val="single" w:sz="4" w:space="0" w:color="000000"/>
              <w:left w:val="nil"/>
              <w:bottom w:val="single" w:sz="4" w:space="0" w:color="000000"/>
              <w:right w:val="nil"/>
            </w:tcBorders>
            <w:shd w:val="clear" w:color="auto" w:fill="DAEEF3" w:themeFill="accent5" w:themeFillTint="33"/>
            <w:vAlign w:val="center"/>
          </w:tcPr>
          <w:p w14:paraId="66A87461" w14:textId="77777777" w:rsidR="00B67E9C" w:rsidRDefault="00B67E9C">
            <w:pPr>
              <w:spacing w:before="60" w:after="60"/>
              <w:jc w:val="center"/>
            </w:pPr>
          </w:p>
        </w:tc>
        <w:tc>
          <w:tcPr>
            <w:tcW w:w="1272" w:type="dxa"/>
            <w:tcBorders>
              <w:top w:val="single" w:sz="4" w:space="0" w:color="000000"/>
              <w:left w:val="nil"/>
              <w:bottom w:val="single" w:sz="4" w:space="0" w:color="000000"/>
              <w:right w:val="nil"/>
            </w:tcBorders>
            <w:shd w:val="clear" w:color="auto" w:fill="DAEEF3" w:themeFill="accent5" w:themeFillTint="33"/>
            <w:vAlign w:val="center"/>
          </w:tcPr>
          <w:p w14:paraId="67858AF9" w14:textId="77777777" w:rsidR="00B67E9C" w:rsidRDefault="00B67E9C">
            <w:pPr>
              <w:spacing w:before="60" w:after="60"/>
              <w:jc w:val="center"/>
            </w:pPr>
          </w:p>
        </w:tc>
        <w:tc>
          <w:tcPr>
            <w:tcW w:w="1294" w:type="dxa"/>
            <w:tcBorders>
              <w:top w:val="single" w:sz="4" w:space="0" w:color="000000"/>
              <w:left w:val="nil"/>
              <w:bottom w:val="single" w:sz="4" w:space="0" w:color="000000"/>
              <w:right w:val="nil"/>
            </w:tcBorders>
            <w:shd w:val="clear" w:color="auto" w:fill="DAEEF3" w:themeFill="accent5" w:themeFillTint="33"/>
            <w:vAlign w:val="center"/>
          </w:tcPr>
          <w:p w14:paraId="09315537" w14:textId="77777777" w:rsidR="00B67E9C" w:rsidRDefault="00B67E9C">
            <w:pPr>
              <w:spacing w:before="60" w:after="60"/>
              <w:jc w:val="center"/>
              <w:rPr>
                <w:highlight w:val="yellow"/>
              </w:rPr>
            </w:pPr>
          </w:p>
        </w:tc>
        <w:tc>
          <w:tcPr>
            <w:tcW w:w="99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449EE1E4" w14:textId="77777777" w:rsidR="00B67E9C" w:rsidRDefault="00B67E9C">
            <w:pPr>
              <w:spacing w:before="60" w:after="60"/>
              <w:jc w:val="center"/>
            </w:pPr>
          </w:p>
        </w:tc>
      </w:tr>
      <w:tr w:rsidR="00B67E9C" w14:paraId="39F88771"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02DC6138" w14:textId="77777777" w:rsidR="00B67E9C" w:rsidRDefault="00B67E9C">
            <w:pPr>
              <w:spacing w:before="60" w:after="60"/>
              <w:jc w:val="left"/>
            </w:pPr>
            <w:r>
              <w:t>Split system: ducted</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B8A49A7" w14:textId="77777777" w:rsidR="00B67E9C" w:rsidRDefault="00B67E9C">
            <w:pPr>
              <w:spacing w:before="60" w:after="60"/>
              <w:jc w:val="center"/>
            </w:pPr>
            <w:r>
              <w:t>4.7</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338813B" w14:textId="77777777" w:rsidR="00B67E9C" w:rsidRDefault="00B67E9C">
            <w:pPr>
              <w:spacing w:before="60" w:after="60"/>
              <w:jc w:val="center"/>
            </w:pPr>
            <w:r>
              <w:t>4.7</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09C2A50E" w14:textId="77777777" w:rsidR="00B67E9C" w:rsidRDefault="00B67E9C">
            <w:pPr>
              <w:spacing w:before="60" w:after="60"/>
              <w:jc w:val="center"/>
            </w:pPr>
            <w:r>
              <w:t>80%</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0B42BDCA"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A77AE99" w14:textId="77777777" w:rsidR="00B67E9C" w:rsidRDefault="00B67E9C">
            <w:pPr>
              <w:spacing w:before="60" w:after="60"/>
              <w:jc w:val="center"/>
            </w:pPr>
            <w:r>
              <w:t>2.2%</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7C71F09B" w14:textId="77777777" w:rsidR="00B67E9C" w:rsidRDefault="00B67E9C">
            <w:pPr>
              <w:spacing w:before="60" w:after="60"/>
              <w:jc w:val="center"/>
              <w:rPr>
                <w:highlight w:val="yellow"/>
              </w:rPr>
            </w:pPr>
            <w:r>
              <w:t>2.7%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A286006" w14:textId="77777777" w:rsidR="00B67E9C" w:rsidRDefault="00B67E9C">
            <w:pPr>
              <w:spacing w:before="60" w:after="60"/>
              <w:jc w:val="center"/>
            </w:pPr>
            <w:r>
              <w:t>16.0</w:t>
            </w:r>
          </w:p>
        </w:tc>
      </w:tr>
      <w:tr w:rsidR="00B67E9C" w14:paraId="317913AA"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0E70DBE9" w14:textId="77777777" w:rsidR="00B67E9C" w:rsidRDefault="00B67E9C">
            <w:pPr>
              <w:spacing w:before="60" w:after="60"/>
              <w:jc w:val="left"/>
            </w:pPr>
            <w:r>
              <w:t>RT Packaged systems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AB135AA" w14:textId="77777777" w:rsidR="00B67E9C" w:rsidRDefault="00B67E9C">
            <w:pPr>
              <w:spacing w:before="60" w:after="60"/>
              <w:jc w:val="center"/>
            </w:pPr>
            <w:r>
              <w:t>12.2</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B648131"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BD04BF"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6C0C52"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3218639"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709C7" w14:textId="77777777" w:rsidR="00B67E9C" w:rsidRDefault="00B67E9C">
            <w:pPr>
              <w:spacing w:before="0"/>
              <w:jc w:val="left"/>
              <w:rPr>
                <w:highlight w:val="yellow"/>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CAF05AA" w14:textId="77777777" w:rsidR="00B67E9C" w:rsidRDefault="00B67E9C">
            <w:pPr>
              <w:spacing w:before="60" w:after="60"/>
              <w:jc w:val="center"/>
            </w:pPr>
            <w:r>
              <w:t>20.0</w:t>
            </w:r>
          </w:p>
        </w:tc>
      </w:tr>
      <w:tr w:rsidR="00B67E9C" w14:paraId="208EF1D5"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0CF4307C" w14:textId="77777777" w:rsidR="00B67E9C" w:rsidRDefault="00B67E9C">
            <w:pPr>
              <w:spacing w:before="60" w:after="60"/>
              <w:jc w:val="left"/>
            </w:pPr>
            <w:r>
              <w:t>Multi split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EF4C2B7" w14:textId="77777777" w:rsidR="00B67E9C" w:rsidRDefault="00B67E9C">
            <w:pPr>
              <w:spacing w:before="60" w:after="60"/>
              <w:jc w:val="center"/>
            </w:pPr>
            <w:r>
              <w:t>3.0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EDEACC3" w14:textId="77777777" w:rsidR="00B67E9C" w:rsidRDefault="00B67E9C">
            <w:pPr>
              <w:spacing w:before="60" w:after="60"/>
              <w:jc w:val="center"/>
            </w:pPr>
            <w: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69D38"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1A21CA"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358F4848"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D4BC69" w14:textId="77777777" w:rsidR="00B67E9C" w:rsidRDefault="00B67E9C">
            <w:pPr>
              <w:spacing w:before="0"/>
              <w:jc w:val="left"/>
              <w:rPr>
                <w:highlight w:val="yellow"/>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04CE236" w14:textId="77777777" w:rsidR="00B67E9C" w:rsidRDefault="00B67E9C">
            <w:pPr>
              <w:spacing w:before="60" w:after="60"/>
              <w:jc w:val="center"/>
            </w:pPr>
            <w:r>
              <w:t>20.0</w:t>
            </w:r>
          </w:p>
        </w:tc>
      </w:tr>
      <w:tr w:rsidR="00B67E9C" w14:paraId="09A9EB74"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26E04569" w14:textId="77777777" w:rsidR="00B67E9C" w:rsidRDefault="00B67E9C">
            <w:pPr>
              <w:spacing w:before="60" w:after="60"/>
              <w:jc w:val="left"/>
            </w:pPr>
            <w:r>
              <w:t>VRV/VRF split systems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4D38485" w14:textId="77777777" w:rsidR="00B67E9C" w:rsidRDefault="00B67E9C">
            <w:pPr>
              <w:spacing w:before="60" w:after="60"/>
              <w:jc w:val="center"/>
            </w:pPr>
            <w:r>
              <w:t>11.0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18F9EB5" w14:textId="77777777" w:rsidR="00B67E9C" w:rsidRDefault="00B67E9C">
            <w:pPr>
              <w:spacing w:before="60" w:after="60"/>
              <w:jc w:val="center"/>
            </w:pPr>
            <w:r>
              <w:t>9.0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C86F07"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84140"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DCC08B2"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66357" w14:textId="77777777" w:rsidR="00B67E9C" w:rsidRDefault="00B67E9C">
            <w:pPr>
              <w:spacing w:before="0"/>
              <w:jc w:val="left"/>
              <w:rPr>
                <w:highlight w:val="yellow"/>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3CDCFCF" w14:textId="77777777" w:rsidR="00B67E9C" w:rsidRDefault="00B67E9C">
            <w:pPr>
              <w:spacing w:before="60" w:after="60"/>
              <w:jc w:val="center"/>
            </w:pPr>
            <w:r>
              <w:t>20.0</w:t>
            </w:r>
          </w:p>
        </w:tc>
      </w:tr>
      <w:tr w:rsidR="00B67E9C" w14:paraId="45A0BAB9"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56BA7DE8" w14:textId="77777777" w:rsidR="00B67E9C" w:rsidRDefault="00B67E9C">
            <w:pPr>
              <w:spacing w:before="60" w:after="60"/>
              <w:jc w:val="left"/>
            </w:pPr>
            <w:r>
              <w:t>Close control</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B7D1309" w14:textId="77777777" w:rsidR="00B67E9C" w:rsidRDefault="00B67E9C">
            <w:pPr>
              <w:spacing w:before="60" w:after="60"/>
              <w:jc w:val="center"/>
            </w:pPr>
            <w:r>
              <w:t>30.0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8500D60" w14:textId="77777777" w:rsidR="00B67E9C" w:rsidRDefault="00B67E9C">
            <w:pPr>
              <w:spacing w:before="60" w:after="60"/>
              <w:jc w:val="center"/>
            </w:pPr>
            <w:r>
              <w:t>30.0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1DCBD4"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216772"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088A5BAE"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BDED4" w14:textId="77777777" w:rsidR="00B67E9C" w:rsidRDefault="00B67E9C">
            <w:pPr>
              <w:spacing w:before="0"/>
              <w:jc w:val="left"/>
              <w:rPr>
                <w:highlight w:val="yellow"/>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79D042D4" w14:textId="77777777" w:rsidR="00B67E9C" w:rsidRDefault="00B67E9C">
            <w:pPr>
              <w:spacing w:before="60" w:after="60"/>
              <w:jc w:val="center"/>
            </w:pPr>
            <w:r>
              <w:t>12.5</w:t>
            </w:r>
          </w:p>
        </w:tc>
      </w:tr>
      <w:tr w:rsidR="00B67E9C" w14:paraId="6968CC29"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422820DA" w14:textId="77777777" w:rsidR="00B67E9C" w:rsidRDefault="00B67E9C">
            <w:pPr>
              <w:spacing w:before="60" w:after="60"/>
              <w:jc w:val="left"/>
            </w:pPr>
            <w:r>
              <w:t>HW heat pump: commercial</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8811647" w14:textId="77777777" w:rsidR="00B67E9C" w:rsidRDefault="00B67E9C">
            <w:pPr>
              <w:spacing w:before="60" w:after="60"/>
              <w:jc w:val="center"/>
            </w:pPr>
            <w:r>
              <w:t>110.0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2B40556C" w14:textId="77777777" w:rsidR="00B67E9C" w:rsidRDefault="00B67E9C">
            <w:pPr>
              <w:spacing w:before="60" w:after="60"/>
              <w:jc w:val="center"/>
            </w:pPr>
            <w:r>
              <w:t>110.0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19C97A"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5344D5"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B846E5A"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A5DC5" w14:textId="77777777" w:rsidR="00B67E9C" w:rsidRDefault="00B67E9C">
            <w:pPr>
              <w:spacing w:before="0"/>
              <w:jc w:val="left"/>
              <w:rPr>
                <w:highlight w:val="yellow"/>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13C17C6" w14:textId="77777777" w:rsidR="00B67E9C" w:rsidRDefault="00B67E9C">
            <w:pPr>
              <w:spacing w:before="60" w:after="60"/>
              <w:jc w:val="center"/>
            </w:pPr>
            <w:r>
              <w:t>20.0</w:t>
            </w:r>
          </w:p>
        </w:tc>
      </w:tr>
      <w:tr w:rsidR="00B67E9C" w14:paraId="760CE66F" w14:textId="77777777" w:rsidTr="00B67E9C">
        <w:tc>
          <w:tcPr>
            <w:tcW w:w="2001" w:type="dxa"/>
            <w:tcBorders>
              <w:top w:val="single" w:sz="4" w:space="0" w:color="000000"/>
              <w:left w:val="single" w:sz="4" w:space="0" w:color="000000"/>
              <w:bottom w:val="single" w:sz="4" w:space="0" w:color="000000"/>
              <w:right w:val="single" w:sz="4" w:space="0" w:color="000000"/>
            </w:tcBorders>
            <w:hideMark/>
          </w:tcPr>
          <w:p w14:paraId="746D3ACD" w14:textId="77777777" w:rsidR="00B67E9C" w:rsidRDefault="00B67E9C">
            <w:pPr>
              <w:spacing w:before="60" w:after="60"/>
              <w:jc w:val="left"/>
            </w:pPr>
            <w:r>
              <w:t>Pool heat pump</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D75B89F" w14:textId="77777777" w:rsidR="00B67E9C" w:rsidRDefault="00B67E9C">
            <w:pPr>
              <w:spacing w:before="60" w:after="60"/>
              <w:jc w:val="center"/>
            </w:pPr>
            <w:r>
              <w:t>2.8</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8385FD6" w14:textId="77777777" w:rsidR="00B67E9C" w:rsidRDefault="00B67E9C">
            <w:pPr>
              <w:spacing w:before="60" w:after="60"/>
              <w:jc w:val="center"/>
            </w:pPr>
            <w:r>
              <w:t>2.8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C177CC"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1DABE4"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3F58416A"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D25574" w14:textId="77777777" w:rsidR="00B67E9C" w:rsidRDefault="00B67E9C">
            <w:pPr>
              <w:spacing w:before="0"/>
              <w:jc w:val="left"/>
              <w:rPr>
                <w:highlight w:val="yellow"/>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B2503BB" w14:textId="77777777" w:rsidR="00B67E9C" w:rsidRDefault="00B67E9C">
            <w:pPr>
              <w:spacing w:before="60" w:after="60"/>
              <w:jc w:val="center"/>
            </w:pPr>
            <w:r>
              <w:t>17.5</w:t>
            </w:r>
          </w:p>
        </w:tc>
      </w:tr>
      <w:tr w:rsidR="00B67E9C" w14:paraId="40CE43B7" w14:textId="77777777" w:rsidTr="00B67E9C">
        <w:tc>
          <w:tcPr>
            <w:tcW w:w="2001" w:type="dxa"/>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14:paraId="67F137CB" w14:textId="77777777" w:rsidR="00B67E9C" w:rsidRDefault="00B67E9C">
            <w:pPr>
              <w:spacing w:before="60" w:after="60"/>
              <w:jc w:val="left"/>
            </w:pPr>
            <w:r>
              <w:t>Large AC</w:t>
            </w:r>
          </w:p>
        </w:tc>
        <w:tc>
          <w:tcPr>
            <w:tcW w:w="990" w:type="dxa"/>
            <w:tcBorders>
              <w:top w:val="single" w:sz="4" w:space="0" w:color="000000"/>
              <w:left w:val="nil"/>
              <w:bottom w:val="single" w:sz="4" w:space="0" w:color="000000"/>
              <w:right w:val="nil"/>
            </w:tcBorders>
            <w:shd w:val="clear" w:color="auto" w:fill="DAEEF3" w:themeFill="accent5" w:themeFillTint="33"/>
            <w:vAlign w:val="center"/>
          </w:tcPr>
          <w:p w14:paraId="2BF6502C" w14:textId="77777777" w:rsidR="00B67E9C" w:rsidRDefault="00B67E9C">
            <w:pPr>
              <w:spacing w:before="60" w:after="60"/>
              <w:jc w:val="center"/>
            </w:pPr>
          </w:p>
        </w:tc>
        <w:tc>
          <w:tcPr>
            <w:tcW w:w="989" w:type="dxa"/>
            <w:tcBorders>
              <w:top w:val="single" w:sz="4" w:space="0" w:color="000000"/>
              <w:left w:val="nil"/>
              <w:bottom w:val="single" w:sz="4" w:space="0" w:color="000000"/>
              <w:right w:val="nil"/>
            </w:tcBorders>
            <w:shd w:val="clear" w:color="auto" w:fill="DAEEF3" w:themeFill="accent5" w:themeFillTint="33"/>
            <w:vAlign w:val="center"/>
          </w:tcPr>
          <w:p w14:paraId="236E7144" w14:textId="77777777" w:rsidR="00B67E9C" w:rsidRDefault="00B67E9C">
            <w:pPr>
              <w:spacing w:before="60" w:after="60"/>
              <w:jc w:val="center"/>
            </w:pPr>
          </w:p>
        </w:tc>
        <w:tc>
          <w:tcPr>
            <w:tcW w:w="1001" w:type="dxa"/>
            <w:tcBorders>
              <w:top w:val="single" w:sz="4" w:space="0" w:color="000000"/>
              <w:left w:val="nil"/>
              <w:bottom w:val="single" w:sz="4" w:space="0" w:color="000000"/>
              <w:right w:val="nil"/>
            </w:tcBorders>
            <w:shd w:val="clear" w:color="auto" w:fill="DAEEF3" w:themeFill="accent5" w:themeFillTint="33"/>
            <w:vAlign w:val="center"/>
          </w:tcPr>
          <w:p w14:paraId="5EFC09E7" w14:textId="77777777" w:rsidR="00B67E9C" w:rsidRDefault="00B67E9C">
            <w:pPr>
              <w:spacing w:before="60" w:after="60"/>
              <w:jc w:val="center"/>
            </w:pPr>
          </w:p>
        </w:tc>
        <w:tc>
          <w:tcPr>
            <w:tcW w:w="948" w:type="dxa"/>
            <w:tcBorders>
              <w:top w:val="single" w:sz="4" w:space="0" w:color="000000"/>
              <w:left w:val="nil"/>
              <w:bottom w:val="single" w:sz="4" w:space="0" w:color="000000"/>
              <w:right w:val="nil"/>
            </w:tcBorders>
            <w:shd w:val="clear" w:color="auto" w:fill="DAEEF3" w:themeFill="accent5" w:themeFillTint="33"/>
            <w:vAlign w:val="center"/>
          </w:tcPr>
          <w:p w14:paraId="0614D8B6" w14:textId="77777777" w:rsidR="00B67E9C" w:rsidRDefault="00B67E9C">
            <w:pPr>
              <w:spacing w:before="60" w:after="60"/>
              <w:jc w:val="center"/>
            </w:pPr>
          </w:p>
        </w:tc>
        <w:tc>
          <w:tcPr>
            <w:tcW w:w="1272" w:type="dxa"/>
            <w:tcBorders>
              <w:top w:val="single" w:sz="4" w:space="0" w:color="000000"/>
              <w:left w:val="nil"/>
              <w:bottom w:val="single" w:sz="4" w:space="0" w:color="000000"/>
              <w:right w:val="nil"/>
            </w:tcBorders>
            <w:shd w:val="clear" w:color="auto" w:fill="DAEEF3" w:themeFill="accent5" w:themeFillTint="33"/>
            <w:vAlign w:val="center"/>
          </w:tcPr>
          <w:p w14:paraId="68CA5FE8" w14:textId="77777777" w:rsidR="00B67E9C" w:rsidRDefault="00B67E9C">
            <w:pPr>
              <w:spacing w:before="60" w:after="60"/>
              <w:jc w:val="center"/>
            </w:pPr>
          </w:p>
        </w:tc>
        <w:tc>
          <w:tcPr>
            <w:tcW w:w="1294" w:type="dxa"/>
            <w:tcBorders>
              <w:top w:val="single" w:sz="4" w:space="0" w:color="000000"/>
              <w:left w:val="nil"/>
              <w:bottom w:val="single" w:sz="4" w:space="0" w:color="000000"/>
              <w:right w:val="nil"/>
            </w:tcBorders>
            <w:shd w:val="clear" w:color="auto" w:fill="DAEEF3" w:themeFill="accent5" w:themeFillTint="33"/>
            <w:vAlign w:val="center"/>
          </w:tcPr>
          <w:p w14:paraId="36CE446A" w14:textId="77777777" w:rsidR="00B67E9C" w:rsidRDefault="00B67E9C">
            <w:pPr>
              <w:spacing w:before="60" w:after="60"/>
              <w:jc w:val="center"/>
            </w:pPr>
          </w:p>
        </w:tc>
        <w:tc>
          <w:tcPr>
            <w:tcW w:w="99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22235706" w14:textId="77777777" w:rsidR="00B67E9C" w:rsidRDefault="00B67E9C">
            <w:pPr>
              <w:spacing w:before="60" w:after="60"/>
              <w:jc w:val="center"/>
            </w:pPr>
          </w:p>
        </w:tc>
      </w:tr>
      <w:tr w:rsidR="00B67E9C" w14:paraId="12DD5645"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408A8B5" w14:textId="77777777" w:rsidR="00B67E9C" w:rsidRDefault="00B67E9C">
            <w:pPr>
              <w:spacing w:before="60" w:after="60"/>
              <w:jc w:val="left"/>
            </w:pPr>
            <w:r>
              <w:rPr>
                <w:color w:val="000000"/>
              </w:rPr>
              <w:t xml:space="preserve">&lt;350 </w:t>
            </w:r>
            <w:proofErr w:type="spellStart"/>
            <w:r>
              <w:rPr>
                <w:color w:val="000000"/>
              </w:rPr>
              <w:t>kWr</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B3D10CE" w14:textId="77777777" w:rsidR="00B67E9C" w:rsidRDefault="00B67E9C">
            <w:pPr>
              <w:spacing w:before="60" w:after="60"/>
              <w:jc w:val="center"/>
            </w:pPr>
            <w:r>
              <w:t>40.0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0BA7BA4" w14:textId="77777777" w:rsidR="00B67E9C" w:rsidRDefault="00B67E9C">
            <w:pPr>
              <w:spacing w:before="60" w:after="60"/>
              <w:jc w:val="center"/>
            </w:pPr>
            <w:r>
              <w:t>40.0</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5D25FD05" w14:textId="77777777" w:rsidR="00B67E9C" w:rsidRDefault="00B67E9C">
            <w:pPr>
              <w:spacing w:before="60" w:after="60"/>
              <w:jc w:val="center"/>
            </w:pPr>
            <w:r>
              <w:t>85%</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15689CBC" w14:textId="77777777" w:rsidR="00B67E9C" w:rsidRDefault="00B67E9C">
            <w:pPr>
              <w:spacing w:before="60" w:after="60"/>
              <w:jc w:val="center"/>
            </w:pPr>
            <w:r>
              <w:t>95%</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69518BB2" w14:textId="77777777" w:rsidR="00B67E9C" w:rsidRDefault="00B67E9C">
            <w:pPr>
              <w:spacing w:before="60" w:after="60"/>
              <w:jc w:val="center"/>
            </w:pPr>
            <w:r>
              <w:t>4.0%</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78691CBA" w14:textId="77777777" w:rsidR="00B67E9C" w:rsidRDefault="00B67E9C">
            <w:pPr>
              <w:spacing w:before="60" w:after="60"/>
              <w:jc w:val="center"/>
            </w:pPr>
            <w:r>
              <w:t>4.5%</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73800F71" w14:textId="77777777" w:rsidR="00B67E9C" w:rsidRDefault="00B67E9C">
            <w:pPr>
              <w:spacing w:before="60" w:after="60"/>
              <w:jc w:val="center"/>
            </w:pPr>
            <w:r>
              <w:t>20.0</w:t>
            </w:r>
          </w:p>
        </w:tc>
      </w:tr>
      <w:tr w:rsidR="00B67E9C" w14:paraId="59A8BA3D"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50433E0D" w14:textId="77777777" w:rsidR="00B67E9C" w:rsidRDefault="00B67E9C">
            <w:pPr>
              <w:spacing w:before="60" w:after="60"/>
              <w:jc w:val="left"/>
            </w:pPr>
            <w:r>
              <w:rPr>
                <w:color w:val="000000"/>
              </w:rPr>
              <w:t xml:space="preserve">&gt;350 &amp; &lt;500 </w:t>
            </w:r>
            <w:proofErr w:type="spellStart"/>
            <w:r>
              <w:rPr>
                <w:color w:val="000000"/>
              </w:rPr>
              <w:t>kWr</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EB06046" w14:textId="77777777" w:rsidR="00B67E9C" w:rsidRDefault="00B67E9C">
            <w:pPr>
              <w:spacing w:before="60" w:after="60"/>
              <w:jc w:val="center"/>
            </w:pPr>
            <w:r>
              <w:t>60.0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F6A3852" w14:textId="77777777" w:rsidR="00B67E9C" w:rsidRDefault="00B67E9C">
            <w:pPr>
              <w:spacing w:before="60" w:after="60"/>
              <w:jc w:val="center"/>
            </w:pPr>
            <w:r>
              <w:t>60.0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F61ED"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5CAD84"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6799ADD" w14:textId="77777777" w:rsidR="00B67E9C" w:rsidRDefault="00B67E9C">
            <w:pPr>
              <w:spacing w:before="60" w:after="60"/>
              <w:jc w:val="center"/>
            </w:pPr>
            <w: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36D824"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D0EBE56" w14:textId="77777777" w:rsidR="00B67E9C" w:rsidRDefault="00B67E9C">
            <w:pPr>
              <w:spacing w:before="60" w:after="60"/>
              <w:jc w:val="center"/>
            </w:pPr>
            <w:r>
              <w:t>25.0</w:t>
            </w:r>
          </w:p>
        </w:tc>
      </w:tr>
      <w:tr w:rsidR="00B67E9C" w14:paraId="117D53A6"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38FD9D90" w14:textId="77777777" w:rsidR="00B67E9C" w:rsidRDefault="00B67E9C">
            <w:pPr>
              <w:spacing w:before="60" w:after="60"/>
              <w:jc w:val="left"/>
            </w:pPr>
            <w:r>
              <w:rPr>
                <w:color w:val="000000"/>
              </w:rPr>
              <w:t xml:space="preserve">&gt;500 &amp; &lt;1000 </w:t>
            </w:r>
            <w:proofErr w:type="spellStart"/>
            <w:r>
              <w:rPr>
                <w:color w:val="000000"/>
              </w:rPr>
              <w:t>kWr</w:t>
            </w:r>
            <w:proofErr w:type="spellEnd"/>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4926A43" w14:textId="77777777" w:rsidR="00B67E9C" w:rsidRDefault="00B67E9C">
            <w:pPr>
              <w:spacing w:before="60" w:after="60"/>
              <w:jc w:val="center"/>
            </w:pPr>
            <w:r>
              <w:t>210.0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30037B16" w14:textId="77777777" w:rsidR="00B67E9C" w:rsidRDefault="00B67E9C">
            <w:pPr>
              <w:spacing w:before="60" w:after="60"/>
              <w:jc w:val="center"/>
            </w:pPr>
            <w:r>
              <w:t>210.0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95C074"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4E43A"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2B466DA" w14:textId="77777777" w:rsidR="00B67E9C" w:rsidRDefault="00B67E9C">
            <w:pPr>
              <w:spacing w:before="60" w:after="60"/>
              <w:jc w:val="center"/>
            </w:pPr>
            <w: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A949C"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583EF39" w14:textId="77777777" w:rsidR="00B67E9C" w:rsidRDefault="00B67E9C">
            <w:pPr>
              <w:spacing w:before="60" w:after="60"/>
              <w:jc w:val="center"/>
            </w:pPr>
            <w:r>
              <w:t>25.0</w:t>
            </w:r>
          </w:p>
        </w:tc>
      </w:tr>
      <w:tr w:rsidR="00B67E9C" w14:paraId="6010588F"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FFEB70A" w14:textId="77777777" w:rsidR="00B67E9C" w:rsidRDefault="00B67E9C">
            <w:pPr>
              <w:spacing w:before="60" w:after="60"/>
              <w:jc w:val="left"/>
            </w:pPr>
            <w:r>
              <w:rPr>
                <w:color w:val="000000"/>
              </w:rPr>
              <w:lastRenderedPageBreak/>
              <w:t xml:space="preserve">&gt;1000 </w:t>
            </w:r>
            <w:proofErr w:type="spellStart"/>
            <w:r>
              <w:rPr>
                <w:color w:val="000000"/>
              </w:rPr>
              <w:t>kWr</w:t>
            </w:r>
            <w:proofErr w:type="spellEnd"/>
            <w:r>
              <w:rPr>
                <w:color w:val="000000"/>
              </w:rPr>
              <w:t xml:space="preserve"> </w:t>
            </w:r>
            <w:r>
              <w:rPr>
                <w:color w:val="000000"/>
                <w:vertAlign w:val="superscript"/>
              </w:rPr>
              <w:t>(2)</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9C0A2CC" w14:textId="77777777" w:rsidR="00B67E9C" w:rsidRDefault="00B67E9C">
            <w:pPr>
              <w:spacing w:before="60" w:after="60"/>
              <w:jc w:val="center"/>
            </w:pPr>
            <w:r>
              <w:t>670.0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2E322D60" w14:textId="77777777" w:rsidR="00B67E9C" w:rsidRDefault="00B67E9C">
            <w:pPr>
              <w:spacing w:before="60" w:after="60"/>
              <w:jc w:val="center"/>
            </w:pPr>
            <w:r>
              <w:t>670.0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3775E"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073387"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5550AED6" w14:textId="77777777" w:rsidR="00B67E9C" w:rsidRDefault="00B67E9C">
            <w:pPr>
              <w:spacing w:before="60" w:after="60"/>
              <w:jc w:val="center"/>
            </w:pPr>
            <w: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503E0F"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tcPr>
          <w:p w14:paraId="086971A9" w14:textId="77777777" w:rsidR="00B67E9C" w:rsidRDefault="00B67E9C">
            <w:pPr>
              <w:spacing w:before="60" w:after="60"/>
              <w:jc w:val="center"/>
            </w:pPr>
            <w:r>
              <w:t>25.0</w:t>
            </w:r>
          </w:p>
          <w:p w14:paraId="503A1A50" w14:textId="77777777" w:rsidR="00B67E9C" w:rsidRDefault="00B67E9C">
            <w:pPr>
              <w:spacing w:before="60" w:after="60"/>
              <w:jc w:val="center"/>
            </w:pPr>
          </w:p>
        </w:tc>
      </w:tr>
      <w:tr w:rsidR="00B67E9C" w14:paraId="3C238524" w14:textId="77777777" w:rsidTr="00B67E9C">
        <w:tc>
          <w:tcPr>
            <w:tcW w:w="2001" w:type="dxa"/>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14:paraId="6E225C8F" w14:textId="77777777" w:rsidR="00B67E9C" w:rsidRDefault="00B67E9C">
            <w:pPr>
              <w:spacing w:before="60" w:after="60"/>
              <w:jc w:val="left"/>
            </w:pPr>
            <w:r>
              <w:t>Small MAC</w:t>
            </w:r>
          </w:p>
        </w:tc>
        <w:tc>
          <w:tcPr>
            <w:tcW w:w="990" w:type="dxa"/>
            <w:tcBorders>
              <w:top w:val="single" w:sz="4" w:space="0" w:color="000000"/>
              <w:left w:val="nil"/>
              <w:bottom w:val="single" w:sz="4" w:space="0" w:color="000000"/>
              <w:right w:val="nil"/>
            </w:tcBorders>
            <w:shd w:val="clear" w:color="auto" w:fill="DAEEF3" w:themeFill="accent5" w:themeFillTint="33"/>
            <w:vAlign w:val="center"/>
          </w:tcPr>
          <w:p w14:paraId="3745C865" w14:textId="77777777" w:rsidR="00B67E9C" w:rsidRDefault="00B67E9C">
            <w:pPr>
              <w:spacing w:before="60" w:after="60"/>
              <w:jc w:val="center"/>
            </w:pPr>
          </w:p>
        </w:tc>
        <w:tc>
          <w:tcPr>
            <w:tcW w:w="989" w:type="dxa"/>
            <w:tcBorders>
              <w:top w:val="single" w:sz="4" w:space="0" w:color="000000"/>
              <w:left w:val="nil"/>
              <w:bottom w:val="single" w:sz="4" w:space="0" w:color="000000"/>
              <w:right w:val="nil"/>
            </w:tcBorders>
            <w:shd w:val="clear" w:color="auto" w:fill="DAEEF3" w:themeFill="accent5" w:themeFillTint="33"/>
            <w:vAlign w:val="center"/>
          </w:tcPr>
          <w:p w14:paraId="0B259AA5" w14:textId="77777777" w:rsidR="00B67E9C" w:rsidRDefault="00B67E9C">
            <w:pPr>
              <w:spacing w:before="60" w:after="60"/>
              <w:jc w:val="center"/>
            </w:pPr>
          </w:p>
        </w:tc>
        <w:tc>
          <w:tcPr>
            <w:tcW w:w="1001" w:type="dxa"/>
            <w:tcBorders>
              <w:top w:val="single" w:sz="4" w:space="0" w:color="000000"/>
              <w:left w:val="nil"/>
              <w:bottom w:val="single" w:sz="4" w:space="0" w:color="000000"/>
              <w:right w:val="nil"/>
            </w:tcBorders>
            <w:shd w:val="clear" w:color="auto" w:fill="DAEEF3" w:themeFill="accent5" w:themeFillTint="33"/>
            <w:vAlign w:val="center"/>
          </w:tcPr>
          <w:p w14:paraId="3CAA5826" w14:textId="77777777" w:rsidR="00B67E9C" w:rsidRDefault="00B67E9C">
            <w:pPr>
              <w:spacing w:before="60" w:after="60"/>
              <w:jc w:val="center"/>
            </w:pPr>
          </w:p>
        </w:tc>
        <w:tc>
          <w:tcPr>
            <w:tcW w:w="948" w:type="dxa"/>
            <w:tcBorders>
              <w:top w:val="single" w:sz="4" w:space="0" w:color="000000"/>
              <w:left w:val="nil"/>
              <w:bottom w:val="single" w:sz="4" w:space="0" w:color="000000"/>
              <w:right w:val="nil"/>
            </w:tcBorders>
            <w:shd w:val="clear" w:color="auto" w:fill="DAEEF3" w:themeFill="accent5" w:themeFillTint="33"/>
            <w:vAlign w:val="center"/>
          </w:tcPr>
          <w:p w14:paraId="6E048A16" w14:textId="77777777" w:rsidR="00B67E9C" w:rsidRDefault="00B67E9C">
            <w:pPr>
              <w:spacing w:before="60" w:after="60"/>
              <w:jc w:val="center"/>
            </w:pPr>
          </w:p>
        </w:tc>
        <w:tc>
          <w:tcPr>
            <w:tcW w:w="1272" w:type="dxa"/>
            <w:tcBorders>
              <w:top w:val="single" w:sz="4" w:space="0" w:color="000000"/>
              <w:left w:val="nil"/>
              <w:bottom w:val="single" w:sz="4" w:space="0" w:color="000000"/>
              <w:right w:val="nil"/>
            </w:tcBorders>
            <w:shd w:val="clear" w:color="auto" w:fill="DAEEF3" w:themeFill="accent5" w:themeFillTint="33"/>
            <w:vAlign w:val="center"/>
          </w:tcPr>
          <w:p w14:paraId="3F32577E" w14:textId="77777777" w:rsidR="00B67E9C" w:rsidRDefault="00B67E9C">
            <w:pPr>
              <w:spacing w:before="60" w:after="60"/>
              <w:jc w:val="center"/>
            </w:pPr>
          </w:p>
        </w:tc>
        <w:tc>
          <w:tcPr>
            <w:tcW w:w="1294" w:type="dxa"/>
            <w:tcBorders>
              <w:top w:val="single" w:sz="4" w:space="0" w:color="000000"/>
              <w:left w:val="nil"/>
              <w:bottom w:val="single" w:sz="4" w:space="0" w:color="000000"/>
              <w:right w:val="nil"/>
            </w:tcBorders>
            <w:shd w:val="clear" w:color="auto" w:fill="DAEEF3" w:themeFill="accent5" w:themeFillTint="33"/>
            <w:vAlign w:val="center"/>
          </w:tcPr>
          <w:p w14:paraId="09534D06" w14:textId="77777777" w:rsidR="00B67E9C" w:rsidRDefault="00B67E9C">
            <w:pPr>
              <w:spacing w:before="60" w:after="60"/>
              <w:jc w:val="center"/>
            </w:pPr>
          </w:p>
        </w:tc>
        <w:tc>
          <w:tcPr>
            <w:tcW w:w="99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5BBEA742" w14:textId="77777777" w:rsidR="00B67E9C" w:rsidRDefault="00B67E9C">
            <w:pPr>
              <w:spacing w:before="60" w:after="60"/>
              <w:jc w:val="center"/>
            </w:pPr>
          </w:p>
        </w:tc>
      </w:tr>
      <w:tr w:rsidR="00B67E9C" w14:paraId="2AEB8682" w14:textId="77777777" w:rsidTr="00B67E9C">
        <w:tc>
          <w:tcPr>
            <w:tcW w:w="2001" w:type="dxa"/>
            <w:tcBorders>
              <w:top w:val="single" w:sz="4" w:space="0" w:color="000000"/>
              <w:left w:val="single" w:sz="4" w:space="0" w:color="000000"/>
              <w:bottom w:val="single" w:sz="4" w:space="0" w:color="000000"/>
              <w:right w:val="single" w:sz="4" w:space="0" w:color="000000"/>
            </w:tcBorders>
            <w:vAlign w:val="center"/>
            <w:hideMark/>
          </w:tcPr>
          <w:p w14:paraId="39B77AB7" w14:textId="77777777" w:rsidR="00B67E9C" w:rsidRDefault="00B67E9C">
            <w:pPr>
              <w:spacing w:before="60" w:after="60"/>
              <w:jc w:val="left"/>
            </w:pPr>
            <w:r>
              <w:t>Passenger and LC Vehicle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EEB80A4" w14:textId="77777777" w:rsidR="00B67E9C" w:rsidRDefault="00B67E9C">
            <w:pPr>
              <w:spacing w:before="60" w:after="60"/>
              <w:jc w:val="center"/>
            </w:pPr>
            <w:r>
              <w:t>0.629</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3BB2FC54" w14:textId="77777777" w:rsidR="00B67E9C" w:rsidRDefault="00B67E9C">
            <w:pPr>
              <w:spacing w:before="60" w:after="60"/>
              <w:jc w:val="center"/>
            </w:pPr>
            <w:r>
              <w:t>0.622</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5C86F9CE" w14:textId="77777777" w:rsidR="00B67E9C" w:rsidRDefault="00B67E9C">
            <w:pPr>
              <w:spacing w:before="60" w:after="60"/>
              <w:jc w:val="center"/>
            </w:pPr>
            <w:r>
              <w:t>67%</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412A4521"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0DAACF0B" w14:textId="77777777" w:rsidR="00B67E9C" w:rsidRDefault="00B67E9C">
            <w:pPr>
              <w:spacing w:before="60" w:after="60"/>
              <w:jc w:val="center"/>
              <w:rPr>
                <w:highlight w:val="yellow"/>
              </w:rPr>
            </w:pPr>
            <w:r>
              <w:t>5.3%</w:t>
            </w:r>
          </w:p>
        </w:tc>
        <w:tc>
          <w:tcPr>
            <w:tcW w:w="1294" w:type="dxa"/>
            <w:tcBorders>
              <w:top w:val="single" w:sz="4" w:space="0" w:color="000000"/>
              <w:left w:val="single" w:sz="4" w:space="0" w:color="000000"/>
              <w:bottom w:val="single" w:sz="4" w:space="0" w:color="000000"/>
              <w:right w:val="single" w:sz="4" w:space="0" w:color="000000"/>
            </w:tcBorders>
            <w:vAlign w:val="center"/>
            <w:hideMark/>
          </w:tcPr>
          <w:p w14:paraId="6CD59A7B" w14:textId="77777777" w:rsidR="00B67E9C" w:rsidRDefault="00B67E9C">
            <w:pPr>
              <w:spacing w:before="60" w:after="60"/>
              <w:jc w:val="center"/>
              <w:rPr>
                <w:highlight w:val="yellow"/>
              </w:rPr>
            </w:pPr>
            <w:r>
              <w:t>7.1%</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59945772" w14:textId="77777777" w:rsidR="00B67E9C" w:rsidRDefault="00B67E9C">
            <w:pPr>
              <w:spacing w:before="60" w:after="60"/>
              <w:jc w:val="center"/>
            </w:pPr>
            <w:r>
              <w:t>18.6</w:t>
            </w:r>
          </w:p>
        </w:tc>
      </w:tr>
      <w:tr w:rsidR="00B67E9C" w14:paraId="16D47EB9" w14:textId="77777777" w:rsidTr="00B67E9C">
        <w:tc>
          <w:tcPr>
            <w:tcW w:w="2001" w:type="dxa"/>
            <w:tcBorders>
              <w:top w:val="single" w:sz="4" w:space="0" w:color="000000"/>
              <w:left w:val="single" w:sz="4" w:space="0" w:color="000000"/>
              <w:bottom w:val="single" w:sz="4" w:space="0" w:color="000000"/>
              <w:right w:val="nil"/>
            </w:tcBorders>
            <w:shd w:val="clear" w:color="auto" w:fill="DAEEF3" w:themeFill="accent5" w:themeFillTint="33"/>
            <w:vAlign w:val="center"/>
            <w:hideMark/>
          </w:tcPr>
          <w:p w14:paraId="2893F7C1" w14:textId="77777777" w:rsidR="00B67E9C" w:rsidRDefault="00B67E9C">
            <w:pPr>
              <w:spacing w:before="60" w:after="60"/>
              <w:jc w:val="left"/>
            </w:pPr>
            <w:r>
              <w:t>Large MAC</w:t>
            </w:r>
          </w:p>
        </w:tc>
        <w:tc>
          <w:tcPr>
            <w:tcW w:w="990" w:type="dxa"/>
            <w:tcBorders>
              <w:top w:val="single" w:sz="4" w:space="0" w:color="000000"/>
              <w:left w:val="nil"/>
              <w:bottom w:val="single" w:sz="4" w:space="0" w:color="000000"/>
              <w:right w:val="nil"/>
            </w:tcBorders>
            <w:shd w:val="clear" w:color="auto" w:fill="DAEEF3" w:themeFill="accent5" w:themeFillTint="33"/>
            <w:vAlign w:val="center"/>
          </w:tcPr>
          <w:p w14:paraId="4F946860" w14:textId="77777777" w:rsidR="00B67E9C" w:rsidRDefault="00B67E9C">
            <w:pPr>
              <w:spacing w:before="60" w:after="60"/>
              <w:jc w:val="center"/>
            </w:pPr>
          </w:p>
        </w:tc>
        <w:tc>
          <w:tcPr>
            <w:tcW w:w="989" w:type="dxa"/>
            <w:tcBorders>
              <w:top w:val="single" w:sz="4" w:space="0" w:color="000000"/>
              <w:left w:val="nil"/>
              <w:bottom w:val="single" w:sz="4" w:space="0" w:color="000000"/>
              <w:right w:val="nil"/>
            </w:tcBorders>
            <w:shd w:val="clear" w:color="auto" w:fill="DAEEF3" w:themeFill="accent5" w:themeFillTint="33"/>
            <w:vAlign w:val="center"/>
          </w:tcPr>
          <w:p w14:paraId="0B750CBC" w14:textId="77777777" w:rsidR="00B67E9C" w:rsidRDefault="00B67E9C">
            <w:pPr>
              <w:spacing w:before="60" w:after="60"/>
              <w:jc w:val="center"/>
            </w:pPr>
          </w:p>
        </w:tc>
        <w:tc>
          <w:tcPr>
            <w:tcW w:w="1001" w:type="dxa"/>
            <w:tcBorders>
              <w:top w:val="single" w:sz="4" w:space="0" w:color="000000"/>
              <w:left w:val="nil"/>
              <w:bottom w:val="single" w:sz="4" w:space="0" w:color="000000"/>
              <w:right w:val="nil"/>
            </w:tcBorders>
            <w:shd w:val="clear" w:color="auto" w:fill="DAEEF3" w:themeFill="accent5" w:themeFillTint="33"/>
            <w:vAlign w:val="center"/>
          </w:tcPr>
          <w:p w14:paraId="24764451" w14:textId="77777777" w:rsidR="00B67E9C" w:rsidRDefault="00B67E9C">
            <w:pPr>
              <w:spacing w:before="60" w:after="60"/>
              <w:jc w:val="center"/>
            </w:pPr>
          </w:p>
        </w:tc>
        <w:tc>
          <w:tcPr>
            <w:tcW w:w="948" w:type="dxa"/>
            <w:tcBorders>
              <w:top w:val="single" w:sz="4" w:space="0" w:color="000000"/>
              <w:left w:val="nil"/>
              <w:bottom w:val="single" w:sz="4" w:space="0" w:color="000000"/>
              <w:right w:val="nil"/>
            </w:tcBorders>
            <w:shd w:val="clear" w:color="auto" w:fill="DAEEF3" w:themeFill="accent5" w:themeFillTint="33"/>
            <w:vAlign w:val="center"/>
          </w:tcPr>
          <w:p w14:paraId="68279DDB" w14:textId="77777777" w:rsidR="00B67E9C" w:rsidRDefault="00B67E9C">
            <w:pPr>
              <w:spacing w:before="60" w:after="60"/>
              <w:jc w:val="center"/>
            </w:pPr>
          </w:p>
        </w:tc>
        <w:tc>
          <w:tcPr>
            <w:tcW w:w="1272" w:type="dxa"/>
            <w:tcBorders>
              <w:top w:val="single" w:sz="4" w:space="0" w:color="000000"/>
              <w:left w:val="nil"/>
              <w:bottom w:val="single" w:sz="4" w:space="0" w:color="000000"/>
              <w:right w:val="nil"/>
            </w:tcBorders>
            <w:shd w:val="clear" w:color="auto" w:fill="DAEEF3" w:themeFill="accent5" w:themeFillTint="33"/>
            <w:vAlign w:val="center"/>
          </w:tcPr>
          <w:p w14:paraId="52DFD0DF" w14:textId="77777777" w:rsidR="00B67E9C" w:rsidRDefault="00B67E9C">
            <w:pPr>
              <w:spacing w:before="60" w:after="60"/>
              <w:jc w:val="center"/>
            </w:pPr>
          </w:p>
        </w:tc>
        <w:tc>
          <w:tcPr>
            <w:tcW w:w="1294" w:type="dxa"/>
            <w:tcBorders>
              <w:top w:val="single" w:sz="4" w:space="0" w:color="000000"/>
              <w:left w:val="nil"/>
              <w:bottom w:val="single" w:sz="4" w:space="0" w:color="000000"/>
              <w:right w:val="nil"/>
            </w:tcBorders>
            <w:shd w:val="clear" w:color="auto" w:fill="DAEEF3" w:themeFill="accent5" w:themeFillTint="33"/>
            <w:vAlign w:val="center"/>
          </w:tcPr>
          <w:p w14:paraId="6F5CCD95" w14:textId="77777777" w:rsidR="00B67E9C" w:rsidRDefault="00B67E9C">
            <w:pPr>
              <w:spacing w:before="60" w:after="60"/>
              <w:jc w:val="center"/>
            </w:pPr>
          </w:p>
        </w:tc>
        <w:tc>
          <w:tcPr>
            <w:tcW w:w="99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5647AD69" w14:textId="77777777" w:rsidR="00B67E9C" w:rsidRDefault="00B67E9C">
            <w:pPr>
              <w:spacing w:before="60" w:after="60"/>
              <w:jc w:val="center"/>
            </w:pPr>
          </w:p>
        </w:tc>
      </w:tr>
      <w:tr w:rsidR="00B67E9C" w14:paraId="78F78195"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710E300F" w14:textId="77777777" w:rsidR="00B67E9C" w:rsidRDefault="00B67E9C">
            <w:pPr>
              <w:spacing w:before="60" w:after="60"/>
              <w:jc w:val="left"/>
            </w:pPr>
            <w:r>
              <w:rPr>
                <w:color w:val="000000"/>
              </w:rPr>
              <w:t>Registered buses (&gt;12 GMT)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85699C6" w14:textId="77777777" w:rsidR="00B67E9C" w:rsidRDefault="00B67E9C">
            <w:pPr>
              <w:spacing w:before="60" w:after="60"/>
              <w:jc w:val="center"/>
            </w:pPr>
            <w:r>
              <w:t>9.0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3D56112E" w14:textId="77777777" w:rsidR="00B67E9C" w:rsidRDefault="00B67E9C">
            <w:pPr>
              <w:spacing w:before="60" w:after="60"/>
              <w:jc w:val="center"/>
            </w:pPr>
            <w:r>
              <w:t>5.5</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29DDD9CB" w14:textId="77777777" w:rsidR="00B67E9C" w:rsidRDefault="00B67E9C">
            <w:pPr>
              <w:spacing w:before="60" w:after="60"/>
              <w:jc w:val="center"/>
            </w:pPr>
            <w:r>
              <w:t xml:space="preserve">80% </w:t>
            </w:r>
            <w:r>
              <w:rPr>
                <w:vertAlign w:val="superscript"/>
              </w:rPr>
              <w:t>(3)</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3EF9108C"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3FC8F7E" w14:textId="77777777" w:rsidR="00B67E9C" w:rsidRDefault="00B67E9C">
            <w:pPr>
              <w:spacing w:before="60" w:after="60"/>
              <w:jc w:val="center"/>
            </w:pPr>
            <w:r>
              <w:t>8.6%</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3B19BD4D" w14:textId="77777777" w:rsidR="00B67E9C" w:rsidRDefault="00B67E9C">
            <w:pPr>
              <w:spacing w:before="60" w:after="60"/>
              <w:jc w:val="center"/>
            </w:pPr>
            <w:r>
              <w:t xml:space="preserve">7.3% </w:t>
            </w:r>
            <w:r>
              <w:rPr>
                <w:vertAlign w:val="superscript"/>
              </w:rPr>
              <w:t>(7)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57FF56F" w14:textId="77777777" w:rsidR="00B67E9C" w:rsidRDefault="00B67E9C">
            <w:pPr>
              <w:spacing w:before="60" w:after="60"/>
              <w:jc w:val="center"/>
            </w:pPr>
            <w:r>
              <w:t>20.0</w:t>
            </w:r>
          </w:p>
        </w:tc>
      </w:tr>
      <w:tr w:rsidR="00B67E9C" w14:paraId="60F0E678"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A331E4D" w14:textId="77777777" w:rsidR="00B67E9C" w:rsidRDefault="00B67E9C">
            <w:pPr>
              <w:spacing w:before="60" w:after="60"/>
              <w:jc w:val="left"/>
            </w:pPr>
            <w:r>
              <w:rPr>
                <w:color w:val="000000"/>
              </w:rPr>
              <w:t>Registered buses (&gt;4.5 &amp; &lt;12 GMT)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61E3C7A" w14:textId="77777777" w:rsidR="00B67E9C" w:rsidRDefault="00B67E9C">
            <w:pPr>
              <w:spacing w:before="60" w:after="60"/>
              <w:jc w:val="center"/>
            </w:pPr>
            <w:r>
              <w:t>4.0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102D940" w14:textId="77777777" w:rsidR="00B67E9C" w:rsidRDefault="00B67E9C">
            <w:pPr>
              <w:spacing w:before="60" w:after="60"/>
              <w:jc w:val="center"/>
            </w:pPr>
            <w: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5570A7"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F68A6"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4EE61B2" w14:textId="77777777" w:rsidR="00B67E9C" w:rsidRDefault="00B67E9C">
            <w:pPr>
              <w:spacing w:before="60" w:after="60"/>
              <w:jc w:val="center"/>
            </w:pPr>
            <w:r>
              <w:t>8.6%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6EF1C"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8AFF259" w14:textId="77777777" w:rsidR="00B67E9C" w:rsidRDefault="00B67E9C">
            <w:pPr>
              <w:spacing w:before="60" w:after="60"/>
              <w:jc w:val="center"/>
            </w:pPr>
            <w:r>
              <w:t>20.0</w:t>
            </w:r>
          </w:p>
        </w:tc>
      </w:tr>
      <w:tr w:rsidR="00B67E9C" w14:paraId="002265E4"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14C674E5" w14:textId="77777777" w:rsidR="00B67E9C" w:rsidRDefault="00B67E9C">
            <w:pPr>
              <w:spacing w:before="60" w:after="60"/>
              <w:jc w:val="left"/>
            </w:pPr>
            <w:r>
              <w:rPr>
                <w:color w:val="000000"/>
              </w:rPr>
              <w:t>Un-registered: passenger rail</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C7F2CDE" w14:textId="77777777" w:rsidR="00B67E9C" w:rsidRDefault="00B67E9C">
            <w:pPr>
              <w:spacing w:before="60" w:after="60"/>
              <w:jc w:val="center"/>
            </w:pPr>
            <w:r>
              <w:t>15.0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5E8F28D"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ADE403"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112A4B"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3906BF7" w14:textId="77777777" w:rsidR="00B67E9C" w:rsidRDefault="00B67E9C">
            <w:pPr>
              <w:spacing w:before="60" w:after="60"/>
              <w:jc w:val="center"/>
            </w:pPr>
            <w:r>
              <w:t>8.6%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8AD227"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6ACD98B" w14:textId="77777777" w:rsidR="00B67E9C" w:rsidRDefault="00B67E9C">
            <w:pPr>
              <w:spacing w:before="60" w:after="60"/>
              <w:jc w:val="center"/>
            </w:pPr>
            <w:r>
              <w:t>30.0</w:t>
            </w:r>
          </w:p>
        </w:tc>
      </w:tr>
      <w:tr w:rsidR="00B67E9C" w14:paraId="4D549CE6"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2AB9EBD" w14:textId="77777777" w:rsidR="00B67E9C" w:rsidRDefault="00B67E9C">
            <w:pPr>
              <w:spacing w:before="60" w:after="60"/>
              <w:jc w:val="left"/>
            </w:pPr>
            <w:r>
              <w:rPr>
                <w:color w:val="000000"/>
              </w:rPr>
              <w:t>Un-registered: Locomotive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CF59A5E" w14:textId="77777777" w:rsidR="00B67E9C" w:rsidRDefault="00B67E9C">
            <w:pPr>
              <w:spacing w:before="60" w:after="60"/>
              <w:jc w:val="center"/>
            </w:pPr>
            <w:r>
              <w:t>4.0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52FEAFC" w14:textId="77777777" w:rsidR="00B67E9C" w:rsidRDefault="00B67E9C">
            <w:pPr>
              <w:spacing w:before="60" w:after="60"/>
              <w:jc w:val="center"/>
            </w:pPr>
            <w: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66911"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096867"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03F6E5E1" w14:textId="77777777" w:rsidR="00B67E9C" w:rsidRDefault="00B67E9C">
            <w:pPr>
              <w:spacing w:before="60" w:after="60"/>
              <w:jc w:val="center"/>
            </w:pPr>
            <w:r>
              <w:t>8.6%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DD8D88"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B8B62A9" w14:textId="77777777" w:rsidR="00B67E9C" w:rsidRDefault="00B67E9C">
            <w:pPr>
              <w:spacing w:before="60" w:after="60"/>
              <w:jc w:val="center"/>
            </w:pPr>
            <w:r>
              <w:t>30.0</w:t>
            </w:r>
          </w:p>
        </w:tc>
      </w:tr>
      <w:tr w:rsidR="00B67E9C" w14:paraId="7B48F483"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214038A" w14:textId="77777777" w:rsidR="00B67E9C" w:rsidRDefault="00B67E9C">
            <w:pPr>
              <w:spacing w:before="60" w:after="60"/>
              <w:jc w:val="left"/>
              <w:rPr>
                <w:color w:val="000000"/>
              </w:rPr>
            </w:pPr>
            <w:r>
              <w:rPr>
                <w:color w:val="000000"/>
              </w:rPr>
              <w:t>RV and caravan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4D892C3" w14:textId="77777777" w:rsidR="00B67E9C" w:rsidRDefault="00B67E9C">
            <w:pPr>
              <w:spacing w:before="60" w:after="60"/>
              <w:jc w:val="center"/>
            </w:pPr>
            <w:r>
              <w:t>0.75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382FD35" w14:textId="77777777" w:rsidR="00B67E9C" w:rsidRDefault="00B67E9C">
            <w:pPr>
              <w:spacing w:before="60" w:after="60"/>
              <w:jc w:val="center"/>
            </w:pPr>
            <w:r>
              <w:t>0.75</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6338C733" w14:textId="77777777" w:rsidR="00B67E9C" w:rsidRDefault="00B67E9C">
            <w:pPr>
              <w:spacing w:before="60" w:after="60"/>
              <w:jc w:val="center"/>
            </w:pPr>
            <w:r>
              <w:t>85%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3ECD6A"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85B25D6" w14:textId="77777777" w:rsidR="00B67E9C" w:rsidRDefault="00B67E9C">
            <w:pPr>
              <w:spacing w:before="60" w:after="60"/>
              <w:jc w:val="center"/>
            </w:pPr>
            <w: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C763C6"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5B4B8562" w14:textId="77777777" w:rsidR="00B67E9C" w:rsidRDefault="00B67E9C">
            <w:pPr>
              <w:spacing w:before="60" w:after="60"/>
              <w:jc w:val="center"/>
            </w:pPr>
            <w:r>
              <w:t>15.0</w:t>
            </w:r>
          </w:p>
        </w:tc>
      </w:tr>
      <w:tr w:rsidR="00B67E9C" w14:paraId="4ACAAB6C"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38D945B8" w14:textId="77777777" w:rsidR="00B67E9C" w:rsidRDefault="00B67E9C">
            <w:pPr>
              <w:spacing w:before="60" w:after="60"/>
              <w:jc w:val="left"/>
              <w:rPr>
                <w:color w:val="000000"/>
              </w:rPr>
            </w:pPr>
            <w:r>
              <w:rPr>
                <w:color w:val="000000"/>
              </w:rPr>
              <w:t>Un-registered: off-road, defence and other (boat, etc.)</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2546EB4" w14:textId="77777777" w:rsidR="00B67E9C" w:rsidRDefault="00B67E9C">
            <w:pPr>
              <w:spacing w:before="60" w:after="60"/>
              <w:jc w:val="center"/>
            </w:pPr>
            <w:r>
              <w:t>2.75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C278E1C" w14:textId="77777777" w:rsidR="00B67E9C" w:rsidRDefault="00B67E9C">
            <w:pPr>
              <w:spacing w:before="60" w:after="60"/>
              <w:jc w:val="center"/>
            </w:pPr>
            <w:r>
              <w:t>2.75</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1483B426" w14:textId="77777777" w:rsidR="00B67E9C" w:rsidRDefault="00B67E9C">
            <w:pPr>
              <w:spacing w:before="60" w:after="60"/>
              <w:jc w:val="center"/>
            </w:pPr>
            <w:r>
              <w:t>80%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2D678"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510A8A11" w14:textId="77777777" w:rsidR="00B67E9C" w:rsidRDefault="00B67E9C">
            <w:pPr>
              <w:spacing w:before="60" w:after="60"/>
              <w:jc w:val="center"/>
            </w:pPr>
            <w:r>
              <w:t>8.6%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5F8B2A"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86A8DB2" w14:textId="77777777" w:rsidR="00B67E9C" w:rsidRDefault="00B67E9C">
            <w:pPr>
              <w:spacing w:before="60" w:after="60"/>
              <w:jc w:val="center"/>
            </w:pPr>
            <w:r>
              <w:t>15.0</w:t>
            </w:r>
          </w:p>
        </w:tc>
      </w:tr>
      <w:tr w:rsidR="00B67E9C" w14:paraId="1F035F42"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5C1F2C31" w14:textId="77777777" w:rsidR="00B67E9C" w:rsidRDefault="00B67E9C">
            <w:pPr>
              <w:spacing w:before="60" w:after="60"/>
              <w:jc w:val="left"/>
            </w:pPr>
            <w:r>
              <w:rPr>
                <w:color w:val="000000"/>
              </w:rPr>
              <w:t>Registered marine and pleasure craft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2EF4B76" w14:textId="77777777" w:rsidR="00B67E9C" w:rsidRDefault="00B67E9C">
            <w:pPr>
              <w:spacing w:before="60" w:after="60"/>
              <w:jc w:val="center"/>
            </w:pPr>
            <w:r>
              <w:t>2.25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212ECAC8" w14:textId="77777777" w:rsidR="00B67E9C" w:rsidRDefault="00B67E9C">
            <w:pPr>
              <w:spacing w:before="60" w:after="60"/>
              <w:jc w:val="center"/>
            </w:pPr>
            <w:r>
              <w:t>2.25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61720"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1F082"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25846273" w14:textId="77777777" w:rsidR="00B67E9C" w:rsidRDefault="00B67E9C">
            <w:pPr>
              <w:spacing w:before="60" w:after="60"/>
              <w:jc w:val="center"/>
            </w:pPr>
            <w:r>
              <w:t>8.6%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C1AA98"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ABA7ABC" w14:textId="77777777" w:rsidR="00B67E9C" w:rsidRDefault="00B67E9C">
            <w:pPr>
              <w:spacing w:before="60" w:after="60"/>
              <w:jc w:val="center"/>
            </w:pPr>
            <w:r>
              <w:t>15.0</w:t>
            </w:r>
          </w:p>
        </w:tc>
      </w:tr>
      <w:tr w:rsidR="00B67E9C" w14:paraId="4C670714" w14:textId="77777777" w:rsidTr="00B67E9C">
        <w:tc>
          <w:tcPr>
            <w:tcW w:w="2001" w:type="dxa"/>
            <w:tcBorders>
              <w:top w:val="single" w:sz="4" w:space="0" w:color="000000"/>
              <w:left w:val="single" w:sz="4" w:space="0" w:color="000000"/>
              <w:bottom w:val="single" w:sz="4" w:space="0" w:color="000000"/>
              <w:right w:val="nil"/>
            </w:tcBorders>
            <w:shd w:val="clear" w:color="auto" w:fill="DAEEF3" w:themeFill="accent5" w:themeFillTint="33"/>
            <w:vAlign w:val="center"/>
          </w:tcPr>
          <w:p w14:paraId="5F6A1C19" w14:textId="77777777" w:rsidR="00B67E9C" w:rsidRDefault="00B67E9C">
            <w:pPr>
              <w:spacing w:before="60" w:after="60"/>
              <w:jc w:val="left"/>
            </w:pPr>
          </w:p>
        </w:tc>
        <w:tc>
          <w:tcPr>
            <w:tcW w:w="990" w:type="dxa"/>
            <w:tcBorders>
              <w:top w:val="single" w:sz="4" w:space="0" w:color="000000"/>
              <w:left w:val="nil"/>
              <w:bottom w:val="single" w:sz="4" w:space="0" w:color="000000"/>
              <w:right w:val="nil"/>
            </w:tcBorders>
            <w:shd w:val="clear" w:color="auto" w:fill="DAEEF3" w:themeFill="accent5" w:themeFillTint="33"/>
            <w:vAlign w:val="center"/>
          </w:tcPr>
          <w:p w14:paraId="04C4E2F9" w14:textId="77777777" w:rsidR="00B67E9C" w:rsidRDefault="00B67E9C">
            <w:pPr>
              <w:spacing w:before="60" w:after="60"/>
              <w:jc w:val="center"/>
            </w:pPr>
          </w:p>
        </w:tc>
        <w:tc>
          <w:tcPr>
            <w:tcW w:w="989" w:type="dxa"/>
            <w:tcBorders>
              <w:top w:val="single" w:sz="4" w:space="0" w:color="000000"/>
              <w:left w:val="nil"/>
              <w:bottom w:val="single" w:sz="4" w:space="0" w:color="000000"/>
              <w:right w:val="nil"/>
            </w:tcBorders>
            <w:shd w:val="clear" w:color="auto" w:fill="DAEEF3" w:themeFill="accent5" w:themeFillTint="33"/>
            <w:vAlign w:val="center"/>
          </w:tcPr>
          <w:p w14:paraId="10440F8D" w14:textId="77777777" w:rsidR="00B67E9C" w:rsidRDefault="00B67E9C">
            <w:pPr>
              <w:spacing w:before="60" w:after="60"/>
              <w:jc w:val="center"/>
            </w:pPr>
          </w:p>
        </w:tc>
        <w:tc>
          <w:tcPr>
            <w:tcW w:w="1001" w:type="dxa"/>
            <w:tcBorders>
              <w:top w:val="single" w:sz="4" w:space="0" w:color="000000"/>
              <w:left w:val="nil"/>
              <w:bottom w:val="single" w:sz="4" w:space="0" w:color="000000"/>
              <w:right w:val="nil"/>
            </w:tcBorders>
            <w:shd w:val="clear" w:color="auto" w:fill="DAEEF3" w:themeFill="accent5" w:themeFillTint="33"/>
            <w:vAlign w:val="center"/>
          </w:tcPr>
          <w:p w14:paraId="1E154454" w14:textId="77777777" w:rsidR="00B67E9C" w:rsidRDefault="00B67E9C">
            <w:pPr>
              <w:spacing w:before="60" w:after="60"/>
              <w:jc w:val="center"/>
            </w:pPr>
          </w:p>
        </w:tc>
        <w:tc>
          <w:tcPr>
            <w:tcW w:w="948" w:type="dxa"/>
            <w:tcBorders>
              <w:top w:val="single" w:sz="4" w:space="0" w:color="000000"/>
              <w:left w:val="nil"/>
              <w:bottom w:val="single" w:sz="4" w:space="0" w:color="000000"/>
              <w:right w:val="nil"/>
            </w:tcBorders>
            <w:shd w:val="clear" w:color="auto" w:fill="DAEEF3" w:themeFill="accent5" w:themeFillTint="33"/>
            <w:vAlign w:val="center"/>
          </w:tcPr>
          <w:p w14:paraId="30EB1585" w14:textId="77777777" w:rsidR="00B67E9C" w:rsidRDefault="00B67E9C">
            <w:pPr>
              <w:spacing w:before="60" w:after="60"/>
              <w:jc w:val="center"/>
            </w:pPr>
          </w:p>
        </w:tc>
        <w:tc>
          <w:tcPr>
            <w:tcW w:w="1272" w:type="dxa"/>
            <w:tcBorders>
              <w:top w:val="single" w:sz="4" w:space="0" w:color="000000"/>
              <w:left w:val="nil"/>
              <w:bottom w:val="single" w:sz="4" w:space="0" w:color="000000"/>
              <w:right w:val="nil"/>
            </w:tcBorders>
            <w:shd w:val="clear" w:color="auto" w:fill="DAEEF3" w:themeFill="accent5" w:themeFillTint="33"/>
            <w:vAlign w:val="center"/>
          </w:tcPr>
          <w:p w14:paraId="45A56256" w14:textId="77777777" w:rsidR="00B67E9C" w:rsidRDefault="00B67E9C">
            <w:pPr>
              <w:spacing w:before="60" w:after="60"/>
              <w:jc w:val="center"/>
            </w:pPr>
          </w:p>
        </w:tc>
        <w:tc>
          <w:tcPr>
            <w:tcW w:w="1294" w:type="dxa"/>
            <w:tcBorders>
              <w:top w:val="single" w:sz="4" w:space="0" w:color="000000"/>
              <w:left w:val="nil"/>
              <w:bottom w:val="single" w:sz="4" w:space="0" w:color="000000"/>
              <w:right w:val="nil"/>
            </w:tcBorders>
            <w:shd w:val="clear" w:color="auto" w:fill="DAEEF3" w:themeFill="accent5" w:themeFillTint="33"/>
            <w:vAlign w:val="center"/>
          </w:tcPr>
          <w:p w14:paraId="74BA60F8" w14:textId="77777777" w:rsidR="00B67E9C" w:rsidRDefault="00B67E9C">
            <w:pPr>
              <w:spacing w:before="60" w:after="60"/>
              <w:jc w:val="center"/>
            </w:pPr>
          </w:p>
        </w:tc>
        <w:tc>
          <w:tcPr>
            <w:tcW w:w="99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2D27013B" w14:textId="77777777" w:rsidR="00B67E9C" w:rsidRDefault="00B67E9C">
            <w:pPr>
              <w:spacing w:before="60" w:after="60"/>
              <w:jc w:val="center"/>
            </w:pPr>
          </w:p>
        </w:tc>
      </w:tr>
      <w:tr w:rsidR="00B67E9C" w14:paraId="2897CFA0"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27877185" w14:textId="77777777" w:rsidR="00B67E9C" w:rsidRDefault="00B67E9C">
            <w:pPr>
              <w:spacing w:before="60" w:after="60"/>
              <w:jc w:val="left"/>
            </w:pPr>
            <w:r>
              <w:rPr>
                <w:color w:val="000000"/>
              </w:rPr>
              <w:t>Refrigeration cabinets: self-cont.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21ABA56" w14:textId="77777777" w:rsidR="00B67E9C" w:rsidRDefault="00B67E9C">
            <w:pPr>
              <w:spacing w:before="60" w:after="60"/>
              <w:jc w:val="center"/>
            </w:pPr>
            <w:r>
              <w:t>0.5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266B1F81" w14:textId="77777777" w:rsidR="00B67E9C" w:rsidRDefault="00B67E9C">
            <w:pPr>
              <w:spacing w:before="60" w:after="60"/>
              <w:jc w:val="center"/>
            </w:pPr>
            <w:r>
              <w:t>0.5</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76A45C6B" w14:textId="77777777" w:rsidR="00B67E9C" w:rsidRDefault="00B67E9C">
            <w:pPr>
              <w:spacing w:before="60" w:after="60"/>
              <w:jc w:val="center"/>
            </w:pPr>
            <w:r>
              <w:t>85%</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1A7A7CCB"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68123E67" w14:textId="77777777" w:rsidR="00B67E9C" w:rsidRDefault="00B67E9C">
            <w:pPr>
              <w:spacing w:before="60" w:after="60"/>
              <w:jc w:val="center"/>
            </w:pPr>
            <w:r>
              <w:t>6.0%</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1EF0DA46" w14:textId="77777777" w:rsidR="00B67E9C" w:rsidRDefault="00B67E9C">
            <w:pPr>
              <w:spacing w:before="60" w:after="60"/>
              <w:jc w:val="center"/>
            </w:pPr>
            <w:r>
              <w:t>7.2%</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8F275A4" w14:textId="77777777" w:rsidR="00B67E9C" w:rsidRDefault="00B67E9C">
            <w:pPr>
              <w:spacing w:before="60" w:after="60"/>
              <w:jc w:val="center"/>
            </w:pPr>
            <w:r>
              <w:t>11.5</w:t>
            </w:r>
          </w:p>
        </w:tc>
      </w:tr>
      <w:tr w:rsidR="00B67E9C" w14:paraId="078E3BA5"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6304E5B2" w14:textId="77777777" w:rsidR="00B67E9C" w:rsidRDefault="00B67E9C">
            <w:pPr>
              <w:spacing w:before="60" w:after="60"/>
              <w:jc w:val="left"/>
            </w:pPr>
            <w:r>
              <w:rPr>
                <w:color w:val="000000"/>
              </w:rPr>
              <w:t>Refrigeration beverage vending machines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DECBCD3" w14:textId="77777777" w:rsidR="00B67E9C" w:rsidRDefault="00B67E9C">
            <w:pPr>
              <w:spacing w:before="60" w:after="60"/>
              <w:jc w:val="center"/>
            </w:pPr>
            <w:r>
              <w:t>0.25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E14B85B" w14:textId="77777777" w:rsidR="00B67E9C" w:rsidRDefault="00B67E9C">
            <w:pPr>
              <w:spacing w:before="60" w:after="60"/>
              <w:jc w:val="center"/>
            </w:pPr>
            <w:r>
              <w:t>0.25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13C65"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6D785"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BA6C137"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4F21C9"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1D01A4F" w14:textId="77777777" w:rsidR="00B67E9C" w:rsidRDefault="00B67E9C">
            <w:pPr>
              <w:spacing w:before="60" w:after="60"/>
              <w:jc w:val="center"/>
            </w:pPr>
            <w:r>
              <w:t>12.0</w:t>
            </w:r>
          </w:p>
        </w:tc>
      </w:tr>
      <w:tr w:rsidR="00B67E9C" w14:paraId="03C2621F"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7692CE7A" w14:textId="77777777" w:rsidR="00B67E9C" w:rsidRDefault="00B67E9C">
            <w:pPr>
              <w:spacing w:before="60" w:after="60"/>
              <w:jc w:val="left"/>
            </w:pPr>
            <w:r>
              <w:rPr>
                <w:color w:val="000000"/>
              </w:rPr>
              <w:t>Beverage cooling (post mix)</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9081E98" w14:textId="77777777" w:rsidR="00B67E9C" w:rsidRDefault="00B67E9C">
            <w:pPr>
              <w:spacing w:before="60" w:after="60"/>
              <w:jc w:val="center"/>
            </w:pPr>
            <w:r>
              <w:t>0.7</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78AAC39" w14:textId="77777777" w:rsidR="00B67E9C" w:rsidRDefault="00B67E9C">
            <w:pPr>
              <w:spacing w:before="60" w:after="60"/>
              <w:jc w:val="center"/>
            </w:pPr>
            <w:r>
              <w:t>0.7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FDDC0D"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FB44A"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CE4655B"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11323E"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BC15ABA" w14:textId="77777777" w:rsidR="00B67E9C" w:rsidRDefault="00B67E9C">
            <w:pPr>
              <w:spacing w:before="60" w:after="60"/>
              <w:jc w:val="center"/>
            </w:pPr>
            <w:r>
              <w:t>8.0</w:t>
            </w:r>
          </w:p>
        </w:tc>
      </w:tr>
      <w:tr w:rsidR="00B67E9C" w14:paraId="229F13FF"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533AFCDA" w14:textId="77777777" w:rsidR="00B67E9C" w:rsidRDefault="00B67E9C">
            <w:pPr>
              <w:spacing w:before="60" w:after="60"/>
              <w:jc w:val="left"/>
            </w:pPr>
            <w:r>
              <w:rPr>
                <w:color w:val="000000"/>
              </w:rPr>
              <w:t>Ice makers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9031CE0" w14:textId="77777777" w:rsidR="00B67E9C" w:rsidRDefault="00B67E9C">
            <w:pPr>
              <w:spacing w:before="60" w:after="60"/>
              <w:jc w:val="center"/>
            </w:pPr>
            <w:r>
              <w:t>1.0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27778382" w14:textId="77777777" w:rsidR="00B67E9C" w:rsidRDefault="00B67E9C">
            <w:pPr>
              <w:spacing w:before="60" w:after="60"/>
              <w:jc w:val="center"/>
            </w:pPr>
            <w: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FCECAB"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1018D0"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5C94C258"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F0A18E"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7729A88" w14:textId="77777777" w:rsidR="00B67E9C" w:rsidRDefault="00B67E9C">
            <w:pPr>
              <w:spacing w:before="60" w:after="60"/>
              <w:jc w:val="center"/>
            </w:pPr>
            <w:r>
              <w:t>11.0</w:t>
            </w:r>
          </w:p>
        </w:tc>
      </w:tr>
      <w:tr w:rsidR="00B67E9C" w14:paraId="4C51A839"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BCEE724" w14:textId="77777777" w:rsidR="00B67E9C" w:rsidRDefault="00B67E9C">
            <w:pPr>
              <w:spacing w:before="60" w:after="60"/>
              <w:jc w:val="left"/>
            </w:pPr>
            <w:r>
              <w:rPr>
                <w:color w:val="000000"/>
              </w:rPr>
              <w:t>Water dispensers (incl. bottle)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B86312F" w14:textId="77777777" w:rsidR="00B67E9C" w:rsidRDefault="00B67E9C">
            <w:pPr>
              <w:spacing w:before="60" w:after="60"/>
              <w:jc w:val="center"/>
            </w:pPr>
            <w:r>
              <w:t>0.05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619C180" w14:textId="77777777" w:rsidR="00B67E9C" w:rsidRDefault="00B67E9C">
            <w:pPr>
              <w:spacing w:before="60" w:after="60"/>
              <w:jc w:val="center"/>
            </w:pPr>
            <w:r>
              <w:t>0.05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2114C7"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708DC"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18BAF59"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2B17D"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4BEFDF2D" w14:textId="77777777" w:rsidR="00B67E9C" w:rsidRDefault="00B67E9C">
            <w:pPr>
              <w:spacing w:before="60" w:after="60"/>
              <w:jc w:val="center"/>
            </w:pPr>
            <w:r>
              <w:t>8.0</w:t>
            </w:r>
          </w:p>
        </w:tc>
      </w:tr>
      <w:tr w:rsidR="00B67E9C" w14:paraId="0CE9E4AD"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73AF7B9B" w14:textId="77777777" w:rsidR="00B67E9C" w:rsidRDefault="00B67E9C">
            <w:pPr>
              <w:spacing w:before="60" w:after="60"/>
              <w:jc w:val="left"/>
            </w:pPr>
            <w:r>
              <w:rPr>
                <w:color w:val="000000"/>
              </w:rPr>
              <w:t>Other self-cont. refrigeration equipment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E25CE8A" w14:textId="77777777" w:rsidR="00B67E9C" w:rsidRDefault="00B67E9C">
            <w:pPr>
              <w:spacing w:before="60" w:after="60"/>
              <w:jc w:val="center"/>
            </w:pPr>
            <w:r>
              <w:t>0.5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B7146E4" w14:textId="77777777" w:rsidR="00B67E9C" w:rsidRDefault="00B67E9C">
            <w:pPr>
              <w:spacing w:before="60" w:after="60"/>
              <w:jc w:val="center"/>
            </w:pPr>
            <w: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992F6"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7C434"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93EDAC0"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AEC1C"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A20F1D2" w14:textId="77777777" w:rsidR="00B67E9C" w:rsidRDefault="00B67E9C">
            <w:pPr>
              <w:spacing w:before="60" w:after="60"/>
              <w:jc w:val="center"/>
            </w:pPr>
            <w:r>
              <w:t>12.0</w:t>
            </w:r>
          </w:p>
        </w:tc>
      </w:tr>
      <w:tr w:rsidR="00B67E9C" w14:paraId="7E7FFAF7"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3F67D18" w14:textId="77777777" w:rsidR="00B67E9C" w:rsidRDefault="00B67E9C">
            <w:pPr>
              <w:spacing w:before="60" w:after="60"/>
              <w:jc w:val="left"/>
            </w:pPr>
            <w:r>
              <w:rPr>
                <w:color w:val="000000"/>
              </w:rPr>
              <w:lastRenderedPageBreak/>
              <w:t>Walk-in cool rooms: mini: Slid-in/Drop-in</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229B6B2" w14:textId="77777777" w:rsidR="00B67E9C" w:rsidRDefault="00B67E9C">
            <w:pPr>
              <w:spacing w:before="60" w:after="60"/>
              <w:jc w:val="center"/>
            </w:pPr>
            <w:r>
              <w:t>0.75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35528E40" w14:textId="77777777" w:rsidR="00B67E9C" w:rsidRDefault="00B67E9C">
            <w:pPr>
              <w:spacing w:before="60" w:after="60"/>
              <w:jc w:val="center"/>
            </w:pPr>
            <w:r>
              <w:t>0.75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2800F2"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B919A3"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0192DE6"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02A66D"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7DB75D37" w14:textId="77777777" w:rsidR="00B67E9C" w:rsidRDefault="00B67E9C">
            <w:pPr>
              <w:spacing w:before="60" w:after="60"/>
              <w:jc w:val="center"/>
            </w:pPr>
            <w:r>
              <w:t>12.0</w:t>
            </w:r>
          </w:p>
        </w:tc>
      </w:tr>
      <w:tr w:rsidR="00B67E9C" w14:paraId="458B13E9"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ECBDCD4" w14:textId="77777777" w:rsidR="00B67E9C" w:rsidRDefault="00B67E9C">
            <w:pPr>
              <w:spacing w:before="60" w:after="60"/>
              <w:jc w:val="left"/>
            </w:pPr>
            <w:r>
              <w:rPr>
                <w:color w:val="000000"/>
              </w:rPr>
              <w:t>Walk-in cool rooms: small: Slid-in/Drop-in</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DE377AC" w14:textId="77777777" w:rsidR="00B67E9C" w:rsidRDefault="00B67E9C">
            <w:pPr>
              <w:spacing w:before="60" w:after="60"/>
              <w:jc w:val="center"/>
            </w:pPr>
            <w:r>
              <w:t>1.4</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A72E656" w14:textId="77777777" w:rsidR="00B67E9C" w:rsidRDefault="00B67E9C">
            <w:pPr>
              <w:spacing w:before="60" w:after="60"/>
              <w:jc w:val="center"/>
            </w:pPr>
            <w:r>
              <w:t>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FB5DD1"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4AD5F8"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63FF6A07" w14:textId="77777777" w:rsidR="00B67E9C" w:rsidRDefault="00B67E9C">
            <w:pPr>
              <w:spacing w:before="60" w:after="60"/>
              <w:jc w:val="center"/>
            </w:pPr>
            <w:r>
              <w:t>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936DB3"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tcPr>
          <w:p w14:paraId="2AE46018" w14:textId="77777777" w:rsidR="00B67E9C" w:rsidRDefault="00B67E9C">
            <w:pPr>
              <w:spacing w:before="60" w:after="60"/>
              <w:jc w:val="center"/>
            </w:pPr>
            <w:r>
              <w:t>12.0</w:t>
            </w:r>
          </w:p>
          <w:p w14:paraId="16473A0F" w14:textId="77777777" w:rsidR="00B67E9C" w:rsidRDefault="00B67E9C">
            <w:pPr>
              <w:spacing w:before="60" w:after="60"/>
              <w:jc w:val="center"/>
            </w:pPr>
          </w:p>
        </w:tc>
      </w:tr>
      <w:tr w:rsidR="00B67E9C" w14:paraId="4CDC7D3E"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387AFE9" w14:textId="77777777" w:rsidR="00B67E9C" w:rsidRDefault="00B67E9C">
            <w:pPr>
              <w:spacing w:before="60" w:after="60"/>
              <w:jc w:val="left"/>
            </w:pPr>
            <w:r>
              <w:rPr>
                <w:color w:val="000000"/>
              </w:rPr>
              <w:t>Walk-in cool rooms: mini: remote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7741E18" w14:textId="77777777" w:rsidR="00B67E9C" w:rsidRDefault="00B67E9C">
            <w:pPr>
              <w:spacing w:before="60" w:after="60"/>
              <w:jc w:val="center"/>
            </w:pPr>
            <w:r>
              <w:t>1.0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CB324C9" w14:textId="77777777" w:rsidR="00B67E9C" w:rsidRDefault="00B67E9C">
            <w:pPr>
              <w:spacing w:before="60" w:after="60"/>
              <w:jc w:val="center"/>
            </w:pPr>
            <w:r>
              <w:t>1.0</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4F96F0FC" w14:textId="77777777" w:rsidR="00B67E9C" w:rsidRDefault="00B67E9C">
            <w:pPr>
              <w:spacing w:before="60" w:after="60"/>
              <w:jc w:val="center"/>
            </w:pPr>
            <w:r>
              <w:t>80%</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6CA7D5B3" w14:textId="77777777" w:rsidR="00B67E9C" w:rsidRDefault="00B67E9C">
            <w:pPr>
              <w:spacing w:before="60" w:after="60"/>
              <w:jc w:val="center"/>
            </w:pPr>
            <w:r>
              <w:t>95%</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DBE3247" w14:textId="77777777" w:rsidR="00B67E9C" w:rsidRDefault="00B67E9C">
            <w:pPr>
              <w:spacing w:before="60" w:after="60"/>
              <w:jc w:val="center"/>
            </w:pPr>
            <w:r>
              <w:t>15.0%</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049BD08C" w14:textId="77777777" w:rsidR="00B67E9C" w:rsidRDefault="00B67E9C">
            <w:pPr>
              <w:spacing w:before="60" w:after="60"/>
              <w:jc w:val="center"/>
            </w:pPr>
            <w:r>
              <w:t>15.7%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89C3CFC" w14:textId="77777777" w:rsidR="00B67E9C" w:rsidRDefault="00B67E9C">
            <w:pPr>
              <w:spacing w:before="60" w:after="60"/>
              <w:jc w:val="center"/>
            </w:pPr>
            <w:r>
              <w:t>12.0</w:t>
            </w:r>
          </w:p>
        </w:tc>
      </w:tr>
      <w:tr w:rsidR="00B67E9C" w14:paraId="4F583C00"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1BD8A5E" w14:textId="77777777" w:rsidR="00B67E9C" w:rsidRDefault="00B67E9C">
            <w:pPr>
              <w:spacing w:before="60" w:after="60"/>
              <w:jc w:val="left"/>
            </w:pPr>
            <w:r>
              <w:rPr>
                <w:color w:val="000000"/>
              </w:rPr>
              <w:t>Walk-in cool rooms: small: remote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F71FFA2" w14:textId="77777777" w:rsidR="00B67E9C" w:rsidRDefault="00B67E9C">
            <w:pPr>
              <w:spacing w:before="60" w:after="60"/>
              <w:jc w:val="center"/>
            </w:pPr>
            <w:r>
              <w:t>5.0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368A844" w14:textId="77777777" w:rsidR="00B67E9C" w:rsidRDefault="00B67E9C">
            <w:pPr>
              <w:spacing w:before="60" w:after="60"/>
              <w:jc w:val="center"/>
            </w:pPr>
            <w:r>
              <w:t>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C1E4F"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F37BDE"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FE3ABD8"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46026"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629741D" w14:textId="77777777" w:rsidR="00B67E9C" w:rsidRDefault="00B67E9C">
            <w:pPr>
              <w:spacing w:before="60" w:after="60"/>
              <w:jc w:val="center"/>
            </w:pPr>
            <w:r>
              <w:t>12.0</w:t>
            </w:r>
          </w:p>
        </w:tc>
      </w:tr>
      <w:tr w:rsidR="00B67E9C" w14:paraId="6F705A47"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702A013" w14:textId="77777777" w:rsidR="00B67E9C" w:rsidRDefault="00B67E9C">
            <w:pPr>
              <w:spacing w:before="60" w:after="60"/>
              <w:jc w:val="left"/>
            </w:pPr>
            <w:r>
              <w:rPr>
                <w:color w:val="000000"/>
              </w:rPr>
              <w:t>Walk-in cool rooms: medium</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AC3A4BD" w14:textId="77777777" w:rsidR="00B67E9C" w:rsidRDefault="00B67E9C">
            <w:pPr>
              <w:spacing w:before="60" w:after="60"/>
              <w:jc w:val="center"/>
            </w:pPr>
            <w:r>
              <w:t>17.0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E93A41B" w14:textId="77777777" w:rsidR="00B67E9C" w:rsidRDefault="00B67E9C">
            <w:pPr>
              <w:spacing w:before="60" w:after="60"/>
              <w:jc w:val="center"/>
            </w:pPr>
            <w:r>
              <w:t>17.0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0B5130"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366CD0"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54F94140"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491E58"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51E1DF8" w14:textId="77777777" w:rsidR="00B67E9C" w:rsidRDefault="00B67E9C">
            <w:pPr>
              <w:spacing w:before="60" w:after="60"/>
              <w:jc w:val="center"/>
            </w:pPr>
            <w:r>
              <w:t>12.0</w:t>
            </w:r>
          </w:p>
        </w:tc>
      </w:tr>
      <w:tr w:rsidR="00B67E9C" w14:paraId="4D6FEE24"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44455EC" w14:textId="77777777" w:rsidR="00B67E9C" w:rsidRDefault="00B67E9C">
            <w:pPr>
              <w:spacing w:before="60" w:after="60"/>
              <w:jc w:val="left"/>
            </w:pPr>
            <w:r>
              <w:rPr>
                <w:color w:val="000000"/>
              </w:rPr>
              <w:t>Walk-in cool rooms: large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CA10997" w14:textId="77777777" w:rsidR="00B67E9C" w:rsidRDefault="00B67E9C">
            <w:pPr>
              <w:spacing w:before="60" w:after="60"/>
              <w:jc w:val="center"/>
            </w:pPr>
            <w:r>
              <w:t>23.0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8F9AAF1" w14:textId="77777777" w:rsidR="00B67E9C" w:rsidRDefault="00B67E9C">
            <w:pPr>
              <w:spacing w:before="60" w:after="60"/>
              <w:jc w:val="center"/>
            </w:pPr>
            <w:r>
              <w:t>23.0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FA529"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0FE5EC"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36F441E9"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163CF"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BAED6B7" w14:textId="77777777" w:rsidR="00B67E9C" w:rsidRDefault="00B67E9C">
            <w:pPr>
              <w:spacing w:before="60" w:after="60"/>
              <w:jc w:val="center"/>
            </w:pPr>
            <w:r>
              <w:t>15.0</w:t>
            </w:r>
          </w:p>
        </w:tc>
      </w:tr>
      <w:tr w:rsidR="00B67E9C" w14:paraId="3FE38B5D"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5A0FB5BD" w14:textId="77777777" w:rsidR="00B67E9C" w:rsidRDefault="00B67E9C">
            <w:pPr>
              <w:spacing w:before="60" w:after="60"/>
              <w:jc w:val="left"/>
            </w:pPr>
            <w:r>
              <w:rPr>
                <w:color w:val="000000"/>
              </w:rPr>
              <w:t>Walk-in cool rooms: warehouse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7BC0B9F" w14:textId="77777777" w:rsidR="00B67E9C" w:rsidRDefault="00B67E9C">
            <w:pPr>
              <w:spacing w:before="60" w:after="60"/>
              <w:jc w:val="center"/>
            </w:pPr>
            <w:r>
              <w:t>30.0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416A52E" w14:textId="77777777" w:rsidR="00B67E9C" w:rsidRDefault="00B67E9C">
            <w:pPr>
              <w:spacing w:before="60" w:after="60"/>
              <w:jc w:val="center"/>
            </w:pPr>
            <w:r>
              <w:t>30.0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BCE6C"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AD0B0"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05E4C669"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C4EC9"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B87480A" w14:textId="77777777" w:rsidR="00B67E9C" w:rsidRDefault="00B67E9C">
            <w:pPr>
              <w:spacing w:before="60" w:after="60"/>
              <w:jc w:val="center"/>
            </w:pPr>
            <w:r>
              <w:t>20.0</w:t>
            </w:r>
          </w:p>
        </w:tc>
      </w:tr>
      <w:tr w:rsidR="00B67E9C" w14:paraId="26B9B950"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17663FA3" w14:textId="77777777" w:rsidR="00B67E9C" w:rsidRDefault="00B67E9C">
            <w:pPr>
              <w:spacing w:before="60" w:after="60"/>
              <w:jc w:val="left"/>
            </w:pPr>
            <w:r>
              <w:rPr>
                <w:color w:val="000000"/>
              </w:rPr>
              <w:t>Refrigeration cabinets: remote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8A40351" w14:textId="77777777" w:rsidR="00B67E9C" w:rsidRDefault="00B67E9C">
            <w:pPr>
              <w:spacing w:before="60" w:after="60"/>
              <w:jc w:val="center"/>
            </w:pPr>
            <w:r>
              <w:t>10.0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7200F9E" w14:textId="77777777" w:rsidR="00B67E9C" w:rsidRDefault="00B67E9C">
            <w:pPr>
              <w:spacing w:before="60" w:after="60"/>
              <w:jc w:val="center"/>
            </w:pPr>
            <w:r>
              <w:t>10.0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040E66"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A9050C"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3133545C"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80D57"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66473C3" w14:textId="77777777" w:rsidR="00B67E9C" w:rsidRDefault="00B67E9C">
            <w:pPr>
              <w:spacing w:before="60" w:after="60"/>
              <w:jc w:val="center"/>
            </w:pPr>
            <w:r>
              <w:t>15.0</w:t>
            </w:r>
          </w:p>
        </w:tc>
      </w:tr>
      <w:tr w:rsidR="00B67E9C" w14:paraId="482DECE0"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3E06F1C1" w14:textId="77777777" w:rsidR="00B67E9C" w:rsidRDefault="00B67E9C">
            <w:pPr>
              <w:spacing w:before="60" w:after="60"/>
              <w:jc w:val="left"/>
            </w:pPr>
            <w:r>
              <w:rPr>
                <w:color w:val="000000"/>
              </w:rPr>
              <w:t>Beverage cooling (beer)</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B753BBA" w14:textId="77777777" w:rsidR="00B67E9C" w:rsidRDefault="00B67E9C">
            <w:pPr>
              <w:spacing w:before="60" w:after="60"/>
              <w:jc w:val="center"/>
            </w:pPr>
            <w:r>
              <w:t>40.0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B811467" w14:textId="77777777" w:rsidR="00B67E9C" w:rsidRDefault="00B67E9C">
            <w:pPr>
              <w:spacing w:before="60" w:after="60"/>
              <w:jc w:val="center"/>
            </w:pPr>
            <w:r>
              <w:t>40.0</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31F89859" w14:textId="77777777" w:rsidR="00B67E9C" w:rsidRDefault="00B67E9C">
            <w:pPr>
              <w:spacing w:before="60" w:after="60"/>
              <w:jc w:val="center"/>
            </w:pPr>
            <w:r>
              <w:t>80%</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28F95B83" w14:textId="77777777" w:rsidR="00B67E9C" w:rsidRDefault="00B67E9C">
            <w:pPr>
              <w:spacing w:before="60" w:after="60"/>
              <w:jc w:val="center"/>
            </w:pPr>
            <w:r>
              <w:t>95%</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01386784" w14:textId="77777777" w:rsidR="00B67E9C" w:rsidRDefault="00B67E9C">
            <w:pPr>
              <w:spacing w:before="60" w:after="60"/>
              <w:jc w:val="center"/>
            </w:pPr>
            <w:r>
              <w:t>15.0%</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6BE7EBE5" w14:textId="77777777" w:rsidR="00B67E9C" w:rsidRDefault="00B67E9C">
            <w:pPr>
              <w:spacing w:before="60" w:after="60"/>
              <w:jc w:val="center"/>
            </w:pPr>
            <w:r>
              <w:t>15.7%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B51B232" w14:textId="77777777" w:rsidR="00B67E9C" w:rsidRDefault="00B67E9C">
            <w:pPr>
              <w:spacing w:before="60" w:after="60"/>
              <w:jc w:val="center"/>
            </w:pPr>
            <w:r>
              <w:t>15.0</w:t>
            </w:r>
          </w:p>
        </w:tc>
      </w:tr>
      <w:tr w:rsidR="00B67E9C" w14:paraId="0D71A92D"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24E51682" w14:textId="77777777" w:rsidR="00B67E9C" w:rsidRDefault="00B67E9C">
            <w:pPr>
              <w:spacing w:before="60" w:after="60"/>
              <w:jc w:val="left"/>
            </w:pPr>
            <w:r>
              <w:rPr>
                <w:color w:val="000000"/>
              </w:rPr>
              <w:t>Milk vat refrigeration</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39D377F" w14:textId="77777777" w:rsidR="00B67E9C" w:rsidRDefault="00B67E9C">
            <w:pPr>
              <w:spacing w:before="60" w:after="60"/>
              <w:jc w:val="center"/>
            </w:pPr>
            <w:r>
              <w:t>40.0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166B471" w14:textId="77777777" w:rsidR="00B67E9C" w:rsidRDefault="00B67E9C">
            <w:pPr>
              <w:spacing w:before="60" w:after="60"/>
              <w:jc w:val="center"/>
            </w:pPr>
            <w:r>
              <w:t>40.0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51A76"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74D850"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5B9B5EC9"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02A2C"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FAEBC11" w14:textId="77777777" w:rsidR="00B67E9C" w:rsidRDefault="00B67E9C">
            <w:pPr>
              <w:spacing w:before="60" w:after="60"/>
              <w:jc w:val="center"/>
            </w:pPr>
            <w:r>
              <w:t>30.0</w:t>
            </w:r>
          </w:p>
        </w:tc>
      </w:tr>
      <w:tr w:rsidR="00B67E9C" w14:paraId="3476CA6C"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5C73E462" w14:textId="77777777" w:rsidR="00B67E9C" w:rsidRDefault="00B67E9C">
            <w:pPr>
              <w:spacing w:before="60" w:after="60"/>
              <w:jc w:val="left"/>
            </w:pPr>
            <w:r>
              <w:rPr>
                <w:color w:val="000000"/>
              </w:rPr>
              <w:t>Packaged liquid chillers (incl. Milk vat)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50D76EA" w14:textId="77777777" w:rsidR="00B67E9C" w:rsidRDefault="00B67E9C">
            <w:pPr>
              <w:spacing w:before="60" w:after="60"/>
              <w:jc w:val="center"/>
            </w:pPr>
            <w:r>
              <w:t>40.0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097DDC0" w14:textId="77777777" w:rsidR="00B67E9C" w:rsidRDefault="00B67E9C">
            <w:pPr>
              <w:spacing w:before="60" w:after="60"/>
              <w:jc w:val="center"/>
            </w:pPr>
            <w:r>
              <w:t>40.0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2FA6B"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DDBBF"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D141869"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F94EE3"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75540CAA" w14:textId="77777777" w:rsidR="00B67E9C" w:rsidRDefault="00B67E9C">
            <w:pPr>
              <w:spacing w:before="60" w:after="60"/>
              <w:jc w:val="center"/>
            </w:pPr>
            <w:r>
              <w:t>20.0</w:t>
            </w:r>
          </w:p>
        </w:tc>
      </w:tr>
      <w:tr w:rsidR="00B67E9C" w14:paraId="5164C260"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4C406408" w14:textId="77777777" w:rsidR="00B67E9C" w:rsidRDefault="00B67E9C">
            <w:pPr>
              <w:spacing w:before="60" w:after="60"/>
              <w:jc w:val="left"/>
            </w:pPr>
            <w:r>
              <w:rPr>
                <w:color w:val="000000"/>
              </w:rPr>
              <w:t xml:space="preserve">Process and mfg. (&lt;40 </w:t>
            </w:r>
            <w:proofErr w:type="spellStart"/>
            <w:r>
              <w:rPr>
                <w:color w:val="000000"/>
              </w:rPr>
              <w:t>kWr</w:t>
            </w:r>
            <w:proofErr w:type="spellEnd"/>
            <w:r>
              <w:rPr>
                <w:color w:val="000000"/>
              </w:rPr>
              <w: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D4A55BB" w14:textId="77777777" w:rsidR="00B67E9C" w:rsidRDefault="00B67E9C">
            <w:pPr>
              <w:spacing w:before="60" w:after="60"/>
              <w:jc w:val="center"/>
            </w:pPr>
            <w:r>
              <w:t>40.0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7C7C413" w14:textId="77777777" w:rsidR="00B67E9C" w:rsidRDefault="00B67E9C">
            <w:pPr>
              <w:spacing w:before="60" w:after="60"/>
              <w:jc w:val="center"/>
            </w:pPr>
            <w:r>
              <w:t>40.0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B9B7EA"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D14987"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7FE7864"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D5E96"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01025432" w14:textId="77777777" w:rsidR="00B67E9C" w:rsidRDefault="00B67E9C">
            <w:pPr>
              <w:spacing w:before="60" w:after="60"/>
              <w:jc w:val="center"/>
            </w:pPr>
            <w:r>
              <w:t>20.0</w:t>
            </w:r>
          </w:p>
        </w:tc>
      </w:tr>
      <w:tr w:rsidR="00B67E9C" w14:paraId="718487CE" w14:textId="77777777" w:rsidTr="00B67E9C">
        <w:tc>
          <w:tcPr>
            <w:tcW w:w="20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tcPr>
          <w:p w14:paraId="2181D045" w14:textId="77777777" w:rsidR="00B67E9C" w:rsidRDefault="00B67E9C">
            <w:pPr>
              <w:spacing w:before="60" w:after="6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C1F9B85" w14:textId="77777777" w:rsidR="00B67E9C" w:rsidRDefault="00B67E9C">
            <w:pPr>
              <w:spacing w:before="60" w:after="60"/>
              <w:jc w:val="center"/>
            </w:pPr>
          </w:p>
        </w:tc>
        <w:tc>
          <w:tcPr>
            <w:tcW w:w="9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39DF67D" w14:textId="77777777" w:rsidR="00B67E9C" w:rsidRDefault="00B67E9C">
            <w:pPr>
              <w:spacing w:before="60" w:after="60"/>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E05E397" w14:textId="77777777" w:rsidR="00B67E9C" w:rsidRDefault="00B67E9C">
            <w:pPr>
              <w:spacing w:before="60" w:after="60"/>
              <w:jc w:val="center"/>
            </w:pPr>
          </w:p>
        </w:tc>
        <w:tc>
          <w:tcPr>
            <w:tcW w:w="94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2F8EAF3" w14:textId="77777777" w:rsidR="00B67E9C" w:rsidRDefault="00B67E9C">
            <w:pPr>
              <w:spacing w:before="60" w:after="60"/>
              <w:jc w:val="center"/>
            </w:pPr>
          </w:p>
        </w:tc>
        <w:tc>
          <w:tcPr>
            <w:tcW w:w="127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25A56FA" w14:textId="77777777" w:rsidR="00B67E9C" w:rsidRDefault="00B67E9C">
            <w:pPr>
              <w:spacing w:before="60" w:after="60"/>
              <w:jc w:val="center"/>
            </w:pPr>
          </w:p>
        </w:tc>
        <w:tc>
          <w:tcPr>
            <w:tcW w:w="12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EC78179" w14:textId="77777777" w:rsidR="00B67E9C" w:rsidRDefault="00B67E9C">
            <w:pPr>
              <w:spacing w:before="60" w:after="60"/>
              <w:jc w:val="center"/>
            </w:pPr>
          </w:p>
        </w:tc>
        <w:tc>
          <w:tcPr>
            <w:tcW w:w="9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6BED1D4" w14:textId="77777777" w:rsidR="00B67E9C" w:rsidRDefault="00B67E9C">
            <w:pPr>
              <w:spacing w:before="60" w:after="60"/>
              <w:jc w:val="center"/>
            </w:pPr>
          </w:p>
        </w:tc>
      </w:tr>
      <w:tr w:rsidR="00B67E9C" w14:paraId="6ECD5C4E"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45AE938" w14:textId="77777777" w:rsidR="00B67E9C" w:rsidRDefault="00B67E9C">
            <w:pPr>
              <w:spacing w:before="60" w:after="60"/>
              <w:jc w:val="left"/>
            </w:pPr>
            <w:r>
              <w:rPr>
                <w:color w:val="000000"/>
              </w:rPr>
              <w:t xml:space="preserve">Supermarket </w:t>
            </w:r>
            <w:proofErr w:type="spellStart"/>
            <w:r>
              <w:rPr>
                <w:color w:val="000000"/>
              </w:rPr>
              <w:t>refrig</w:t>
            </w:r>
            <w:proofErr w:type="spellEnd"/>
            <w:r>
              <w:rPr>
                <w:color w:val="000000"/>
              </w:rPr>
              <w:t>: small</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EB1B4BB" w14:textId="77777777" w:rsidR="00B67E9C" w:rsidRDefault="00B67E9C">
            <w:pPr>
              <w:spacing w:before="60" w:after="60"/>
              <w:jc w:val="center"/>
            </w:pPr>
            <w:r>
              <w:t>500.0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726F23ED" w14:textId="77777777" w:rsidR="00B67E9C" w:rsidRDefault="00B67E9C">
            <w:pPr>
              <w:spacing w:before="60" w:after="60"/>
              <w:jc w:val="center"/>
            </w:pPr>
            <w:r>
              <w:t>500.0</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2CC22B91" w14:textId="77777777" w:rsidR="00B67E9C" w:rsidRDefault="00B67E9C">
            <w:pPr>
              <w:spacing w:before="60" w:after="60"/>
              <w:jc w:val="center"/>
            </w:pPr>
            <w:r>
              <w:t>100</w:t>
            </w:r>
            <w:proofErr w:type="gramStart"/>
            <w:r>
              <w:t>%</w:t>
            </w:r>
            <w:r>
              <w:rPr>
                <w:vertAlign w:val="superscript"/>
              </w:rPr>
              <w:t>(</w:t>
            </w:r>
            <w:proofErr w:type="gramEnd"/>
            <w:r>
              <w:rPr>
                <w:vertAlign w:val="superscript"/>
              </w:rPr>
              <w:t>4)</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300E25E1" w14:textId="77777777" w:rsidR="00B67E9C" w:rsidRDefault="00B67E9C">
            <w:pPr>
              <w:spacing w:before="60" w:after="60"/>
              <w:jc w:val="center"/>
            </w:pPr>
            <w:r>
              <w:t>95%</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29CFF82A" w14:textId="77777777" w:rsidR="00B67E9C" w:rsidRDefault="00B67E9C">
            <w:pPr>
              <w:spacing w:before="60" w:after="60"/>
              <w:jc w:val="center"/>
            </w:pPr>
            <w:r>
              <w:t>11.8%</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2A702B6A" w14:textId="77777777" w:rsidR="00B67E9C" w:rsidRDefault="00B67E9C">
            <w:pPr>
              <w:spacing w:before="60" w:after="60"/>
              <w:jc w:val="center"/>
            </w:pPr>
            <w:r>
              <w:t>11.8%</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2C3E5847" w14:textId="77777777" w:rsidR="00B67E9C" w:rsidRDefault="00B67E9C">
            <w:pPr>
              <w:spacing w:before="60" w:after="60"/>
              <w:jc w:val="center"/>
            </w:pPr>
            <w:r>
              <w:t xml:space="preserve">15.0 </w:t>
            </w:r>
            <w:r>
              <w:rPr>
                <w:vertAlign w:val="superscript"/>
              </w:rPr>
              <w:t>(5)</w:t>
            </w:r>
          </w:p>
        </w:tc>
      </w:tr>
      <w:tr w:rsidR="00B67E9C" w14:paraId="478AFC17"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575B053C" w14:textId="77777777" w:rsidR="00B67E9C" w:rsidRDefault="00B67E9C">
            <w:pPr>
              <w:spacing w:before="60" w:after="60"/>
              <w:jc w:val="left"/>
            </w:pPr>
            <w:r>
              <w:rPr>
                <w:color w:val="000000"/>
              </w:rPr>
              <w:t xml:space="preserve">Supermarket </w:t>
            </w:r>
            <w:proofErr w:type="spellStart"/>
            <w:r>
              <w:rPr>
                <w:color w:val="000000"/>
              </w:rPr>
              <w:t>refrig</w:t>
            </w:r>
            <w:proofErr w:type="spellEnd"/>
            <w:r>
              <w:rPr>
                <w:color w:val="000000"/>
              </w:rPr>
              <w:t>: medium</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9E4B406" w14:textId="77777777" w:rsidR="00B67E9C" w:rsidRDefault="00B67E9C">
            <w:pPr>
              <w:spacing w:before="60" w:after="60"/>
              <w:jc w:val="center"/>
            </w:pPr>
            <w:r>
              <w:t>900.0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35DB333B" w14:textId="77777777" w:rsidR="00B67E9C" w:rsidRDefault="00B67E9C">
            <w:pPr>
              <w:spacing w:before="60" w:after="60"/>
              <w:jc w:val="center"/>
            </w:pPr>
            <w:r>
              <w:t>900.0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492B3C"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0C7D9A"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213B70DD" w14:textId="77777777" w:rsidR="00B67E9C" w:rsidRDefault="00B67E9C">
            <w:pPr>
              <w:spacing w:before="60" w:after="60"/>
              <w:jc w:val="center"/>
            </w:pPr>
            <w:r>
              <w:t>11.8%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6581B1"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512D07A4" w14:textId="77777777" w:rsidR="00B67E9C" w:rsidRDefault="00B67E9C">
            <w:pPr>
              <w:spacing w:before="60" w:after="60"/>
              <w:jc w:val="center"/>
            </w:pPr>
            <w:r>
              <w:t>15.0</w:t>
            </w:r>
          </w:p>
        </w:tc>
      </w:tr>
      <w:tr w:rsidR="00B67E9C" w14:paraId="04A35F7F"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39F5DA98" w14:textId="77777777" w:rsidR="00B67E9C" w:rsidRDefault="00B67E9C">
            <w:pPr>
              <w:spacing w:before="60" w:after="60"/>
              <w:jc w:val="left"/>
            </w:pPr>
            <w:r>
              <w:rPr>
                <w:color w:val="000000"/>
              </w:rPr>
              <w:t xml:space="preserve">Supermarket </w:t>
            </w:r>
            <w:proofErr w:type="spellStart"/>
            <w:r>
              <w:rPr>
                <w:color w:val="000000"/>
              </w:rPr>
              <w:t>refrig</w:t>
            </w:r>
            <w:proofErr w:type="spellEnd"/>
            <w:r>
              <w:rPr>
                <w:color w:val="000000"/>
              </w:rPr>
              <w:t>: large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7CFC3B3" w14:textId="77777777" w:rsidR="00B67E9C" w:rsidRDefault="00B67E9C">
            <w:pPr>
              <w:spacing w:before="60" w:after="60"/>
              <w:jc w:val="center"/>
            </w:pPr>
            <w:r>
              <w:t>1,100.0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689372A1" w14:textId="77777777" w:rsidR="00B67E9C" w:rsidRDefault="00B67E9C">
            <w:pPr>
              <w:spacing w:before="60" w:after="60"/>
              <w:jc w:val="center"/>
            </w:pPr>
            <w:r>
              <w:t>1,100.0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18B10"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60D953"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17E3060" w14:textId="77777777" w:rsidR="00B67E9C" w:rsidRDefault="00B67E9C">
            <w:pPr>
              <w:spacing w:before="60" w:after="60"/>
              <w:jc w:val="center"/>
            </w:pPr>
            <w:r>
              <w:t>11.8%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12AA05"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4113ECE" w14:textId="77777777" w:rsidR="00B67E9C" w:rsidRDefault="00B67E9C">
            <w:pPr>
              <w:spacing w:before="60" w:after="60"/>
              <w:jc w:val="center"/>
            </w:pPr>
            <w:r>
              <w:t>15.0</w:t>
            </w:r>
          </w:p>
        </w:tc>
      </w:tr>
      <w:tr w:rsidR="00B67E9C" w14:paraId="5F8FE944" w14:textId="77777777" w:rsidTr="00B67E9C">
        <w:tc>
          <w:tcPr>
            <w:tcW w:w="20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A934BE1" w14:textId="77777777" w:rsidR="00B67E9C" w:rsidRDefault="00B67E9C">
            <w:pPr>
              <w:spacing w:before="60" w:after="6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FD2A7D1" w14:textId="77777777" w:rsidR="00B67E9C" w:rsidRDefault="00B67E9C">
            <w:pPr>
              <w:spacing w:before="60" w:after="60"/>
              <w:jc w:val="center"/>
            </w:pPr>
          </w:p>
        </w:tc>
        <w:tc>
          <w:tcPr>
            <w:tcW w:w="9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F7CD5CA" w14:textId="77777777" w:rsidR="00B67E9C" w:rsidRDefault="00B67E9C">
            <w:pPr>
              <w:spacing w:before="60" w:after="60"/>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322908E" w14:textId="77777777" w:rsidR="00B67E9C" w:rsidRDefault="00B67E9C">
            <w:pPr>
              <w:spacing w:before="60" w:after="60"/>
              <w:jc w:val="center"/>
            </w:pPr>
          </w:p>
        </w:tc>
        <w:tc>
          <w:tcPr>
            <w:tcW w:w="94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7010802F" w14:textId="77777777" w:rsidR="00B67E9C" w:rsidRDefault="00B67E9C">
            <w:pPr>
              <w:spacing w:before="60" w:after="60"/>
              <w:jc w:val="center"/>
            </w:pPr>
          </w:p>
        </w:tc>
        <w:tc>
          <w:tcPr>
            <w:tcW w:w="127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127ACB" w14:textId="77777777" w:rsidR="00B67E9C" w:rsidRDefault="00B67E9C">
            <w:pPr>
              <w:spacing w:before="60" w:after="60"/>
              <w:jc w:val="center"/>
            </w:pPr>
          </w:p>
        </w:tc>
        <w:tc>
          <w:tcPr>
            <w:tcW w:w="12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3FD90FF" w14:textId="77777777" w:rsidR="00B67E9C" w:rsidRDefault="00B67E9C">
            <w:pPr>
              <w:spacing w:before="60" w:after="60"/>
              <w:jc w:val="center"/>
            </w:pPr>
          </w:p>
        </w:tc>
        <w:tc>
          <w:tcPr>
            <w:tcW w:w="9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1B0328D" w14:textId="77777777" w:rsidR="00B67E9C" w:rsidRDefault="00B67E9C">
            <w:pPr>
              <w:spacing w:before="60" w:after="60"/>
              <w:jc w:val="center"/>
            </w:pPr>
          </w:p>
        </w:tc>
      </w:tr>
      <w:tr w:rsidR="00B67E9C" w14:paraId="13F7A0F6"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2EF4CFB1" w14:textId="77777777" w:rsidR="00B67E9C" w:rsidRDefault="00B67E9C">
            <w:pPr>
              <w:spacing w:before="60" w:after="60"/>
              <w:jc w:val="left"/>
            </w:pPr>
            <w:r>
              <w:rPr>
                <w:color w:val="000000"/>
              </w:rPr>
              <w:t xml:space="preserve">Mobile </w:t>
            </w:r>
            <w:proofErr w:type="spellStart"/>
            <w:r>
              <w:rPr>
                <w:color w:val="000000"/>
              </w:rPr>
              <w:t>refrig</w:t>
            </w:r>
            <w:proofErr w:type="spellEnd"/>
            <w:r>
              <w:rPr>
                <w:color w:val="000000"/>
              </w:rPr>
              <w:t>: road: trailer - inter-modal</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0D078B2" w14:textId="77777777" w:rsidR="00B67E9C" w:rsidRDefault="00B67E9C">
            <w:pPr>
              <w:spacing w:before="60" w:after="60"/>
              <w:jc w:val="center"/>
            </w:pPr>
            <w:r>
              <w:t>10.0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8B2EB67" w14:textId="77777777" w:rsidR="00B67E9C" w:rsidRDefault="00B67E9C">
            <w:pPr>
              <w:spacing w:before="60" w:after="60"/>
              <w:jc w:val="center"/>
            </w:pPr>
            <w:r>
              <w:t>6.5</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hideMark/>
          </w:tcPr>
          <w:p w14:paraId="62FDA4BC" w14:textId="77777777" w:rsidR="00B67E9C" w:rsidRDefault="00B67E9C">
            <w:pPr>
              <w:spacing w:before="60" w:after="60"/>
              <w:jc w:val="center"/>
            </w:pPr>
            <w:r>
              <w:t>90%</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37A5AF31" w14:textId="77777777" w:rsidR="00B67E9C" w:rsidRDefault="00B67E9C">
            <w:pPr>
              <w:spacing w:before="60" w:after="60"/>
              <w:jc w:val="center"/>
            </w:pPr>
            <w:r>
              <w:t>95%</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6A3EBE0B" w14:textId="77777777" w:rsidR="00B67E9C" w:rsidRDefault="00B67E9C">
            <w:pPr>
              <w:spacing w:before="60" w:after="60"/>
              <w:jc w:val="center"/>
            </w:pPr>
            <w:r>
              <w:t>15.0%</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040DA4A2" w14:textId="77777777" w:rsidR="00B67E9C" w:rsidRDefault="00B67E9C">
            <w:pPr>
              <w:spacing w:before="60" w:after="60"/>
              <w:jc w:val="center"/>
            </w:pPr>
            <w:r>
              <w:t>15.7%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1A719F44" w14:textId="77777777" w:rsidR="00B67E9C" w:rsidRDefault="00B67E9C">
            <w:pPr>
              <w:spacing w:before="60" w:after="60"/>
              <w:jc w:val="center"/>
            </w:pPr>
            <w:r>
              <w:t>12.5</w:t>
            </w:r>
          </w:p>
        </w:tc>
      </w:tr>
      <w:tr w:rsidR="00B67E9C" w14:paraId="2887DA8D"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1DE6CC1F" w14:textId="77777777" w:rsidR="00B67E9C" w:rsidRDefault="00B67E9C">
            <w:pPr>
              <w:spacing w:before="60" w:after="60"/>
              <w:jc w:val="left"/>
            </w:pPr>
            <w:r>
              <w:rPr>
                <w:color w:val="000000"/>
              </w:rPr>
              <w:t xml:space="preserve">Mobile </w:t>
            </w:r>
            <w:proofErr w:type="spellStart"/>
            <w:r>
              <w:rPr>
                <w:color w:val="000000"/>
              </w:rPr>
              <w:t>refrig</w:t>
            </w:r>
            <w:proofErr w:type="spellEnd"/>
            <w:r>
              <w:rPr>
                <w:color w:val="000000"/>
              </w:rPr>
              <w:t>: road: diesel drive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A317111" w14:textId="77777777" w:rsidR="00B67E9C" w:rsidRDefault="00B67E9C">
            <w:pPr>
              <w:spacing w:before="60" w:after="60"/>
              <w:jc w:val="center"/>
            </w:pPr>
            <w:r>
              <w:t>7.0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5CB6EAC" w14:textId="77777777" w:rsidR="00B67E9C" w:rsidRDefault="00B67E9C">
            <w:pPr>
              <w:spacing w:before="60" w:after="60"/>
              <w:jc w:val="center"/>
            </w:pPr>
            <w: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179A0"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D15C"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2036EEA"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30591"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CB93736" w14:textId="77777777" w:rsidR="00B67E9C" w:rsidRDefault="00B67E9C">
            <w:pPr>
              <w:spacing w:before="60" w:after="60"/>
              <w:jc w:val="center"/>
            </w:pPr>
            <w:r>
              <w:t>12.5</w:t>
            </w:r>
          </w:p>
        </w:tc>
      </w:tr>
      <w:tr w:rsidR="00B67E9C" w14:paraId="39EB2CB2"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7ED81515" w14:textId="77777777" w:rsidR="00B67E9C" w:rsidRDefault="00B67E9C">
            <w:pPr>
              <w:spacing w:before="60" w:after="60"/>
              <w:jc w:val="left"/>
            </w:pPr>
            <w:r>
              <w:rPr>
                <w:color w:val="000000"/>
              </w:rPr>
              <w:t xml:space="preserve">Mobile </w:t>
            </w:r>
            <w:proofErr w:type="spellStart"/>
            <w:r>
              <w:rPr>
                <w:color w:val="000000"/>
              </w:rPr>
              <w:t>refrig</w:t>
            </w:r>
            <w:proofErr w:type="spellEnd"/>
            <w:r>
              <w:rPr>
                <w:color w:val="000000"/>
              </w:rPr>
              <w:t>: road: off engine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2ADB9DE" w14:textId="77777777" w:rsidR="00B67E9C" w:rsidRDefault="00B67E9C">
            <w:pPr>
              <w:spacing w:before="60" w:after="60"/>
              <w:jc w:val="center"/>
            </w:pPr>
            <w:r>
              <w:t>4.0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1DC06194" w14:textId="77777777" w:rsidR="00B67E9C" w:rsidRDefault="00B67E9C">
            <w:pPr>
              <w:spacing w:before="60" w:after="60"/>
              <w:jc w:val="center"/>
            </w:pPr>
            <w: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C1BC4" w14:textId="77777777" w:rsidR="00B67E9C" w:rsidRDefault="00B67E9C">
            <w:pPr>
              <w:spacing w:befor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22676"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43A6B3D"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30CBFE"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3B0E9808" w14:textId="77777777" w:rsidR="00B67E9C" w:rsidRDefault="00B67E9C">
            <w:pPr>
              <w:spacing w:before="60" w:after="60"/>
              <w:jc w:val="center"/>
            </w:pPr>
            <w:r>
              <w:t>10.0</w:t>
            </w:r>
          </w:p>
        </w:tc>
      </w:tr>
      <w:tr w:rsidR="00B67E9C" w14:paraId="3AA9E955"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0E1E6E93" w14:textId="77777777" w:rsidR="00B67E9C" w:rsidRDefault="00B67E9C">
            <w:pPr>
              <w:spacing w:before="60" w:after="60"/>
              <w:jc w:val="left"/>
            </w:pPr>
            <w:r>
              <w:rPr>
                <w:color w:val="000000"/>
              </w:rPr>
              <w:t xml:space="preserve">Mobile </w:t>
            </w:r>
            <w:proofErr w:type="spellStart"/>
            <w:r>
              <w:rPr>
                <w:color w:val="000000"/>
              </w:rPr>
              <w:t>refrig</w:t>
            </w:r>
            <w:proofErr w:type="spellEnd"/>
            <w:r>
              <w:rPr>
                <w:color w:val="000000"/>
              </w:rPr>
              <w:t>: marine</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084C2F0" w14:textId="77777777" w:rsidR="00B67E9C" w:rsidRDefault="00B67E9C">
            <w:pPr>
              <w:spacing w:before="60" w:after="60"/>
              <w:jc w:val="center"/>
            </w:pPr>
            <w:r>
              <w:t>130.0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0373A3E" w14:textId="77777777" w:rsidR="00B67E9C" w:rsidRDefault="00B67E9C">
            <w:pPr>
              <w:spacing w:before="60" w:after="60"/>
              <w:jc w:val="center"/>
            </w:pPr>
            <w:r>
              <w:t>130.0</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21C23A30" w14:textId="77777777" w:rsidR="00B67E9C" w:rsidRDefault="00B67E9C">
            <w:pPr>
              <w:spacing w:before="60" w:after="60"/>
              <w:jc w:val="center"/>
            </w:pPr>
            <w:r>
              <w:t>90%</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333EF8DD" w14:textId="77777777" w:rsidR="00B67E9C" w:rsidRDefault="00B67E9C">
            <w:pPr>
              <w:spacing w:before="60" w:after="60"/>
              <w:jc w:val="center"/>
            </w:pPr>
            <w:r>
              <w:t>95%</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11DDFD52" w14:textId="77777777" w:rsidR="00B67E9C" w:rsidRDefault="00B67E9C">
            <w:pPr>
              <w:spacing w:before="60" w:after="60"/>
              <w:jc w:val="center"/>
            </w:pPr>
            <w:r>
              <w:t>15.0%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BEDC3"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57ED0371" w14:textId="77777777" w:rsidR="00B67E9C" w:rsidRDefault="00B67E9C">
            <w:pPr>
              <w:spacing w:before="60" w:after="60"/>
              <w:jc w:val="center"/>
            </w:pPr>
            <w:r>
              <w:t>25.0</w:t>
            </w:r>
          </w:p>
        </w:tc>
      </w:tr>
      <w:tr w:rsidR="00B67E9C" w14:paraId="23FAC1E9" w14:textId="77777777" w:rsidTr="00B67E9C">
        <w:tc>
          <w:tcPr>
            <w:tcW w:w="20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23692F35" w14:textId="77777777" w:rsidR="00B67E9C" w:rsidRDefault="00B67E9C">
            <w:pPr>
              <w:spacing w:before="60" w:after="60"/>
              <w:jc w:val="left"/>
            </w:pPr>
            <w:r>
              <w:t xml:space="preserve">Domestic </w:t>
            </w:r>
            <w:proofErr w:type="spellStart"/>
            <w:r>
              <w:t>refrig</w:t>
            </w:r>
            <w:proofErr w:type="spellEnd"/>
            <w:r>
              <w:t>.</w:t>
            </w:r>
          </w:p>
        </w:tc>
        <w:tc>
          <w:tcPr>
            <w:tcW w:w="9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544C91E" w14:textId="77777777" w:rsidR="00B67E9C" w:rsidRDefault="00B67E9C">
            <w:pPr>
              <w:spacing w:before="60" w:after="60"/>
              <w:jc w:val="center"/>
            </w:pPr>
          </w:p>
        </w:tc>
        <w:tc>
          <w:tcPr>
            <w:tcW w:w="98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AE4349B" w14:textId="77777777" w:rsidR="00B67E9C" w:rsidRDefault="00B67E9C">
            <w:pPr>
              <w:spacing w:before="60" w:after="60"/>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FC2D454" w14:textId="77777777" w:rsidR="00B67E9C" w:rsidRDefault="00B67E9C">
            <w:pPr>
              <w:spacing w:before="60" w:after="60"/>
              <w:jc w:val="center"/>
            </w:pPr>
          </w:p>
        </w:tc>
        <w:tc>
          <w:tcPr>
            <w:tcW w:w="94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058994C" w14:textId="77777777" w:rsidR="00B67E9C" w:rsidRDefault="00B67E9C">
            <w:pPr>
              <w:spacing w:before="60" w:after="60"/>
              <w:jc w:val="center"/>
            </w:pPr>
          </w:p>
        </w:tc>
        <w:tc>
          <w:tcPr>
            <w:tcW w:w="127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1FDB8FA" w14:textId="77777777" w:rsidR="00B67E9C" w:rsidRDefault="00B67E9C">
            <w:pPr>
              <w:spacing w:before="60" w:after="60"/>
              <w:jc w:val="center"/>
            </w:pPr>
          </w:p>
        </w:tc>
        <w:tc>
          <w:tcPr>
            <w:tcW w:w="12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7DAE036B" w14:textId="77777777" w:rsidR="00B67E9C" w:rsidRDefault="00B67E9C">
            <w:pPr>
              <w:spacing w:before="60" w:after="60"/>
              <w:jc w:val="center"/>
            </w:pPr>
          </w:p>
        </w:tc>
        <w:tc>
          <w:tcPr>
            <w:tcW w:w="9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7C60D59" w14:textId="77777777" w:rsidR="00B67E9C" w:rsidRDefault="00B67E9C">
            <w:pPr>
              <w:spacing w:before="60" w:after="60"/>
              <w:jc w:val="center"/>
            </w:pPr>
          </w:p>
        </w:tc>
      </w:tr>
      <w:tr w:rsidR="00B67E9C" w14:paraId="0611C60D"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65EDD26C" w14:textId="77777777" w:rsidR="00B67E9C" w:rsidRDefault="00B67E9C">
            <w:pPr>
              <w:spacing w:before="60" w:after="60"/>
              <w:jc w:val="left"/>
            </w:pPr>
            <w:r>
              <w:rPr>
                <w:color w:val="000000"/>
              </w:rPr>
              <w:t xml:space="preserve">Refrigerators and freezers </w:t>
            </w:r>
            <w:r>
              <w:rPr>
                <w:color w:val="000000"/>
                <w:vertAlign w:val="superscript"/>
              </w:rPr>
              <w:t>(6)</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FAE5DB6" w14:textId="77777777" w:rsidR="00B67E9C" w:rsidRDefault="00B67E9C">
            <w:pPr>
              <w:spacing w:before="60" w:after="60"/>
              <w:jc w:val="center"/>
            </w:pPr>
            <w:r>
              <w:t>0.140</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0F4DFF37" w14:textId="77777777" w:rsidR="00B67E9C" w:rsidRDefault="00B67E9C">
            <w:pPr>
              <w:spacing w:before="60" w:after="60"/>
              <w:jc w:val="center"/>
            </w:pPr>
            <w:r>
              <w:t>0.133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3E448A44" w14:textId="77777777" w:rsidR="00B67E9C" w:rsidRDefault="00B67E9C">
            <w:pPr>
              <w:spacing w:before="60" w:after="60"/>
              <w:jc w:val="center"/>
            </w:pPr>
            <w:r>
              <w:t>90%</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66792FC3" w14:textId="77777777" w:rsidR="00B67E9C" w:rsidRDefault="00B67E9C">
            <w:pPr>
              <w:spacing w:before="60" w:after="60"/>
              <w:jc w:val="center"/>
            </w:pPr>
            <w:r>
              <w:t>90%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522A3C9B" w14:textId="77777777" w:rsidR="00B67E9C" w:rsidRDefault="00B67E9C">
            <w:pPr>
              <w:spacing w:before="60" w:after="60"/>
              <w:jc w:val="center"/>
            </w:pPr>
            <w:r>
              <w:t xml:space="preserve">0.25% </w:t>
            </w:r>
            <w:r>
              <w:rPr>
                <w:vertAlign w:val="superscript"/>
              </w:rPr>
              <w:t>(8)</w:t>
            </w:r>
          </w:p>
        </w:tc>
        <w:tc>
          <w:tcPr>
            <w:tcW w:w="1294" w:type="dxa"/>
            <w:vMerge w:val="restart"/>
            <w:tcBorders>
              <w:top w:val="single" w:sz="4" w:space="0" w:color="000000"/>
              <w:left w:val="single" w:sz="4" w:space="0" w:color="000000"/>
              <w:bottom w:val="single" w:sz="4" w:space="0" w:color="000000"/>
              <w:right w:val="single" w:sz="4" w:space="0" w:color="000000"/>
            </w:tcBorders>
            <w:vAlign w:val="center"/>
            <w:hideMark/>
          </w:tcPr>
          <w:p w14:paraId="3963EE4F" w14:textId="77777777" w:rsidR="00B67E9C" w:rsidRDefault="00B67E9C">
            <w:pPr>
              <w:spacing w:before="60" w:after="60"/>
              <w:jc w:val="center"/>
            </w:pPr>
            <w:r>
              <w:t>1.7%</w:t>
            </w: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49BA2B09" w14:textId="77777777" w:rsidR="00B67E9C" w:rsidRDefault="00B67E9C">
            <w:pPr>
              <w:spacing w:before="60" w:after="60"/>
              <w:jc w:val="center"/>
            </w:pPr>
            <w:r>
              <w:t>16.5</w:t>
            </w:r>
          </w:p>
        </w:tc>
      </w:tr>
      <w:tr w:rsidR="00B67E9C" w14:paraId="048AF3D0"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72E782AA" w14:textId="77777777" w:rsidR="00B67E9C" w:rsidRDefault="00B67E9C">
            <w:pPr>
              <w:spacing w:before="60" w:after="60"/>
              <w:jc w:val="left"/>
            </w:pPr>
            <w:r>
              <w:rPr>
                <w:color w:val="000000"/>
              </w:rPr>
              <w:t xml:space="preserve">Portable </w:t>
            </w:r>
            <w:proofErr w:type="spellStart"/>
            <w:r>
              <w:rPr>
                <w:color w:val="000000"/>
              </w:rPr>
              <w:t>refrig</w:t>
            </w:r>
            <w:proofErr w:type="spellEnd"/>
            <w:r>
              <w:rPr>
                <w:color w:val="000000"/>
              </w:rPr>
              <w: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68C9876" w14:textId="77777777" w:rsidR="00B67E9C" w:rsidRDefault="00B67E9C">
            <w:pPr>
              <w:spacing w:before="60" w:after="60"/>
              <w:jc w:val="center"/>
            </w:pPr>
            <w:r>
              <w:t>0.055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AC1C580" w14:textId="77777777" w:rsidR="00B67E9C" w:rsidRDefault="00B67E9C">
            <w:pPr>
              <w:spacing w:before="60" w:after="60"/>
              <w:jc w:val="center"/>
            </w:pPr>
            <w:r>
              <w:t>0.055</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06C2A927" w14:textId="77777777" w:rsidR="00B67E9C" w:rsidRDefault="00B67E9C">
            <w:pPr>
              <w:spacing w:before="60" w:after="60"/>
              <w:jc w:val="center"/>
            </w:pPr>
            <w:r>
              <w:t>95%</w:t>
            </w:r>
          </w:p>
        </w:tc>
        <w:tc>
          <w:tcPr>
            <w:tcW w:w="948" w:type="dxa"/>
            <w:vMerge w:val="restart"/>
            <w:tcBorders>
              <w:top w:val="single" w:sz="4" w:space="0" w:color="000000"/>
              <w:left w:val="single" w:sz="4" w:space="0" w:color="000000"/>
              <w:bottom w:val="single" w:sz="4" w:space="0" w:color="000000"/>
              <w:right w:val="single" w:sz="4" w:space="0" w:color="000000"/>
            </w:tcBorders>
            <w:vAlign w:val="center"/>
            <w:hideMark/>
          </w:tcPr>
          <w:p w14:paraId="74DFF4FD" w14:textId="77777777" w:rsidR="00B67E9C" w:rsidRDefault="00B67E9C">
            <w:pPr>
              <w:spacing w:before="60" w:after="60"/>
              <w:jc w:val="center"/>
            </w:pPr>
            <w:r>
              <w:t>0%</w:t>
            </w: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4EC6741D" w14:textId="77777777" w:rsidR="00B67E9C" w:rsidRDefault="00B67E9C">
            <w:pPr>
              <w:spacing w:before="60" w:after="60"/>
              <w:jc w:val="center"/>
            </w:pPr>
            <w:r>
              <w:t>0.25%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14D16"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65D70295" w14:textId="77777777" w:rsidR="00B67E9C" w:rsidRDefault="00B67E9C">
            <w:pPr>
              <w:spacing w:before="60" w:after="60"/>
              <w:jc w:val="center"/>
            </w:pPr>
            <w:r>
              <w:t>12.0</w:t>
            </w:r>
          </w:p>
        </w:tc>
      </w:tr>
      <w:tr w:rsidR="00B67E9C" w14:paraId="3BC991B3" w14:textId="77777777" w:rsidTr="00B67E9C">
        <w:tc>
          <w:tcPr>
            <w:tcW w:w="2001" w:type="dxa"/>
            <w:tcBorders>
              <w:top w:val="single" w:sz="4" w:space="0" w:color="000000"/>
              <w:left w:val="single" w:sz="4" w:space="0" w:color="000000"/>
              <w:bottom w:val="single" w:sz="4" w:space="0" w:color="000000"/>
              <w:right w:val="single" w:sz="4" w:space="0" w:color="000000"/>
            </w:tcBorders>
            <w:vAlign w:val="bottom"/>
            <w:hideMark/>
          </w:tcPr>
          <w:p w14:paraId="61B81255" w14:textId="77777777" w:rsidR="00B67E9C" w:rsidRDefault="00B67E9C">
            <w:pPr>
              <w:spacing w:before="60" w:after="60"/>
              <w:jc w:val="left"/>
            </w:pPr>
            <w:r>
              <w:rPr>
                <w:color w:val="000000"/>
              </w:rPr>
              <w:t xml:space="preserve">Vehicle </w:t>
            </w:r>
            <w:proofErr w:type="spellStart"/>
            <w:r>
              <w:rPr>
                <w:color w:val="000000"/>
              </w:rPr>
              <w:t>refrig</w:t>
            </w:r>
            <w:proofErr w:type="spellEnd"/>
            <w:r>
              <w:rPr>
                <w:color w:val="000000"/>
              </w:rPr>
              <w: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DA42151" w14:textId="77777777" w:rsidR="00B67E9C" w:rsidRDefault="00B67E9C">
            <w:pPr>
              <w:spacing w:before="60" w:after="60"/>
              <w:jc w:val="center"/>
            </w:pPr>
            <w:r>
              <w:t>0.035</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4C9F037B" w14:textId="77777777" w:rsidR="00B67E9C" w:rsidRDefault="00B67E9C">
            <w:pPr>
              <w:spacing w:before="60" w:after="60"/>
              <w:jc w:val="center"/>
            </w:pPr>
            <w:r>
              <w:t>0.035</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0B55649F" w14:textId="77777777" w:rsidR="00B67E9C" w:rsidRDefault="00B67E9C">
            <w:pPr>
              <w:spacing w:before="60" w:after="60"/>
              <w:jc w:val="center"/>
            </w:pPr>
            <w:r>
              <w:t>95%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01E08E" w14:textId="77777777" w:rsidR="00B67E9C" w:rsidRDefault="00B67E9C">
            <w:pPr>
              <w:spacing w:before="0"/>
              <w:jc w:val="left"/>
            </w:pPr>
          </w:p>
        </w:tc>
        <w:tc>
          <w:tcPr>
            <w:tcW w:w="1272" w:type="dxa"/>
            <w:tcBorders>
              <w:top w:val="single" w:sz="4" w:space="0" w:color="000000"/>
              <w:left w:val="single" w:sz="4" w:space="0" w:color="000000"/>
              <w:bottom w:val="single" w:sz="4" w:space="0" w:color="000000"/>
              <w:right w:val="single" w:sz="4" w:space="0" w:color="000000"/>
            </w:tcBorders>
            <w:vAlign w:val="center"/>
            <w:hideMark/>
          </w:tcPr>
          <w:p w14:paraId="71109BA6" w14:textId="77777777" w:rsidR="00B67E9C" w:rsidRDefault="00B67E9C">
            <w:pPr>
              <w:spacing w:before="60" w:after="60"/>
              <w:jc w:val="center"/>
            </w:pPr>
            <w:r>
              <w:t>0.25%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01702" w14:textId="77777777" w:rsidR="00B67E9C" w:rsidRDefault="00B67E9C">
            <w:pPr>
              <w:spacing w:before="0"/>
              <w:jc w:val="left"/>
            </w:pPr>
          </w:p>
        </w:tc>
        <w:tc>
          <w:tcPr>
            <w:tcW w:w="997" w:type="dxa"/>
            <w:tcBorders>
              <w:top w:val="single" w:sz="4" w:space="0" w:color="000000"/>
              <w:left w:val="single" w:sz="4" w:space="0" w:color="000000"/>
              <w:bottom w:val="single" w:sz="4" w:space="0" w:color="000000"/>
              <w:right w:val="single" w:sz="4" w:space="0" w:color="000000"/>
            </w:tcBorders>
            <w:vAlign w:val="center"/>
            <w:hideMark/>
          </w:tcPr>
          <w:p w14:paraId="40EF6A30" w14:textId="77777777" w:rsidR="00B67E9C" w:rsidRDefault="00B67E9C">
            <w:pPr>
              <w:spacing w:before="60" w:after="60"/>
              <w:jc w:val="center"/>
            </w:pPr>
            <w:r>
              <w:t>12.0</w:t>
            </w:r>
          </w:p>
        </w:tc>
      </w:tr>
    </w:tbl>
    <w:p w14:paraId="3EE746D6" w14:textId="77777777" w:rsidR="00B67E9C" w:rsidRDefault="00B67E9C" w:rsidP="00B67E9C">
      <w:pPr>
        <w:spacing w:before="60"/>
        <w:rPr>
          <w:rFonts w:cs="Times New Roman"/>
          <w:szCs w:val="22"/>
        </w:rPr>
      </w:pPr>
      <w:r>
        <w:rPr>
          <w:rFonts w:cs="Times New Roman"/>
          <w:szCs w:val="22"/>
        </w:rPr>
        <w:t>Notes:</w:t>
      </w:r>
    </w:p>
    <w:p w14:paraId="49954C2B"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Charge for HFC-410A single split system is 1.45 kg.</w:t>
      </w:r>
    </w:p>
    <w:p w14:paraId="7F97F1F2"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 xml:space="preserve">The HCFC-123 charge is different with capacity range &gt;500 &amp; &lt;1000 </w:t>
      </w:r>
      <w:proofErr w:type="spellStart"/>
      <w:r>
        <w:rPr>
          <w:rFonts w:ascii="Times New Roman" w:hAnsi="Times New Roman"/>
          <w:sz w:val="20"/>
          <w:szCs w:val="20"/>
        </w:rPr>
        <w:t>kWr</w:t>
      </w:r>
      <w:proofErr w:type="spellEnd"/>
      <w:r>
        <w:rPr>
          <w:rFonts w:ascii="Times New Roman" w:hAnsi="Times New Roman"/>
          <w:sz w:val="20"/>
          <w:szCs w:val="20"/>
        </w:rPr>
        <w:t xml:space="preserve"> = 180 kgs, and &gt;1000 </w:t>
      </w:r>
      <w:proofErr w:type="spellStart"/>
      <w:r>
        <w:rPr>
          <w:rFonts w:ascii="Times New Roman" w:hAnsi="Times New Roman"/>
          <w:sz w:val="20"/>
          <w:szCs w:val="20"/>
        </w:rPr>
        <w:t>kWr</w:t>
      </w:r>
      <w:proofErr w:type="spellEnd"/>
      <w:r>
        <w:rPr>
          <w:rFonts w:ascii="Times New Roman" w:hAnsi="Times New Roman"/>
          <w:sz w:val="20"/>
          <w:szCs w:val="20"/>
        </w:rPr>
        <w:t xml:space="preserve"> = 670 kg as they are generally large capacity models.</w:t>
      </w:r>
    </w:p>
    <w:p w14:paraId="0329D970"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Large MAC EOL percent adjusted to be consistent with commercial AC.</w:t>
      </w:r>
    </w:p>
    <w:p w14:paraId="77874F5D"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Supermarket refrigeration adjusted to 100%, consistent with high service levels, recovery and re-use.</w:t>
      </w:r>
    </w:p>
    <w:p w14:paraId="1CFC8D0A"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Supermarket lifespan relates to average plantroom refurbishment lifespan.</w:t>
      </w:r>
    </w:p>
    <w:p w14:paraId="1FBB728E"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Refrigerators and freezers average charge for HC is 0.55 grams. Portable and vehicle refrigeration rarely use HC.</w:t>
      </w:r>
    </w:p>
    <w:p w14:paraId="752674B8"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The theoretical leak rate across Large MAC is lower due to the low leak rate of RV and caravans.</w:t>
      </w:r>
    </w:p>
    <w:p w14:paraId="5F58AD74" w14:textId="77777777" w:rsidR="00B67E9C" w:rsidRDefault="00B67E9C" w:rsidP="00B67E9C">
      <w:pPr>
        <w:pStyle w:val="ListParagraph"/>
        <w:numPr>
          <w:ilvl w:val="0"/>
          <w:numId w:val="12"/>
        </w:numPr>
        <w:spacing w:before="60" w:after="0" w:line="240" w:lineRule="auto"/>
        <w:ind w:left="360"/>
        <w:jc w:val="both"/>
        <w:rPr>
          <w:rFonts w:ascii="Times New Roman" w:hAnsi="Times New Roman"/>
          <w:sz w:val="20"/>
          <w:szCs w:val="20"/>
        </w:rPr>
      </w:pPr>
      <w:r>
        <w:rPr>
          <w:rFonts w:ascii="Times New Roman" w:hAnsi="Times New Roman"/>
          <w:sz w:val="20"/>
          <w:szCs w:val="20"/>
        </w:rPr>
        <w:t xml:space="preserve">The service rate in 2018 has been lowered to 0.25% as the service of these appliances rarely involves refrigerant. If refrigerant is required, the unit is typically retired. The higher theoretical leak rate of 1.7% is due to the higher leak rates of older vintages in the stock model. </w:t>
      </w:r>
    </w:p>
    <w:p w14:paraId="680329A8" w14:textId="77777777" w:rsidR="00B67E9C" w:rsidRDefault="00B67E9C" w:rsidP="00B67E9C">
      <w:pPr>
        <w:spacing w:before="60"/>
        <w:rPr>
          <w:sz w:val="20"/>
          <w:szCs w:val="20"/>
        </w:rPr>
      </w:pPr>
    </w:p>
    <w:p w14:paraId="5C620F29" w14:textId="77777777" w:rsidR="00B67E9C" w:rsidRDefault="00B67E9C" w:rsidP="00B67E9C">
      <w:pPr>
        <w:pStyle w:val="Heading3"/>
        <w:numPr>
          <w:ilvl w:val="2"/>
          <w:numId w:val="5"/>
        </w:numPr>
      </w:pPr>
      <w:bookmarkStart w:id="20" w:name="_Toc54601652"/>
      <w:r>
        <w:t>Hydrocarbons and equivalent refrigerant charge</w:t>
      </w:r>
      <w:bookmarkEnd w:id="20"/>
    </w:p>
    <w:p w14:paraId="38EC7EC6" w14:textId="77777777" w:rsidR="00B67E9C" w:rsidRDefault="00B67E9C" w:rsidP="00B67E9C">
      <w:pPr>
        <w:rPr>
          <w:rFonts w:cs="Times New Roman"/>
          <w:szCs w:val="22"/>
          <w:lang w:val="en-US"/>
        </w:rPr>
      </w:pPr>
      <w:r>
        <w:rPr>
          <w:rFonts w:cs="Times New Roman"/>
          <w:szCs w:val="22"/>
          <w:lang w:val="en-US"/>
        </w:rPr>
        <w:t>The equivalent refrigerant charge shows changing market share. Instead of showing this through the proportion of devices, it shows it through the proportion of refrigerant a particular piece of equipment or device would have used had newer low GWP technology, such as hydrocarbon, not replaced it.</w:t>
      </w:r>
    </w:p>
    <w:p w14:paraId="63C83477" w14:textId="77777777" w:rsidR="00B67E9C" w:rsidRDefault="00B67E9C" w:rsidP="00B67E9C">
      <w:pPr>
        <w:rPr>
          <w:rFonts w:cs="Times New Roman"/>
          <w:szCs w:val="22"/>
          <w:lang w:val="en-US"/>
        </w:rPr>
      </w:pPr>
      <w:r>
        <w:rPr>
          <w:rFonts w:cs="Times New Roman"/>
          <w:szCs w:val="22"/>
          <w:lang w:val="en-US"/>
        </w:rPr>
        <w:t xml:space="preserve">The equivalent refrigerant charge is a tool used in this report to help visually compare different equipment types </w:t>
      </w:r>
      <w:proofErr w:type="gramStart"/>
      <w:r>
        <w:rPr>
          <w:rFonts w:cs="Times New Roman"/>
          <w:szCs w:val="22"/>
          <w:lang w:val="en-US"/>
        </w:rPr>
        <w:t>on the basis of</w:t>
      </w:r>
      <w:proofErr w:type="gramEnd"/>
      <w:r>
        <w:rPr>
          <w:rFonts w:cs="Times New Roman"/>
          <w:szCs w:val="22"/>
          <w:lang w:val="en-US"/>
        </w:rPr>
        <w:t xml:space="preserve"> the work that the refrigerants carry out. This has assisted in illustrating how different sectors are transitioning to new equipment – either at a particular point in time, or the rate of those transitions over time.</w:t>
      </w:r>
    </w:p>
    <w:p w14:paraId="12919E76" w14:textId="77777777" w:rsidR="00B67E9C" w:rsidRDefault="00B67E9C" w:rsidP="00B67E9C">
      <w:pPr>
        <w:rPr>
          <w:rFonts w:cs="Times New Roman"/>
          <w:szCs w:val="22"/>
          <w:lang w:val="en-US"/>
        </w:rPr>
      </w:pPr>
      <w:r>
        <w:rPr>
          <w:rFonts w:cs="Times New Roman"/>
          <w:szCs w:val="22"/>
          <w:lang w:val="en-US"/>
        </w:rPr>
        <w:t>It does not ignore or replace the ‘actual’ charge; it is an alternative measure used to help represent the rate of transition of the number of devices and the energy services they provide.</w:t>
      </w:r>
    </w:p>
    <w:p w14:paraId="7778D78D" w14:textId="77777777" w:rsidR="00B67E9C" w:rsidRDefault="00B67E9C" w:rsidP="00B67E9C">
      <w:pPr>
        <w:rPr>
          <w:rFonts w:cs="Times New Roman"/>
          <w:szCs w:val="22"/>
          <w:lang w:val="en-US"/>
        </w:rPr>
      </w:pPr>
      <w:r>
        <w:rPr>
          <w:rFonts w:cs="Times New Roman"/>
          <w:szCs w:val="22"/>
          <w:lang w:val="en-US"/>
        </w:rPr>
        <w:lastRenderedPageBreak/>
        <w:t>The model assesses the charge size and bank based on equivalent refrigerant charge and actual refrigerant charge. The equivalent charge size relates to the amount of high GWP HFC that will be displaced, not the actual charge of the lower GWP refrigerant which can be up to 70% less (</w:t>
      </w:r>
      <w:proofErr w:type="gramStart"/>
      <w:r>
        <w:rPr>
          <w:rFonts w:cs="Times New Roman"/>
          <w:szCs w:val="22"/>
          <w:lang w:val="en-US"/>
        </w:rPr>
        <w:t>e.g.</w:t>
      </w:r>
      <w:proofErr w:type="gramEnd"/>
      <w:r>
        <w:rPr>
          <w:rFonts w:cs="Times New Roman"/>
          <w:szCs w:val="22"/>
          <w:lang w:val="en-US"/>
        </w:rPr>
        <w:t xml:space="preserve"> hydrocarbon). </w:t>
      </w:r>
    </w:p>
    <w:p w14:paraId="71F22F62" w14:textId="77777777" w:rsidR="00B67E9C" w:rsidRDefault="00B67E9C" w:rsidP="00B67E9C">
      <w:pPr>
        <w:rPr>
          <w:rFonts w:cs="Times New Roman"/>
          <w:szCs w:val="22"/>
          <w:lang w:val="en-US"/>
        </w:rPr>
      </w:pPr>
      <w:r>
        <w:rPr>
          <w:rFonts w:cs="Times New Roman"/>
          <w:szCs w:val="22"/>
          <w:lang w:val="en-US"/>
        </w:rPr>
        <w:t>The equivalent charge provides a comparative representation of the rate of transition of the number of devices, and the energy services they provide whereas the actual refrigerant charges in aggregate can provide insights into the scale of the bank and skills required to service different refrigerant classes.</w:t>
      </w:r>
    </w:p>
    <w:p w14:paraId="7310C9D8" w14:textId="77777777" w:rsidR="00B67E9C" w:rsidRDefault="00B67E9C" w:rsidP="00B67E9C">
      <w:pPr>
        <w:rPr>
          <w:rFonts w:cs="Times New Roman"/>
          <w:szCs w:val="22"/>
          <w:lang w:val="en-US"/>
        </w:rPr>
      </w:pPr>
    </w:p>
    <w:p w14:paraId="661C5E6D" w14:textId="77777777" w:rsidR="00B67E9C" w:rsidRDefault="00B67E9C" w:rsidP="00B67E9C">
      <w:pPr>
        <w:pStyle w:val="Heading3"/>
        <w:numPr>
          <w:ilvl w:val="2"/>
          <w:numId w:val="5"/>
        </w:numPr>
      </w:pPr>
      <w:bookmarkStart w:id="21" w:name="_Toc54601653"/>
      <w:r>
        <w:t>Leak rate improvements over time</w:t>
      </w:r>
      <w:bookmarkEnd w:id="21"/>
    </w:p>
    <w:p w14:paraId="695F5848" w14:textId="77777777" w:rsidR="00B67E9C" w:rsidRDefault="00B67E9C" w:rsidP="00B67E9C">
      <w:pPr>
        <w:rPr>
          <w:rFonts w:cs="Times New Roman"/>
          <w:szCs w:val="22"/>
          <w:lang w:val="en-US"/>
        </w:rPr>
      </w:pPr>
      <w:r>
        <w:rPr>
          <w:rFonts w:cs="Times New Roman"/>
          <w:szCs w:val="22"/>
          <w:lang w:val="en-US"/>
        </w:rPr>
        <w:t xml:space="preserve">When considering average economy wide leak </w:t>
      </w:r>
      <w:proofErr w:type="gramStart"/>
      <w:r>
        <w:rPr>
          <w:rFonts w:cs="Times New Roman"/>
          <w:szCs w:val="22"/>
          <w:lang w:val="en-US"/>
        </w:rPr>
        <w:t>rates</w:t>
      </w:r>
      <w:proofErr w:type="gramEnd"/>
      <w:r>
        <w:rPr>
          <w:rFonts w:cs="Times New Roman"/>
          <w:szCs w:val="22"/>
          <w:lang w:val="en-US"/>
        </w:rPr>
        <w:t xml:space="preserve"> it is important to </w:t>
      </w:r>
      <w:proofErr w:type="spellStart"/>
      <w:r>
        <w:rPr>
          <w:rFonts w:cs="Times New Roman"/>
          <w:szCs w:val="22"/>
          <w:lang w:val="en-US"/>
        </w:rPr>
        <w:t>recognise</w:t>
      </w:r>
      <w:proofErr w:type="spellEnd"/>
      <w:r>
        <w:rPr>
          <w:rFonts w:cs="Times New Roman"/>
          <w:szCs w:val="22"/>
          <w:lang w:val="en-US"/>
        </w:rPr>
        <w:t xml:space="preserve"> that they generally improve over time. As older equipment retires and is replaced with new designs that employ improved containment, leak rates of new equipment are nearly universally found to be lower, with the effect that the average leak rates across a product category reduces over time. </w:t>
      </w:r>
    </w:p>
    <w:p w14:paraId="09CAB673" w14:textId="77777777" w:rsidR="00B67E9C" w:rsidRDefault="00B67E9C" w:rsidP="00B67E9C">
      <w:pPr>
        <w:rPr>
          <w:rFonts w:cs="Times New Roman"/>
          <w:szCs w:val="22"/>
          <w:lang w:val="en-US"/>
        </w:rPr>
      </w:pPr>
      <w:r>
        <w:rPr>
          <w:rFonts w:cs="Times New Roman"/>
          <w:szCs w:val="22"/>
          <w:lang w:val="en-US"/>
        </w:rPr>
        <w:t>The evolution of wall-hung and ducted split air conditioning equipment demonstrates this evolution in improved design and manufacturing capability. For instance, the older generation equipment from the 1990s and the 2000s, containing HCFC-22, has leak rates in the order of 8% per annum, versus current generation models with leak rates of around 3% per annum and less.</w:t>
      </w:r>
    </w:p>
    <w:p w14:paraId="40C609A8" w14:textId="77777777" w:rsidR="00B67E9C" w:rsidRDefault="00B67E9C" w:rsidP="00B67E9C">
      <w:pPr>
        <w:rPr>
          <w:rFonts w:cs="Times New Roman"/>
          <w:szCs w:val="22"/>
          <w:lang w:val="en-US"/>
        </w:rPr>
      </w:pPr>
      <w:r>
        <w:rPr>
          <w:rFonts w:cs="Times New Roman"/>
          <w:szCs w:val="22"/>
          <w:lang w:val="en-US"/>
        </w:rPr>
        <w:t xml:space="preserve">In addition, as field practices improve, and as the cost of refrigerant increases, leak rates decline and can do so very rapidly. This was amply demonstrated by the market response to the rapid rise in the price of HCFC-22 to wholesale prices of around $100 per kg that has now </w:t>
      </w:r>
      <w:proofErr w:type="spellStart"/>
      <w:r>
        <w:rPr>
          <w:rFonts w:cs="Times New Roman"/>
          <w:szCs w:val="22"/>
          <w:lang w:val="en-US"/>
        </w:rPr>
        <w:t>stabilised</w:t>
      </w:r>
      <w:proofErr w:type="spellEnd"/>
      <w:r>
        <w:rPr>
          <w:rFonts w:cs="Times New Roman"/>
          <w:szCs w:val="22"/>
          <w:lang w:val="en-US"/>
        </w:rPr>
        <w:t xml:space="preserve"> at this level.</w:t>
      </w:r>
    </w:p>
    <w:p w14:paraId="086D4E7F" w14:textId="77777777" w:rsidR="00B67E9C" w:rsidRDefault="00B67E9C" w:rsidP="00B67E9C">
      <w:pPr>
        <w:rPr>
          <w:rFonts w:cs="Times New Roman"/>
          <w:szCs w:val="22"/>
          <w:lang w:val="en-US"/>
        </w:rPr>
      </w:pPr>
      <w:r>
        <w:rPr>
          <w:rFonts w:cs="Times New Roman"/>
          <w:szCs w:val="22"/>
          <w:lang w:val="en-US"/>
        </w:rPr>
        <w:t>The Australian supermarket industry is another good example where leak rates at the beginning of the century were thought to be above 20% per annum, and hence the use of a leak rate of 23% in the National Greenhouse and Energy Reporting Act 2007. Current market intelligence and reconciling usage shows leak rates of HFC-404A less than half this within the main supermarket chains. Supermarkets, and other segments of the industry that employ equipment that is maintained by engineers, have improved leak rates substantially since the introduction of the equivalent carbon tax in 2012. Even though this tax was only in place for two years, it appears to have substantially changed behavior in several sectors of the industry.</w:t>
      </w:r>
    </w:p>
    <w:p w14:paraId="64691728" w14:textId="77777777" w:rsidR="00B67E9C" w:rsidRDefault="00B67E9C" w:rsidP="00B67E9C">
      <w:pPr>
        <w:rPr>
          <w:lang w:val="en-US"/>
        </w:rPr>
      </w:pPr>
    </w:p>
    <w:p w14:paraId="2EAA3C23" w14:textId="77777777" w:rsidR="00B67E9C" w:rsidRDefault="00B67E9C" w:rsidP="00B67E9C">
      <w:pPr>
        <w:pStyle w:val="Heading3"/>
        <w:numPr>
          <w:ilvl w:val="2"/>
          <w:numId w:val="5"/>
        </w:numPr>
      </w:pPr>
      <w:bookmarkStart w:id="22" w:name="_Toc54601654"/>
      <w:r>
        <w:t>Losses at end-of-life and recoverable refrigerant</w:t>
      </w:r>
      <w:bookmarkEnd w:id="22"/>
      <w:r>
        <w:t xml:space="preserve"> </w:t>
      </w:r>
    </w:p>
    <w:p w14:paraId="53D1E60D" w14:textId="77777777" w:rsidR="00B67E9C" w:rsidRDefault="00B67E9C" w:rsidP="00B67E9C">
      <w:pPr>
        <w:rPr>
          <w:rFonts w:cs="Times New Roman"/>
          <w:szCs w:val="22"/>
          <w:lang w:val="en-US"/>
        </w:rPr>
      </w:pPr>
      <w:r>
        <w:rPr>
          <w:rFonts w:cs="Times New Roman"/>
          <w:szCs w:val="22"/>
          <w:lang w:val="en-US"/>
        </w:rPr>
        <w:t xml:space="preserve">Refrigerant recovery is compulsory under the OPSGGM Act and the associated Regulations. Refrigerant Reclaim Australia (RRA), a not-for-profit </w:t>
      </w:r>
      <w:proofErr w:type="spellStart"/>
      <w:r>
        <w:rPr>
          <w:rFonts w:cs="Times New Roman"/>
          <w:szCs w:val="22"/>
          <w:lang w:val="en-US"/>
        </w:rPr>
        <w:t>organisation</w:t>
      </w:r>
      <w:proofErr w:type="spellEnd"/>
      <w:r>
        <w:rPr>
          <w:rFonts w:cs="Times New Roman"/>
          <w:szCs w:val="22"/>
          <w:lang w:val="en-US"/>
        </w:rPr>
        <w:t xml:space="preserve">, is </w:t>
      </w:r>
      <w:proofErr w:type="spellStart"/>
      <w:r>
        <w:rPr>
          <w:rFonts w:cs="Times New Roman"/>
          <w:szCs w:val="22"/>
          <w:lang w:val="en-US"/>
        </w:rPr>
        <w:t>authorised</w:t>
      </w:r>
      <w:proofErr w:type="spellEnd"/>
      <w:r>
        <w:rPr>
          <w:rFonts w:cs="Times New Roman"/>
          <w:szCs w:val="22"/>
          <w:lang w:val="en-US"/>
        </w:rPr>
        <w:t xml:space="preserve"> by the Australian Competition and Consumer Commission (ACCC) to work with industry to recover, reclaim and destroy ozone depleting and synthetic greenhouse gases. </w:t>
      </w:r>
    </w:p>
    <w:p w14:paraId="36736AAC" w14:textId="77777777" w:rsidR="00B67E9C" w:rsidRDefault="00B67E9C" w:rsidP="00B67E9C">
      <w:pPr>
        <w:rPr>
          <w:rFonts w:cs="Times New Roman"/>
          <w:szCs w:val="22"/>
          <w:lang w:val="en-US"/>
        </w:rPr>
      </w:pPr>
      <w:r>
        <w:rPr>
          <w:rFonts w:cs="Times New Roman"/>
          <w:szCs w:val="22"/>
          <w:lang w:val="en-US"/>
        </w:rPr>
        <w:t xml:space="preserve">The EOL charge and therefore the potential end-of-life emissions are calculated by multiplying the average refrigerant charge by the EOL factor - the proportion of original charge remaining at end of life for each segment or equipment category, if available at that level. The EOL factors used were generally consistent with those used by the IPCC and ICF International in a variety of technical papers (ICF 2010). </w:t>
      </w:r>
    </w:p>
    <w:p w14:paraId="04D01C2F" w14:textId="77777777" w:rsidR="00B67E9C" w:rsidRDefault="00B67E9C" w:rsidP="00B67E9C">
      <w:pPr>
        <w:rPr>
          <w:rFonts w:cs="Times New Roman"/>
          <w:szCs w:val="22"/>
          <w:lang w:val="en-US"/>
        </w:rPr>
      </w:pPr>
      <w:r>
        <w:rPr>
          <w:rFonts w:cs="Times New Roman"/>
          <w:szCs w:val="22"/>
          <w:lang w:val="en-US"/>
        </w:rPr>
        <w:t xml:space="preserve">The EOL charge multiplied by the technically recoverable factor (recovery efficiency/recycling factor) equates to the recoverable refrigerant, the amount that is available for either reclamation or destruction. Between 30 June 2007 and 30 June 2012 an average of about 500 </w:t>
      </w:r>
      <w:proofErr w:type="spellStart"/>
      <w:r>
        <w:rPr>
          <w:rFonts w:cs="Times New Roman"/>
          <w:szCs w:val="22"/>
          <w:lang w:val="en-US"/>
        </w:rPr>
        <w:t>tonnes</w:t>
      </w:r>
      <w:proofErr w:type="spellEnd"/>
      <w:r>
        <w:rPr>
          <w:rFonts w:cs="Times New Roman"/>
          <w:szCs w:val="22"/>
          <w:lang w:val="en-US"/>
        </w:rPr>
        <w:t xml:space="preserve"> of waste HCFCs and HFCs was collected and destroyed annually in Australia via the RRA scheme. The balance that is not destroyed, re-used nor reclaimed is considered a direct emission.</w:t>
      </w:r>
    </w:p>
    <w:p w14:paraId="3ED5E66E" w14:textId="77777777" w:rsidR="00B67E9C" w:rsidRDefault="00B67E9C" w:rsidP="00B67E9C">
      <w:pPr>
        <w:rPr>
          <w:rFonts w:cs="Times New Roman"/>
          <w:szCs w:val="22"/>
          <w:lang w:val="en-US"/>
        </w:rPr>
      </w:pPr>
      <w:r>
        <w:rPr>
          <w:rFonts w:cs="Times New Roman"/>
          <w:szCs w:val="22"/>
          <w:lang w:val="en-US"/>
        </w:rPr>
        <w:lastRenderedPageBreak/>
        <w:t xml:space="preserve">For some products direct emissions include losses calculated for appliances and equipment reaching the end of the </w:t>
      </w:r>
      <w:proofErr w:type="gramStart"/>
      <w:r>
        <w:rPr>
          <w:rFonts w:cs="Times New Roman"/>
          <w:szCs w:val="22"/>
          <w:lang w:val="en-US"/>
        </w:rPr>
        <w:t>products</w:t>
      </w:r>
      <w:proofErr w:type="gramEnd"/>
      <w:r>
        <w:rPr>
          <w:rFonts w:cs="Times New Roman"/>
          <w:szCs w:val="22"/>
          <w:lang w:val="en-US"/>
        </w:rPr>
        <w:t xml:space="preserve"> useful life. The assumption for some products, such as domestic refrigerators and portable air conditioners, is that </w:t>
      </w:r>
      <w:proofErr w:type="gramStart"/>
      <w:r>
        <w:rPr>
          <w:rFonts w:cs="Times New Roman"/>
          <w:szCs w:val="22"/>
          <w:lang w:val="en-US"/>
        </w:rPr>
        <w:t>all of</w:t>
      </w:r>
      <w:proofErr w:type="gramEnd"/>
      <w:r>
        <w:rPr>
          <w:rFonts w:cs="Times New Roman"/>
          <w:szCs w:val="22"/>
          <w:lang w:val="en-US"/>
        </w:rPr>
        <w:t xml:space="preserve"> the remaining charge of refrigerant is lost to air and none is recovered.</w:t>
      </w:r>
    </w:p>
    <w:p w14:paraId="2EF5DC02" w14:textId="77777777" w:rsidR="00B67E9C" w:rsidRDefault="00B67E9C" w:rsidP="00B67E9C">
      <w:pPr>
        <w:rPr>
          <w:rFonts w:cs="Times New Roman"/>
          <w:szCs w:val="22"/>
          <w:lang w:val="en-US"/>
        </w:rPr>
      </w:pPr>
    </w:p>
    <w:p w14:paraId="29060E99" w14:textId="77777777" w:rsidR="00B67E9C" w:rsidRDefault="00B67E9C" w:rsidP="00B67E9C">
      <w:pPr>
        <w:pStyle w:val="Heading3"/>
        <w:numPr>
          <w:ilvl w:val="2"/>
          <w:numId w:val="5"/>
        </w:numPr>
      </w:pPr>
      <w:bookmarkStart w:id="23" w:name="_Toc54601655"/>
      <w:r>
        <w:t>New sales mix projections</w:t>
      </w:r>
      <w:bookmarkEnd w:id="23"/>
      <w:r>
        <w:t xml:space="preserve"> </w:t>
      </w:r>
    </w:p>
    <w:p w14:paraId="686ABD33" w14:textId="77777777" w:rsidR="00B67E9C" w:rsidRDefault="00B67E9C" w:rsidP="00B67E9C">
      <w:pPr>
        <w:rPr>
          <w:rFonts w:cs="Times New Roman"/>
          <w:szCs w:val="22"/>
          <w:lang w:val="en-US"/>
        </w:rPr>
      </w:pPr>
      <w:r>
        <w:rPr>
          <w:rFonts w:cs="Times New Roman"/>
          <w:szCs w:val="22"/>
          <w:lang w:val="en-US"/>
        </w:rPr>
        <w:t>Projections of new sales mix by species are based on linear projections of sales units by species in periods from 2018 to 2020, 2020 to 2025, and 2025 to 2030. The dominant substance is typically used as the residual portion to round off the proportion of sales to 100% and therefore is not linear. For example, with RCFC2: Medium Commercial Refrigeration, HFC-404A is the dominant substance and other substances such as HFC-134a, GWP&lt;2150, GWP&lt;1000 and GWP&lt;10 have linear projections in the model between the nominated periods.</w:t>
      </w:r>
    </w:p>
    <w:p w14:paraId="61E94184" w14:textId="77777777" w:rsidR="00B67E9C" w:rsidRDefault="00B67E9C" w:rsidP="00B67E9C">
      <w:pPr>
        <w:rPr>
          <w:rFonts w:cs="Times New Roman"/>
          <w:szCs w:val="22"/>
          <w:lang w:val="en-US"/>
        </w:rPr>
      </w:pPr>
      <w:r>
        <w:rPr>
          <w:rFonts w:cs="Times New Roman"/>
          <w:szCs w:val="22"/>
          <w:lang w:val="en-US"/>
        </w:rPr>
        <w:t>The CHF3 2019 RAC Model has new sales mix inputs for all equipment types and aggregated outputs for product categories (</w:t>
      </w:r>
      <w:proofErr w:type="gramStart"/>
      <w:r>
        <w:rPr>
          <w:rFonts w:cs="Times New Roman"/>
          <w:szCs w:val="22"/>
          <w:lang w:val="en-US"/>
        </w:rPr>
        <w:t>i.e.</w:t>
      </w:r>
      <w:proofErr w:type="gramEnd"/>
      <w:r>
        <w:rPr>
          <w:rFonts w:cs="Times New Roman"/>
          <w:szCs w:val="22"/>
          <w:lang w:val="en-US"/>
        </w:rPr>
        <w:t xml:space="preserve"> AC3: Medium AC: Ducted &amp; light commercial).</w:t>
      </w:r>
    </w:p>
    <w:p w14:paraId="4C8345AF" w14:textId="77777777" w:rsidR="00B67E9C" w:rsidRDefault="00B67E9C" w:rsidP="00B67E9C">
      <w:pPr>
        <w:rPr>
          <w:rFonts w:cs="Times New Roman"/>
          <w:szCs w:val="22"/>
          <w:lang w:val="en-US"/>
        </w:rPr>
      </w:pPr>
      <w:r>
        <w:rPr>
          <w:rFonts w:cs="Times New Roman"/>
          <w:szCs w:val="22"/>
          <w:lang w:val="en-US"/>
        </w:rPr>
        <w:t>New equipment sales mix by equipment type are in units, these sales mixes are multiplied by respective charges sizes by year to provide new sales mix by refrigerant mass. The new sales mix by mass for each equipment types is aggregated into respective product categories to provide an aggregated new sales mix output projection by refrigerant mass. The difference between the two is the input is a ‘unit or quantity mix’ and the output is an aggregated ‘refrigerant mass mix’.</w:t>
      </w:r>
    </w:p>
    <w:p w14:paraId="63153785" w14:textId="77777777" w:rsidR="00B67E9C" w:rsidRDefault="00B67E9C" w:rsidP="00B67E9C">
      <w:pPr>
        <w:rPr>
          <w:rFonts w:cs="Times New Roman"/>
          <w:i/>
          <w:szCs w:val="22"/>
          <w:lang w:val="en-US"/>
        </w:rPr>
      </w:pPr>
      <w:r>
        <w:rPr>
          <w:rFonts w:cs="Times New Roman"/>
          <w:szCs w:val="22"/>
          <w:lang w:val="en-US"/>
        </w:rPr>
        <w:t xml:space="preserve">An example of the two sales mix projections is provided in </w:t>
      </w:r>
      <w:r>
        <w:rPr>
          <w:rFonts w:cs="Times New Roman"/>
          <w:i/>
          <w:szCs w:val="22"/>
          <w:lang w:val="en-US"/>
        </w:rPr>
        <w:t xml:space="preserve">Figures 4 </w:t>
      </w:r>
      <w:r>
        <w:rPr>
          <w:rFonts w:cs="Times New Roman"/>
          <w:iCs/>
          <w:szCs w:val="22"/>
          <w:lang w:val="en-US"/>
        </w:rPr>
        <w:t>and</w:t>
      </w:r>
      <w:r>
        <w:rPr>
          <w:rFonts w:cs="Times New Roman"/>
          <w:i/>
          <w:szCs w:val="22"/>
          <w:lang w:val="en-US"/>
        </w:rPr>
        <w:t xml:space="preserve"> 5 </w:t>
      </w:r>
      <w:r>
        <w:rPr>
          <w:rFonts w:cs="Times New Roman"/>
          <w:szCs w:val="22"/>
          <w:lang w:val="en-US"/>
        </w:rPr>
        <w:t>for small AC: Split.</w:t>
      </w:r>
    </w:p>
    <w:p w14:paraId="3FFFC734" w14:textId="77777777" w:rsidR="00B67E9C" w:rsidRDefault="00B67E9C" w:rsidP="00B67E9C">
      <w:pPr>
        <w:rPr>
          <w:rFonts w:cs="Times New Roman"/>
          <w:iCs/>
          <w:szCs w:val="22"/>
          <w:lang w:val="en-US"/>
        </w:rPr>
      </w:pPr>
      <w:r>
        <w:rPr>
          <w:rFonts w:cs="Times New Roman"/>
          <w:iCs/>
          <w:szCs w:val="22"/>
          <w:lang w:val="en-US"/>
        </w:rPr>
        <w:t xml:space="preserve">In this example, the input mix by units in 2018 is HFC-32: 52.9% and HFC-410A: 47.1% and the refrigerant output mix in the same year is HFC-32: 48.5% and HFC-410A: 51.5%. The difference arises due to the different average charge sizes of HFC-32 (1.160 kg) and HFC-410A (1.380 kg). There were more HFC-32 units imported by quantity in 2018, however the refrigerant mass was less due to the lower average charge. These portions are consistent with the pre-charged equipment import data by unit and refrigerant mass in </w:t>
      </w:r>
      <w:r>
        <w:rPr>
          <w:rFonts w:cs="Times New Roman"/>
          <w:i/>
          <w:szCs w:val="22"/>
          <w:lang w:val="en-US"/>
        </w:rPr>
        <w:t>Appendix: B5: Stationary AC: Pre-charged equipment imports</w:t>
      </w:r>
      <w:r>
        <w:rPr>
          <w:rFonts w:cs="Times New Roman"/>
          <w:iCs/>
          <w:szCs w:val="22"/>
          <w:lang w:val="en-US"/>
        </w:rPr>
        <w:t>, charge category ≥ 800 grams and &lt; 2.6 kg.</w:t>
      </w:r>
      <w:r>
        <w:rPr>
          <w:rFonts w:cs="Times New Roman"/>
          <w:iCs/>
          <w:szCs w:val="22"/>
          <w:lang w:val="en-US"/>
        </w:rPr>
        <w:tab/>
      </w:r>
      <w:r>
        <w:rPr>
          <w:rFonts w:cs="Times New Roman"/>
          <w:iCs/>
          <w:szCs w:val="22"/>
          <w:lang w:val="en-US"/>
        </w:rPr>
        <w:tab/>
      </w:r>
      <w:r>
        <w:rPr>
          <w:rFonts w:cs="Times New Roman"/>
          <w:iCs/>
          <w:szCs w:val="22"/>
          <w:lang w:val="en-US"/>
        </w:rPr>
        <w:tab/>
      </w:r>
    </w:p>
    <w:p w14:paraId="5289E038" w14:textId="77777777" w:rsidR="00B67E9C" w:rsidRDefault="00B67E9C" w:rsidP="00B67E9C">
      <w:pPr>
        <w:rPr>
          <w:rFonts w:cs="Times New Roman"/>
          <w:iCs/>
          <w:szCs w:val="22"/>
          <w:lang w:val="en-US"/>
        </w:rPr>
      </w:pP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r>
        <w:rPr>
          <w:rFonts w:cs="Times New Roman"/>
          <w:iCs/>
          <w:szCs w:val="22"/>
          <w:lang w:val="en-US"/>
        </w:rPr>
        <w:tab/>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B67E9C" w14:paraId="52B43654"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0E6BA561" w14:textId="77777777" w:rsidR="00B67E9C" w:rsidRDefault="00B67E9C">
            <w:pPr>
              <w:spacing w:after="120"/>
              <w:jc w:val="center"/>
              <w:rPr>
                <w:rFonts w:cs="Times New Roman"/>
                <w:b/>
              </w:rPr>
            </w:pPr>
            <w:r>
              <w:rPr>
                <w:rFonts w:cs="Times New Roman"/>
                <w:b/>
              </w:rPr>
              <w:br w:type="page"/>
              <w:t>Predicted new sales mix by new equipment type: Input units</w:t>
            </w:r>
          </w:p>
        </w:tc>
      </w:tr>
      <w:tr w:rsidR="00B67E9C" w14:paraId="58730189"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tcPr>
          <w:p w14:paraId="66952847" w14:textId="77777777" w:rsidR="00B67E9C" w:rsidRDefault="00B67E9C">
            <w:pPr>
              <w:spacing w:before="60" w:after="60"/>
              <w:jc w:val="center"/>
              <w:rPr>
                <w:sz w:val="16"/>
                <w:szCs w:val="16"/>
              </w:rPr>
            </w:pPr>
          </w:p>
          <w:p w14:paraId="03371DFD" w14:textId="27F9C082" w:rsidR="00B67E9C" w:rsidRDefault="00B67E9C">
            <w:pPr>
              <w:spacing w:before="60" w:after="60"/>
              <w:jc w:val="center"/>
              <w:rPr>
                <w:sz w:val="16"/>
                <w:szCs w:val="16"/>
              </w:rPr>
            </w:pPr>
            <w:r>
              <w:rPr>
                <w:noProof/>
                <w:lang w:val="en-AU" w:eastAsia="en-AU"/>
              </w:rPr>
              <w:drawing>
                <wp:inline distT="0" distB="0" distL="0" distR="0" wp14:anchorId="219AEF87" wp14:editId="07036301">
                  <wp:extent cx="5270500" cy="1814830"/>
                  <wp:effectExtent l="0" t="0" r="6350" b="0"/>
                  <wp:docPr id="4" name="Picture 4" descr="Shows the predicted new sales mix for small split system air conditioners from 2018 to 2030, by units. Units containing HFC-32 start just over 50% and 410A start just under 50%, moving to HFC-32 at near 100% by 2025. Hydrocarbons have a negligible presence all be it slightly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ows the predicted new sales mix for small split system air conditioners from 2018 to 2030, by units. Units containing HFC-32 start just over 50% and 410A start just under 50%, moving to HFC-32 at near 100% by 2025. Hydrocarbons have a negligible presence all be it slightly grow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814830"/>
                          </a:xfrm>
                          <a:prstGeom prst="rect">
                            <a:avLst/>
                          </a:prstGeom>
                          <a:noFill/>
                          <a:ln>
                            <a:noFill/>
                          </a:ln>
                        </pic:spPr>
                      </pic:pic>
                    </a:graphicData>
                  </a:graphic>
                </wp:inline>
              </w:drawing>
            </w:r>
          </w:p>
          <w:p w14:paraId="74861F7D" w14:textId="77777777" w:rsidR="00B67E9C" w:rsidRDefault="00B67E9C">
            <w:pPr>
              <w:spacing w:before="60" w:after="60"/>
              <w:jc w:val="center"/>
              <w:rPr>
                <w:sz w:val="16"/>
                <w:szCs w:val="16"/>
              </w:rPr>
            </w:pPr>
          </w:p>
        </w:tc>
      </w:tr>
      <w:tr w:rsidR="00B67E9C" w14:paraId="066AD90D"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4F0ED0BE" w14:textId="6888971B" w:rsidR="00B67E9C" w:rsidRDefault="00B67E9C">
            <w:pPr>
              <w:pStyle w:val="Caption"/>
            </w:pPr>
            <w:bookmarkStart w:id="24" w:name="_Toc54602342"/>
            <w:r>
              <w:t xml:space="preserve">Figure </w:t>
            </w:r>
            <w:r>
              <w:fldChar w:fldCharType="begin"/>
            </w:r>
            <w:r>
              <w:rPr>
                <w:noProof/>
              </w:rPr>
              <w:instrText xml:space="preserve"> SEQ Figure \* ARABIC </w:instrText>
            </w:r>
            <w:r>
              <w:fldChar w:fldCharType="separate"/>
            </w:r>
            <w:r w:rsidR="007B01C2">
              <w:rPr>
                <w:noProof/>
              </w:rPr>
              <w:t>4</w:t>
            </w:r>
            <w:r>
              <w:fldChar w:fldCharType="end"/>
            </w:r>
            <w:r>
              <w:rPr>
                <w:bCs w:val="0"/>
              </w:rPr>
              <w:t>: New sales mix by units for Small AC: Split</w:t>
            </w:r>
            <w:bookmarkEnd w:id="24"/>
          </w:p>
        </w:tc>
      </w:tr>
    </w:tbl>
    <w:p w14:paraId="4C157AE6" w14:textId="77777777" w:rsidR="00B67E9C" w:rsidRDefault="00B67E9C" w:rsidP="00B67E9C">
      <w:pPr>
        <w:rPr>
          <w:rFonts w:cs="Times New Roman"/>
          <w:szCs w:val="22"/>
          <w:lang w:val="en-US"/>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B67E9C" w14:paraId="1F9A475B"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6F18A5B7" w14:textId="77777777" w:rsidR="00B67E9C" w:rsidRDefault="00B67E9C">
            <w:pPr>
              <w:spacing w:after="120"/>
              <w:jc w:val="center"/>
              <w:rPr>
                <w:rFonts w:cs="Times New Roman"/>
                <w:b/>
              </w:rPr>
            </w:pPr>
            <w:r>
              <w:rPr>
                <w:rFonts w:cs="Times New Roman"/>
                <w:b/>
              </w:rPr>
              <w:lastRenderedPageBreak/>
              <w:br w:type="page"/>
              <w:t>Predicted new sales mix by new equipment type: Refrigerant mass output</w:t>
            </w:r>
          </w:p>
        </w:tc>
      </w:tr>
      <w:tr w:rsidR="00B67E9C" w14:paraId="4A7DCFD0"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tcPr>
          <w:p w14:paraId="7CB03ADB" w14:textId="77777777" w:rsidR="00B67E9C" w:rsidRDefault="00B67E9C">
            <w:pPr>
              <w:spacing w:before="60" w:after="60"/>
              <w:jc w:val="center"/>
              <w:rPr>
                <w:sz w:val="16"/>
                <w:szCs w:val="16"/>
              </w:rPr>
            </w:pPr>
          </w:p>
          <w:p w14:paraId="0FCEEABC" w14:textId="1A458902" w:rsidR="00B67E9C" w:rsidRDefault="00B67E9C">
            <w:pPr>
              <w:spacing w:before="60" w:after="60"/>
              <w:jc w:val="center"/>
              <w:rPr>
                <w:sz w:val="16"/>
                <w:szCs w:val="16"/>
              </w:rPr>
            </w:pPr>
            <w:r>
              <w:rPr>
                <w:noProof/>
                <w:lang w:val="en-AU" w:eastAsia="en-AU"/>
              </w:rPr>
              <w:drawing>
                <wp:inline distT="0" distB="0" distL="0" distR="0" wp14:anchorId="4FE3C198" wp14:editId="4C0C988F">
                  <wp:extent cx="5270500" cy="1814830"/>
                  <wp:effectExtent l="0" t="0" r="6350" b="0"/>
                  <wp:docPr id="3" name="Picture 3" descr="Shows the predicted new sales mix for small split system air conditioners from 2018 to 2030, by refrigerant mass. HFC-32 starts at just under 50% and 410A just over 50%, moving to HFC-32 at near 100% by 2025. Hydrocarbons have a negligible presence all be it slightly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ws the predicted new sales mix for small split system air conditioners from 2018 to 2030, by refrigerant mass. HFC-32 starts at just under 50% and 410A just over 50%, moving to HFC-32 at near 100% by 2025. Hydrocarbons have a negligible presence all be it slightly grow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814830"/>
                          </a:xfrm>
                          <a:prstGeom prst="rect">
                            <a:avLst/>
                          </a:prstGeom>
                          <a:noFill/>
                          <a:ln>
                            <a:noFill/>
                          </a:ln>
                        </pic:spPr>
                      </pic:pic>
                    </a:graphicData>
                  </a:graphic>
                </wp:inline>
              </w:drawing>
            </w:r>
          </w:p>
          <w:p w14:paraId="100FD57D" w14:textId="77777777" w:rsidR="00B67E9C" w:rsidRDefault="00B67E9C">
            <w:pPr>
              <w:spacing w:before="60" w:after="60"/>
              <w:jc w:val="center"/>
              <w:rPr>
                <w:sz w:val="16"/>
                <w:szCs w:val="16"/>
              </w:rPr>
            </w:pPr>
          </w:p>
        </w:tc>
      </w:tr>
      <w:tr w:rsidR="00B67E9C" w14:paraId="502DF337"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579A2944" w14:textId="616BC7F7" w:rsidR="00B67E9C" w:rsidRDefault="00B67E9C">
            <w:pPr>
              <w:pStyle w:val="Caption"/>
            </w:pPr>
            <w:bookmarkStart w:id="25" w:name="_Toc54602343"/>
            <w:r>
              <w:t xml:space="preserve">Figure </w:t>
            </w:r>
            <w:r>
              <w:fldChar w:fldCharType="begin"/>
            </w:r>
            <w:r>
              <w:rPr>
                <w:noProof/>
              </w:rPr>
              <w:instrText xml:space="preserve"> SEQ Figure \* ARABIC </w:instrText>
            </w:r>
            <w:r>
              <w:fldChar w:fldCharType="separate"/>
            </w:r>
            <w:r w:rsidR="007B01C2">
              <w:rPr>
                <w:noProof/>
              </w:rPr>
              <w:t>5</w:t>
            </w:r>
            <w:r>
              <w:fldChar w:fldCharType="end"/>
            </w:r>
            <w:r>
              <w:rPr>
                <w:bCs w:val="0"/>
              </w:rPr>
              <w:t>: New sales mix by refrigerant mass for Small AC: Split.</w:t>
            </w:r>
            <w:bookmarkEnd w:id="25"/>
          </w:p>
        </w:tc>
      </w:tr>
    </w:tbl>
    <w:p w14:paraId="0DD852D6" w14:textId="77777777" w:rsidR="00B67E9C" w:rsidRDefault="00B67E9C" w:rsidP="00B67E9C">
      <w:pPr>
        <w:rPr>
          <w:rFonts w:cs="Times New Roman"/>
          <w:szCs w:val="22"/>
          <w:lang w:val="en-US"/>
        </w:rPr>
      </w:pPr>
    </w:p>
    <w:p w14:paraId="3EEE84A7" w14:textId="77777777" w:rsidR="00B67E9C" w:rsidRDefault="00B67E9C" w:rsidP="00B67E9C">
      <w:pPr>
        <w:spacing w:before="0"/>
        <w:jc w:val="left"/>
        <w:rPr>
          <w:rFonts w:ascii="Calibri" w:eastAsia="Times New Roman" w:hAnsi="Calibri" w:cs="Times New Roman"/>
          <w:b/>
          <w:bCs/>
          <w:sz w:val="26"/>
          <w:szCs w:val="26"/>
          <w:lang w:val="en-US"/>
        </w:rPr>
      </w:pPr>
      <w:r>
        <w:br w:type="page"/>
      </w:r>
    </w:p>
    <w:p w14:paraId="5F63DB40" w14:textId="77777777" w:rsidR="00B67E9C" w:rsidRDefault="00B67E9C" w:rsidP="00B67E9C">
      <w:pPr>
        <w:pStyle w:val="Heading3"/>
        <w:numPr>
          <w:ilvl w:val="2"/>
          <w:numId w:val="5"/>
        </w:numPr>
      </w:pPr>
      <w:bookmarkStart w:id="26" w:name="_Toc54601656"/>
      <w:r>
        <w:lastRenderedPageBreak/>
        <w:t>GWPs and refrigerant compositions</w:t>
      </w:r>
      <w:bookmarkEnd w:id="26"/>
    </w:p>
    <w:p w14:paraId="14DF0543" w14:textId="77777777" w:rsidR="00B67E9C" w:rsidRDefault="00B67E9C" w:rsidP="00B67E9C">
      <w:pPr>
        <w:rPr>
          <w:rFonts w:asciiTheme="majorHAnsi" w:hAnsiTheme="majorHAnsi"/>
          <w:b/>
          <w:sz w:val="24"/>
        </w:rPr>
      </w:pPr>
      <w:r>
        <w:rPr>
          <w:rFonts w:asciiTheme="majorHAnsi" w:hAnsiTheme="majorHAnsi"/>
          <w:b/>
          <w:sz w:val="24"/>
        </w:rPr>
        <w:t>Global Warming Potential</w:t>
      </w:r>
    </w:p>
    <w:p w14:paraId="4AD99B1A" w14:textId="77777777" w:rsidR="00B67E9C" w:rsidRDefault="00B67E9C" w:rsidP="00B67E9C">
      <w:r>
        <w:t xml:space="preserve">This report often refers to the global warming potential (GWP) value of the various refrigerants that are the subject of this study. </w:t>
      </w:r>
    </w:p>
    <w:p w14:paraId="19202464" w14:textId="77777777" w:rsidR="00B67E9C" w:rsidRDefault="00B67E9C" w:rsidP="00B67E9C">
      <w:r>
        <w:t xml:space="preserve">Australia’s original legally binding emissions obligations under the Kyoto Protocol (1997 to 2013) were calculated based on the GWP values published in the Second Assessment Report (AR2) of the International Panel on Climate Change (IPCC) released in 1996. </w:t>
      </w:r>
      <w:proofErr w:type="gramStart"/>
      <w:r>
        <w:t>Therefore</w:t>
      </w:r>
      <w:proofErr w:type="gramEnd"/>
      <w:r>
        <w:t xml:space="preserve"> Australian legislation, including the </w:t>
      </w:r>
      <w:r>
        <w:rPr>
          <w:i/>
        </w:rPr>
        <w:t>Ozone Protection and Synthetic Greenhouse Gas Management Act 1989</w:t>
      </w:r>
      <w:r>
        <w:t xml:space="preserve"> (the OPSGGM Act), cited GWPs from AR2. </w:t>
      </w:r>
    </w:p>
    <w:p w14:paraId="0120D20B" w14:textId="77777777" w:rsidR="00B67E9C" w:rsidRDefault="00B67E9C" w:rsidP="00B67E9C">
      <w:pPr>
        <w:rPr>
          <w:rFonts w:cs="Times New Roman"/>
          <w:szCs w:val="22"/>
          <w:lang w:val="en-US"/>
        </w:rPr>
      </w:pPr>
      <w:r>
        <w:t>Revised GWP values were reported in the Fourth Assessment Report (AR4) in 2007. The 2</w:t>
      </w:r>
      <w:r>
        <w:rPr>
          <w:vertAlign w:val="superscript"/>
        </w:rPr>
        <w:t>nd</w:t>
      </w:r>
      <w:r>
        <w:t xml:space="preserve"> Kyoto Protocol commitment period is based on AR4 values. </w:t>
      </w:r>
      <w:r>
        <w:rPr>
          <w:rFonts w:cs="Times New Roman"/>
          <w:szCs w:val="22"/>
          <w:lang w:val="en-US"/>
        </w:rPr>
        <w:t xml:space="preserve">The Australian Government adopted AR4 from July 2017. </w:t>
      </w:r>
    </w:p>
    <w:p w14:paraId="6326AEEF" w14:textId="77777777" w:rsidR="00B67E9C" w:rsidRDefault="00B67E9C" w:rsidP="00B67E9C">
      <w:r>
        <w:t xml:space="preserve">This report uses </w:t>
      </w:r>
      <w:proofErr w:type="gramStart"/>
      <w:r>
        <w:t>one hundred year</w:t>
      </w:r>
      <w:proofErr w:type="gramEnd"/>
      <w:r>
        <w:t xml:space="preserve"> GWP values from the Fourth Assessment Report (AR4 GWP-100). A new class of substances that are mentioned in this report are low GWP unsaturated HFCs known as </w:t>
      </w:r>
      <w:proofErr w:type="spellStart"/>
      <w:r>
        <w:t>hydrofluoro</w:t>
      </w:r>
      <w:proofErr w:type="spellEnd"/>
      <w:r>
        <w:t>-olefins (HFOs) that were not available at the time of publication of AR4. As such the GWPs attributed to HFOs and HFO blends that are discussed herein are based on industry data (HFO-1234yf AR4-100 GWP of 5 and HFO-1234ze AR4-100 GWP of 5). While the Fifth Assessment Report includes HFC-1234yf and HFC-</w:t>
      </w:r>
      <w:proofErr w:type="spellStart"/>
      <w:r>
        <w:t>ze</w:t>
      </w:r>
      <w:proofErr w:type="spellEnd"/>
      <w:r>
        <w:t>, the AR5 GWP-100 values have not been used. The AR5-100 GWPs of HFO-1234yf and HFO-1234ze have been revised down to 1.</w:t>
      </w:r>
    </w:p>
    <w:p w14:paraId="5E11F6D7" w14:textId="77777777" w:rsidR="00B67E9C" w:rsidRDefault="00B67E9C" w:rsidP="00B67E9C">
      <w:pPr>
        <w:rPr>
          <w:rFonts w:cs="Times New Roman"/>
          <w:szCs w:val="22"/>
          <w:lang w:val="en-US"/>
        </w:rPr>
      </w:pPr>
      <w:r>
        <w:rPr>
          <w:rFonts w:cs="Times New Roman"/>
          <w:i/>
          <w:szCs w:val="22"/>
          <w:lang w:val="en-US"/>
        </w:rPr>
        <w:t>Table 2</w:t>
      </w:r>
      <w:r>
        <w:rPr>
          <w:rFonts w:cs="Times New Roman"/>
          <w:szCs w:val="22"/>
          <w:lang w:val="en-US"/>
        </w:rPr>
        <w:t xml:space="preserve"> below lists both AR2 and AR4 GWP values as a reference for readers, and </w:t>
      </w:r>
      <w:r>
        <w:rPr>
          <w:rFonts w:cs="Times New Roman"/>
          <w:i/>
          <w:szCs w:val="22"/>
          <w:lang w:val="en-US"/>
        </w:rPr>
        <w:t>Table 3</w:t>
      </w:r>
      <w:r>
        <w:rPr>
          <w:rFonts w:cs="Times New Roman"/>
          <w:szCs w:val="22"/>
          <w:lang w:val="en-US"/>
        </w:rPr>
        <w:t xml:space="preserve"> provides details of the refrigerant mass composition of common blends used in Australia that are used to calculate the GWPs of the blends from the IPCC reports.</w:t>
      </w:r>
    </w:p>
    <w:p w14:paraId="7237909C" w14:textId="77777777" w:rsidR="00B67E9C" w:rsidRDefault="00B67E9C" w:rsidP="00B67E9C">
      <w:pPr>
        <w:rPr>
          <w:i/>
          <w:szCs w:val="22"/>
        </w:rPr>
      </w:pPr>
    </w:p>
    <w:p w14:paraId="58B3B033" w14:textId="60447A82" w:rsidR="00B67E9C" w:rsidRDefault="00B67E9C" w:rsidP="00B67E9C">
      <w:pPr>
        <w:pStyle w:val="Caption"/>
        <w:keepNext/>
        <w:rPr>
          <w:szCs w:val="22"/>
        </w:rPr>
      </w:pPr>
      <w:bookmarkStart w:id="27" w:name="_Toc54602347"/>
      <w:r>
        <w:t xml:space="preserve">Table </w:t>
      </w:r>
      <w:r>
        <w:fldChar w:fldCharType="begin"/>
      </w:r>
      <w:r>
        <w:rPr>
          <w:noProof/>
        </w:rPr>
        <w:instrText xml:space="preserve"> SEQ Table \* ARABIC </w:instrText>
      </w:r>
      <w:r>
        <w:fldChar w:fldCharType="separate"/>
      </w:r>
      <w:r w:rsidR="007B01C2">
        <w:rPr>
          <w:noProof/>
        </w:rPr>
        <w:t>2</w:t>
      </w:r>
      <w:r>
        <w:fldChar w:fldCharType="end"/>
      </w:r>
      <w:r>
        <w:t xml:space="preserve">: </w:t>
      </w:r>
      <w:r>
        <w:rPr>
          <w:szCs w:val="22"/>
        </w:rPr>
        <w:t>GWP factors of main refrigerant species.</w:t>
      </w:r>
      <w:bookmarkEnd w:id="27"/>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5"/>
        <w:gridCol w:w="3213"/>
        <w:gridCol w:w="2960"/>
      </w:tblGrid>
      <w:tr w:rsidR="00B67E9C" w14:paraId="2E22EF29" w14:textId="77777777" w:rsidTr="00B67E9C">
        <w:trPr>
          <w:tblHeader/>
        </w:trPr>
        <w:tc>
          <w:tcPr>
            <w:tcW w:w="3325" w:type="dxa"/>
            <w:tcBorders>
              <w:top w:val="single" w:sz="4" w:space="0" w:color="FFFFFF"/>
              <w:left w:val="single" w:sz="4" w:space="0" w:color="auto"/>
              <w:bottom w:val="single" w:sz="4" w:space="0" w:color="000000"/>
              <w:right w:val="single" w:sz="4" w:space="0" w:color="FFFFFF"/>
            </w:tcBorders>
            <w:shd w:val="clear" w:color="auto" w:fill="000000"/>
            <w:vAlign w:val="center"/>
            <w:hideMark/>
          </w:tcPr>
          <w:p w14:paraId="007B745D" w14:textId="77777777" w:rsidR="00B67E9C" w:rsidRDefault="00B67E9C">
            <w:pPr>
              <w:spacing w:before="240" w:after="240"/>
              <w:jc w:val="left"/>
            </w:pPr>
            <w:r>
              <w:t>Common substances</w:t>
            </w:r>
          </w:p>
        </w:tc>
        <w:tc>
          <w:tcPr>
            <w:tcW w:w="3213" w:type="dxa"/>
            <w:tcBorders>
              <w:top w:val="single" w:sz="4" w:space="0" w:color="FFFFFF"/>
              <w:left w:val="single" w:sz="4" w:space="0" w:color="FFFFFF"/>
              <w:bottom w:val="single" w:sz="4" w:space="0" w:color="000000"/>
              <w:right w:val="single" w:sz="4" w:space="0" w:color="FFFFFF"/>
            </w:tcBorders>
            <w:shd w:val="clear" w:color="auto" w:fill="000000"/>
            <w:vAlign w:val="center"/>
            <w:hideMark/>
          </w:tcPr>
          <w:p w14:paraId="1B2BD37A" w14:textId="77777777" w:rsidR="00B67E9C" w:rsidRDefault="00B67E9C">
            <w:pPr>
              <w:spacing w:before="240" w:after="240"/>
              <w:jc w:val="center"/>
            </w:pPr>
            <w:r>
              <w:t>AR2 GWP-100 Year</w:t>
            </w:r>
          </w:p>
        </w:tc>
        <w:tc>
          <w:tcPr>
            <w:tcW w:w="2960" w:type="dxa"/>
            <w:tcBorders>
              <w:top w:val="single" w:sz="4" w:space="0" w:color="FFFFFF"/>
              <w:left w:val="single" w:sz="4" w:space="0" w:color="FFFFFF"/>
              <w:bottom w:val="single" w:sz="4" w:space="0" w:color="000000"/>
              <w:right w:val="single" w:sz="4" w:space="0" w:color="auto"/>
            </w:tcBorders>
            <w:shd w:val="clear" w:color="auto" w:fill="000000"/>
            <w:vAlign w:val="center"/>
            <w:hideMark/>
          </w:tcPr>
          <w:p w14:paraId="7B5CB1EE" w14:textId="77777777" w:rsidR="00B67E9C" w:rsidRDefault="00B67E9C">
            <w:pPr>
              <w:spacing w:before="240" w:after="240"/>
              <w:jc w:val="center"/>
            </w:pPr>
            <w:r>
              <w:t>AR4 GWP-100 Year</w:t>
            </w:r>
          </w:p>
        </w:tc>
      </w:tr>
      <w:tr w:rsidR="00B67E9C" w14:paraId="15C100B3" w14:textId="77777777" w:rsidTr="00B67E9C">
        <w:tc>
          <w:tcPr>
            <w:tcW w:w="9498" w:type="dxa"/>
            <w:gridSpan w:val="3"/>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0D3DC526" w14:textId="77777777" w:rsidR="00B67E9C" w:rsidRDefault="00B67E9C">
            <w:pPr>
              <w:spacing w:before="60" w:after="60"/>
              <w:rPr>
                <w:sz w:val="20"/>
              </w:rPr>
            </w:pPr>
            <w:r>
              <w:rPr>
                <w:sz w:val="20"/>
              </w:rPr>
              <w:t>Substances controlled by the Montreal Protocol</w:t>
            </w:r>
          </w:p>
        </w:tc>
      </w:tr>
      <w:tr w:rsidR="00B67E9C" w14:paraId="4C4947C5"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84487DB" w14:textId="77777777" w:rsidR="00B67E9C" w:rsidRDefault="00B67E9C">
            <w:pPr>
              <w:spacing w:before="60" w:after="60"/>
              <w:rPr>
                <w:sz w:val="20"/>
              </w:rPr>
            </w:pPr>
            <w:r>
              <w:rPr>
                <w:sz w:val="20"/>
              </w:rPr>
              <w:t xml:space="preserve">CFC-11 </w:t>
            </w:r>
            <w:r>
              <w:rPr>
                <w:sz w:val="20"/>
                <w:szCs w:val="20"/>
                <w:vertAlign w:val="superscript"/>
              </w:rPr>
              <w:t>(1)</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81C9235" w14:textId="77777777" w:rsidR="00B67E9C" w:rsidRDefault="00B67E9C">
            <w:pPr>
              <w:spacing w:before="60" w:after="60"/>
              <w:jc w:val="center"/>
              <w:rPr>
                <w:sz w:val="20"/>
              </w:rPr>
            </w:pPr>
            <w:r>
              <w:rPr>
                <w:sz w:val="20"/>
              </w:rPr>
              <w:t>3800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2B21D731" w14:textId="77777777" w:rsidR="00B67E9C" w:rsidRDefault="00B67E9C">
            <w:pPr>
              <w:spacing w:before="60" w:after="60"/>
              <w:jc w:val="center"/>
              <w:rPr>
                <w:sz w:val="20"/>
              </w:rPr>
            </w:pPr>
            <w:r>
              <w:rPr>
                <w:sz w:val="20"/>
              </w:rPr>
              <w:t>4750</w:t>
            </w:r>
          </w:p>
        </w:tc>
      </w:tr>
      <w:tr w:rsidR="00B67E9C" w14:paraId="7DAB2D9A"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325329A8" w14:textId="77777777" w:rsidR="00B67E9C" w:rsidRDefault="00B67E9C">
            <w:pPr>
              <w:spacing w:before="60" w:after="60"/>
              <w:rPr>
                <w:sz w:val="20"/>
              </w:rPr>
            </w:pPr>
            <w:r>
              <w:rPr>
                <w:sz w:val="20"/>
              </w:rPr>
              <w:t xml:space="preserve">CFC-12 </w:t>
            </w:r>
            <w:r>
              <w:rPr>
                <w:sz w:val="20"/>
                <w:szCs w:val="20"/>
                <w:vertAlign w:val="superscript"/>
              </w:rPr>
              <w:t>(1)</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3B71EABF" w14:textId="77777777" w:rsidR="00B67E9C" w:rsidRDefault="00B67E9C">
            <w:pPr>
              <w:spacing w:before="60" w:after="60"/>
              <w:jc w:val="center"/>
              <w:rPr>
                <w:sz w:val="20"/>
              </w:rPr>
            </w:pPr>
            <w:r>
              <w:rPr>
                <w:sz w:val="20"/>
              </w:rPr>
              <w:t>8100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1C477DA0" w14:textId="77777777" w:rsidR="00B67E9C" w:rsidRDefault="00B67E9C">
            <w:pPr>
              <w:spacing w:before="60" w:after="60"/>
              <w:jc w:val="center"/>
              <w:rPr>
                <w:sz w:val="20"/>
              </w:rPr>
            </w:pPr>
            <w:r>
              <w:rPr>
                <w:sz w:val="20"/>
              </w:rPr>
              <w:t>10900</w:t>
            </w:r>
          </w:p>
        </w:tc>
      </w:tr>
      <w:tr w:rsidR="00B67E9C" w14:paraId="0082689A"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B015BEA" w14:textId="77777777" w:rsidR="00B67E9C" w:rsidRDefault="00B67E9C">
            <w:pPr>
              <w:spacing w:before="60" w:after="60"/>
              <w:rPr>
                <w:sz w:val="20"/>
              </w:rPr>
            </w:pPr>
            <w:r>
              <w:rPr>
                <w:sz w:val="20"/>
              </w:rPr>
              <w:t>HCFC-123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E2FFA4B" w14:textId="77777777" w:rsidR="00B67E9C" w:rsidRDefault="00B67E9C">
            <w:pPr>
              <w:spacing w:before="60" w:after="60"/>
              <w:jc w:val="center"/>
              <w:rPr>
                <w:sz w:val="20"/>
              </w:rPr>
            </w:pPr>
            <w:r>
              <w:rPr>
                <w:sz w:val="20"/>
              </w:rPr>
              <w:t>90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1A20ABA" w14:textId="77777777" w:rsidR="00B67E9C" w:rsidRDefault="00B67E9C">
            <w:pPr>
              <w:spacing w:before="60" w:after="60"/>
              <w:jc w:val="center"/>
              <w:rPr>
                <w:sz w:val="20"/>
              </w:rPr>
            </w:pPr>
            <w:r>
              <w:rPr>
                <w:sz w:val="20"/>
              </w:rPr>
              <w:t>77</w:t>
            </w:r>
          </w:p>
        </w:tc>
      </w:tr>
      <w:tr w:rsidR="00B67E9C" w14:paraId="07757B84"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5F3860F" w14:textId="77777777" w:rsidR="00B67E9C" w:rsidRDefault="00B67E9C">
            <w:pPr>
              <w:spacing w:before="60" w:after="60"/>
              <w:rPr>
                <w:sz w:val="20"/>
              </w:rPr>
            </w:pPr>
            <w:r>
              <w:rPr>
                <w:sz w:val="20"/>
              </w:rPr>
              <w:t>HCFC-22</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0A6AA414" w14:textId="77777777" w:rsidR="00B67E9C" w:rsidRDefault="00B67E9C">
            <w:pPr>
              <w:spacing w:before="60" w:after="60"/>
              <w:jc w:val="center"/>
              <w:rPr>
                <w:sz w:val="20"/>
              </w:rPr>
            </w:pPr>
            <w:r>
              <w:rPr>
                <w:sz w:val="20"/>
              </w:rPr>
              <w:t>1500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38253BD7" w14:textId="77777777" w:rsidR="00B67E9C" w:rsidRDefault="00B67E9C">
            <w:pPr>
              <w:spacing w:before="60" w:after="60"/>
              <w:jc w:val="center"/>
              <w:rPr>
                <w:sz w:val="20"/>
              </w:rPr>
            </w:pPr>
            <w:r>
              <w:rPr>
                <w:sz w:val="20"/>
              </w:rPr>
              <w:t>1810</w:t>
            </w:r>
          </w:p>
        </w:tc>
      </w:tr>
      <w:tr w:rsidR="00B67E9C" w14:paraId="267D1C1F"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41102F00" w14:textId="77777777" w:rsidR="00B67E9C" w:rsidRDefault="00B67E9C">
            <w:pPr>
              <w:spacing w:before="60" w:after="60"/>
              <w:rPr>
                <w:sz w:val="20"/>
              </w:rPr>
            </w:pPr>
            <w:r>
              <w:rPr>
                <w:sz w:val="20"/>
              </w:rPr>
              <w:t>HCFC-141b</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4E7E7BF"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6FB24E92" w14:textId="77777777" w:rsidR="00B67E9C" w:rsidRDefault="00B67E9C">
            <w:pPr>
              <w:spacing w:before="60" w:after="60"/>
              <w:jc w:val="center"/>
              <w:rPr>
                <w:sz w:val="20"/>
              </w:rPr>
            </w:pPr>
            <w:r>
              <w:rPr>
                <w:sz w:val="20"/>
              </w:rPr>
              <w:t>725</w:t>
            </w:r>
          </w:p>
        </w:tc>
      </w:tr>
      <w:tr w:rsidR="00B67E9C" w14:paraId="68641F04"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8AC8617" w14:textId="77777777" w:rsidR="00B67E9C" w:rsidRDefault="00B67E9C">
            <w:pPr>
              <w:spacing w:before="60" w:after="60"/>
              <w:rPr>
                <w:sz w:val="20"/>
              </w:rPr>
            </w:pPr>
            <w:r>
              <w:rPr>
                <w:sz w:val="20"/>
              </w:rPr>
              <w:t>HCFC-142b</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DA0D600" w14:textId="77777777" w:rsidR="00B67E9C" w:rsidRDefault="00B67E9C">
            <w:pPr>
              <w:spacing w:before="60" w:after="60"/>
              <w:jc w:val="center"/>
              <w:rPr>
                <w:sz w:val="20"/>
              </w:rPr>
            </w:pPr>
            <w:r>
              <w:rPr>
                <w:sz w:val="20"/>
              </w:rPr>
              <w:t>1800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1E3EC04D" w14:textId="77777777" w:rsidR="00B67E9C" w:rsidRDefault="00B67E9C">
            <w:pPr>
              <w:spacing w:before="60" w:after="60"/>
              <w:jc w:val="center"/>
              <w:rPr>
                <w:sz w:val="20"/>
              </w:rPr>
            </w:pPr>
            <w:r>
              <w:rPr>
                <w:sz w:val="20"/>
              </w:rPr>
              <w:t>2310</w:t>
            </w:r>
          </w:p>
        </w:tc>
      </w:tr>
      <w:tr w:rsidR="00B67E9C" w14:paraId="5E4863E5"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6406BC82" w14:textId="77777777" w:rsidR="00B67E9C" w:rsidRDefault="00B67E9C">
            <w:pPr>
              <w:spacing w:before="60" w:after="60"/>
              <w:rPr>
                <w:sz w:val="20"/>
              </w:rPr>
            </w:pPr>
            <w:r>
              <w:rPr>
                <w:sz w:val="20"/>
              </w:rPr>
              <w:t>HCFC-406A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17AC22E"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D7861B0" w14:textId="77777777" w:rsidR="00B67E9C" w:rsidRDefault="00B67E9C">
            <w:pPr>
              <w:spacing w:before="60" w:after="60"/>
              <w:jc w:val="center"/>
              <w:rPr>
                <w:sz w:val="20"/>
              </w:rPr>
            </w:pPr>
            <w:r>
              <w:rPr>
                <w:sz w:val="20"/>
              </w:rPr>
              <w:t>1943</w:t>
            </w:r>
          </w:p>
        </w:tc>
      </w:tr>
      <w:tr w:rsidR="00B67E9C" w14:paraId="1F53572E"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1A2D228F" w14:textId="77777777" w:rsidR="00B67E9C" w:rsidRDefault="00B67E9C">
            <w:pPr>
              <w:spacing w:before="60" w:after="60"/>
              <w:rPr>
                <w:sz w:val="20"/>
              </w:rPr>
            </w:pPr>
            <w:r>
              <w:rPr>
                <w:sz w:val="20"/>
              </w:rPr>
              <w:t>HCFC-408A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50937DAC"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5491264" w14:textId="77777777" w:rsidR="00B67E9C" w:rsidRDefault="00B67E9C">
            <w:pPr>
              <w:spacing w:before="60" w:after="60"/>
              <w:jc w:val="center"/>
              <w:rPr>
                <w:sz w:val="20"/>
              </w:rPr>
            </w:pPr>
            <w:r>
              <w:rPr>
                <w:sz w:val="20"/>
              </w:rPr>
              <w:t>3152</w:t>
            </w:r>
          </w:p>
        </w:tc>
      </w:tr>
      <w:tr w:rsidR="00B67E9C" w14:paraId="46922A86"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5B4432D0" w14:textId="77777777" w:rsidR="00B67E9C" w:rsidRDefault="00B67E9C">
            <w:pPr>
              <w:spacing w:before="60" w:after="60"/>
              <w:rPr>
                <w:sz w:val="20"/>
              </w:rPr>
            </w:pPr>
            <w:r>
              <w:rPr>
                <w:sz w:val="20"/>
              </w:rPr>
              <w:t>HCFC-409A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25E2AC1"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519B1C1B" w14:textId="77777777" w:rsidR="00B67E9C" w:rsidRDefault="00B67E9C">
            <w:pPr>
              <w:spacing w:before="60" w:after="60"/>
              <w:jc w:val="center"/>
              <w:rPr>
                <w:sz w:val="20"/>
              </w:rPr>
            </w:pPr>
            <w:r>
              <w:rPr>
                <w:sz w:val="20"/>
              </w:rPr>
              <w:t>1585</w:t>
            </w:r>
          </w:p>
        </w:tc>
      </w:tr>
      <w:tr w:rsidR="00B67E9C" w14:paraId="3308AF9A"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076340A" w14:textId="77777777" w:rsidR="00B67E9C" w:rsidRDefault="00B67E9C">
            <w:pPr>
              <w:spacing w:before="60" w:after="60"/>
              <w:rPr>
                <w:sz w:val="20"/>
              </w:rPr>
            </w:pPr>
            <w:r>
              <w:rPr>
                <w:sz w:val="20"/>
              </w:rPr>
              <w:t xml:space="preserve">HCFC-225ca </w:t>
            </w:r>
            <w:r>
              <w:rPr>
                <w:sz w:val="20"/>
                <w:szCs w:val="20"/>
                <w:vertAlign w:val="superscript"/>
              </w:rPr>
              <w:t>(3)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01B749EA"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6F9B473C" w14:textId="77777777" w:rsidR="00B67E9C" w:rsidRDefault="00B67E9C">
            <w:pPr>
              <w:spacing w:before="60" w:after="60"/>
              <w:jc w:val="center"/>
              <w:rPr>
                <w:sz w:val="20"/>
              </w:rPr>
            </w:pPr>
            <w:r>
              <w:rPr>
                <w:sz w:val="20"/>
              </w:rPr>
              <w:t>122</w:t>
            </w:r>
          </w:p>
        </w:tc>
      </w:tr>
      <w:tr w:rsidR="00B67E9C" w14:paraId="243873CE"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6F457997" w14:textId="77777777" w:rsidR="00B67E9C" w:rsidRDefault="00B67E9C">
            <w:pPr>
              <w:spacing w:before="60" w:after="60"/>
              <w:rPr>
                <w:sz w:val="20"/>
              </w:rPr>
            </w:pPr>
            <w:r>
              <w:rPr>
                <w:sz w:val="20"/>
              </w:rPr>
              <w:t xml:space="preserve">HCFC-225cb </w:t>
            </w:r>
            <w:r>
              <w:rPr>
                <w:sz w:val="20"/>
                <w:szCs w:val="20"/>
                <w:vertAlign w:val="superscript"/>
              </w:rPr>
              <w:t>(3)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57567D1B"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2C0A5A57" w14:textId="77777777" w:rsidR="00B67E9C" w:rsidRDefault="00B67E9C">
            <w:pPr>
              <w:spacing w:before="60" w:after="60"/>
              <w:jc w:val="center"/>
              <w:rPr>
                <w:sz w:val="20"/>
              </w:rPr>
            </w:pPr>
            <w:r>
              <w:rPr>
                <w:sz w:val="20"/>
              </w:rPr>
              <w:t>595</w:t>
            </w:r>
          </w:p>
        </w:tc>
      </w:tr>
      <w:tr w:rsidR="00B67E9C" w14:paraId="5D255479" w14:textId="77777777" w:rsidTr="00B67E9C">
        <w:tc>
          <w:tcPr>
            <w:tcW w:w="9498" w:type="dxa"/>
            <w:gridSpan w:val="3"/>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24BF6228" w14:textId="77777777" w:rsidR="00B67E9C" w:rsidRDefault="00B67E9C">
            <w:pPr>
              <w:spacing w:before="60" w:after="60"/>
              <w:rPr>
                <w:sz w:val="20"/>
              </w:rPr>
            </w:pPr>
            <w:r>
              <w:rPr>
                <w:sz w:val="20"/>
              </w:rPr>
              <w:t>Hydrofluorocarbons (HFCs) subject to phase down under the Kigali Amendment to the Montreal Protocol</w:t>
            </w:r>
          </w:p>
        </w:tc>
      </w:tr>
      <w:tr w:rsidR="00B67E9C" w14:paraId="4BA0FAD8"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C268BC8" w14:textId="77777777" w:rsidR="00B67E9C" w:rsidRDefault="00B67E9C">
            <w:pPr>
              <w:spacing w:before="60" w:after="60"/>
              <w:rPr>
                <w:sz w:val="20"/>
              </w:rPr>
            </w:pPr>
            <w:r>
              <w:rPr>
                <w:sz w:val="20"/>
              </w:rPr>
              <w:t>HFC-125</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DCD7216" w14:textId="77777777" w:rsidR="00B67E9C" w:rsidRDefault="00B67E9C">
            <w:pPr>
              <w:spacing w:before="60" w:after="60"/>
              <w:jc w:val="center"/>
              <w:rPr>
                <w:sz w:val="20"/>
              </w:rPr>
            </w:pPr>
            <w:r>
              <w:rPr>
                <w:sz w:val="20"/>
              </w:rPr>
              <w:t>2800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D9EAEB3" w14:textId="77777777" w:rsidR="00B67E9C" w:rsidRDefault="00B67E9C">
            <w:pPr>
              <w:spacing w:before="60" w:after="60"/>
              <w:jc w:val="center"/>
              <w:rPr>
                <w:sz w:val="20"/>
              </w:rPr>
            </w:pPr>
            <w:r>
              <w:rPr>
                <w:sz w:val="20"/>
              </w:rPr>
              <w:t>3500</w:t>
            </w:r>
          </w:p>
        </w:tc>
      </w:tr>
      <w:tr w:rsidR="00B67E9C" w14:paraId="01141E0B"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9C40702" w14:textId="77777777" w:rsidR="00B67E9C" w:rsidRDefault="00B67E9C">
            <w:pPr>
              <w:spacing w:before="60" w:after="60"/>
              <w:rPr>
                <w:sz w:val="20"/>
              </w:rPr>
            </w:pPr>
            <w:r>
              <w:rPr>
                <w:sz w:val="20"/>
              </w:rPr>
              <w:lastRenderedPageBreak/>
              <w:t>HFC-134a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04DD00F" w14:textId="77777777" w:rsidR="00B67E9C" w:rsidRDefault="00B67E9C">
            <w:pPr>
              <w:spacing w:before="60" w:after="60"/>
              <w:jc w:val="center"/>
              <w:rPr>
                <w:sz w:val="20"/>
              </w:rPr>
            </w:pPr>
            <w:r>
              <w:rPr>
                <w:sz w:val="20"/>
              </w:rPr>
              <w:t>1300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433C4DC" w14:textId="77777777" w:rsidR="00B67E9C" w:rsidRDefault="00B67E9C">
            <w:pPr>
              <w:spacing w:before="60" w:after="60"/>
              <w:jc w:val="center"/>
              <w:rPr>
                <w:sz w:val="20"/>
              </w:rPr>
            </w:pPr>
            <w:r>
              <w:rPr>
                <w:sz w:val="20"/>
              </w:rPr>
              <w:t>1430</w:t>
            </w:r>
          </w:p>
        </w:tc>
      </w:tr>
      <w:tr w:rsidR="00B67E9C" w14:paraId="5A7607BD"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BD131AF" w14:textId="77777777" w:rsidR="00B67E9C" w:rsidRDefault="00B67E9C">
            <w:pPr>
              <w:spacing w:before="60" w:after="60"/>
              <w:rPr>
                <w:sz w:val="20"/>
              </w:rPr>
            </w:pPr>
            <w:r>
              <w:rPr>
                <w:sz w:val="20"/>
              </w:rPr>
              <w:t>HFC-152a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36BEE6E" w14:textId="77777777" w:rsidR="00B67E9C" w:rsidRDefault="00B67E9C">
            <w:pPr>
              <w:spacing w:before="60" w:after="60"/>
              <w:jc w:val="center"/>
              <w:rPr>
                <w:sz w:val="20"/>
              </w:rPr>
            </w:pPr>
            <w:r>
              <w:rPr>
                <w:sz w:val="20"/>
              </w:rPr>
              <w:t>140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EA6A788" w14:textId="77777777" w:rsidR="00B67E9C" w:rsidRDefault="00B67E9C">
            <w:pPr>
              <w:spacing w:before="60" w:after="60"/>
              <w:jc w:val="center"/>
              <w:rPr>
                <w:sz w:val="20"/>
              </w:rPr>
            </w:pPr>
            <w:r>
              <w:rPr>
                <w:sz w:val="20"/>
              </w:rPr>
              <w:t>124</w:t>
            </w:r>
          </w:p>
        </w:tc>
      </w:tr>
      <w:tr w:rsidR="00B67E9C" w14:paraId="530F0F4B"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D13B6E5" w14:textId="77777777" w:rsidR="00B67E9C" w:rsidRDefault="00B67E9C">
            <w:pPr>
              <w:spacing w:before="60" w:after="60"/>
              <w:rPr>
                <w:sz w:val="20"/>
              </w:rPr>
            </w:pPr>
            <w:r>
              <w:rPr>
                <w:sz w:val="20"/>
              </w:rPr>
              <w:t>HFC-236fa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85C7C34" w14:textId="77777777" w:rsidR="00B67E9C" w:rsidRDefault="00B67E9C">
            <w:pPr>
              <w:spacing w:before="60" w:after="60"/>
              <w:jc w:val="center"/>
              <w:rPr>
                <w:sz w:val="20"/>
              </w:rPr>
            </w:pPr>
            <w:r>
              <w:rPr>
                <w:sz w:val="20"/>
              </w:rPr>
              <w:t>6300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F15D167" w14:textId="77777777" w:rsidR="00B67E9C" w:rsidRDefault="00B67E9C">
            <w:pPr>
              <w:spacing w:before="60" w:after="60"/>
              <w:jc w:val="center"/>
              <w:rPr>
                <w:sz w:val="20"/>
              </w:rPr>
            </w:pPr>
            <w:r>
              <w:rPr>
                <w:sz w:val="20"/>
              </w:rPr>
              <w:t>9810</w:t>
            </w:r>
          </w:p>
        </w:tc>
      </w:tr>
      <w:tr w:rsidR="00B67E9C" w14:paraId="311EB0B4"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03CA96E7" w14:textId="77777777" w:rsidR="00B67E9C" w:rsidRDefault="00B67E9C">
            <w:pPr>
              <w:spacing w:before="60" w:after="60"/>
              <w:rPr>
                <w:sz w:val="20"/>
              </w:rPr>
            </w:pPr>
            <w:r>
              <w:rPr>
                <w:sz w:val="20"/>
              </w:rPr>
              <w:t>HFC-32</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0E0BC98D" w14:textId="77777777" w:rsidR="00B67E9C" w:rsidRDefault="00B67E9C">
            <w:pPr>
              <w:spacing w:before="60" w:after="60"/>
              <w:jc w:val="center"/>
              <w:rPr>
                <w:sz w:val="20"/>
              </w:rPr>
            </w:pPr>
            <w:r>
              <w:rPr>
                <w:sz w:val="20"/>
              </w:rPr>
              <w:t>650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53FF173" w14:textId="77777777" w:rsidR="00B67E9C" w:rsidRDefault="00B67E9C">
            <w:pPr>
              <w:spacing w:before="60" w:after="60"/>
              <w:jc w:val="center"/>
              <w:rPr>
                <w:sz w:val="20"/>
              </w:rPr>
            </w:pPr>
            <w:r>
              <w:rPr>
                <w:sz w:val="20"/>
              </w:rPr>
              <w:t>675</w:t>
            </w:r>
          </w:p>
        </w:tc>
      </w:tr>
      <w:tr w:rsidR="00B67E9C" w14:paraId="61EF28BA"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016DC0D6" w14:textId="77777777" w:rsidR="00B67E9C" w:rsidRDefault="00B67E9C">
            <w:pPr>
              <w:spacing w:before="60" w:after="60"/>
              <w:rPr>
                <w:sz w:val="20"/>
              </w:rPr>
            </w:pPr>
            <w:r>
              <w:rPr>
                <w:sz w:val="20"/>
              </w:rPr>
              <w:t xml:space="preserve">HFC-404A </w:t>
            </w:r>
            <w:r>
              <w:rPr>
                <w:sz w:val="20"/>
                <w:szCs w:val="20"/>
                <w:vertAlign w:val="superscript"/>
              </w:rPr>
              <w:t>(2)</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A8B843E" w14:textId="77777777" w:rsidR="00B67E9C" w:rsidRDefault="00B67E9C">
            <w:pPr>
              <w:spacing w:before="60" w:after="60"/>
              <w:jc w:val="center"/>
              <w:rPr>
                <w:sz w:val="20"/>
              </w:rPr>
            </w:pPr>
            <w:r>
              <w:rPr>
                <w:sz w:val="20"/>
              </w:rPr>
              <w:t>3260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55D28B4" w14:textId="77777777" w:rsidR="00B67E9C" w:rsidRDefault="00B67E9C">
            <w:pPr>
              <w:spacing w:before="60" w:after="60"/>
              <w:jc w:val="center"/>
              <w:rPr>
                <w:sz w:val="20"/>
              </w:rPr>
            </w:pPr>
            <w:r>
              <w:rPr>
                <w:sz w:val="20"/>
              </w:rPr>
              <w:t>3922</w:t>
            </w:r>
          </w:p>
        </w:tc>
      </w:tr>
      <w:tr w:rsidR="00B67E9C" w14:paraId="7BDB8029"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EFA4F46" w14:textId="77777777" w:rsidR="00B67E9C" w:rsidRDefault="00B67E9C">
            <w:pPr>
              <w:spacing w:before="60" w:after="60"/>
              <w:rPr>
                <w:sz w:val="20"/>
              </w:rPr>
            </w:pPr>
            <w:r>
              <w:rPr>
                <w:sz w:val="20"/>
              </w:rPr>
              <w:t>HFC-407C</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53BFF2E4" w14:textId="77777777" w:rsidR="00B67E9C" w:rsidRDefault="00B67E9C">
            <w:pPr>
              <w:spacing w:before="60" w:after="60"/>
              <w:jc w:val="center"/>
              <w:rPr>
                <w:sz w:val="20"/>
              </w:rPr>
            </w:pPr>
            <w:r>
              <w:rPr>
                <w:sz w:val="20"/>
              </w:rPr>
              <w:t>1526</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5D5F317" w14:textId="77777777" w:rsidR="00B67E9C" w:rsidRDefault="00B67E9C">
            <w:pPr>
              <w:spacing w:before="60" w:after="60"/>
              <w:jc w:val="center"/>
              <w:rPr>
                <w:sz w:val="20"/>
              </w:rPr>
            </w:pPr>
            <w:r>
              <w:rPr>
                <w:sz w:val="20"/>
              </w:rPr>
              <w:t>1774</w:t>
            </w:r>
          </w:p>
        </w:tc>
      </w:tr>
      <w:tr w:rsidR="00B67E9C" w14:paraId="327AE8CB"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ED097B0" w14:textId="77777777" w:rsidR="00B67E9C" w:rsidRDefault="00B67E9C">
            <w:pPr>
              <w:spacing w:before="60" w:after="60"/>
              <w:rPr>
                <w:sz w:val="20"/>
              </w:rPr>
            </w:pPr>
            <w:r>
              <w:rPr>
                <w:sz w:val="20"/>
              </w:rPr>
              <w:t>HFC-407F</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1357F8E8" w14:textId="77777777" w:rsidR="00B67E9C" w:rsidRDefault="00B67E9C">
            <w:pPr>
              <w:spacing w:before="60" w:after="60"/>
              <w:jc w:val="center"/>
              <w:rPr>
                <w:sz w:val="20"/>
              </w:rPr>
            </w:pPr>
            <w:r>
              <w:rPr>
                <w:sz w:val="20"/>
              </w:rPr>
              <w:t>1824</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30F49813" w14:textId="77777777" w:rsidR="00B67E9C" w:rsidRDefault="00B67E9C">
            <w:pPr>
              <w:spacing w:before="60" w:after="60"/>
              <w:jc w:val="center"/>
              <w:rPr>
                <w:sz w:val="20"/>
              </w:rPr>
            </w:pPr>
            <w:r>
              <w:rPr>
                <w:sz w:val="20"/>
              </w:rPr>
              <w:t>2107</w:t>
            </w:r>
          </w:p>
        </w:tc>
      </w:tr>
      <w:tr w:rsidR="00B67E9C" w14:paraId="258A8639"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3041900F" w14:textId="77777777" w:rsidR="00B67E9C" w:rsidRDefault="00B67E9C">
            <w:pPr>
              <w:spacing w:before="60" w:after="60"/>
              <w:rPr>
                <w:sz w:val="20"/>
              </w:rPr>
            </w:pPr>
            <w:r>
              <w:rPr>
                <w:sz w:val="20"/>
              </w:rPr>
              <w:t>HFC-410A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5E4060E5" w14:textId="77777777" w:rsidR="00B67E9C" w:rsidRDefault="00B67E9C">
            <w:pPr>
              <w:spacing w:before="60" w:after="60"/>
              <w:jc w:val="center"/>
              <w:rPr>
                <w:sz w:val="20"/>
              </w:rPr>
            </w:pPr>
            <w:r>
              <w:rPr>
                <w:sz w:val="20"/>
              </w:rPr>
              <w:t>1725</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66D21C09" w14:textId="77777777" w:rsidR="00B67E9C" w:rsidRDefault="00B67E9C">
            <w:pPr>
              <w:spacing w:before="60" w:after="60"/>
              <w:jc w:val="center"/>
              <w:rPr>
                <w:sz w:val="20"/>
              </w:rPr>
            </w:pPr>
            <w:r>
              <w:rPr>
                <w:sz w:val="20"/>
              </w:rPr>
              <w:t>2088</w:t>
            </w:r>
          </w:p>
        </w:tc>
      </w:tr>
      <w:tr w:rsidR="00B67E9C" w14:paraId="08075F2D"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4E4C0356" w14:textId="77777777" w:rsidR="00B67E9C" w:rsidRDefault="00B67E9C">
            <w:pPr>
              <w:spacing w:before="60" w:after="60"/>
              <w:rPr>
                <w:sz w:val="20"/>
              </w:rPr>
            </w:pPr>
            <w:r>
              <w:rPr>
                <w:sz w:val="20"/>
              </w:rPr>
              <w:t>HFC-417A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5528D0C9" w14:textId="77777777" w:rsidR="00B67E9C" w:rsidRDefault="00B67E9C">
            <w:pPr>
              <w:spacing w:before="60" w:after="60"/>
              <w:jc w:val="center"/>
              <w:rPr>
                <w:sz w:val="20"/>
              </w:rPr>
            </w:pPr>
            <w:r>
              <w:rPr>
                <w:sz w:val="20"/>
              </w:rPr>
              <w:t>1955</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19DE80FE" w14:textId="77777777" w:rsidR="00B67E9C" w:rsidRDefault="00B67E9C">
            <w:pPr>
              <w:spacing w:before="60" w:after="60"/>
              <w:jc w:val="center"/>
              <w:rPr>
                <w:sz w:val="20"/>
              </w:rPr>
            </w:pPr>
            <w:r>
              <w:rPr>
                <w:sz w:val="20"/>
              </w:rPr>
              <w:t>2346</w:t>
            </w:r>
          </w:p>
        </w:tc>
      </w:tr>
      <w:tr w:rsidR="00B67E9C" w14:paraId="6C78C7A6"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1DDAFF17" w14:textId="77777777" w:rsidR="00B67E9C" w:rsidRDefault="00B67E9C">
            <w:pPr>
              <w:spacing w:before="60" w:after="60"/>
              <w:rPr>
                <w:sz w:val="20"/>
              </w:rPr>
            </w:pPr>
            <w:r>
              <w:rPr>
                <w:sz w:val="20"/>
              </w:rPr>
              <w:t>HFC-428A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578E29B" w14:textId="77777777" w:rsidR="00B67E9C" w:rsidRDefault="00B67E9C">
            <w:pPr>
              <w:spacing w:before="60" w:after="60"/>
              <w:jc w:val="center"/>
              <w:rPr>
                <w:sz w:val="20"/>
              </w:rPr>
            </w:pPr>
            <w:r>
              <w:rPr>
                <w:sz w:val="20"/>
              </w:rPr>
              <w:t>2930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399A3890" w14:textId="77777777" w:rsidR="00B67E9C" w:rsidRDefault="00B67E9C">
            <w:pPr>
              <w:spacing w:before="60" w:after="60"/>
              <w:jc w:val="center"/>
              <w:rPr>
                <w:sz w:val="20"/>
                <w:highlight w:val="yellow"/>
              </w:rPr>
            </w:pPr>
            <w:r>
              <w:rPr>
                <w:sz w:val="20"/>
              </w:rPr>
              <w:t>2999</w:t>
            </w:r>
          </w:p>
        </w:tc>
      </w:tr>
      <w:tr w:rsidR="00B67E9C" w14:paraId="28284C92"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0901540" w14:textId="77777777" w:rsidR="00B67E9C" w:rsidRDefault="00B67E9C">
            <w:pPr>
              <w:spacing w:before="60" w:after="60"/>
              <w:rPr>
                <w:sz w:val="20"/>
              </w:rPr>
            </w:pPr>
            <w:r>
              <w:rPr>
                <w:sz w:val="20"/>
              </w:rPr>
              <w:t>HFC-438A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28C3275" w14:textId="77777777" w:rsidR="00B67E9C" w:rsidRDefault="00B67E9C">
            <w:pPr>
              <w:spacing w:before="60" w:after="60"/>
              <w:jc w:val="center"/>
              <w:rPr>
                <w:sz w:val="20"/>
              </w:rPr>
            </w:pPr>
            <w:r>
              <w:rPr>
                <w:sz w:val="20"/>
              </w:rPr>
              <w:t>1890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3778963C" w14:textId="77777777" w:rsidR="00B67E9C" w:rsidRDefault="00B67E9C">
            <w:pPr>
              <w:spacing w:before="60" w:after="60"/>
              <w:jc w:val="center"/>
              <w:rPr>
                <w:sz w:val="20"/>
                <w:highlight w:val="yellow"/>
              </w:rPr>
            </w:pPr>
            <w:r>
              <w:rPr>
                <w:sz w:val="20"/>
              </w:rPr>
              <w:t>2264</w:t>
            </w:r>
          </w:p>
        </w:tc>
      </w:tr>
      <w:tr w:rsidR="00B67E9C" w14:paraId="4F91021F"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D0E4F89" w14:textId="77777777" w:rsidR="00B67E9C" w:rsidRDefault="00B67E9C">
            <w:pPr>
              <w:spacing w:before="60" w:after="60"/>
              <w:rPr>
                <w:sz w:val="20"/>
              </w:rPr>
            </w:pPr>
            <w:r>
              <w:rPr>
                <w:sz w:val="20"/>
              </w:rPr>
              <w:t>HFC-507A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190E1416" w14:textId="77777777" w:rsidR="00B67E9C" w:rsidRDefault="00B67E9C">
            <w:pPr>
              <w:spacing w:before="60" w:after="60"/>
              <w:jc w:val="center"/>
              <w:rPr>
                <w:sz w:val="20"/>
              </w:rPr>
            </w:pPr>
            <w:r>
              <w:rPr>
                <w:sz w:val="20"/>
              </w:rPr>
              <w:t>3300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C255740" w14:textId="77777777" w:rsidR="00B67E9C" w:rsidRDefault="00B67E9C">
            <w:pPr>
              <w:spacing w:before="60" w:after="60"/>
              <w:jc w:val="center"/>
              <w:rPr>
                <w:sz w:val="20"/>
              </w:rPr>
            </w:pPr>
            <w:r>
              <w:rPr>
                <w:sz w:val="20"/>
              </w:rPr>
              <w:t>3985</w:t>
            </w:r>
          </w:p>
        </w:tc>
      </w:tr>
      <w:tr w:rsidR="00B67E9C" w14:paraId="366C8A66"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090B513B" w14:textId="77777777" w:rsidR="00B67E9C" w:rsidRDefault="00B67E9C">
            <w:pPr>
              <w:spacing w:before="60" w:after="60"/>
              <w:rPr>
                <w:sz w:val="20"/>
              </w:rPr>
            </w:pPr>
            <w:r>
              <w:rPr>
                <w:sz w:val="20"/>
              </w:rPr>
              <w:t xml:space="preserve">HFC-227ea </w:t>
            </w:r>
            <w:r>
              <w:rPr>
                <w:sz w:val="20"/>
                <w:szCs w:val="20"/>
                <w:vertAlign w:val="superscript"/>
              </w:rPr>
              <w:t>(3)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1238027A" w14:textId="77777777" w:rsidR="00B67E9C" w:rsidRDefault="00B67E9C">
            <w:pPr>
              <w:spacing w:before="60" w:after="60"/>
              <w:jc w:val="center"/>
              <w:rPr>
                <w:sz w:val="20"/>
              </w:rPr>
            </w:pPr>
            <w:r>
              <w:rPr>
                <w:sz w:val="20"/>
              </w:rPr>
              <w:t>2900</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9C3C516" w14:textId="77777777" w:rsidR="00B67E9C" w:rsidRDefault="00B67E9C">
            <w:pPr>
              <w:spacing w:before="60" w:after="60"/>
              <w:jc w:val="center"/>
              <w:rPr>
                <w:sz w:val="20"/>
              </w:rPr>
            </w:pPr>
            <w:r>
              <w:rPr>
                <w:sz w:val="20"/>
              </w:rPr>
              <w:t>3220</w:t>
            </w:r>
          </w:p>
        </w:tc>
      </w:tr>
      <w:tr w:rsidR="00B67E9C" w14:paraId="2F3263DB"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D0647BD" w14:textId="77777777" w:rsidR="00B67E9C" w:rsidRDefault="00B67E9C">
            <w:pPr>
              <w:spacing w:before="60" w:after="60"/>
              <w:rPr>
                <w:sz w:val="20"/>
              </w:rPr>
            </w:pPr>
            <w:r>
              <w:rPr>
                <w:sz w:val="20"/>
              </w:rPr>
              <w:t xml:space="preserve">HFC-245fa </w:t>
            </w:r>
            <w:r>
              <w:rPr>
                <w:sz w:val="20"/>
                <w:szCs w:val="20"/>
                <w:vertAlign w:val="superscript"/>
              </w:rPr>
              <w:t>(3)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4FB11F2"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5EEC6D85" w14:textId="77777777" w:rsidR="00B67E9C" w:rsidRDefault="00B67E9C">
            <w:pPr>
              <w:spacing w:before="60" w:after="60"/>
              <w:jc w:val="center"/>
              <w:rPr>
                <w:sz w:val="20"/>
              </w:rPr>
            </w:pPr>
            <w:r>
              <w:rPr>
                <w:sz w:val="20"/>
              </w:rPr>
              <w:t>1030</w:t>
            </w:r>
          </w:p>
        </w:tc>
      </w:tr>
      <w:tr w:rsidR="00B67E9C" w14:paraId="552B01A3"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3B2D888C" w14:textId="77777777" w:rsidR="00B67E9C" w:rsidRDefault="00B67E9C">
            <w:pPr>
              <w:spacing w:before="60" w:after="60"/>
              <w:rPr>
                <w:sz w:val="20"/>
              </w:rPr>
            </w:pPr>
            <w:r>
              <w:rPr>
                <w:sz w:val="20"/>
              </w:rPr>
              <w:t xml:space="preserve">HFC-365mfc </w:t>
            </w:r>
            <w:r>
              <w:rPr>
                <w:sz w:val="20"/>
                <w:szCs w:val="20"/>
                <w:vertAlign w:val="superscript"/>
              </w:rPr>
              <w:t>(3)</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5CDC4158"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8C3A8AF" w14:textId="77777777" w:rsidR="00B67E9C" w:rsidRDefault="00B67E9C">
            <w:pPr>
              <w:spacing w:before="60" w:after="60"/>
              <w:jc w:val="center"/>
              <w:rPr>
                <w:sz w:val="20"/>
              </w:rPr>
            </w:pPr>
            <w:r>
              <w:rPr>
                <w:sz w:val="20"/>
              </w:rPr>
              <w:t>794</w:t>
            </w:r>
          </w:p>
        </w:tc>
      </w:tr>
      <w:tr w:rsidR="00B67E9C" w14:paraId="5F620AB6" w14:textId="77777777" w:rsidTr="00B67E9C">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14:paraId="6DEAAFAA" w14:textId="77777777" w:rsidR="00B67E9C" w:rsidRDefault="00B67E9C">
            <w:pPr>
              <w:spacing w:before="60" w:after="60"/>
              <w:jc w:val="left"/>
              <w:rPr>
                <w:sz w:val="20"/>
              </w:rPr>
            </w:pPr>
            <w:r>
              <w:rPr>
                <w:sz w:val="20"/>
              </w:rPr>
              <w:t>HFC/HFO Blend refrigerants</w:t>
            </w:r>
          </w:p>
        </w:tc>
      </w:tr>
      <w:tr w:rsidR="00B67E9C" w14:paraId="58CAF0AA"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4F41CEFE" w14:textId="77777777" w:rsidR="00B67E9C" w:rsidRDefault="00B67E9C">
            <w:pPr>
              <w:spacing w:before="60" w:after="60"/>
              <w:rPr>
                <w:sz w:val="20"/>
              </w:rPr>
            </w:pPr>
            <w:r>
              <w:rPr>
                <w:sz w:val="20"/>
              </w:rPr>
              <w:t>R448A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AAECF2D"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F4EB037" w14:textId="77777777" w:rsidR="00B67E9C" w:rsidRDefault="00B67E9C">
            <w:pPr>
              <w:spacing w:before="60" w:after="60"/>
              <w:jc w:val="center"/>
              <w:rPr>
                <w:sz w:val="20"/>
              </w:rPr>
            </w:pPr>
            <w:r>
              <w:rPr>
                <w:sz w:val="20"/>
              </w:rPr>
              <w:t>1386</w:t>
            </w:r>
          </w:p>
        </w:tc>
      </w:tr>
      <w:tr w:rsidR="00B67E9C" w14:paraId="61573A1F"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7C7F9CEB" w14:textId="77777777" w:rsidR="00B67E9C" w:rsidRDefault="00B67E9C">
            <w:pPr>
              <w:spacing w:before="60" w:after="60"/>
              <w:rPr>
                <w:sz w:val="20"/>
              </w:rPr>
            </w:pPr>
            <w:r>
              <w:rPr>
                <w:sz w:val="20"/>
              </w:rPr>
              <w:t>R449A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46B3EA8B"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F39A40B" w14:textId="77777777" w:rsidR="00B67E9C" w:rsidRDefault="00B67E9C">
            <w:pPr>
              <w:spacing w:before="60" w:after="60"/>
              <w:jc w:val="center"/>
              <w:rPr>
                <w:sz w:val="20"/>
              </w:rPr>
            </w:pPr>
            <w:r>
              <w:rPr>
                <w:sz w:val="20"/>
              </w:rPr>
              <w:t>1396</w:t>
            </w:r>
          </w:p>
        </w:tc>
      </w:tr>
      <w:tr w:rsidR="00B67E9C" w14:paraId="58CD205F"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6A5DA87A" w14:textId="77777777" w:rsidR="00B67E9C" w:rsidRDefault="00B67E9C">
            <w:pPr>
              <w:spacing w:before="60" w:after="60"/>
              <w:rPr>
                <w:sz w:val="20"/>
              </w:rPr>
            </w:pPr>
            <w:r>
              <w:rPr>
                <w:sz w:val="20"/>
              </w:rPr>
              <w:t>R452A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6153BC5"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17A2BA2D" w14:textId="77777777" w:rsidR="00B67E9C" w:rsidRDefault="00B67E9C">
            <w:pPr>
              <w:spacing w:before="60" w:after="60"/>
              <w:jc w:val="center"/>
              <w:rPr>
                <w:sz w:val="20"/>
              </w:rPr>
            </w:pPr>
            <w:r>
              <w:rPr>
                <w:sz w:val="20"/>
              </w:rPr>
              <w:t>2139</w:t>
            </w:r>
          </w:p>
        </w:tc>
      </w:tr>
      <w:tr w:rsidR="00B67E9C" w14:paraId="257EDA8D"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505FB60D" w14:textId="77777777" w:rsidR="00B67E9C" w:rsidRDefault="00B67E9C">
            <w:pPr>
              <w:spacing w:before="60" w:after="60"/>
              <w:rPr>
                <w:sz w:val="20"/>
              </w:rPr>
            </w:pPr>
            <w:r>
              <w:rPr>
                <w:sz w:val="20"/>
              </w:rPr>
              <w:t>R452B</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02D7ECE3"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30A783FA" w14:textId="77777777" w:rsidR="00B67E9C" w:rsidRDefault="00B67E9C">
            <w:pPr>
              <w:spacing w:before="60" w:after="60"/>
              <w:jc w:val="center"/>
              <w:rPr>
                <w:sz w:val="20"/>
              </w:rPr>
            </w:pPr>
            <w:r>
              <w:rPr>
                <w:sz w:val="20"/>
              </w:rPr>
              <w:t>676</w:t>
            </w:r>
          </w:p>
        </w:tc>
      </w:tr>
      <w:tr w:rsidR="00B67E9C" w14:paraId="5A556358"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0E931DB4" w14:textId="77777777" w:rsidR="00B67E9C" w:rsidRDefault="00B67E9C">
            <w:pPr>
              <w:spacing w:before="60" w:after="60"/>
              <w:rPr>
                <w:sz w:val="20"/>
              </w:rPr>
            </w:pPr>
            <w:r>
              <w:rPr>
                <w:sz w:val="20"/>
              </w:rPr>
              <w:t>R454B</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3CE74AFF"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1034F2DB" w14:textId="77777777" w:rsidR="00B67E9C" w:rsidRDefault="00B67E9C">
            <w:pPr>
              <w:spacing w:before="60" w:after="60"/>
              <w:jc w:val="center"/>
              <w:rPr>
                <w:sz w:val="20"/>
              </w:rPr>
            </w:pPr>
            <w:r>
              <w:rPr>
                <w:sz w:val="20"/>
              </w:rPr>
              <w:t>466</w:t>
            </w:r>
          </w:p>
        </w:tc>
      </w:tr>
      <w:tr w:rsidR="00B67E9C" w14:paraId="735D567B"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18D1121E" w14:textId="77777777" w:rsidR="00B67E9C" w:rsidRDefault="00B67E9C">
            <w:pPr>
              <w:spacing w:before="60" w:after="60"/>
              <w:rPr>
                <w:sz w:val="20"/>
              </w:rPr>
            </w:pPr>
            <w:r>
              <w:rPr>
                <w:sz w:val="20"/>
              </w:rPr>
              <w:t>R454C</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7B0D900"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6818F25" w14:textId="77777777" w:rsidR="00B67E9C" w:rsidRDefault="00B67E9C">
            <w:pPr>
              <w:spacing w:before="60" w:after="60"/>
              <w:jc w:val="center"/>
              <w:rPr>
                <w:sz w:val="20"/>
              </w:rPr>
            </w:pPr>
            <w:r>
              <w:rPr>
                <w:sz w:val="20"/>
              </w:rPr>
              <w:t>148</w:t>
            </w:r>
          </w:p>
        </w:tc>
      </w:tr>
      <w:tr w:rsidR="00B67E9C" w14:paraId="0886FC69"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5ECB96EE" w14:textId="77777777" w:rsidR="00B67E9C" w:rsidRDefault="00B67E9C">
            <w:pPr>
              <w:spacing w:before="60" w:after="60"/>
              <w:rPr>
                <w:sz w:val="20"/>
              </w:rPr>
            </w:pPr>
            <w:r>
              <w:rPr>
                <w:sz w:val="20"/>
              </w:rPr>
              <w:t>R455A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436A182E"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582E6FE1" w14:textId="77777777" w:rsidR="00B67E9C" w:rsidRDefault="00B67E9C">
            <w:pPr>
              <w:spacing w:before="60" w:after="60"/>
              <w:jc w:val="center"/>
              <w:rPr>
                <w:sz w:val="20"/>
              </w:rPr>
            </w:pPr>
            <w:r>
              <w:rPr>
                <w:sz w:val="20"/>
              </w:rPr>
              <w:t>145</w:t>
            </w:r>
          </w:p>
        </w:tc>
      </w:tr>
      <w:tr w:rsidR="00B67E9C" w14:paraId="54B7FEDE"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3D8DEA50" w14:textId="77777777" w:rsidR="00B67E9C" w:rsidRDefault="00B67E9C">
            <w:pPr>
              <w:spacing w:before="60" w:after="60"/>
              <w:rPr>
                <w:sz w:val="20"/>
              </w:rPr>
            </w:pPr>
            <w:r>
              <w:rPr>
                <w:sz w:val="20"/>
              </w:rPr>
              <w:t>R466A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0862D250"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522AF2F8" w14:textId="77777777" w:rsidR="00B67E9C" w:rsidRDefault="00B67E9C">
            <w:pPr>
              <w:spacing w:before="60" w:after="60"/>
              <w:jc w:val="center"/>
              <w:rPr>
                <w:sz w:val="20"/>
              </w:rPr>
            </w:pPr>
            <w:r>
              <w:rPr>
                <w:sz w:val="20"/>
              </w:rPr>
              <w:t>733</w:t>
            </w:r>
          </w:p>
        </w:tc>
      </w:tr>
      <w:tr w:rsidR="00B67E9C" w14:paraId="4296D936"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31B95E45" w14:textId="77777777" w:rsidR="00B67E9C" w:rsidRDefault="00B67E9C">
            <w:pPr>
              <w:spacing w:before="60" w:after="60"/>
              <w:rPr>
                <w:sz w:val="20"/>
              </w:rPr>
            </w:pPr>
            <w:r>
              <w:rPr>
                <w:sz w:val="20"/>
              </w:rPr>
              <w:t>R513A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F624BD1"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69036717" w14:textId="77777777" w:rsidR="00B67E9C" w:rsidRDefault="00B67E9C">
            <w:pPr>
              <w:spacing w:before="60" w:after="60"/>
              <w:jc w:val="center"/>
              <w:rPr>
                <w:sz w:val="20"/>
              </w:rPr>
            </w:pPr>
            <w:r>
              <w:rPr>
                <w:sz w:val="20"/>
              </w:rPr>
              <w:t>629</w:t>
            </w:r>
          </w:p>
        </w:tc>
      </w:tr>
      <w:tr w:rsidR="00B67E9C" w14:paraId="1192EE0C"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3017D020" w14:textId="77777777" w:rsidR="00B67E9C" w:rsidRDefault="00B67E9C">
            <w:pPr>
              <w:spacing w:before="60" w:after="60"/>
              <w:rPr>
                <w:sz w:val="20"/>
              </w:rPr>
            </w:pPr>
            <w:r>
              <w:rPr>
                <w:sz w:val="20"/>
              </w:rPr>
              <w:t xml:space="preserve">R514A </w:t>
            </w:r>
            <w:r>
              <w:rPr>
                <w:sz w:val="20"/>
                <w:vertAlign w:val="superscript"/>
              </w:rPr>
              <w:t>(4)</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1C98177F"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11CA1BA3" w14:textId="77777777" w:rsidR="00B67E9C" w:rsidRDefault="00B67E9C">
            <w:pPr>
              <w:spacing w:before="60" w:after="60"/>
              <w:jc w:val="center"/>
              <w:rPr>
                <w:sz w:val="20"/>
              </w:rPr>
            </w:pPr>
            <w:r>
              <w:rPr>
                <w:sz w:val="20"/>
              </w:rPr>
              <w:t>2</w:t>
            </w:r>
          </w:p>
        </w:tc>
      </w:tr>
      <w:tr w:rsidR="00B67E9C" w14:paraId="6C87B33B"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4CC2EDD1" w14:textId="77777777" w:rsidR="00B67E9C" w:rsidRDefault="00B67E9C">
            <w:pPr>
              <w:spacing w:before="60" w:after="60"/>
              <w:rPr>
                <w:sz w:val="20"/>
              </w:rPr>
            </w:pPr>
            <w:r>
              <w:rPr>
                <w:sz w:val="20"/>
              </w:rPr>
              <w:t>R515A</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D2A5240"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BA24D9A" w14:textId="77777777" w:rsidR="00B67E9C" w:rsidRDefault="00B67E9C">
            <w:pPr>
              <w:spacing w:before="60" w:after="60"/>
              <w:jc w:val="center"/>
              <w:rPr>
                <w:sz w:val="20"/>
              </w:rPr>
            </w:pPr>
            <w:r>
              <w:rPr>
                <w:sz w:val="20"/>
              </w:rPr>
              <w:t>386</w:t>
            </w:r>
          </w:p>
        </w:tc>
      </w:tr>
      <w:tr w:rsidR="00B67E9C" w14:paraId="21A59111" w14:textId="77777777" w:rsidTr="00B67E9C">
        <w:tc>
          <w:tcPr>
            <w:tcW w:w="9498" w:type="dxa"/>
            <w:gridSpan w:val="3"/>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2CF3D7AB" w14:textId="77777777" w:rsidR="00B67E9C" w:rsidRDefault="00B67E9C">
            <w:pPr>
              <w:spacing w:before="60" w:after="60"/>
              <w:rPr>
                <w:sz w:val="20"/>
              </w:rPr>
            </w:pPr>
            <w:r>
              <w:rPr>
                <w:sz w:val="20"/>
              </w:rPr>
              <w:t xml:space="preserve">Nil or &lt;10 GWP refrigerants </w:t>
            </w:r>
          </w:p>
        </w:tc>
      </w:tr>
      <w:tr w:rsidR="00B67E9C" w14:paraId="0886265A"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67BAF9C3" w14:textId="77777777" w:rsidR="00B67E9C" w:rsidRDefault="00B67E9C">
            <w:pPr>
              <w:spacing w:before="60" w:after="60"/>
              <w:rPr>
                <w:sz w:val="20"/>
              </w:rPr>
            </w:pPr>
            <w:r>
              <w:rPr>
                <w:sz w:val="20"/>
              </w:rPr>
              <w:t xml:space="preserve">HC-600a </w:t>
            </w:r>
            <w:r>
              <w:rPr>
                <w:sz w:val="20"/>
                <w:szCs w:val="20"/>
                <w:vertAlign w:val="superscript"/>
              </w:rPr>
              <w:t>(5)</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0B0C9DB6"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E0B09DC" w14:textId="77777777" w:rsidR="00B67E9C" w:rsidRDefault="00B67E9C">
            <w:pPr>
              <w:spacing w:before="60" w:after="60"/>
              <w:jc w:val="center"/>
              <w:rPr>
                <w:sz w:val="20"/>
              </w:rPr>
            </w:pPr>
            <w:r>
              <w:rPr>
                <w:sz w:val="20"/>
              </w:rPr>
              <w:t>3</w:t>
            </w:r>
          </w:p>
        </w:tc>
      </w:tr>
      <w:tr w:rsidR="00B67E9C" w14:paraId="70D0A5D9"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1D79EDB0" w14:textId="77777777" w:rsidR="00B67E9C" w:rsidRDefault="00B67E9C">
            <w:pPr>
              <w:spacing w:before="60" w:after="60"/>
              <w:rPr>
                <w:sz w:val="20"/>
              </w:rPr>
            </w:pPr>
            <w:r>
              <w:rPr>
                <w:sz w:val="20"/>
              </w:rPr>
              <w:t>HC-290</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9A04C1B"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594997A" w14:textId="77777777" w:rsidR="00B67E9C" w:rsidRDefault="00B67E9C">
            <w:pPr>
              <w:spacing w:before="60" w:after="60"/>
              <w:jc w:val="center"/>
              <w:rPr>
                <w:sz w:val="20"/>
              </w:rPr>
            </w:pPr>
            <w:r>
              <w:rPr>
                <w:sz w:val="20"/>
              </w:rPr>
              <w:t>3</w:t>
            </w:r>
          </w:p>
        </w:tc>
      </w:tr>
      <w:tr w:rsidR="00B67E9C" w14:paraId="792F69F8"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0F776F72" w14:textId="77777777" w:rsidR="00B67E9C" w:rsidRDefault="00B67E9C">
            <w:pPr>
              <w:spacing w:before="60" w:after="60"/>
              <w:rPr>
                <w:sz w:val="20"/>
              </w:rPr>
            </w:pPr>
            <w:r>
              <w:rPr>
                <w:sz w:val="20"/>
              </w:rPr>
              <w:t>CO</w:t>
            </w:r>
            <w:r>
              <w:rPr>
                <w:sz w:val="20"/>
                <w:vertAlign w:val="subscript"/>
              </w:rPr>
              <w:t>2</w:t>
            </w:r>
            <w:r>
              <w:rPr>
                <w:sz w:val="20"/>
              </w:rPr>
              <w:t xml:space="preserve"> (R744)</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3FB1465"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024A5870" w14:textId="77777777" w:rsidR="00B67E9C" w:rsidRDefault="00B67E9C">
            <w:pPr>
              <w:spacing w:before="60" w:after="60"/>
              <w:jc w:val="center"/>
              <w:rPr>
                <w:sz w:val="20"/>
              </w:rPr>
            </w:pPr>
            <w:r>
              <w:rPr>
                <w:sz w:val="20"/>
              </w:rPr>
              <w:t>1</w:t>
            </w:r>
          </w:p>
        </w:tc>
      </w:tr>
      <w:tr w:rsidR="00B67E9C" w14:paraId="59540720"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B015286" w14:textId="77777777" w:rsidR="00B67E9C" w:rsidRDefault="00B67E9C">
            <w:pPr>
              <w:spacing w:before="60" w:after="60"/>
              <w:rPr>
                <w:sz w:val="20"/>
              </w:rPr>
            </w:pPr>
            <w:r>
              <w:rPr>
                <w:sz w:val="20"/>
              </w:rPr>
              <w:t>Ammonia (R717)</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6CC799CC"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0640D03" w14:textId="77777777" w:rsidR="00B67E9C" w:rsidRDefault="00B67E9C">
            <w:pPr>
              <w:spacing w:before="60" w:after="60"/>
              <w:jc w:val="center"/>
              <w:rPr>
                <w:sz w:val="20"/>
              </w:rPr>
            </w:pPr>
            <w:r>
              <w:rPr>
                <w:sz w:val="20"/>
              </w:rPr>
              <w:t>0</w:t>
            </w:r>
          </w:p>
        </w:tc>
      </w:tr>
      <w:tr w:rsidR="00B67E9C" w14:paraId="4B1D5DE8"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07A24B11" w14:textId="77777777" w:rsidR="00B67E9C" w:rsidRDefault="00B67E9C">
            <w:pPr>
              <w:spacing w:before="60" w:after="60"/>
              <w:rPr>
                <w:sz w:val="20"/>
              </w:rPr>
            </w:pPr>
            <w:r>
              <w:rPr>
                <w:sz w:val="20"/>
              </w:rPr>
              <w:t xml:space="preserve">HFO-1234yf </w:t>
            </w:r>
            <w:r>
              <w:rPr>
                <w:sz w:val="20"/>
                <w:szCs w:val="20"/>
                <w:vertAlign w:val="superscript"/>
              </w:rPr>
              <w:t>(6)</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782688FD"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79624C7D" w14:textId="77777777" w:rsidR="00B67E9C" w:rsidRDefault="00B67E9C">
            <w:pPr>
              <w:spacing w:before="60" w:after="60"/>
              <w:jc w:val="center"/>
              <w:rPr>
                <w:sz w:val="20"/>
              </w:rPr>
            </w:pPr>
            <w:r>
              <w:rPr>
                <w:sz w:val="20"/>
              </w:rPr>
              <w:t>5</w:t>
            </w:r>
          </w:p>
        </w:tc>
      </w:tr>
      <w:tr w:rsidR="00B67E9C" w14:paraId="6BBBFC12"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40A868EB" w14:textId="77777777" w:rsidR="00B67E9C" w:rsidRDefault="00B67E9C">
            <w:pPr>
              <w:spacing w:before="60" w:after="60"/>
              <w:rPr>
                <w:sz w:val="20"/>
              </w:rPr>
            </w:pPr>
            <w:r>
              <w:rPr>
                <w:sz w:val="20"/>
              </w:rPr>
              <w:lastRenderedPageBreak/>
              <w:t>HFO-1234ze(E)</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17CDDED5"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4FEA5497" w14:textId="77777777" w:rsidR="00B67E9C" w:rsidRDefault="00B67E9C">
            <w:pPr>
              <w:spacing w:before="60" w:after="60"/>
              <w:jc w:val="center"/>
              <w:rPr>
                <w:sz w:val="20"/>
              </w:rPr>
            </w:pPr>
            <w:r>
              <w:rPr>
                <w:sz w:val="20"/>
              </w:rPr>
              <w:t>5</w:t>
            </w:r>
          </w:p>
        </w:tc>
      </w:tr>
      <w:tr w:rsidR="00B67E9C" w14:paraId="1DD1D3FF" w14:textId="77777777" w:rsidTr="00B67E9C">
        <w:tc>
          <w:tcPr>
            <w:tcW w:w="3325" w:type="dxa"/>
            <w:tcBorders>
              <w:top w:val="single" w:sz="4" w:space="0" w:color="000000"/>
              <w:left w:val="single" w:sz="4" w:space="0" w:color="000000"/>
              <w:bottom w:val="single" w:sz="4" w:space="0" w:color="000000"/>
              <w:right w:val="single" w:sz="4" w:space="0" w:color="000000"/>
            </w:tcBorders>
            <w:vAlign w:val="center"/>
            <w:hideMark/>
          </w:tcPr>
          <w:p w14:paraId="25C228DD" w14:textId="77777777" w:rsidR="00B67E9C" w:rsidRDefault="00B67E9C">
            <w:pPr>
              <w:spacing w:before="60" w:after="60"/>
              <w:rPr>
                <w:sz w:val="20"/>
              </w:rPr>
            </w:pPr>
            <w:r>
              <w:rPr>
                <w:sz w:val="20"/>
              </w:rPr>
              <w:t>HFO-1233zd</w:t>
            </w:r>
          </w:p>
        </w:tc>
        <w:tc>
          <w:tcPr>
            <w:tcW w:w="3213" w:type="dxa"/>
            <w:tcBorders>
              <w:top w:val="single" w:sz="4" w:space="0" w:color="000000"/>
              <w:left w:val="single" w:sz="4" w:space="0" w:color="000000"/>
              <w:bottom w:val="single" w:sz="4" w:space="0" w:color="000000"/>
              <w:right w:val="single" w:sz="4" w:space="0" w:color="000000"/>
            </w:tcBorders>
            <w:vAlign w:val="center"/>
            <w:hideMark/>
          </w:tcPr>
          <w:p w14:paraId="24A67689" w14:textId="77777777" w:rsidR="00B67E9C" w:rsidRDefault="00B67E9C">
            <w:pPr>
              <w:spacing w:before="60" w:after="60"/>
              <w:jc w:val="center"/>
              <w:rPr>
                <w:sz w:val="20"/>
              </w:rPr>
            </w:pPr>
            <w:r>
              <w:rPr>
                <w:sz w:val="20"/>
              </w:rPr>
              <w:t>-</w:t>
            </w:r>
          </w:p>
        </w:tc>
        <w:tc>
          <w:tcPr>
            <w:tcW w:w="2960" w:type="dxa"/>
            <w:tcBorders>
              <w:top w:val="single" w:sz="4" w:space="0" w:color="000000"/>
              <w:left w:val="single" w:sz="4" w:space="0" w:color="000000"/>
              <w:bottom w:val="single" w:sz="4" w:space="0" w:color="000000"/>
              <w:right w:val="single" w:sz="4" w:space="0" w:color="000000"/>
            </w:tcBorders>
            <w:vAlign w:val="center"/>
            <w:hideMark/>
          </w:tcPr>
          <w:p w14:paraId="211E2DDA" w14:textId="77777777" w:rsidR="00B67E9C" w:rsidRDefault="00B67E9C">
            <w:pPr>
              <w:spacing w:before="60" w:after="60"/>
              <w:jc w:val="center"/>
              <w:rPr>
                <w:sz w:val="20"/>
              </w:rPr>
            </w:pPr>
            <w:r>
              <w:rPr>
                <w:sz w:val="20"/>
              </w:rPr>
              <w:t>5</w:t>
            </w:r>
          </w:p>
        </w:tc>
      </w:tr>
    </w:tbl>
    <w:p w14:paraId="15BEA246" w14:textId="77777777" w:rsidR="00B67E9C" w:rsidRDefault="00B67E9C" w:rsidP="00B67E9C">
      <w:pPr>
        <w:spacing w:before="60"/>
        <w:rPr>
          <w:sz w:val="20"/>
          <w:szCs w:val="20"/>
        </w:rPr>
      </w:pPr>
      <w:r>
        <w:rPr>
          <w:sz w:val="20"/>
          <w:szCs w:val="20"/>
        </w:rPr>
        <w:t>Notes:</w:t>
      </w:r>
    </w:p>
    <w:p w14:paraId="4D641997"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No longer in common use, banned in 1996. GWP values of blends such as HFC-404A and others are calculated based on the mass composition of substances listed in the IPCC assessment reports.</w:t>
      </w:r>
    </w:p>
    <w:p w14:paraId="14369E9C"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All references to HFC-404A throughout the report include both HFC-404A with a chemical composition of HFC-125/143a/134a (44.0/52.0/4.0) and HFC-507A with a chemical composition of HFC-125/143a (50.0/50.0) as they are very similar in mass composition and service the same applications.</w:t>
      </w:r>
    </w:p>
    <w:p w14:paraId="0E6F779A"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Not used as refrigerant in RAC applications, substances used for foam blowing applications, fire protection and as solvents.</w:t>
      </w:r>
    </w:p>
    <w:p w14:paraId="654C19DF"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R514A is a blend of 74.7% HFO-1336mzz and 25.3% trans-Dichloroethylene.</w:t>
      </w:r>
    </w:p>
    <w:p w14:paraId="3389726E"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HC-600a and HC-290 are not published in the AR2 or AR4.</w:t>
      </w:r>
    </w:p>
    <w:p w14:paraId="3AF7A773"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These are new substances and were not reviewed, included or published in the IPCC, Fourth Assessment Report published in 2007. The GWP values of HFO substances are those cited by the manufacturers as based on AR4. The GWPs of HFOs has recently re-evaluated by the UN with HFO-1233zd and HFO-1234ze with a GWP of 1; and HFO-1234yf with a GWP of less than 1. This report uses previous cited values to maintain consistency. The ASHRAE refrigerant mass chemical compositions are used to calculate the GWP values of these blends.</w:t>
      </w:r>
    </w:p>
    <w:p w14:paraId="49DFB72D" w14:textId="77777777" w:rsidR="00B67E9C" w:rsidRDefault="00B67E9C" w:rsidP="00B67E9C">
      <w:pPr>
        <w:pStyle w:val="ListParagraph"/>
        <w:numPr>
          <w:ilvl w:val="0"/>
          <w:numId w:val="13"/>
        </w:numPr>
        <w:spacing w:before="60" w:after="0" w:line="240" w:lineRule="auto"/>
        <w:ind w:left="357" w:hanging="357"/>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i/>
          <w:sz w:val="20"/>
          <w:szCs w:val="20"/>
        </w:rPr>
        <w:t>Table 3</w:t>
      </w:r>
      <w:r>
        <w:rPr>
          <w:rFonts w:ascii="Times New Roman" w:hAnsi="Times New Roman"/>
          <w:sz w:val="20"/>
          <w:szCs w:val="20"/>
        </w:rPr>
        <w:t xml:space="preserve"> provides the refrigerant mass composition of common blends used in Australia.</w:t>
      </w:r>
    </w:p>
    <w:p w14:paraId="26830F5E" w14:textId="77777777" w:rsidR="00B67E9C" w:rsidRDefault="00B67E9C" w:rsidP="00B67E9C">
      <w:pPr>
        <w:spacing w:before="60"/>
        <w:rPr>
          <w:sz w:val="20"/>
          <w:szCs w:val="20"/>
        </w:rPr>
      </w:pPr>
    </w:p>
    <w:p w14:paraId="0CF150B5" w14:textId="77777777" w:rsidR="00B67E9C" w:rsidRDefault="00B67E9C" w:rsidP="00B67E9C">
      <w:pPr>
        <w:spacing w:before="0"/>
        <w:jc w:val="left"/>
        <w:rPr>
          <w:i/>
          <w:szCs w:val="22"/>
        </w:rPr>
      </w:pPr>
    </w:p>
    <w:p w14:paraId="20B1F524" w14:textId="3427932D" w:rsidR="00B67E9C" w:rsidRDefault="00B67E9C" w:rsidP="00B67E9C">
      <w:pPr>
        <w:pStyle w:val="Caption"/>
        <w:keepNext/>
        <w:rPr>
          <w:szCs w:val="22"/>
        </w:rPr>
      </w:pPr>
      <w:bookmarkStart w:id="28" w:name="_Toc54602348"/>
      <w:r>
        <w:t xml:space="preserve">Table </w:t>
      </w:r>
      <w:r>
        <w:fldChar w:fldCharType="begin"/>
      </w:r>
      <w:r>
        <w:rPr>
          <w:noProof/>
        </w:rPr>
        <w:instrText xml:space="preserve"> SEQ Table \* ARABIC </w:instrText>
      </w:r>
      <w:r>
        <w:fldChar w:fldCharType="separate"/>
      </w:r>
      <w:r w:rsidR="007B01C2">
        <w:rPr>
          <w:noProof/>
        </w:rPr>
        <w:t>3</w:t>
      </w:r>
      <w:r>
        <w:fldChar w:fldCharType="end"/>
      </w:r>
      <w:r>
        <w:t>: A</w:t>
      </w:r>
      <w:r>
        <w:rPr>
          <w:szCs w:val="22"/>
        </w:rPr>
        <w:t>SHRAE Refrigerant designation and refrigerant mass composition of common blends used in Australia.</w:t>
      </w:r>
      <w:bookmarkEnd w:id="28"/>
    </w:p>
    <w:tbl>
      <w:tblPr>
        <w:tblW w:w="949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10"/>
        <w:gridCol w:w="5685"/>
      </w:tblGrid>
      <w:tr w:rsidR="00B67E9C" w14:paraId="150CA437" w14:textId="77777777" w:rsidTr="00B67E9C">
        <w:trPr>
          <w:trHeight w:val="684"/>
        </w:trPr>
        <w:tc>
          <w:tcPr>
            <w:tcW w:w="3811" w:type="dxa"/>
            <w:tcBorders>
              <w:top w:val="single" w:sz="8" w:space="0" w:color="auto"/>
              <w:left w:val="single" w:sz="8" w:space="0" w:color="auto"/>
              <w:bottom w:val="single" w:sz="4" w:space="0" w:color="000000"/>
              <w:right w:val="single" w:sz="4" w:space="0" w:color="FFFFFF"/>
            </w:tcBorders>
            <w:shd w:val="clear" w:color="auto" w:fill="000000"/>
            <w:vAlign w:val="center"/>
            <w:hideMark/>
          </w:tcPr>
          <w:p w14:paraId="66162132" w14:textId="77777777" w:rsidR="00B67E9C" w:rsidRDefault="00B67E9C">
            <w:pPr>
              <w:spacing w:after="120"/>
              <w:ind w:left="34"/>
              <w:jc w:val="left"/>
            </w:pPr>
            <w:r>
              <w:t>ASHRAE Refrigerant designation</w:t>
            </w:r>
          </w:p>
        </w:tc>
        <w:tc>
          <w:tcPr>
            <w:tcW w:w="5687" w:type="dxa"/>
            <w:tcBorders>
              <w:top w:val="single" w:sz="8" w:space="0" w:color="auto"/>
              <w:left w:val="single" w:sz="4" w:space="0" w:color="FFFFFF"/>
              <w:bottom w:val="single" w:sz="4" w:space="0" w:color="000000"/>
              <w:right w:val="single" w:sz="8" w:space="0" w:color="auto"/>
            </w:tcBorders>
            <w:shd w:val="clear" w:color="auto" w:fill="000000"/>
            <w:vAlign w:val="center"/>
            <w:hideMark/>
          </w:tcPr>
          <w:p w14:paraId="7A046110" w14:textId="77777777" w:rsidR="00B67E9C" w:rsidRDefault="00B67E9C">
            <w:pPr>
              <w:spacing w:after="120"/>
              <w:jc w:val="center"/>
            </w:pPr>
            <w:r>
              <w:t>Refrigerant composition (Mass %)</w:t>
            </w:r>
          </w:p>
        </w:tc>
      </w:tr>
      <w:tr w:rsidR="00B67E9C" w14:paraId="497FFD23" w14:textId="77777777" w:rsidTr="00B67E9C">
        <w:trPr>
          <w:trHeight w:val="456"/>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2104A022" w14:textId="77777777" w:rsidR="00B67E9C" w:rsidRDefault="00B67E9C">
            <w:pPr>
              <w:spacing w:before="60" w:after="60"/>
              <w:jc w:val="center"/>
            </w:pPr>
            <w:r>
              <w:t xml:space="preserve">Refrigerant blends: </w:t>
            </w:r>
            <w:proofErr w:type="spellStart"/>
            <w:r>
              <w:t>Zeotropes</w:t>
            </w:r>
            <w:proofErr w:type="spellEnd"/>
          </w:p>
        </w:tc>
      </w:tr>
      <w:tr w:rsidR="00B67E9C" w14:paraId="7F82D594"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4E1EF7D0" w14:textId="77777777" w:rsidR="00B67E9C" w:rsidRDefault="00B67E9C">
            <w:pPr>
              <w:spacing w:before="60" w:after="60"/>
              <w:ind w:left="34"/>
              <w:jc w:val="center"/>
            </w:pPr>
            <w:r>
              <w:t>R404A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1515C713" w14:textId="77777777" w:rsidR="00B67E9C" w:rsidRDefault="00B67E9C">
            <w:pPr>
              <w:spacing w:before="60" w:after="60"/>
              <w:jc w:val="left"/>
            </w:pPr>
            <w:r>
              <w:t>R125/143a/134a (44.0/52.0/4.0)</w:t>
            </w:r>
          </w:p>
        </w:tc>
      </w:tr>
      <w:tr w:rsidR="00B67E9C" w14:paraId="4DD0735E"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59487903" w14:textId="77777777" w:rsidR="00B67E9C" w:rsidRDefault="00B67E9C">
            <w:pPr>
              <w:spacing w:before="60" w:after="60"/>
              <w:ind w:left="34"/>
              <w:jc w:val="center"/>
            </w:pPr>
            <w:r>
              <w:t>R406A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4C5757CF" w14:textId="77777777" w:rsidR="00B67E9C" w:rsidRDefault="00B67E9C">
            <w:pPr>
              <w:spacing w:before="60" w:after="60"/>
              <w:jc w:val="left"/>
            </w:pPr>
            <w:r>
              <w:t>R22/600a/142b (55.0/4.0/41.0)</w:t>
            </w:r>
          </w:p>
        </w:tc>
      </w:tr>
      <w:tr w:rsidR="00B67E9C" w14:paraId="234D8BC0"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50E6CED0" w14:textId="77777777" w:rsidR="00B67E9C" w:rsidRDefault="00B67E9C">
            <w:pPr>
              <w:spacing w:before="60" w:after="60"/>
              <w:ind w:left="34"/>
              <w:jc w:val="center"/>
            </w:pPr>
            <w:r>
              <w:t>R407C</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4198F075" w14:textId="77777777" w:rsidR="00B67E9C" w:rsidRDefault="00B67E9C">
            <w:pPr>
              <w:spacing w:before="60" w:after="60"/>
              <w:jc w:val="left"/>
            </w:pPr>
            <w:r>
              <w:t>R32/125/134a (23.0/25.0/52.0)</w:t>
            </w:r>
          </w:p>
        </w:tc>
      </w:tr>
      <w:tr w:rsidR="00B67E9C" w14:paraId="3D52458D"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70F71705" w14:textId="77777777" w:rsidR="00B67E9C" w:rsidRDefault="00B67E9C">
            <w:pPr>
              <w:spacing w:before="60" w:after="60"/>
              <w:ind w:left="34"/>
              <w:jc w:val="center"/>
            </w:pPr>
            <w:r>
              <w:t>R407F</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523B0597" w14:textId="77777777" w:rsidR="00B67E9C" w:rsidRDefault="00B67E9C">
            <w:pPr>
              <w:spacing w:before="60" w:after="60"/>
              <w:jc w:val="left"/>
            </w:pPr>
            <w:r>
              <w:t>R32/125/134a (30.0/30.0/40.0)</w:t>
            </w:r>
          </w:p>
        </w:tc>
      </w:tr>
      <w:tr w:rsidR="00B67E9C" w14:paraId="01301574"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184307F2" w14:textId="77777777" w:rsidR="00B67E9C" w:rsidRDefault="00B67E9C">
            <w:pPr>
              <w:spacing w:before="60" w:after="60"/>
              <w:ind w:left="34"/>
              <w:jc w:val="center"/>
            </w:pPr>
            <w:r>
              <w:t>R408A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5E947A99" w14:textId="77777777" w:rsidR="00B67E9C" w:rsidRDefault="00B67E9C">
            <w:pPr>
              <w:spacing w:before="60" w:after="60"/>
              <w:jc w:val="left"/>
            </w:pPr>
            <w:r>
              <w:t>R125/143a/22 (7.0/46.0/47.0)</w:t>
            </w:r>
          </w:p>
        </w:tc>
      </w:tr>
      <w:tr w:rsidR="00B67E9C" w14:paraId="45318B77"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2CB3BCC3" w14:textId="77777777" w:rsidR="00B67E9C" w:rsidRDefault="00B67E9C">
            <w:pPr>
              <w:spacing w:before="60" w:after="60"/>
              <w:ind w:left="34"/>
              <w:jc w:val="center"/>
            </w:pPr>
            <w:r>
              <w:t>R409A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065D5278" w14:textId="77777777" w:rsidR="00B67E9C" w:rsidRDefault="00B67E9C">
            <w:pPr>
              <w:spacing w:before="60" w:after="60"/>
              <w:jc w:val="left"/>
            </w:pPr>
            <w:r>
              <w:t>R22/124/142b (60.0/25.0/15.0)</w:t>
            </w:r>
          </w:p>
        </w:tc>
      </w:tr>
      <w:tr w:rsidR="00B67E9C" w14:paraId="623E22CB"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18C02977" w14:textId="77777777" w:rsidR="00B67E9C" w:rsidRDefault="00B67E9C">
            <w:pPr>
              <w:spacing w:before="60" w:after="60"/>
              <w:ind w:left="34"/>
              <w:jc w:val="center"/>
            </w:pPr>
            <w:r>
              <w:t>R409B</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1F037221" w14:textId="77777777" w:rsidR="00B67E9C" w:rsidRDefault="00B67E9C">
            <w:pPr>
              <w:spacing w:before="60" w:after="60"/>
              <w:jc w:val="left"/>
            </w:pPr>
            <w:r>
              <w:t>R22/124/142b (65.0/25.0/10.0)</w:t>
            </w:r>
          </w:p>
        </w:tc>
      </w:tr>
      <w:tr w:rsidR="00B67E9C" w14:paraId="6376553C"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04C9B88A" w14:textId="77777777" w:rsidR="00B67E9C" w:rsidRDefault="00B67E9C">
            <w:pPr>
              <w:spacing w:before="60" w:after="60"/>
              <w:ind w:left="34"/>
              <w:jc w:val="center"/>
            </w:pPr>
            <w:r>
              <w:t>R410A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49B94419" w14:textId="77777777" w:rsidR="00B67E9C" w:rsidRDefault="00B67E9C">
            <w:pPr>
              <w:spacing w:before="60" w:after="60"/>
              <w:jc w:val="left"/>
            </w:pPr>
            <w:r>
              <w:t>R32/125 (50.0/50.0)</w:t>
            </w:r>
          </w:p>
        </w:tc>
      </w:tr>
      <w:tr w:rsidR="00B67E9C" w14:paraId="182FE2B8"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4DB0DD0D" w14:textId="77777777" w:rsidR="00B67E9C" w:rsidRDefault="00B67E9C">
            <w:pPr>
              <w:spacing w:before="60" w:after="60"/>
              <w:ind w:left="34"/>
              <w:jc w:val="center"/>
            </w:pPr>
            <w:r>
              <w:t>R422D</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151D180A" w14:textId="77777777" w:rsidR="00B67E9C" w:rsidRDefault="00B67E9C">
            <w:pPr>
              <w:spacing w:before="60" w:after="60"/>
              <w:jc w:val="left"/>
            </w:pPr>
            <w:r>
              <w:t>R125/R134A/R600A (65.1/31.5/3.4)</w:t>
            </w:r>
          </w:p>
        </w:tc>
      </w:tr>
      <w:tr w:rsidR="00B67E9C" w14:paraId="657B9C70"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00197155" w14:textId="77777777" w:rsidR="00B67E9C" w:rsidRDefault="00B67E9C">
            <w:pPr>
              <w:spacing w:before="60" w:after="60"/>
              <w:ind w:left="34"/>
              <w:jc w:val="center"/>
            </w:pPr>
            <w:r>
              <w:t>R427A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6B1D7E1A" w14:textId="77777777" w:rsidR="00B67E9C" w:rsidRDefault="00B67E9C">
            <w:pPr>
              <w:spacing w:before="60" w:after="60"/>
              <w:jc w:val="left"/>
            </w:pPr>
            <w:r>
              <w:t>R32/R125/R143a/R134a (15.0/25.0/10.0/50.0)</w:t>
            </w:r>
          </w:p>
        </w:tc>
      </w:tr>
      <w:tr w:rsidR="00B67E9C" w14:paraId="569BC890"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522D5904" w14:textId="77777777" w:rsidR="00B67E9C" w:rsidRDefault="00B67E9C">
            <w:pPr>
              <w:spacing w:before="60" w:after="60"/>
              <w:ind w:left="34"/>
              <w:jc w:val="center"/>
            </w:pPr>
            <w:r>
              <w:t>R436A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30BCD09C" w14:textId="77777777" w:rsidR="00B67E9C" w:rsidRDefault="00B67E9C">
            <w:pPr>
              <w:spacing w:before="60" w:after="60"/>
              <w:jc w:val="left"/>
            </w:pPr>
            <w:r>
              <w:t>R290/600a (56.0/44.0)</w:t>
            </w:r>
          </w:p>
        </w:tc>
      </w:tr>
      <w:tr w:rsidR="00B67E9C" w14:paraId="75A762E2"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316A18A0" w14:textId="77777777" w:rsidR="00B67E9C" w:rsidRDefault="00B67E9C">
            <w:pPr>
              <w:spacing w:before="60" w:after="60"/>
              <w:ind w:left="34"/>
              <w:jc w:val="center"/>
            </w:pPr>
            <w:r>
              <w:lastRenderedPageBreak/>
              <w:t>R438A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4E3F8392" w14:textId="77777777" w:rsidR="00B67E9C" w:rsidRDefault="00B67E9C">
            <w:pPr>
              <w:spacing w:before="60" w:after="60"/>
              <w:jc w:val="left"/>
            </w:pPr>
            <w:r>
              <w:t>R125/R32/R134A/R600/R601a (45.0/5.0/45.0/4.0/1.0)</w:t>
            </w:r>
          </w:p>
        </w:tc>
      </w:tr>
      <w:tr w:rsidR="00B67E9C" w14:paraId="4F8A9AE5"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3189790E" w14:textId="77777777" w:rsidR="00B67E9C" w:rsidRDefault="00B67E9C">
            <w:pPr>
              <w:spacing w:before="60" w:after="60"/>
              <w:ind w:left="34"/>
              <w:jc w:val="center"/>
            </w:pPr>
            <w:r>
              <w:t>R436B</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01F5D8CB" w14:textId="77777777" w:rsidR="00B67E9C" w:rsidRDefault="00B67E9C">
            <w:pPr>
              <w:spacing w:before="60" w:after="60"/>
              <w:jc w:val="left"/>
            </w:pPr>
            <w:r>
              <w:t>R290/600a (52.0/48.0)</w:t>
            </w:r>
          </w:p>
        </w:tc>
      </w:tr>
      <w:tr w:rsidR="00B67E9C" w14:paraId="1F0F89F3"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1365110C" w14:textId="77777777" w:rsidR="00B67E9C" w:rsidRDefault="00B67E9C">
            <w:pPr>
              <w:spacing w:before="60" w:after="60"/>
              <w:ind w:left="34"/>
              <w:jc w:val="center"/>
            </w:pPr>
            <w:r>
              <w:t>R448A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274BB946" w14:textId="77777777" w:rsidR="00B67E9C" w:rsidRDefault="00B67E9C">
            <w:pPr>
              <w:spacing w:before="60" w:after="60"/>
              <w:jc w:val="left"/>
            </w:pPr>
            <w:r>
              <w:t>R1234yf/R1234ze/R32/R125/R134a (20.0/7.0/26.0/26.0/21.0)</w:t>
            </w:r>
          </w:p>
        </w:tc>
      </w:tr>
      <w:tr w:rsidR="00B67E9C" w14:paraId="09B22AAA"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322BE8C0" w14:textId="77777777" w:rsidR="00B67E9C" w:rsidRDefault="00B67E9C">
            <w:pPr>
              <w:spacing w:before="60" w:after="60"/>
              <w:ind w:left="34"/>
              <w:jc w:val="center"/>
            </w:pPr>
            <w:r>
              <w:t>R449A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598CCD70" w14:textId="77777777" w:rsidR="00B67E9C" w:rsidRDefault="00B67E9C">
            <w:pPr>
              <w:spacing w:before="60" w:after="60"/>
              <w:jc w:val="left"/>
            </w:pPr>
            <w:r>
              <w:t>R1234yf/R32/R125/R134a (25.3/24.3/24.7/25.7)</w:t>
            </w:r>
          </w:p>
        </w:tc>
      </w:tr>
      <w:tr w:rsidR="00B67E9C" w14:paraId="4AA58632"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131B8198" w14:textId="77777777" w:rsidR="00B67E9C" w:rsidRDefault="00B67E9C">
            <w:pPr>
              <w:spacing w:before="60" w:after="60"/>
              <w:ind w:left="34"/>
              <w:jc w:val="center"/>
            </w:pPr>
            <w:r>
              <w:t>R452A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214762C9" w14:textId="77777777" w:rsidR="00B67E9C" w:rsidRDefault="00B67E9C">
            <w:pPr>
              <w:spacing w:before="60" w:after="60"/>
              <w:jc w:val="left"/>
            </w:pPr>
            <w:r>
              <w:t>R1234yf/R32/R125 (30.0/11.0/59.0)</w:t>
            </w:r>
          </w:p>
        </w:tc>
      </w:tr>
      <w:tr w:rsidR="00B67E9C" w14:paraId="541807A1"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4B1A0973" w14:textId="77777777" w:rsidR="00B67E9C" w:rsidRDefault="00B67E9C">
            <w:pPr>
              <w:spacing w:before="60" w:after="60"/>
              <w:ind w:left="34"/>
              <w:jc w:val="center"/>
            </w:pPr>
            <w:r>
              <w:t>R454B</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40E96016" w14:textId="77777777" w:rsidR="00B67E9C" w:rsidRDefault="00B67E9C">
            <w:pPr>
              <w:spacing w:before="60" w:after="60"/>
              <w:jc w:val="left"/>
            </w:pPr>
            <w:r>
              <w:t>R32/1234yf (68.9/31.1)</w:t>
            </w:r>
          </w:p>
        </w:tc>
      </w:tr>
      <w:tr w:rsidR="00B67E9C" w14:paraId="58EA45A0"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38E98AF3" w14:textId="77777777" w:rsidR="00B67E9C" w:rsidRDefault="00B67E9C">
            <w:pPr>
              <w:spacing w:before="60" w:after="60"/>
              <w:ind w:left="34"/>
              <w:jc w:val="center"/>
            </w:pPr>
            <w:r>
              <w:t>R454C</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72844F7C" w14:textId="77777777" w:rsidR="00B67E9C" w:rsidRDefault="00B67E9C">
            <w:pPr>
              <w:spacing w:before="60" w:after="60"/>
              <w:jc w:val="left"/>
            </w:pPr>
            <w:r>
              <w:t>R32/1234yf (21.5/78.5)</w:t>
            </w:r>
          </w:p>
        </w:tc>
      </w:tr>
      <w:tr w:rsidR="00B67E9C" w14:paraId="3483ADC1"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2E7DF573" w14:textId="77777777" w:rsidR="00B67E9C" w:rsidRDefault="00B67E9C">
            <w:pPr>
              <w:spacing w:before="60" w:after="60"/>
              <w:ind w:left="34"/>
              <w:jc w:val="center"/>
            </w:pPr>
            <w:r>
              <w:t>R455A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313E0CF4" w14:textId="77777777" w:rsidR="00B67E9C" w:rsidRDefault="00B67E9C">
            <w:pPr>
              <w:spacing w:before="60" w:after="60"/>
              <w:jc w:val="left"/>
            </w:pPr>
            <w:r>
              <w:t>R32/R1234yf/R744 (21.5/75.5/3.0)</w:t>
            </w:r>
          </w:p>
        </w:tc>
      </w:tr>
      <w:tr w:rsidR="00B67E9C" w14:paraId="30D4B288" w14:textId="77777777" w:rsidTr="00B67E9C">
        <w:trPr>
          <w:trHeight w:val="456"/>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3AAD9909" w14:textId="77777777" w:rsidR="00B67E9C" w:rsidRDefault="00B67E9C">
            <w:pPr>
              <w:spacing w:before="60" w:after="60"/>
              <w:jc w:val="center"/>
            </w:pPr>
            <w:r>
              <w:t>Refrigerant blends: Azeotropes</w:t>
            </w:r>
          </w:p>
        </w:tc>
      </w:tr>
      <w:tr w:rsidR="00B67E9C" w14:paraId="0FE4C9D4"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6AD1D116" w14:textId="77777777" w:rsidR="00B67E9C" w:rsidRDefault="00B67E9C">
            <w:pPr>
              <w:spacing w:before="60" w:after="60"/>
              <w:ind w:left="34"/>
              <w:jc w:val="center"/>
            </w:pPr>
            <w:r>
              <w:t>R507A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0E4F365A" w14:textId="77777777" w:rsidR="00B67E9C" w:rsidRDefault="00B67E9C">
            <w:pPr>
              <w:spacing w:before="60" w:after="60"/>
              <w:jc w:val="left"/>
            </w:pPr>
            <w:r>
              <w:t>R125/143a (50.0/50.0)</w:t>
            </w:r>
          </w:p>
        </w:tc>
      </w:tr>
      <w:tr w:rsidR="00B67E9C" w14:paraId="25B176B3"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571F8728" w14:textId="77777777" w:rsidR="00B67E9C" w:rsidRDefault="00B67E9C">
            <w:pPr>
              <w:spacing w:before="60" w:after="60"/>
              <w:ind w:left="34"/>
              <w:jc w:val="center"/>
            </w:pPr>
            <w:r>
              <w:t>R513A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6F90EBC2" w14:textId="77777777" w:rsidR="00B67E9C" w:rsidRDefault="00B67E9C">
            <w:pPr>
              <w:spacing w:before="60" w:after="60"/>
              <w:jc w:val="left"/>
            </w:pPr>
            <w:r>
              <w:t>R1234yf/R134a (56.0/44.0)</w:t>
            </w:r>
          </w:p>
        </w:tc>
      </w:tr>
      <w:tr w:rsidR="00B67E9C" w14:paraId="4764355D"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2423895F" w14:textId="77777777" w:rsidR="00B67E9C" w:rsidRDefault="00B67E9C">
            <w:pPr>
              <w:spacing w:before="60" w:after="60"/>
              <w:ind w:left="34"/>
              <w:jc w:val="center"/>
            </w:pPr>
            <w:r>
              <w:t>R514A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0259BAE9" w14:textId="77777777" w:rsidR="00B67E9C" w:rsidRDefault="00B67E9C">
            <w:pPr>
              <w:spacing w:before="60" w:after="60"/>
              <w:jc w:val="left"/>
            </w:pPr>
            <w:r>
              <w:t>R1336mzz(Z)/1130(E) (74.7/25.3)</w:t>
            </w:r>
          </w:p>
        </w:tc>
      </w:tr>
      <w:tr w:rsidR="00B67E9C" w14:paraId="0897CAB3" w14:textId="77777777" w:rsidTr="00B67E9C">
        <w:trPr>
          <w:trHeight w:val="456"/>
        </w:trPr>
        <w:tc>
          <w:tcPr>
            <w:tcW w:w="3811" w:type="dxa"/>
            <w:tcBorders>
              <w:top w:val="single" w:sz="4" w:space="0" w:color="000000"/>
              <w:left w:val="single" w:sz="4" w:space="0" w:color="000000"/>
              <w:bottom w:val="single" w:sz="4" w:space="0" w:color="000000"/>
              <w:right w:val="single" w:sz="4" w:space="0" w:color="000000"/>
            </w:tcBorders>
            <w:vAlign w:val="center"/>
            <w:hideMark/>
          </w:tcPr>
          <w:p w14:paraId="6A601DE1" w14:textId="77777777" w:rsidR="00B67E9C" w:rsidRDefault="00B67E9C">
            <w:pPr>
              <w:spacing w:before="60" w:after="60"/>
              <w:ind w:left="34"/>
              <w:jc w:val="center"/>
            </w:pPr>
            <w:r>
              <w:t>R515A</w:t>
            </w:r>
          </w:p>
        </w:tc>
        <w:tc>
          <w:tcPr>
            <w:tcW w:w="5687" w:type="dxa"/>
            <w:tcBorders>
              <w:top w:val="single" w:sz="4" w:space="0" w:color="000000"/>
              <w:left w:val="single" w:sz="4" w:space="0" w:color="000000"/>
              <w:bottom w:val="single" w:sz="4" w:space="0" w:color="000000"/>
              <w:right w:val="single" w:sz="4" w:space="0" w:color="000000"/>
            </w:tcBorders>
            <w:vAlign w:val="center"/>
            <w:hideMark/>
          </w:tcPr>
          <w:p w14:paraId="04674391" w14:textId="77777777" w:rsidR="00B67E9C" w:rsidRDefault="00B67E9C">
            <w:pPr>
              <w:spacing w:before="60" w:after="60"/>
              <w:jc w:val="left"/>
            </w:pPr>
            <w:r>
              <w:t>R1234ze (E)/227ea (88.0/12.0)</w:t>
            </w:r>
          </w:p>
        </w:tc>
      </w:tr>
    </w:tbl>
    <w:p w14:paraId="4247F145" w14:textId="77777777" w:rsidR="00B67E9C" w:rsidRDefault="00B67E9C" w:rsidP="00B67E9C">
      <w:pPr>
        <w:pStyle w:val="ListParagraph"/>
        <w:numPr>
          <w:ilvl w:val="0"/>
          <w:numId w:val="14"/>
        </w:numPr>
        <w:spacing w:before="60" w:after="0" w:line="240" w:lineRule="auto"/>
        <w:jc w:val="both"/>
        <w:rPr>
          <w:rFonts w:ascii="Times New Roman" w:hAnsi="Times New Roman"/>
          <w:sz w:val="20"/>
          <w:szCs w:val="20"/>
        </w:rPr>
      </w:pPr>
      <w:r>
        <w:rPr>
          <w:rFonts w:ascii="Times New Roman" w:hAnsi="Times New Roman"/>
          <w:sz w:val="20"/>
          <w:szCs w:val="20"/>
        </w:rPr>
        <w:t xml:space="preserve">The contents of this table are from ANSI/ASHRAE 34-2016, Designation and Safety Classification of Refrigerant, published on the ASHRAE website. </w:t>
      </w:r>
    </w:p>
    <w:p w14:paraId="5CFFBF67" w14:textId="77777777" w:rsidR="00B67E9C" w:rsidRDefault="00B67E9C" w:rsidP="00B67E9C">
      <w:pPr>
        <w:pStyle w:val="ListParagraph"/>
        <w:numPr>
          <w:ilvl w:val="0"/>
          <w:numId w:val="14"/>
        </w:numPr>
        <w:spacing w:before="60" w:after="0" w:line="240" w:lineRule="auto"/>
        <w:jc w:val="both"/>
        <w:rPr>
          <w:rFonts w:ascii="Times New Roman" w:hAnsi="Times New Roman"/>
          <w:sz w:val="20"/>
          <w:szCs w:val="20"/>
        </w:rPr>
      </w:pPr>
      <w:r>
        <w:rPr>
          <w:rFonts w:ascii="Times New Roman" w:hAnsi="Times New Roman"/>
          <w:sz w:val="20"/>
          <w:szCs w:val="20"/>
        </w:rPr>
        <w:t>https://www.ashrae.org/technical-resources/standards-and-guidelines/ashrae-refrigerant-designations</w:t>
      </w:r>
    </w:p>
    <w:p w14:paraId="5A5EBC5E" w14:textId="77777777" w:rsidR="00B67E9C" w:rsidRDefault="00B67E9C" w:rsidP="00B67E9C"/>
    <w:p w14:paraId="7F6D35D7" w14:textId="77777777" w:rsidR="00B67E9C" w:rsidRDefault="00B67E9C" w:rsidP="00B67E9C">
      <w:pPr>
        <w:pStyle w:val="Heading3"/>
        <w:numPr>
          <w:ilvl w:val="2"/>
          <w:numId w:val="5"/>
        </w:numPr>
      </w:pPr>
      <w:bookmarkStart w:id="29" w:name="_Toc54601657"/>
      <w:r>
        <w:t>Energy consumption calculations and comparisons</w:t>
      </w:r>
      <w:bookmarkEnd w:id="29"/>
    </w:p>
    <w:p w14:paraId="1BB77530" w14:textId="77777777" w:rsidR="00B67E9C" w:rsidRDefault="00B67E9C" w:rsidP="00B67E9C">
      <w:pPr>
        <w:rPr>
          <w:rFonts w:cs="Times New Roman"/>
          <w:szCs w:val="22"/>
          <w:lang w:val="en-US"/>
        </w:rPr>
      </w:pPr>
      <w:r>
        <w:rPr>
          <w:rFonts w:cs="Times New Roman"/>
          <w:szCs w:val="22"/>
          <w:lang w:val="en-US"/>
        </w:rPr>
        <w:t xml:space="preserve">The electrical consumption of products is estimated to allow a calculation of energy related emissions produced by each product, equipment category and segment. </w:t>
      </w:r>
    </w:p>
    <w:p w14:paraId="6817847B" w14:textId="77777777" w:rsidR="00B67E9C" w:rsidRDefault="00B67E9C" w:rsidP="00B67E9C">
      <w:pPr>
        <w:snapToGrid w:val="0"/>
        <w:rPr>
          <w:lang w:val="en-AU"/>
        </w:rPr>
      </w:pPr>
      <w:r>
        <w:rPr>
          <w:lang w:val="en-AU"/>
        </w:rPr>
        <w:t xml:space="preserve">CHF3 2016 electricity consumption calculations have been compared to the most relevant recent studies commissioned by the Equipment Energy Efficiency (E3) program of the Department of the Environment and Energy. </w:t>
      </w:r>
    </w:p>
    <w:p w14:paraId="69425EEA" w14:textId="77777777" w:rsidR="00B67E9C" w:rsidRDefault="00B67E9C" w:rsidP="00B67E9C">
      <w:pPr>
        <w:snapToGrid w:val="0"/>
        <w:spacing w:before="240"/>
        <w:outlineLvl w:val="0"/>
        <w:rPr>
          <w:b/>
          <w:lang w:val="en-AU"/>
        </w:rPr>
      </w:pPr>
      <w:r>
        <w:rPr>
          <w:b/>
          <w:lang w:val="en-AU"/>
        </w:rPr>
        <w:t>Domestic refrigeration</w:t>
      </w:r>
    </w:p>
    <w:p w14:paraId="324016FE" w14:textId="77777777" w:rsidR="00B67E9C" w:rsidRDefault="00B67E9C" w:rsidP="00B67E9C">
      <w:pPr>
        <w:snapToGrid w:val="0"/>
        <w:rPr>
          <w:lang w:val="en-AU"/>
        </w:rPr>
      </w:pPr>
      <w:r>
        <w:rPr>
          <w:lang w:val="en-AU"/>
        </w:rPr>
        <w:t xml:space="preserve">CHF3 2016 RAC Stock model estimates a total stock of greater than 19.2 million domestic refrigeration devices in Australia (including domestic freezers and small portable refrigerators). </w:t>
      </w:r>
    </w:p>
    <w:p w14:paraId="5FBEDBE6" w14:textId="77777777" w:rsidR="00B67E9C" w:rsidRDefault="00B67E9C" w:rsidP="00B67E9C">
      <w:pPr>
        <w:snapToGrid w:val="0"/>
        <w:rPr>
          <w:lang w:val="en-AU"/>
        </w:rPr>
      </w:pPr>
      <w:r>
        <w:rPr>
          <w:lang w:val="en-AU"/>
        </w:rPr>
        <w:t xml:space="preserve">The number of these devices that are used in residences is however less than that total stock of equipment. Deducting from this population of 19.2 million devices an estimated 888,000 portable refrigerators, that are run from vehicles, in caravans on and battery power of various sorts, and deducting a further estimated 5% of devices that are assumed to be used in business premises, such as restaurants and takeaway shops, and in office kitchens, and the CHF3 RAC Stock model arrives at an installed base of 17.41 million domestic refrigerators and freezers in residential buildings in Australia in 2016. </w:t>
      </w:r>
    </w:p>
    <w:p w14:paraId="3806E74A" w14:textId="77777777" w:rsidR="00B67E9C" w:rsidRDefault="00B67E9C" w:rsidP="00B67E9C">
      <w:pPr>
        <w:snapToGrid w:val="0"/>
        <w:rPr>
          <w:lang w:val="en-AU"/>
        </w:rPr>
      </w:pPr>
      <w:r>
        <w:rPr>
          <w:lang w:val="en-AU"/>
        </w:rPr>
        <w:t>This is a value that aligns very well with the results of the Residential Baseline Study 2015 (E3 2015) which estimated an installed base of 17.68 million refrigerators and freezers in Australian homes in 2016.</w:t>
      </w:r>
    </w:p>
    <w:p w14:paraId="7BE3C876" w14:textId="77777777" w:rsidR="00B67E9C" w:rsidRDefault="00B67E9C" w:rsidP="00B67E9C">
      <w:pPr>
        <w:snapToGrid w:val="0"/>
        <w:rPr>
          <w:lang w:val="en-AU"/>
        </w:rPr>
      </w:pPr>
      <w:r>
        <w:rPr>
          <w:lang w:val="en-AU"/>
        </w:rPr>
        <w:lastRenderedPageBreak/>
        <w:t>The CHF3 2016 RAC Stock model calculates the 17.59 million domestic refrigerators and freezers consumed 8,534 GWh in 2016 compared to 29.59 PJ (8,219 GWh) published in the Residential Baseline Study for 2016.</w:t>
      </w:r>
    </w:p>
    <w:p w14:paraId="6C8E5B1D" w14:textId="77777777" w:rsidR="00B67E9C" w:rsidRDefault="00B67E9C" w:rsidP="00B67E9C">
      <w:pPr>
        <w:snapToGrid w:val="0"/>
        <w:spacing w:before="240"/>
        <w:outlineLvl w:val="0"/>
        <w:rPr>
          <w:b/>
          <w:lang w:val="en-AU"/>
        </w:rPr>
      </w:pPr>
      <w:r>
        <w:rPr>
          <w:b/>
          <w:lang w:val="en-AU"/>
        </w:rPr>
        <w:t>Hot water heat pumps</w:t>
      </w:r>
    </w:p>
    <w:p w14:paraId="2C4A584E" w14:textId="77777777" w:rsidR="00B67E9C" w:rsidRDefault="00B67E9C" w:rsidP="00B67E9C">
      <w:pPr>
        <w:snapToGrid w:val="0"/>
        <w:rPr>
          <w:szCs w:val="22"/>
        </w:rPr>
      </w:pPr>
      <w:r>
        <w:rPr>
          <w:lang w:val="en-AU"/>
        </w:rPr>
        <w:t xml:space="preserve">The CHF3 2016 RAC Stock model estimates a stock of greater than 206,000 hot water heat pumps, a value that aligns with those published by the </w:t>
      </w:r>
      <w:r>
        <w:rPr>
          <w:szCs w:val="22"/>
        </w:rPr>
        <w:t>Clean Energy Regulator</w:t>
      </w:r>
      <w:r>
        <w:rPr>
          <w:rStyle w:val="FootnoteReference"/>
          <w:szCs w:val="22"/>
        </w:rPr>
        <w:footnoteReference w:id="5"/>
      </w:r>
      <w:r>
        <w:rPr>
          <w:szCs w:val="22"/>
        </w:rPr>
        <w:t xml:space="preserve"> of 210,649 devices registered at the end of 2016. The stock model assumes an average lifespan of 15 years, </w:t>
      </w:r>
      <w:proofErr w:type="gramStart"/>
      <w:r>
        <w:rPr>
          <w:szCs w:val="22"/>
        </w:rPr>
        <w:t>however</w:t>
      </w:r>
      <w:proofErr w:type="gramEnd"/>
      <w:r>
        <w:rPr>
          <w:szCs w:val="22"/>
        </w:rPr>
        <w:t xml:space="preserve"> reduces total stock at a slightly accelerated rate to account for older models that are more likely to have been retired since early 2000s. </w:t>
      </w:r>
    </w:p>
    <w:p w14:paraId="3B2A6A0C" w14:textId="77777777" w:rsidR="00B67E9C" w:rsidRDefault="00B67E9C" w:rsidP="00B67E9C">
      <w:pPr>
        <w:snapToGrid w:val="0"/>
        <w:rPr>
          <w:b/>
          <w:lang w:val="en-AU"/>
        </w:rPr>
      </w:pPr>
      <w:r>
        <w:rPr>
          <w:szCs w:val="22"/>
        </w:rPr>
        <w:t xml:space="preserve">As a </w:t>
      </w:r>
      <w:proofErr w:type="gramStart"/>
      <w:r>
        <w:rPr>
          <w:szCs w:val="22"/>
        </w:rPr>
        <w:t>result</w:t>
      </w:r>
      <w:proofErr w:type="gramEnd"/>
      <w:r>
        <w:rPr>
          <w:szCs w:val="22"/>
        </w:rPr>
        <w:t xml:space="preserve"> </w:t>
      </w:r>
      <w:r>
        <w:rPr>
          <w:lang w:val="en-AU"/>
        </w:rPr>
        <w:t>the CHF3 2016 RAC Stock model estimates the stock of hot water heat pumps at 206,000 units that consumed 186 GWh in 2016 compared to the Residential Baseline Study that estimated 196,378 devices consuming 0.633 PJ (176 GWh) in 2015.</w:t>
      </w:r>
    </w:p>
    <w:p w14:paraId="653333A9" w14:textId="77777777" w:rsidR="00B67E9C" w:rsidRDefault="00B67E9C" w:rsidP="00B67E9C">
      <w:pPr>
        <w:snapToGrid w:val="0"/>
        <w:spacing w:before="240"/>
        <w:rPr>
          <w:lang w:val="en-AU"/>
        </w:rPr>
      </w:pPr>
      <w:r>
        <w:rPr>
          <w:rFonts w:cs="Times New Roman"/>
          <w:b/>
          <w:lang w:val="en-AU"/>
        </w:rPr>
        <w:t>Stationary air conditioning</w:t>
      </w:r>
    </w:p>
    <w:p w14:paraId="7851CA69" w14:textId="77777777" w:rsidR="00B67E9C" w:rsidRDefault="00B67E9C" w:rsidP="00B67E9C">
      <w:pPr>
        <w:rPr>
          <w:rFonts w:cs="Times New Roman"/>
          <w:lang w:val="en-AU"/>
        </w:rPr>
      </w:pPr>
      <w:r>
        <w:rPr>
          <w:rFonts w:cs="Times New Roman"/>
          <w:lang w:val="en-AU"/>
        </w:rPr>
        <w:t xml:space="preserve">CHF3 2016 stock numbers and energy use in stationary AC are based on slightly different equipment definitions and a larger number of categories than were used in the AC RIS prepared for </w:t>
      </w:r>
      <w:proofErr w:type="spellStart"/>
      <w:r>
        <w:rPr>
          <w:rFonts w:cs="Times New Roman"/>
          <w:lang w:val="en-AU"/>
        </w:rPr>
        <w:t>DoEE</w:t>
      </w:r>
      <w:proofErr w:type="spellEnd"/>
      <w:r>
        <w:rPr>
          <w:rFonts w:cs="Times New Roman"/>
          <w:lang w:val="en-AU"/>
        </w:rPr>
        <w:t xml:space="preserve"> in 2016. </w:t>
      </w:r>
      <w:proofErr w:type="gramStart"/>
      <w:r>
        <w:rPr>
          <w:rFonts w:cs="Times New Roman"/>
          <w:lang w:val="en-AU"/>
        </w:rPr>
        <w:t>However</w:t>
      </w:r>
      <w:proofErr w:type="gramEnd"/>
      <w:r>
        <w:rPr>
          <w:rFonts w:cs="Times New Roman"/>
          <w:lang w:val="en-AU"/>
        </w:rPr>
        <w:t xml:space="preserve"> by combining some of the categories used in CHF3, a comparison of the stocks used in both studies has been made below. </w:t>
      </w:r>
    </w:p>
    <w:p w14:paraId="74CF0D2F" w14:textId="77777777" w:rsidR="00B67E9C" w:rsidRDefault="00B67E9C" w:rsidP="00B67E9C">
      <w:pPr>
        <w:rPr>
          <w:rFonts w:cs="Times New Roman"/>
          <w:lang w:val="en-AU"/>
        </w:rPr>
      </w:pPr>
    </w:p>
    <w:p w14:paraId="4639CBC5" w14:textId="77777777" w:rsidR="00B67E9C" w:rsidRDefault="00B67E9C" w:rsidP="00B67E9C">
      <w:pPr>
        <w:spacing w:before="0"/>
        <w:jc w:val="left"/>
        <w:rPr>
          <w:rFonts w:eastAsia="Times New Roman" w:cs="Times New Roman"/>
          <w:bCs/>
          <w:i/>
          <w:szCs w:val="20"/>
          <w:lang w:val="en-US"/>
        </w:rPr>
      </w:pPr>
      <w:r>
        <w:br w:type="page"/>
      </w:r>
    </w:p>
    <w:p w14:paraId="324B1C9C" w14:textId="29A85F6E" w:rsidR="00B67E9C" w:rsidRDefault="00B67E9C" w:rsidP="00B67E9C">
      <w:pPr>
        <w:pStyle w:val="Caption"/>
        <w:keepNext/>
        <w:rPr>
          <w:lang w:val="en-AU"/>
        </w:rPr>
      </w:pPr>
      <w:bookmarkStart w:id="30" w:name="_Toc54602349"/>
      <w:r>
        <w:lastRenderedPageBreak/>
        <w:t xml:space="preserve">Table </w:t>
      </w:r>
      <w:r>
        <w:fldChar w:fldCharType="begin"/>
      </w:r>
      <w:r>
        <w:rPr>
          <w:noProof/>
        </w:rPr>
        <w:instrText xml:space="preserve"> SEQ Table \* ARABIC </w:instrText>
      </w:r>
      <w:r>
        <w:fldChar w:fldCharType="separate"/>
      </w:r>
      <w:r w:rsidR="007B01C2">
        <w:rPr>
          <w:noProof/>
        </w:rPr>
        <w:t>4</w:t>
      </w:r>
      <w:r>
        <w:fldChar w:fldCharType="end"/>
      </w:r>
      <w:r>
        <w:t xml:space="preserve">: </w:t>
      </w:r>
      <w:r>
        <w:rPr>
          <w:lang w:val="en-AU"/>
        </w:rPr>
        <w:t>Comparisons of stock and electricity consumption values: CHF2 vs AC RIS: 2016 vs CHF3: 2016.</w:t>
      </w:r>
      <w:bookmarkEnd w:id="30"/>
    </w:p>
    <w:tbl>
      <w:tblPr>
        <w:tblStyle w:val="TableGrid"/>
        <w:tblW w:w="9630" w:type="dxa"/>
        <w:tblLayout w:type="fixed"/>
        <w:tblLook w:val="04A0" w:firstRow="1" w:lastRow="0" w:firstColumn="1" w:lastColumn="0" w:noHBand="0" w:noVBand="1"/>
      </w:tblPr>
      <w:tblGrid>
        <w:gridCol w:w="2122"/>
        <w:gridCol w:w="1252"/>
        <w:gridCol w:w="1252"/>
        <w:gridCol w:w="1251"/>
        <w:gridCol w:w="1251"/>
        <w:gridCol w:w="1251"/>
        <w:gridCol w:w="1251"/>
      </w:tblGrid>
      <w:tr w:rsidR="00B67E9C" w14:paraId="60553588" w14:textId="77777777" w:rsidTr="00B67E9C">
        <w:tc>
          <w:tcPr>
            <w:tcW w:w="2122" w:type="dxa"/>
            <w:vMerge w:val="restart"/>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06955090" w14:textId="77777777" w:rsidR="00B67E9C" w:rsidRDefault="00B67E9C">
            <w:pPr>
              <w:snapToGrid w:val="0"/>
              <w:spacing w:before="60" w:after="60"/>
              <w:jc w:val="left"/>
              <w:rPr>
                <w:lang w:val="en-AU"/>
              </w:rPr>
            </w:pP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29404728" w14:textId="77777777" w:rsidR="00B67E9C" w:rsidRDefault="00B67E9C">
            <w:pPr>
              <w:snapToGrid w:val="0"/>
              <w:spacing w:before="60" w:after="60"/>
              <w:jc w:val="center"/>
              <w:rPr>
                <w:lang w:val="en-AU"/>
              </w:rPr>
            </w:pPr>
            <w:r>
              <w:rPr>
                <w:lang w:val="en-AU"/>
              </w:rPr>
              <w:t>CHF2: 2012</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21F68EC4" w14:textId="77777777" w:rsidR="00B67E9C" w:rsidRDefault="00B67E9C">
            <w:pPr>
              <w:snapToGrid w:val="0"/>
              <w:spacing w:before="60" w:after="60"/>
              <w:jc w:val="center"/>
              <w:rPr>
                <w:lang w:val="en-AU"/>
              </w:rPr>
            </w:pPr>
            <w:r>
              <w:rPr>
                <w:lang w:val="en-AU"/>
              </w:rPr>
              <w:t>AC RIS: 2016</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0ACFC8C0" w14:textId="77777777" w:rsidR="00B67E9C" w:rsidRDefault="00B67E9C">
            <w:pPr>
              <w:snapToGrid w:val="0"/>
              <w:spacing w:before="60" w:after="60"/>
              <w:jc w:val="center"/>
              <w:rPr>
                <w:lang w:val="en-AU"/>
              </w:rPr>
            </w:pPr>
            <w:r>
              <w:rPr>
                <w:lang w:val="en-AU"/>
              </w:rPr>
              <w:t>CHF3: 2016</w:t>
            </w:r>
          </w:p>
        </w:tc>
      </w:tr>
      <w:tr w:rsidR="00B67E9C" w14:paraId="3BBFB47B" w14:textId="77777777" w:rsidTr="00B67E9C">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3FF37CB2" w14:textId="77777777" w:rsidR="00B67E9C" w:rsidRDefault="00B67E9C">
            <w:pPr>
              <w:spacing w:before="0"/>
              <w:jc w:val="left"/>
              <w:rPr>
                <w:lang w:val="en-AU"/>
              </w:rPr>
            </w:pPr>
          </w:p>
        </w:tc>
        <w:tc>
          <w:tcPr>
            <w:tcW w:w="125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7B038DC8" w14:textId="77777777" w:rsidR="00B67E9C" w:rsidRDefault="00B67E9C">
            <w:pPr>
              <w:snapToGrid w:val="0"/>
              <w:spacing w:before="60" w:after="60"/>
              <w:jc w:val="center"/>
              <w:rPr>
                <w:lang w:val="en-AU"/>
              </w:rPr>
            </w:pPr>
            <w:r>
              <w:rPr>
                <w:lang w:val="en-AU"/>
              </w:rPr>
              <w:t>Stock</w:t>
            </w:r>
          </w:p>
        </w:tc>
        <w:tc>
          <w:tcPr>
            <w:tcW w:w="125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526318AF" w14:textId="77777777" w:rsidR="00B67E9C" w:rsidRDefault="00B67E9C">
            <w:pPr>
              <w:snapToGrid w:val="0"/>
              <w:spacing w:before="60" w:after="60"/>
              <w:jc w:val="center"/>
              <w:rPr>
                <w:lang w:val="en-AU"/>
              </w:rPr>
            </w:pPr>
            <w:r>
              <w:rPr>
                <w:sz w:val="20"/>
                <w:lang w:val="en-AU"/>
              </w:rPr>
              <w:t>Energy consumption (GWh)</w:t>
            </w:r>
          </w:p>
        </w:tc>
        <w:tc>
          <w:tcPr>
            <w:tcW w:w="125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3EB6C21F" w14:textId="77777777" w:rsidR="00B67E9C" w:rsidRDefault="00B67E9C">
            <w:pPr>
              <w:snapToGrid w:val="0"/>
              <w:spacing w:before="60" w:after="60"/>
              <w:jc w:val="center"/>
              <w:rPr>
                <w:lang w:val="en-AU"/>
              </w:rPr>
            </w:pPr>
            <w:r>
              <w:rPr>
                <w:lang w:val="en-AU"/>
              </w:rPr>
              <w:t>Stock</w:t>
            </w:r>
          </w:p>
        </w:tc>
        <w:tc>
          <w:tcPr>
            <w:tcW w:w="125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04420338" w14:textId="77777777" w:rsidR="00B67E9C" w:rsidRDefault="00B67E9C">
            <w:pPr>
              <w:snapToGrid w:val="0"/>
              <w:spacing w:before="60" w:after="60"/>
              <w:jc w:val="center"/>
              <w:rPr>
                <w:sz w:val="20"/>
                <w:lang w:val="en-AU"/>
              </w:rPr>
            </w:pPr>
            <w:r>
              <w:rPr>
                <w:sz w:val="20"/>
                <w:lang w:val="en-AU"/>
              </w:rPr>
              <w:t>Energy consumption (GWh)</w:t>
            </w:r>
          </w:p>
        </w:tc>
        <w:tc>
          <w:tcPr>
            <w:tcW w:w="125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73823AA8" w14:textId="77777777" w:rsidR="00B67E9C" w:rsidRDefault="00B67E9C">
            <w:pPr>
              <w:snapToGrid w:val="0"/>
              <w:spacing w:before="60" w:after="60"/>
              <w:jc w:val="center"/>
              <w:rPr>
                <w:lang w:val="en-AU"/>
              </w:rPr>
            </w:pPr>
            <w:r>
              <w:rPr>
                <w:lang w:val="en-AU"/>
              </w:rPr>
              <w:t>Stock</w:t>
            </w:r>
          </w:p>
        </w:tc>
        <w:tc>
          <w:tcPr>
            <w:tcW w:w="125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hideMark/>
          </w:tcPr>
          <w:p w14:paraId="66112B87" w14:textId="77777777" w:rsidR="00B67E9C" w:rsidRDefault="00B67E9C">
            <w:pPr>
              <w:snapToGrid w:val="0"/>
              <w:spacing w:before="60" w:after="60"/>
              <w:jc w:val="center"/>
              <w:rPr>
                <w:sz w:val="20"/>
                <w:lang w:val="en-AU"/>
              </w:rPr>
            </w:pPr>
            <w:r>
              <w:rPr>
                <w:sz w:val="20"/>
                <w:lang w:val="en-AU"/>
              </w:rPr>
              <w:t>Energy consumption (GWh)</w:t>
            </w:r>
          </w:p>
        </w:tc>
      </w:tr>
      <w:tr w:rsidR="00B67E9C" w14:paraId="6BDAC3F0"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447BB5BD" w14:textId="77777777" w:rsidR="00B67E9C" w:rsidRDefault="00B67E9C">
            <w:pPr>
              <w:snapToGrid w:val="0"/>
              <w:spacing w:before="60" w:after="60"/>
              <w:jc w:val="left"/>
              <w:rPr>
                <w:lang w:val="en-AU"/>
              </w:rPr>
            </w:pPr>
            <w:r>
              <w:rPr>
                <w:lang w:val="en-AU"/>
              </w:rPr>
              <w:t>Non-Ducted: Unitary</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8F7F271" w14:textId="77777777" w:rsidR="00B67E9C" w:rsidRDefault="00B67E9C">
            <w:pPr>
              <w:snapToGrid w:val="0"/>
              <w:spacing w:before="60" w:after="60"/>
              <w:jc w:val="center"/>
              <w:rPr>
                <w:lang w:val="en-AU"/>
              </w:rPr>
            </w:pPr>
            <w:r>
              <w:rPr>
                <w:lang w:val="en-AU"/>
              </w:rPr>
              <w:t>1,915,000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B1CD0A3" w14:textId="77777777" w:rsidR="00B67E9C" w:rsidRDefault="00B67E9C">
            <w:pPr>
              <w:snapToGrid w:val="0"/>
              <w:spacing w:before="60" w:after="60"/>
              <w:jc w:val="center"/>
              <w:rPr>
                <w:lang w:val="en-AU"/>
              </w:rPr>
            </w:pPr>
            <w:r>
              <w:rPr>
                <w:lang w:val="en-AU"/>
              </w:rPr>
              <w:t>1,967</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B7CD328" w14:textId="77777777" w:rsidR="00B67E9C" w:rsidRDefault="00B67E9C">
            <w:pPr>
              <w:snapToGrid w:val="0"/>
              <w:spacing w:before="60" w:after="60"/>
              <w:jc w:val="center"/>
              <w:rPr>
                <w:lang w:val="en-AU"/>
              </w:rPr>
            </w:pPr>
            <w:r>
              <w:rPr>
                <w:lang w:val="en-AU"/>
              </w:rPr>
              <w:t>1,637,196</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EBD8C7B" w14:textId="77777777" w:rsidR="00B67E9C" w:rsidRDefault="00B67E9C">
            <w:pPr>
              <w:snapToGrid w:val="0"/>
              <w:spacing w:before="60" w:after="60"/>
              <w:jc w:val="center"/>
              <w:rPr>
                <w:lang w:val="en-AU"/>
              </w:rPr>
            </w:pPr>
            <w:r>
              <w:rPr>
                <w:lang w:val="en-AU"/>
              </w:rPr>
              <w:t>764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8C33A8E" w14:textId="77777777" w:rsidR="00B67E9C" w:rsidRDefault="00B67E9C">
            <w:pPr>
              <w:snapToGrid w:val="0"/>
              <w:spacing w:before="60" w:after="60"/>
              <w:jc w:val="center"/>
              <w:rPr>
                <w:lang w:val="en-AU"/>
              </w:rPr>
            </w:pPr>
            <w:r>
              <w:rPr>
                <w:lang w:val="en-AU"/>
              </w:rPr>
              <w:t>1,591,808</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4AA1454" w14:textId="77777777" w:rsidR="00B67E9C" w:rsidRDefault="00B67E9C">
            <w:pPr>
              <w:snapToGrid w:val="0"/>
              <w:spacing w:before="60" w:after="60"/>
              <w:jc w:val="center"/>
              <w:rPr>
                <w:lang w:val="en-AU"/>
              </w:rPr>
            </w:pPr>
            <w:r>
              <w:rPr>
                <w:lang w:val="en-AU"/>
              </w:rPr>
              <w:t>1,166</w:t>
            </w:r>
          </w:p>
        </w:tc>
      </w:tr>
      <w:tr w:rsidR="00B67E9C" w14:paraId="524BDEA6"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429BBDD5" w14:textId="77777777" w:rsidR="00B67E9C" w:rsidRDefault="00B67E9C">
            <w:pPr>
              <w:snapToGrid w:val="0"/>
              <w:spacing w:before="60" w:after="60"/>
              <w:jc w:val="left"/>
              <w:rPr>
                <w:lang w:val="en-AU"/>
              </w:rPr>
            </w:pPr>
            <w:r>
              <w:rPr>
                <w:lang w:val="en-AU"/>
              </w:rPr>
              <w:t>Portable AC</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BCE60BA" w14:textId="77777777" w:rsidR="00B67E9C" w:rsidRDefault="00B67E9C">
            <w:pPr>
              <w:snapToGrid w:val="0"/>
              <w:spacing w:before="60" w:after="60"/>
              <w:jc w:val="center"/>
              <w:rPr>
                <w:lang w:val="en-AU"/>
              </w:rPr>
            </w:pPr>
            <w:r>
              <w:rPr>
                <w:lang w:val="en-AU"/>
              </w:rPr>
              <w:t>606,000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761C34B" w14:textId="77777777" w:rsidR="00B67E9C" w:rsidRDefault="00B67E9C">
            <w:pPr>
              <w:snapToGrid w:val="0"/>
              <w:spacing w:before="60" w:after="60"/>
              <w:jc w:val="center"/>
              <w:rPr>
                <w:lang w:val="en-AU"/>
              </w:rPr>
            </w:pPr>
            <w:r>
              <w:rPr>
                <w:lang w:val="en-AU"/>
              </w:rPr>
              <w:t>534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C8DFAAD" w14:textId="77777777" w:rsidR="00B67E9C" w:rsidRDefault="00B67E9C">
            <w:pPr>
              <w:snapToGrid w:val="0"/>
              <w:spacing w:before="60" w:after="60"/>
              <w:jc w:val="center"/>
              <w:rPr>
                <w:lang w:val="en-AU"/>
              </w:rPr>
            </w:pPr>
            <w:r>
              <w:rPr>
                <w:lang w:val="en-AU"/>
              </w:rPr>
              <w:t>789,897</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DD67DF0" w14:textId="77777777" w:rsidR="00B67E9C" w:rsidRDefault="00B67E9C">
            <w:pPr>
              <w:snapToGrid w:val="0"/>
              <w:spacing w:before="60" w:after="60"/>
              <w:jc w:val="center"/>
              <w:rPr>
                <w:lang w:val="en-AU"/>
              </w:rPr>
            </w:pPr>
            <w:r>
              <w:rPr>
                <w:lang w:val="en-AU"/>
              </w:rPr>
              <w:t>176</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8AA37C8" w14:textId="77777777" w:rsidR="00B67E9C" w:rsidRDefault="00B67E9C">
            <w:pPr>
              <w:snapToGrid w:val="0"/>
              <w:spacing w:before="60" w:after="60"/>
              <w:jc w:val="center"/>
              <w:rPr>
                <w:lang w:val="en-AU"/>
              </w:rPr>
            </w:pPr>
            <w:r>
              <w:rPr>
                <w:lang w:val="en-AU"/>
              </w:rPr>
              <w:t>826,561</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52AB419" w14:textId="77777777" w:rsidR="00B67E9C" w:rsidRDefault="00B67E9C">
            <w:pPr>
              <w:snapToGrid w:val="0"/>
              <w:spacing w:before="60" w:after="60"/>
              <w:jc w:val="center"/>
              <w:rPr>
                <w:lang w:val="en-AU"/>
              </w:rPr>
            </w:pPr>
            <w:r>
              <w:rPr>
                <w:lang w:val="en-AU"/>
              </w:rPr>
              <w:t>309</w:t>
            </w:r>
          </w:p>
        </w:tc>
      </w:tr>
      <w:tr w:rsidR="00B67E9C" w14:paraId="5CB02E65"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43A96FA7" w14:textId="77777777" w:rsidR="00B67E9C" w:rsidRDefault="00B67E9C">
            <w:pPr>
              <w:snapToGrid w:val="0"/>
              <w:spacing w:before="60" w:after="60"/>
              <w:jc w:val="left"/>
              <w:rPr>
                <w:lang w:val="en-AU"/>
              </w:rPr>
            </w:pPr>
            <w:r>
              <w:rPr>
                <w:lang w:val="en-AU"/>
              </w:rPr>
              <w:t>Single split system: non-ducted</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62D4257" w14:textId="77777777" w:rsidR="00B67E9C" w:rsidRDefault="00B67E9C">
            <w:pPr>
              <w:snapToGrid w:val="0"/>
              <w:spacing w:before="60" w:after="60"/>
              <w:jc w:val="center"/>
              <w:rPr>
                <w:lang w:val="en-AU"/>
              </w:rPr>
            </w:pPr>
            <w:r>
              <w:rPr>
                <w:lang w:val="en-AU"/>
              </w:rPr>
              <w:t>7,145,000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156FA4B" w14:textId="77777777" w:rsidR="00B67E9C" w:rsidRDefault="00B67E9C">
            <w:pPr>
              <w:snapToGrid w:val="0"/>
              <w:spacing w:before="60" w:after="60"/>
              <w:jc w:val="center"/>
              <w:rPr>
                <w:lang w:val="en-AU"/>
              </w:rPr>
            </w:pPr>
            <w:r>
              <w:rPr>
                <w:lang w:val="en-AU"/>
              </w:rPr>
              <w:t>7,542</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0CCDE4C" w14:textId="77777777" w:rsidR="00B67E9C" w:rsidRDefault="00B67E9C">
            <w:pPr>
              <w:snapToGrid w:val="0"/>
              <w:spacing w:before="60" w:after="60"/>
              <w:jc w:val="center"/>
              <w:rPr>
                <w:lang w:val="en-AU"/>
              </w:rPr>
            </w:pPr>
            <w:r>
              <w:rPr>
                <w:lang w:val="en-AU"/>
              </w:rPr>
              <w:t>7,864,553</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E78D549" w14:textId="77777777" w:rsidR="00B67E9C" w:rsidRDefault="00B67E9C">
            <w:pPr>
              <w:snapToGrid w:val="0"/>
              <w:spacing w:before="60" w:after="60"/>
              <w:jc w:val="center"/>
              <w:rPr>
                <w:lang w:val="en-AU"/>
              </w:rPr>
            </w:pPr>
            <w:r>
              <w:rPr>
                <w:lang w:val="en-AU"/>
              </w:rPr>
              <w:t>5,652</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C9B3CE5" w14:textId="77777777" w:rsidR="00B67E9C" w:rsidRDefault="00B67E9C">
            <w:pPr>
              <w:snapToGrid w:val="0"/>
              <w:spacing w:before="60" w:after="60"/>
              <w:jc w:val="center"/>
              <w:rPr>
                <w:lang w:val="en-AU"/>
              </w:rPr>
            </w:pPr>
            <w:r>
              <w:rPr>
                <w:lang w:val="en-AU"/>
              </w:rPr>
              <w:t>9,238,148</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A7BDBE8" w14:textId="77777777" w:rsidR="00B67E9C" w:rsidRDefault="00B67E9C">
            <w:pPr>
              <w:snapToGrid w:val="0"/>
              <w:spacing w:before="60" w:after="60"/>
              <w:jc w:val="center"/>
              <w:rPr>
                <w:lang w:val="en-AU"/>
              </w:rPr>
            </w:pPr>
            <w:r>
              <w:rPr>
                <w:lang w:val="en-AU"/>
              </w:rPr>
              <w:t>7,972</w:t>
            </w:r>
          </w:p>
        </w:tc>
      </w:tr>
      <w:tr w:rsidR="00B67E9C" w14:paraId="7EA8154B"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6DF0ADBC" w14:textId="77777777" w:rsidR="00B67E9C" w:rsidRDefault="00B67E9C">
            <w:pPr>
              <w:snapToGrid w:val="0"/>
              <w:spacing w:before="60" w:after="60"/>
              <w:jc w:val="left"/>
              <w:rPr>
                <w:lang w:val="en-AU"/>
              </w:rPr>
            </w:pPr>
            <w:r>
              <w:rPr>
                <w:lang w:val="en-AU"/>
              </w:rPr>
              <w:t>Single split &amp; packaged: ducted</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545E55B" w14:textId="77777777" w:rsidR="00B67E9C" w:rsidRDefault="00B67E9C">
            <w:pPr>
              <w:snapToGrid w:val="0"/>
              <w:spacing w:before="60" w:after="60"/>
              <w:jc w:val="center"/>
              <w:rPr>
                <w:lang w:val="en-AU"/>
              </w:rPr>
            </w:pPr>
            <w:r>
              <w:rPr>
                <w:lang w:val="en-AU"/>
              </w:rPr>
              <w:t>1,304,000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57CA8CE" w14:textId="77777777" w:rsidR="00B67E9C" w:rsidRDefault="00B67E9C">
            <w:pPr>
              <w:snapToGrid w:val="0"/>
              <w:spacing w:before="60" w:after="60"/>
              <w:jc w:val="center"/>
              <w:rPr>
                <w:lang w:val="en-AU"/>
              </w:rPr>
            </w:pPr>
            <w:r>
              <w:rPr>
                <w:lang w:val="en-AU"/>
              </w:rPr>
              <w:t>13,472</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A64AB05" w14:textId="77777777" w:rsidR="00B67E9C" w:rsidRDefault="00B67E9C">
            <w:pPr>
              <w:snapToGrid w:val="0"/>
              <w:spacing w:before="60" w:after="60"/>
              <w:jc w:val="center"/>
              <w:rPr>
                <w:lang w:val="en-AU"/>
              </w:rPr>
            </w:pPr>
            <w:r>
              <w:rPr>
                <w:lang w:val="en-AU"/>
              </w:rPr>
              <w:t>1,741,133</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301C3E5" w14:textId="77777777" w:rsidR="00B67E9C" w:rsidRDefault="00B67E9C">
            <w:pPr>
              <w:snapToGrid w:val="0"/>
              <w:spacing w:before="60" w:after="60"/>
              <w:jc w:val="center"/>
              <w:rPr>
                <w:lang w:val="en-AU"/>
              </w:rPr>
            </w:pPr>
            <w:r>
              <w:rPr>
                <w:lang w:val="en-AU"/>
              </w:rPr>
              <w:t>6,294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5C5034E" w14:textId="77777777" w:rsidR="00B67E9C" w:rsidRDefault="00B67E9C">
            <w:pPr>
              <w:snapToGrid w:val="0"/>
              <w:spacing w:before="60" w:after="60"/>
              <w:jc w:val="center"/>
              <w:rPr>
                <w:lang w:val="en-AU"/>
              </w:rPr>
            </w:pPr>
            <w:r>
              <w:rPr>
                <w:lang w:val="en-AU"/>
              </w:rPr>
              <w:t>2,025,821</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21C9C61" w14:textId="77777777" w:rsidR="00B67E9C" w:rsidRDefault="00B67E9C">
            <w:pPr>
              <w:snapToGrid w:val="0"/>
              <w:spacing w:before="60" w:after="60"/>
              <w:jc w:val="center"/>
              <w:rPr>
                <w:lang w:val="en-AU"/>
              </w:rPr>
            </w:pPr>
            <w:r>
              <w:rPr>
                <w:lang w:val="en-AU"/>
              </w:rPr>
              <w:t>9,254</w:t>
            </w:r>
          </w:p>
        </w:tc>
      </w:tr>
      <w:tr w:rsidR="00B67E9C" w14:paraId="6D9C6160"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145D935" w14:textId="77777777" w:rsidR="00B67E9C" w:rsidRDefault="00B67E9C">
            <w:pPr>
              <w:snapToGrid w:val="0"/>
              <w:spacing w:before="60" w:after="60"/>
              <w:jc w:val="left"/>
              <w:rPr>
                <w:lang w:val="en-AU"/>
              </w:rPr>
            </w:pPr>
            <w:r>
              <w:rPr>
                <w:lang w:val="en-AU"/>
              </w:rPr>
              <w:t>Multi split</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hideMark/>
          </w:tcPr>
          <w:p w14:paraId="3FAA7C94" w14:textId="77777777" w:rsidR="00B67E9C" w:rsidRDefault="00B67E9C">
            <w:pPr>
              <w:snapToGrid w:val="0"/>
              <w:spacing w:before="60" w:after="60"/>
              <w:jc w:val="center"/>
              <w:rPr>
                <w:lang w:val="en-AU"/>
              </w:rPr>
            </w:pPr>
            <w:r>
              <w:rPr>
                <w:lang w:val="en-AU"/>
              </w:rPr>
              <w:t>276,000</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hideMark/>
          </w:tcPr>
          <w:p w14:paraId="0A7A07B2" w14:textId="77777777" w:rsidR="00B67E9C" w:rsidRDefault="00B67E9C">
            <w:pPr>
              <w:snapToGrid w:val="0"/>
              <w:spacing w:before="60" w:after="60"/>
              <w:jc w:val="center"/>
              <w:rPr>
                <w:lang w:val="en-AU"/>
              </w:rPr>
            </w:pPr>
            <w:r>
              <w:rPr>
                <w:lang w:val="en-AU"/>
              </w:rPr>
              <w:t>2,041</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685E78C" w14:textId="77777777" w:rsidR="00B67E9C" w:rsidRDefault="00B67E9C">
            <w:pPr>
              <w:snapToGrid w:val="0"/>
              <w:spacing w:before="60" w:after="60"/>
              <w:jc w:val="center"/>
              <w:rPr>
                <w:lang w:val="en-AU"/>
              </w:rPr>
            </w:pPr>
            <w:r>
              <w:rPr>
                <w:lang w:val="en-AU"/>
              </w:rPr>
              <w:t>264,496</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A109BF5" w14:textId="77777777" w:rsidR="00B67E9C" w:rsidRDefault="00B67E9C">
            <w:pPr>
              <w:snapToGrid w:val="0"/>
              <w:spacing w:before="60" w:after="60"/>
              <w:jc w:val="center"/>
              <w:rPr>
                <w:lang w:val="en-AU"/>
              </w:rPr>
            </w:pPr>
            <w:r>
              <w:rPr>
                <w:lang w:val="en-AU"/>
              </w:rPr>
              <w:t>320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A3BE563" w14:textId="77777777" w:rsidR="00B67E9C" w:rsidRDefault="00B67E9C">
            <w:pPr>
              <w:snapToGrid w:val="0"/>
              <w:spacing w:before="60" w:after="60"/>
              <w:jc w:val="center"/>
              <w:rPr>
                <w:lang w:val="en-AU"/>
              </w:rPr>
            </w:pPr>
            <w:r>
              <w:rPr>
                <w:lang w:val="en-AU"/>
              </w:rPr>
              <w:t>331,165</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6DBE991" w14:textId="77777777" w:rsidR="00B67E9C" w:rsidRDefault="00B67E9C">
            <w:pPr>
              <w:snapToGrid w:val="0"/>
              <w:spacing w:before="60" w:after="60"/>
              <w:jc w:val="center"/>
              <w:rPr>
                <w:lang w:val="en-AU"/>
              </w:rPr>
            </w:pPr>
            <w:r>
              <w:rPr>
                <w:lang w:val="en-AU"/>
              </w:rPr>
              <w:t>516</w:t>
            </w:r>
          </w:p>
        </w:tc>
      </w:tr>
      <w:tr w:rsidR="00B67E9C" w14:paraId="135AC256"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235089E7" w14:textId="77777777" w:rsidR="00B67E9C" w:rsidRDefault="00B67E9C">
            <w:pPr>
              <w:snapToGrid w:val="0"/>
              <w:spacing w:before="60" w:after="60"/>
              <w:jc w:val="left"/>
              <w:rPr>
                <w:lang w:val="en-AU"/>
              </w:rPr>
            </w:pPr>
            <w:r>
              <w:rPr>
                <w:lang w:val="en-AU"/>
              </w:rPr>
              <w:t>VRV/VRF split systems</w:t>
            </w: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63C7174A" w14:textId="77777777" w:rsidR="00B67E9C" w:rsidRDefault="00B67E9C">
            <w:pPr>
              <w:spacing w:before="0"/>
              <w:jc w:val="left"/>
              <w:rPr>
                <w:lang w:val="en-AU"/>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14:paraId="67D570CF" w14:textId="77777777" w:rsidR="00B67E9C" w:rsidRDefault="00B67E9C">
            <w:pPr>
              <w:spacing w:before="0"/>
              <w:jc w:val="left"/>
              <w:rPr>
                <w:lang w:val="en-AU"/>
              </w:rPr>
            </w:pP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255A9DE" w14:textId="77777777" w:rsidR="00B67E9C" w:rsidRDefault="00B67E9C">
            <w:pPr>
              <w:snapToGrid w:val="0"/>
              <w:spacing w:before="60" w:after="60"/>
              <w:jc w:val="center"/>
              <w:rPr>
                <w:lang w:val="en-AU"/>
              </w:rPr>
            </w:pPr>
            <w:r>
              <w:rPr>
                <w:lang w:val="en-AU"/>
              </w:rPr>
              <w:t>86,204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B625602" w14:textId="77777777" w:rsidR="00B67E9C" w:rsidRDefault="00B67E9C">
            <w:pPr>
              <w:snapToGrid w:val="0"/>
              <w:spacing w:before="60" w:after="60"/>
              <w:jc w:val="center"/>
              <w:rPr>
                <w:lang w:val="en-AU"/>
              </w:rPr>
            </w:pPr>
            <w:r>
              <w:rPr>
                <w:lang w:val="en-AU"/>
              </w:rPr>
              <w:t>626</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68A5295" w14:textId="77777777" w:rsidR="00B67E9C" w:rsidRDefault="00B67E9C">
            <w:pPr>
              <w:snapToGrid w:val="0"/>
              <w:spacing w:before="60" w:after="60"/>
              <w:jc w:val="center"/>
              <w:rPr>
                <w:lang w:val="en-AU"/>
              </w:rPr>
            </w:pPr>
            <w:r>
              <w:rPr>
                <w:lang w:val="en-AU"/>
              </w:rPr>
              <w:t>93,547</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38F1664" w14:textId="77777777" w:rsidR="00B67E9C" w:rsidRDefault="00B67E9C">
            <w:pPr>
              <w:snapToGrid w:val="0"/>
              <w:spacing w:before="60" w:after="60"/>
              <w:jc w:val="center"/>
              <w:rPr>
                <w:lang w:val="en-AU"/>
              </w:rPr>
            </w:pPr>
            <w:r>
              <w:rPr>
                <w:lang w:val="en-AU"/>
              </w:rPr>
              <w:t>617</w:t>
            </w:r>
          </w:p>
        </w:tc>
      </w:tr>
      <w:tr w:rsidR="00B67E9C" w14:paraId="005691AF"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BDE2613" w14:textId="77777777" w:rsidR="00B67E9C" w:rsidRDefault="00B67E9C">
            <w:pPr>
              <w:snapToGrid w:val="0"/>
              <w:spacing w:before="60" w:after="60"/>
              <w:jc w:val="left"/>
              <w:rPr>
                <w:lang w:val="en-AU"/>
              </w:rPr>
            </w:pPr>
            <w:r>
              <w:rPr>
                <w:lang w:val="en-AU"/>
              </w:rPr>
              <w:t xml:space="preserve">Heat pumps </w:t>
            </w:r>
            <w:r>
              <w:rPr>
                <w:vertAlign w:val="superscript"/>
                <w:lang w:val="en-AU"/>
              </w:rPr>
              <w:t>(1)</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4676FA9" w14:textId="77777777" w:rsidR="00B67E9C" w:rsidRDefault="00B67E9C">
            <w:pPr>
              <w:snapToGrid w:val="0"/>
              <w:spacing w:before="60" w:after="60"/>
              <w:jc w:val="center"/>
              <w:rPr>
                <w:lang w:val="en-AU"/>
              </w:rPr>
            </w:pPr>
            <w:r>
              <w:rPr>
                <w:lang w:val="en-AU"/>
              </w:rPr>
              <w:t>269,000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F33682E" w14:textId="77777777" w:rsidR="00B67E9C" w:rsidRDefault="00B67E9C">
            <w:pPr>
              <w:snapToGrid w:val="0"/>
              <w:spacing w:before="60" w:after="60"/>
              <w:jc w:val="center"/>
              <w:rPr>
                <w:lang w:val="en-AU"/>
              </w:rPr>
            </w:pPr>
            <w:r>
              <w:rPr>
                <w:lang w:val="en-AU"/>
              </w:rPr>
              <w:t>308</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23098FB"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D69C128"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D23EBA1" w14:textId="77777777" w:rsidR="00B67E9C" w:rsidRDefault="00B67E9C">
            <w:pPr>
              <w:snapToGrid w:val="0"/>
              <w:spacing w:before="60" w:after="60"/>
              <w:jc w:val="center"/>
              <w:rPr>
                <w:lang w:val="en-AU"/>
              </w:rPr>
            </w:pPr>
            <w:r>
              <w:rPr>
                <w:lang w:val="en-AU"/>
              </w:rPr>
              <w:t>310,120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16136000" w14:textId="77777777" w:rsidR="00B67E9C" w:rsidRDefault="00B67E9C">
            <w:pPr>
              <w:snapToGrid w:val="0"/>
              <w:spacing w:before="60" w:after="60"/>
              <w:jc w:val="center"/>
              <w:rPr>
                <w:lang w:val="en-AU"/>
              </w:rPr>
            </w:pPr>
            <w:r>
              <w:rPr>
                <w:lang w:val="en-AU"/>
              </w:rPr>
              <w:t>507</w:t>
            </w:r>
          </w:p>
        </w:tc>
      </w:tr>
      <w:tr w:rsidR="00B67E9C" w14:paraId="1258EA92"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41F8419" w14:textId="77777777" w:rsidR="00B67E9C" w:rsidRDefault="00B67E9C">
            <w:pPr>
              <w:snapToGrid w:val="0"/>
              <w:spacing w:before="60" w:after="60"/>
              <w:jc w:val="left"/>
              <w:rPr>
                <w:lang w:val="en-AU"/>
              </w:rPr>
            </w:pPr>
            <w:r>
              <w:rPr>
                <w:lang w:val="en-AU"/>
              </w:rPr>
              <w:t>Close control</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181B7C4B" w14:textId="77777777" w:rsidR="00B67E9C" w:rsidRDefault="00B67E9C">
            <w:pPr>
              <w:snapToGrid w:val="0"/>
              <w:spacing w:before="60" w:after="60"/>
              <w:jc w:val="center"/>
              <w:rPr>
                <w:lang w:val="en-AU"/>
              </w:rPr>
            </w:pPr>
            <w:r>
              <w:rPr>
                <w:lang w:val="en-AU"/>
              </w:rPr>
              <w:t>11,500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17BF67B" w14:textId="77777777" w:rsidR="00B67E9C" w:rsidRDefault="00B67E9C">
            <w:pPr>
              <w:snapToGrid w:val="0"/>
              <w:spacing w:before="60" w:after="60"/>
              <w:jc w:val="center"/>
              <w:rPr>
                <w:lang w:val="en-AU"/>
              </w:rPr>
            </w:pPr>
            <w:r>
              <w:rPr>
                <w:lang w:val="en-AU"/>
              </w:rPr>
              <w:t>1,478</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BABC9A5" w14:textId="77777777" w:rsidR="00B67E9C" w:rsidRDefault="00B67E9C">
            <w:pPr>
              <w:snapToGrid w:val="0"/>
              <w:spacing w:before="60" w:after="60"/>
              <w:jc w:val="center"/>
              <w:rPr>
                <w:lang w:val="en-AU"/>
              </w:rPr>
            </w:pPr>
            <w:r>
              <w:rPr>
                <w:lang w:val="en-AU"/>
              </w:rPr>
              <w:t>20,449</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8639FD3" w14:textId="77777777" w:rsidR="00B67E9C" w:rsidRDefault="00B67E9C">
            <w:pPr>
              <w:snapToGrid w:val="0"/>
              <w:spacing w:before="60" w:after="60"/>
              <w:jc w:val="center"/>
              <w:rPr>
                <w:lang w:val="en-AU"/>
              </w:rPr>
            </w:pPr>
            <w:r>
              <w:rPr>
                <w:lang w:val="en-AU"/>
              </w:rPr>
              <w:t>1,553</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0F7362C" w14:textId="77777777" w:rsidR="00B67E9C" w:rsidRDefault="00B67E9C">
            <w:pPr>
              <w:snapToGrid w:val="0"/>
              <w:spacing w:before="60" w:after="60"/>
              <w:jc w:val="center"/>
              <w:rPr>
                <w:lang w:val="en-AU"/>
              </w:rPr>
            </w:pPr>
            <w:r>
              <w:rPr>
                <w:lang w:val="en-AU"/>
              </w:rPr>
              <w:t>20,872</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16E60BA1" w14:textId="77777777" w:rsidR="00B67E9C" w:rsidRDefault="00B67E9C">
            <w:pPr>
              <w:snapToGrid w:val="0"/>
              <w:spacing w:before="60" w:after="60"/>
              <w:jc w:val="center"/>
              <w:rPr>
                <w:lang w:val="en-AU"/>
              </w:rPr>
            </w:pPr>
            <w:r>
              <w:rPr>
                <w:lang w:val="en-AU"/>
              </w:rPr>
              <w:t>1,544</w:t>
            </w:r>
          </w:p>
        </w:tc>
      </w:tr>
      <w:tr w:rsidR="00B67E9C" w14:paraId="28881462"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782B96A9" w14:textId="77777777" w:rsidR="00B67E9C" w:rsidRDefault="00B67E9C">
            <w:pPr>
              <w:snapToGrid w:val="0"/>
              <w:spacing w:before="60" w:after="60"/>
              <w:jc w:val="left"/>
              <w:rPr>
                <w:lang w:val="en-AU"/>
              </w:rPr>
            </w:pPr>
            <w:r>
              <w:rPr>
                <w:lang w:val="en-AU"/>
              </w:rPr>
              <w:t>Chillers</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B3FD75E" w14:textId="77777777" w:rsidR="00B67E9C" w:rsidRDefault="00B67E9C">
            <w:pPr>
              <w:snapToGrid w:val="0"/>
              <w:spacing w:before="60" w:after="60"/>
              <w:jc w:val="center"/>
              <w:rPr>
                <w:lang w:val="en-AU"/>
              </w:rPr>
            </w:pPr>
            <w:r>
              <w:rPr>
                <w:lang w:val="en-AU"/>
              </w:rPr>
              <w:t>28,500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1B36024C" w14:textId="77777777" w:rsidR="00B67E9C" w:rsidRDefault="00B67E9C">
            <w:pPr>
              <w:snapToGrid w:val="0"/>
              <w:spacing w:before="60" w:after="60"/>
              <w:jc w:val="center"/>
              <w:rPr>
                <w:lang w:val="en-AU"/>
              </w:rPr>
            </w:pPr>
            <w:r>
              <w:rPr>
                <w:lang w:val="en-AU"/>
              </w:rPr>
              <w:t>6,335</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202EC97" w14:textId="77777777" w:rsidR="00B67E9C" w:rsidRDefault="00B67E9C">
            <w:pPr>
              <w:snapToGrid w:val="0"/>
              <w:spacing w:before="60" w:after="60"/>
              <w:jc w:val="center"/>
              <w:rPr>
                <w:lang w:val="en-AU"/>
              </w:rPr>
            </w:pPr>
            <w:r>
              <w:rPr>
                <w:lang w:val="en-AU"/>
              </w:rPr>
              <w:t>20,664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53AFB34" w14:textId="77777777" w:rsidR="00B67E9C" w:rsidRDefault="00B67E9C">
            <w:pPr>
              <w:snapToGrid w:val="0"/>
              <w:spacing w:before="60" w:after="60"/>
              <w:jc w:val="center"/>
              <w:rPr>
                <w:lang w:val="en-AU"/>
              </w:rPr>
            </w:pPr>
            <w:r>
              <w:rPr>
                <w:lang w:val="en-AU"/>
              </w:rPr>
              <w:t>6,144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2C3C307" w14:textId="77777777" w:rsidR="00B67E9C" w:rsidRDefault="00B67E9C">
            <w:pPr>
              <w:snapToGrid w:val="0"/>
              <w:spacing w:before="60" w:after="60"/>
              <w:jc w:val="center"/>
              <w:rPr>
                <w:lang w:val="en-AU"/>
              </w:rPr>
            </w:pPr>
            <w:r>
              <w:rPr>
                <w:lang w:val="en-AU"/>
              </w:rPr>
              <w:t>24,914</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B1D9273" w14:textId="77777777" w:rsidR="00B67E9C" w:rsidRDefault="00B67E9C">
            <w:pPr>
              <w:snapToGrid w:val="0"/>
              <w:spacing w:before="60" w:after="60"/>
              <w:jc w:val="center"/>
              <w:rPr>
                <w:lang w:val="en-AU"/>
              </w:rPr>
            </w:pPr>
            <w:r>
              <w:rPr>
                <w:lang w:val="en-AU"/>
              </w:rPr>
              <w:t>7,676</w:t>
            </w:r>
          </w:p>
        </w:tc>
      </w:tr>
      <w:tr w:rsidR="00B67E9C" w14:paraId="23A57041"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0782AC7A" w14:textId="77777777" w:rsidR="00B67E9C" w:rsidRDefault="00B67E9C">
            <w:pPr>
              <w:snapToGrid w:val="0"/>
              <w:spacing w:before="60" w:after="60"/>
              <w:jc w:val="left"/>
              <w:rPr>
                <w:lang w:val="en-AU"/>
              </w:rPr>
            </w:pPr>
            <w:r>
              <w:rPr>
                <w:lang w:val="en-AU"/>
              </w:rPr>
              <w:t>Chiller ancillaries</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3B1F72A0"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07D47B4" w14:textId="77777777" w:rsidR="00B67E9C" w:rsidRDefault="00B67E9C">
            <w:pPr>
              <w:snapToGrid w:val="0"/>
              <w:spacing w:before="60" w:after="60"/>
              <w:jc w:val="center"/>
              <w:rPr>
                <w:lang w:val="en-AU"/>
              </w:rPr>
            </w:pPr>
            <w:r>
              <w:rPr>
                <w:lang w:val="en-AU"/>
              </w:rPr>
              <w:t>3,167</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134AD98"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CF45497"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445E23C9"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A8FA478" w14:textId="77777777" w:rsidR="00B67E9C" w:rsidRDefault="00B67E9C">
            <w:pPr>
              <w:snapToGrid w:val="0"/>
              <w:spacing w:before="60" w:after="60"/>
              <w:jc w:val="center"/>
              <w:rPr>
                <w:lang w:val="en-AU"/>
              </w:rPr>
            </w:pPr>
            <w:r>
              <w:rPr>
                <w:lang w:val="en-AU"/>
              </w:rPr>
              <w:t>3,838</w:t>
            </w:r>
          </w:p>
        </w:tc>
      </w:tr>
      <w:tr w:rsidR="00B67E9C" w14:paraId="0ED4F5EF" w14:textId="77777777" w:rsidTr="00B67E9C">
        <w:trPr>
          <w:trHeight w:val="680"/>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CD02D3B" w14:textId="77777777" w:rsidR="00B67E9C" w:rsidRDefault="00B67E9C">
            <w:pPr>
              <w:snapToGrid w:val="0"/>
              <w:spacing w:before="60" w:after="60"/>
              <w:jc w:val="left"/>
              <w:rPr>
                <w:lang w:val="en-AU"/>
              </w:rPr>
            </w:pPr>
            <w:r>
              <w:rPr>
                <w:lang w:val="en-AU"/>
              </w:rPr>
              <w:t>Total</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963EC13" w14:textId="77777777" w:rsidR="00B67E9C" w:rsidRDefault="00B67E9C">
            <w:pPr>
              <w:snapToGrid w:val="0"/>
              <w:spacing w:before="60" w:after="60"/>
              <w:jc w:val="center"/>
              <w:rPr>
                <w:lang w:val="en-AU"/>
              </w:rPr>
            </w:pPr>
            <w:r>
              <w:rPr>
                <w:lang w:val="en-AU"/>
              </w:rPr>
              <w:t>11,555,000</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9648539" w14:textId="77777777" w:rsidR="00B67E9C" w:rsidRDefault="00B67E9C">
            <w:pPr>
              <w:snapToGrid w:val="0"/>
              <w:spacing w:before="60" w:after="60"/>
              <w:jc w:val="center"/>
              <w:rPr>
                <w:lang w:val="en-AU"/>
              </w:rPr>
            </w:pPr>
            <w:r>
              <w:rPr>
                <w:lang w:val="en-AU"/>
              </w:rPr>
              <w:t>36,845</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05799F8"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6BBABD1F" w14:textId="77777777" w:rsidR="00B67E9C" w:rsidRDefault="00B67E9C">
            <w:pPr>
              <w:snapToGrid w:val="0"/>
              <w:spacing w:before="60" w:after="60"/>
              <w:jc w:val="center"/>
              <w:rPr>
                <w:lang w:val="en-AU"/>
              </w:rPr>
            </w:pPr>
            <w:r>
              <w:rPr>
                <w:lang w:val="en-AU"/>
              </w:rPr>
              <w:t>-</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75F63C2E" w14:textId="77777777" w:rsidR="00B67E9C" w:rsidRDefault="00B67E9C">
            <w:pPr>
              <w:snapToGrid w:val="0"/>
              <w:spacing w:before="60" w:after="60"/>
              <w:jc w:val="center"/>
              <w:rPr>
                <w:lang w:val="en-AU"/>
              </w:rPr>
            </w:pPr>
            <w:r>
              <w:rPr>
                <w:lang w:val="en-AU"/>
              </w:rPr>
              <w:t>14,462,956</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026F9C89" w14:textId="77777777" w:rsidR="00B67E9C" w:rsidRDefault="00B67E9C">
            <w:pPr>
              <w:snapToGrid w:val="0"/>
              <w:spacing w:before="60" w:after="60"/>
              <w:jc w:val="center"/>
              <w:rPr>
                <w:lang w:val="en-AU"/>
              </w:rPr>
            </w:pPr>
            <w:r>
              <w:rPr>
                <w:lang w:val="en-AU"/>
              </w:rPr>
              <w:t>33,452</w:t>
            </w:r>
          </w:p>
        </w:tc>
      </w:tr>
    </w:tbl>
    <w:p w14:paraId="1AEB9437" w14:textId="77777777" w:rsidR="00B67E9C" w:rsidRDefault="00B67E9C" w:rsidP="00B67E9C">
      <w:pPr>
        <w:rPr>
          <w:rFonts w:cs="Times New Roman"/>
          <w:sz w:val="20"/>
          <w:szCs w:val="20"/>
          <w:lang w:val="en-AU"/>
        </w:rPr>
      </w:pPr>
      <w:r>
        <w:rPr>
          <w:rFonts w:cs="Times New Roman"/>
          <w:sz w:val="20"/>
          <w:szCs w:val="20"/>
          <w:lang w:val="en-AU"/>
        </w:rPr>
        <w:t xml:space="preserve">Notes:  </w:t>
      </w:r>
    </w:p>
    <w:p w14:paraId="5AA1C9E9" w14:textId="77777777" w:rsidR="00B67E9C" w:rsidRDefault="00B67E9C" w:rsidP="00B67E9C">
      <w:pPr>
        <w:pStyle w:val="ListParagraph"/>
        <w:numPr>
          <w:ilvl w:val="0"/>
          <w:numId w:val="15"/>
        </w:numPr>
        <w:snapToGrid w:val="0"/>
        <w:spacing w:before="60" w:after="0" w:line="240" w:lineRule="auto"/>
        <w:ind w:left="357" w:hanging="357"/>
        <w:jc w:val="both"/>
        <w:rPr>
          <w:rFonts w:ascii="Times New Roman" w:hAnsi="Times New Roman"/>
          <w:sz w:val="20"/>
          <w:szCs w:val="20"/>
          <w:lang w:val="en-AU"/>
        </w:rPr>
      </w:pPr>
      <w:r>
        <w:rPr>
          <w:sz w:val="20"/>
          <w:szCs w:val="20"/>
          <w:lang w:val="en-AU"/>
        </w:rPr>
        <w:t>“</w:t>
      </w:r>
      <w:r>
        <w:rPr>
          <w:rFonts w:ascii="Times New Roman" w:hAnsi="Times New Roman"/>
          <w:i/>
          <w:sz w:val="20"/>
          <w:szCs w:val="20"/>
          <w:lang w:val="en-AU"/>
        </w:rPr>
        <w:t>Decision and Consultation Regulation Impact Statement Air conditioners, Chillers and Close Control Air Conditioner: Energy Modelling &amp; Cost Benefit Analysis</w:t>
      </w:r>
      <w:r>
        <w:rPr>
          <w:rFonts w:ascii="Times New Roman" w:hAnsi="Times New Roman"/>
          <w:sz w:val="20"/>
          <w:szCs w:val="20"/>
          <w:lang w:val="en-AU"/>
        </w:rPr>
        <w:t xml:space="preserve">” prepared by </w:t>
      </w:r>
      <w:proofErr w:type="spellStart"/>
      <w:r>
        <w:rPr>
          <w:rFonts w:ascii="Times New Roman" w:hAnsi="Times New Roman"/>
          <w:sz w:val="20"/>
          <w:szCs w:val="20"/>
          <w:lang w:val="en-AU"/>
        </w:rPr>
        <w:t>EnergyConsult</w:t>
      </w:r>
      <w:proofErr w:type="spellEnd"/>
      <w:r>
        <w:rPr>
          <w:rFonts w:ascii="Times New Roman" w:hAnsi="Times New Roman"/>
          <w:sz w:val="20"/>
          <w:szCs w:val="20"/>
          <w:lang w:val="en-AU"/>
        </w:rPr>
        <w:t xml:space="preserve"> on behalf of the trans-Tasman Equipment Energy Efficiency (E3) programme, 2015 to 2017 (E3 2017a).</w:t>
      </w:r>
    </w:p>
    <w:p w14:paraId="0BCBD7E0" w14:textId="77777777" w:rsidR="00B67E9C" w:rsidRDefault="00B67E9C" w:rsidP="00B67E9C">
      <w:pPr>
        <w:pStyle w:val="ListParagraph"/>
        <w:numPr>
          <w:ilvl w:val="0"/>
          <w:numId w:val="15"/>
        </w:numPr>
        <w:snapToGrid w:val="0"/>
        <w:spacing w:before="60" w:after="0" w:line="240" w:lineRule="auto"/>
        <w:ind w:left="357" w:hanging="357"/>
        <w:jc w:val="both"/>
        <w:rPr>
          <w:rFonts w:ascii="Times New Roman" w:hAnsi="Times New Roman"/>
          <w:sz w:val="20"/>
          <w:szCs w:val="20"/>
          <w:lang w:val="en-AU"/>
        </w:rPr>
      </w:pPr>
      <w:r>
        <w:rPr>
          <w:rFonts w:ascii="Times New Roman" w:hAnsi="Times New Roman"/>
          <w:sz w:val="20"/>
          <w:szCs w:val="20"/>
          <w:lang w:val="en-AU"/>
        </w:rPr>
        <w:t>Domestic and commercial hot water heat pumps; swimming pool heat pumps; and heat pump clothes dryers.</w:t>
      </w:r>
    </w:p>
    <w:p w14:paraId="262552E4" w14:textId="77777777" w:rsidR="00B67E9C" w:rsidRDefault="00B67E9C" w:rsidP="00B67E9C">
      <w:pPr>
        <w:pStyle w:val="ListParagraph"/>
        <w:numPr>
          <w:ilvl w:val="0"/>
          <w:numId w:val="15"/>
        </w:numPr>
        <w:snapToGrid w:val="0"/>
        <w:spacing w:before="60" w:after="0" w:line="240" w:lineRule="auto"/>
        <w:ind w:left="357" w:hanging="357"/>
        <w:jc w:val="both"/>
        <w:rPr>
          <w:rFonts w:ascii="Times New Roman" w:hAnsi="Times New Roman"/>
          <w:sz w:val="20"/>
          <w:szCs w:val="20"/>
          <w:lang w:val="en-AU"/>
        </w:rPr>
      </w:pPr>
      <w:r>
        <w:rPr>
          <w:rFonts w:ascii="Times New Roman" w:hAnsi="Times New Roman"/>
          <w:sz w:val="20"/>
          <w:szCs w:val="20"/>
          <w:lang w:val="en-AU"/>
        </w:rPr>
        <w:t xml:space="preserve">The energy consumption calculations for stationary AC includes fan energy for equipment where the fan is incorporated into the equipment, which includes all residential and light commercial AC equipment. Large AC such as space chillers have separate ventilation systems and ancillaries including pumps and motors. An allowance of 50% for ancillary equipment is included in the calculation for both air cooled and </w:t>
      </w:r>
      <w:proofErr w:type="gramStart"/>
      <w:r>
        <w:rPr>
          <w:rFonts w:ascii="Times New Roman" w:hAnsi="Times New Roman"/>
          <w:sz w:val="20"/>
          <w:szCs w:val="20"/>
          <w:lang w:val="en-AU"/>
        </w:rPr>
        <w:t>water cooled</w:t>
      </w:r>
      <w:proofErr w:type="gramEnd"/>
      <w:r>
        <w:rPr>
          <w:rFonts w:ascii="Times New Roman" w:hAnsi="Times New Roman"/>
          <w:sz w:val="20"/>
          <w:szCs w:val="20"/>
          <w:lang w:val="en-AU"/>
        </w:rPr>
        <w:t xml:space="preserve"> chillers.</w:t>
      </w:r>
    </w:p>
    <w:p w14:paraId="00E9B63F" w14:textId="77777777" w:rsidR="00B67E9C" w:rsidRDefault="00B67E9C" w:rsidP="00B67E9C">
      <w:pPr>
        <w:pStyle w:val="ListParagraph"/>
        <w:numPr>
          <w:ilvl w:val="0"/>
          <w:numId w:val="15"/>
        </w:numPr>
        <w:snapToGrid w:val="0"/>
        <w:spacing w:before="60" w:after="0" w:line="240" w:lineRule="auto"/>
        <w:ind w:left="357" w:hanging="357"/>
        <w:jc w:val="both"/>
        <w:rPr>
          <w:rFonts w:ascii="Times New Roman" w:hAnsi="Times New Roman"/>
          <w:sz w:val="20"/>
          <w:szCs w:val="20"/>
          <w:lang w:val="en-AU"/>
        </w:rPr>
      </w:pPr>
      <w:r>
        <w:rPr>
          <w:rFonts w:ascii="Times New Roman" w:hAnsi="Times New Roman"/>
          <w:sz w:val="20"/>
          <w:szCs w:val="20"/>
          <w:lang w:val="en-AU"/>
        </w:rPr>
        <w:t xml:space="preserve">No allowance is made for fan energy for residential, commercial and industrial ventilation that includes a diverse range of applications such as domestic exhaust fans, kitchen exhaust fans for residences and commercial kitchens, carpark ventilation systems to monitor and control carbon monoxide levels, and ventilation systems for industrial processes.    </w:t>
      </w:r>
    </w:p>
    <w:p w14:paraId="210131F5" w14:textId="77777777" w:rsidR="00B67E9C" w:rsidRDefault="00B67E9C" w:rsidP="00B67E9C">
      <w:pPr>
        <w:pStyle w:val="ListParagraph"/>
        <w:numPr>
          <w:ilvl w:val="0"/>
          <w:numId w:val="15"/>
        </w:numPr>
        <w:snapToGrid w:val="0"/>
        <w:spacing w:before="60" w:after="0" w:line="240" w:lineRule="auto"/>
        <w:ind w:left="357" w:hanging="357"/>
        <w:jc w:val="both"/>
        <w:rPr>
          <w:rFonts w:ascii="Times New Roman" w:hAnsi="Times New Roman"/>
          <w:sz w:val="20"/>
          <w:szCs w:val="20"/>
          <w:lang w:val="en-AU"/>
        </w:rPr>
      </w:pPr>
      <w:r>
        <w:rPr>
          <w:rFonts w:ascii="Times New Roman" w:hAnsi="Times New Roman"/>
          <w:sz w:val="20"/>
          <w:szCs w:val="20"/>
          <w:lang w:val="en-AU"/>
        </w:rPr>
        <w:t>CHF3 and the AC RIS 2015 use similar average capacities and efficiencies (</w:t>
      </w:r>
      <w:proofErr w:type="gramStart"/>
      <w:r>
        <w:rPr>
          <w:rFonts w:ascii="Times New Roman" w:hAnsi="Times New Roman"/>
          <w:sz w:val="20"/>
          <w:szCs w:val="20"/>
          <w:lang w:val="en-AU"/>
        </w:rPr>
        <w:t>i.e.</w:t>
      </w:r>
      <w:proofErr w:type="gramEnd"/>
      <w:r>
        <w:rPr>
          <w:rFonts w:ascii="Times New Roman" w:hAnsi="Times New Roman"/>
          <w:sz w:val="20"/>
          <w:szCs w:val="20"/>
          <w:lang w:val="en-AU"/>
        </w:rPr>
        <w:t xml:space="preserve"> AEER and ACOP) in the energy consumption calculations.</w:t>
      </w:r>
    </w:p>
    <w:p w14:paraId="45E637C8" w14:textId="77777777" w:rsidR="00B67E9C" w:rsidRDefault="00B67E9C" w:rsidP="00B67E9C">
      <w:pPr>
        <w:snapToGrid w:val="0"/>
        <w:rPr>
          <w:rFonts w:cs="Times New Roman"/>
          <w:lang w:val="en-AU"/>
        </w:rPr>
      </w:pPr>
    </w:p>
    <w:p w14:paraId="2BF6C657" w14:textId="77777777" w:rsidR="00B67E9C" w:rsidRDefault="00B67E9C" w:rsidP="00B67E9C">
      <w:pPr>
        <w:snapToGrid w:val="0"/>
        <w:rPr>
          <w:rFonts w:cs="Times New Roman"/>
          <w:b/>
          <w:lang w:val="en-AU"/>
        </w:rPr>
      </w:pPr>
      <w:r>
        <w:rPr>
          <w:rFonts w:cs="Times New Roman"/>
          <w:b/>
          <w:lang w:val="en-AU"/>
        </w:rPr>
        <w:t>Residential AC electricity use calculations</w:t>
      </w:r>
    </w:p>
    <w:p w14:paraId="3523CF1F" w14:textId="77777777" w:rsidR="00B67E9C" w:rsidRDefault="00B67E9C" w:rsidP="00B67E9C">
      <w:pPr>
        <w:snapToGrid w:val="0"/>
        <w:rPr>
          <w:rFonts w:cs="Times New Roman"/>
          <w:lang w:val="en-AU"/>
        </w:rPr>
      </w:pPr>
      <w:r>
        <w:rPr>
          <w:rFonts w:cs="Times New Roman"/>
          <w:lang w:val="en-AU"/>
        </w:rPr>
        <w:t>The CHF2 calculation of residential AC electricity use was based on 500 full load hours of cooling and heating combined and used average COP and EER efficiencies by equipment class without any discounting factors.</w:t>
      </w:r>
    </w:p>
    <w:p w14:paraId="39CDB819" w14:textId="77777777" w:rsidR="00B67E9C" w:rsidRDefault="00B67E9C" w:rsidP="00B67E9C">
      <w:pPr>
        <w:snapToGrid w:val="0"/>
        <w:rPr>
          <w:rFonts w:cs="Times New Roman"/>
          <w:lang w:val="en-AU"/>
        </w:rPr>
      </w:pPr>
      <w:r>
        <w:rPr>
          <w:rFonts w:cs="Times New Roman"/>
          <w:lang w:val="en-AU"/>
        </w:rPr>
        <w:t xml:space="preserve">The AC RIS 2015 residential calculation was based a 2012 ABS survey of general operating hours of heating and cooling equipment by state, which calculated an average of 979 operating hours for a non-ducted single split system stock mix and 932 operating hours for a ducted equipment stock mix. A product adjustment factor of 0.75 was applied to non-ducted single split systems and heating hours discounted by a factor of 0.56 based on a stock weighted average. </w:t>
      </w:r>
    </w:p>
    <w:p w14:paraId="241C56C6" w14:textId="77777777" w:rsidR="00B67E9C" w:rsidRDefault="00B67E9C" w:rsidP="00B67E9C">
      <w:pPr>
        <w:snapToGrid w:val="0"/>
        <w:rPr>
          <w:rFonts w:cs="Times New Roman"/>
          <w:lang w:val="en-AU"/>
        </w:rPr>
      </w:pPr>
      <w:r>
        <w:rPr>
          <w:rFonts w:cs="Times New Roman"/>
          <w:lang w:val="en-AU"/>
        </w:rPr>
        <w:t>Finally, the AC RIS incorporated part load calculations for a range of part load operating bins and efficiencies, which discounts the equivalent full load hours by varying amounts, depending on the efficiencies and variability of the technology type, before applying an occupancy factor of 0.9 to account for unoccupied dwellings (</w:t>
      </w:r>
      <w:proofErr w:type="gramStart"/>
      <w:r>
        <w:rPr>
          <w:rFonts w:cs="Times New Roman"/>
          <w:lang w:val="en-AU"/>
        </w:rPr>
        <w:t>i.e.</w:t>
      </w:r>
      <w:proofErr w:type="gramEnd"/>
      <w:r>
        <w:rPr>
          <w:rFonts w:cs="Times New Roman"/>
          <w:lang w:val="en-AU"/>
        </w:rPr>
        <w:t xml:space="preserve"> holiday homes). The result is that the AC RIS calculated electricity consumption </w:t>
      </w:r>
      <w:proofErr w:type="gramStart"/>
      <w:r>
        <w:rPr>
          <w:rFonts w:cs="Times New Roman"/>
          <w:lang w:val="en-AU"/>
        </w:rPr>
        <w:t>on the basis of</w:t>
      </w:r>
      <w:proofErr w:type="gramEnd"/>
      <w:r>
        <w:rPr>
          <w:rFonts w:cs="Times New Roman"/>
          <w:lang w:val="en-AU"/>
        </w:rPr>
        <w:t xml:space="preserve"> equipment being used for 250 full load hours for window wall units, 360 hours for non-ducted single split systems, and 450 hours for ducted single split systems.</w:t>
      </w:r>
    </w:p>
    <w:p w14:paraId="6E39AC8A" w14:textId="77777777" w:rsidR="00B67E9C" w:rsidRDefault="00B67E9C" w:rsidP="00B67E9C">
      <w:pPr>
        <w:snapToGrid w:val="0"/>
        <w:rPr>
          <w:rFonts w:cs="Times New Roman"/>
          <w:lang w:val="en-AU"/>
        </w:rPr>
      </w:pPr>
      <w:r>
        <w:rPr>
          <w:rFonts w:cs="Times New Roman"/>
          <w:lang w:val="en-AU"/>
        </w:rPr>
        <w:t>The CHF3 residential calculation makes the same assumptions as the AC RIS 2015 except applies a part load to full load factor of 0.75 resulting in 454 full load hours, before applying an occupancy factor of 0.9 and a field efficiency factor of 0.9 for non-ducted single split systems and 0.85 for ducted systems that accounts for sub-optimal performance in the field versus rated efficiencies.</w:t>
      </w:r>
    </w:p>
    <w:p w14:paraId="359D1655" w14:textId="77777777" w:rsidR="00B67E9C" w:rsidRDefault="00B67E9C" w:rsidP="00B67E9C">
      <w:pPr>
        <w:snapToGrid w:val="0"/>
        <w:rPr>
          <w:rFonts w:cs="Times New Roman"/>
          <w:b/>
          <w:lang w:val="en-AU"/>
        </w:rPr>
      </w:pPr>
      <w:r>
        <w:rPr>
          <w:rFonts w:cs="Times New Roman"/>
          <w:b/>
          <w:lang w:val="en-AU"/>
        </w:rPr>
        <w:t>Business electricity use calculations</w:t>
      </w:r>
    </w:p>
    <w:p w14:paraId="666E7971" w14:textId="77777777" w:rsidR="00B67E9C" w:rsidRDefault="00B67E9C" w:rsidP="00B67E9C">
      <w:pPr>
        <w:snapToGrid w:val="0"/>
        <w:rPr>
          <w:rFonts w:cs="Times New Roman"/>
          <w:lang w:val="en-AU"/>
        </w:rPr>
      </w:pPr>
      <w:r>
        <w:rPr>
          <w:rFonts w:cs="Times New Roman"/>
          <w:lang w:val="en-AU"/>
        </w:rPr>
        <w:t>The CHF2 calculation of business electricity use was based on 1,255 full load hours (cooling plus heating) based on the assumption there were 251 working days (excluding weekends and statutory holidays), and the system operated 10 hours per day (</w:t>
      </w:r>
      <w:proofErr w:type="gramStart"/>
      <w:r>
        <w:rPr>
          <w:rFonts w:cs="Times New Roman"/>
          <w:lang w:val="en-AU"/>
        </w:rPr>
        <w:t>i.e.</w:t>
      </w:r>
      <w:proofErr w:type="gramEnd"/>
      <w:r>
        <w:rPr>
          <w:rFonts w:cs="Times New Roman"/>
          <w:lang w:val="en-AU"/>
        </w:rPr>
        <w:t xml:space="preserve"> 2,510 operating hours per annum) on full load 50% of the time.</w:t>
      </w:r>
    </w:p>
    <w:p w14:paraId="3735D797" w14:textId="77777777" w:rsidR="00B67E9C" w:rsidRDefault="00B67E9C" w:rsidP="00B67E9C">
      <w:pPr>
        <w:snapToGrid w:val="0"/>
        <w:rPr>
          <w:rFonts w:cs="Times New Roman"/>
          <w:lang w:val="en-AU"/>
        </w:rPr>
      </w:pPr>
      <w:r>
        <w:rPr>
          <w:rFonts w:cs="Times New Roman"/>
          <w:lang w:val="en-AU"/>
        </w:rPr>
        <w:t xml:space="preserve">The actual operating hours of businesses can vary significantly depending on the type of business. For </w:t>
      </w:r>
      <w:proofErr w:type="gramStart"/>
      <w:r>
        <w:rPr>
          <w:rFonts w:cs="Times New Roman"/>
          <w:lang w:val="en-AU"/>
        </w:rPr>
        <w:t>example</w:t>
      </w:r>
      <w:proofErr w:type="gramEnd"/>
      <w:r>
        <w:rPr>
          <w:rFonts w:cs="Times New Roman"/>
          <w:lang w:val="en-AU"/>
        </w:rPr>
        <w:t xml:space="preserve"> many large supermarkets can be open from 7.00 am to 12.00 pm and only close for Christmas day, equating to more than 6,000 operating hours per annum. Smaller retail stores are often open weekdays plus half a day on the weekend and one night to 9.00 pm weekdays equating to around 2,800 operating hours per annum. </w:t>
      </w:r>
    </w:p>
    <w:p w14:paraId="279C9925" w14:textId="77777777" w:rsidR="00B67E9C" w:rsidRDefault="00B67E9C" w:rsidP="00B67E9C">
      <w:pPr>
        <w:snapToGrid w:val="0"/>
        <w:rPr>
          <w:rFonts w:cs="Times New Roman"/>
          <w:lang w:val="en-AU"/>
        </w:rPr>
      </w:pPr>
      <w:r>
        <w:rPr>
          <w:rFonts w:cs="Times New Roman"/>
          <w:lang w:val="en-AU"/>
        </w:rPr>
        <w:t xml:space="preserve">Many businesses have their air conditioning systems pre-programmed to operate around 10 hours per day to </w:t>
      </w:r>
      <w:proofErr w:type="gramStart"/>
      <w:r>
        <w:rPr>
          <w:rFonts w:cs="Times New Roman"/>
          <w:lang w:val="en-AU"/>
        </w:rPr>
        <w:t>take into account</w:t>
      </w:r>
      <w:proofErr w:type="gramEnd"/>
      <w:r>
        <w:rPr>
          <w:rFonts w:cs="Times New Roman"/>
          <w:lang w:val="en-AU"/>
        </w:rPr>
        <w:t xml:space="preserve"> occupants arriving early and leaving later. Some medium to large commercial, office and education buildings may have an air conditioning button that occupants can push to provide temporary conditioning outside normal working hours.</w:t>
      </w:r>
    </w:p>
    <w:p w14:paraId="3DABD963" w14:textId="77777777" w:rsidR="00B67E9C" w:rsidRDefault="00B67E9C" w:rsidP="00B67E9C">
      <w:pPr>
        <w:snapToGrid w:val="0"/>
        <w:rPr>
          <w:rFonts w:cs="Times New Roman"/>
          <w:lang w:val="en-AU"/>
        </w:rPr>
      </w:pPr>
      <w:r>
        <w:rPr>
          <w:rFonts w:cs="Times New Roman"/>
          <w:lang w:val="en-AU"/>
        </w:rPr>
        <w:t>The AC RIS 2015 calculation of electricity use in businesses was based on 2,062 operating hours and undertakes part load calculations for a range of part load bins and efficiencies by technology type. When compared to a full load calculation the resulting hours of use in the RIS equates to around 955 full load hours for window wall units, 1,275 full load hours for non-ducted single split system, and, 1,870 full load hours for ducted single split systems.</w:t>
      </w:r>
    </w:p>
    <w:p w14:paraId="04BF869B" w14:textId="77777777" w:rsidR="00B67E9C" w:rsidRDefault="00B67E9C" w:rsidP="00B67E9C">
      <w:pPr>
        <w:snapToGrid w:val="0"/>
        <w:rPr>
          <w:rFonts w:cs="Times New Roman"/>
          <w:lang w:val="en-AU"/>
        </w:rPr>
      </w:pPr>
      <w:r>
        <w:rPr>
          <w:rFonts w:cs="Times New Roman"/>
          <w:lang w:val="en-AU"/>
        </w:rPr>
        <w:t>CHF3 has assumed 251 working days on average (</w:t>
      </w:r>
      <w:proofErr w:type="gramStart"/>
      <w:r>
        <w:rPr>
          <w:rFonts w:cs="Times New Roman"/>
          <w:lang w:val="en-AU"/>
        </w:rPr>
        <w:t>i.e.</w:t>
      </w:r>
      <w:proofErr w:type="gramEnd"/>
      <w:r>
        <w:rPr>
          <w:rFonts w:cs="Times New Roman"/>
          <w:lang w:val="en-AU"/>
        </w:rPr>
        <w:t xml:space="preserve"> excludes weekends and statutory holidays), and equipment operating 10 hours per day (i.e. 2,510 operating hours per annum) on full load 40% of the time equating to 1,004 full load hours per annum for all residential style and light commercial equipment types that are installed in business premises.</w:t>
      </w:r>
    </w:p>
    <w:p w14:paraId="429BA167" w14:textId="77777777" w:rsidR="00B67E9C" w:rsidRDefault="00B67E9C" w:rsidP="00B67E9C">
      <w:pPr>
        <w:snapToGrid w:val="0"/>
        <w:rPr>
          <w:rFonts w:cs="Times New Roman"/>
          <w:lang w:val="en-AU"/>
        </w:rPr>
      </w:pPr>
      <w:r>
        <w:rPr>
          <w:rFonts w:cs="Times New Roman"/>
          <w:lang w:val="en-AU"/>
        </w:rPr>
        <w:t xml:space="preserve">Both the AC RIS process and CHF stock model would benefit from actual operating data from a variety of types of residences and businesses, which coupled with data on AC equipment efficiency in the field, would </w:t>
      </w:r>
      <w:r>
        <w:rPr>
          <w:rFonts w:cs="Times New Roman"/>
          <w:lang w:val="en-AU"/>
        </w:rPr>
        <w:lastRenderedPageBreak/>
        <w:t>enable a much more accurate assessment of the part and full load operating hours of air conditioning equipment in commercial premises.</w:t>
      </w:r>
    </w:p>
    <w:p w14:paraId="678BD5FD" w14:textId="77777777" w:rsidR="00B67E9C" w:rsidRDefault="00B67E9C" w:rsidP="00B67E9C">
      <w:pPr>
        <w:snapToGrid w:val="0"/>
        <w:rPr>
          <w:rFonts w:cs="Times New Roman"/>
          <w:lang w:val="en-AU"/>
        </w:rPr>
      </w:pPr>
    </w:p>
    <w:p w14:paraId="7A9D487D" w14:textId="77777777" w:rsidR="00B67E9C" w:rsidRDefault="00B67E9C" w:rsidP="00B67E9C">
      <w:pPr>
        <w:spacing w:before="0"/>
        <w:jc w:val="left"/>
        <w:rPr>
          <w:rFonts w:cs="Times New Roman"/>
          <w:b/>
          <w:lang w:val="en-AU"/>
        </w:rPr>
      </w:pPr>
      <w:r>
        <w:rPr>
          <w:rFonts w:cs="Times New Roman"/>
          <w:b/>
          <w:lang w:val="en-AU"/>
        </w:rPr>
        <w:br w:type="page"/>
      </w:r>
    </w:p>
    <w:p w14:paraId="7EF2CDBB" w14:textId="77777777" w:rsidR="00B67E9C" w:rsidRDefault="00B67E9C" w:rsidP="00B67E9C">
      <w:pPr>
        <w:snapToGrid w:val="0"/>
        <w:rPr>
          <w:rFonts w:cs="Times New Roman"/>
          <w:b/>
          <w:lang w:val="en-AU"/>
        </w:rPr>
      </w:pPr>
      <w:r>
        <w:rPr>
          <w:rFonts w:cs="Times New Roman"/>
          <w:b/>
          <w:lang w:val="en-AU"/>
        </w:rPr>
        <w:lastRenderedPageBreak/>
        <w:t>Close Control AC</w:t>
      </w:r>
    </w:p>
    <w:p w14:paraId="43CB758C" w14:textId="77777777" w:rsidR="00B67E9C" w:rsidRDefault="00B67E9C" w:rsidP="00B67E9C">
      <w:pPr>
        <w:snapToGrid w:val="0"/>
        <w:rPr>
          <w:rFonts w:cs="Times New Roman"/>
          <w:lang w:val="en-AU"/>
        </w:rPr>
      </w:pPr>
      <w:r>
        <w:rPr>
          <w:rFonts w:cs="Times New Roman"/>
          <w:lang w:val="en-AU"/>
        </w:rPr>
        <w:t>CHF3 assumes that 81% of close control equipment is operating 8,760 hours per year, based on the assumption that 20% of systems have no back up, 40% of systems are 1 operating system to 1 back up, 25% of systems have 5 units operating with one back up, and 15% of large systems with 10 or more units have one back up. A part load to full load factor of 0.75 is then applied equating to 81% of the installed base operating 6,570 full load hours per annum (or 5,322 hours per piece of equipment across the fleet).</w:t>
      </w:r>
    </w:p>
    <w:p w14:paraId="6F694403" w14:textId="77777777" w:rsidR="00B67E9C" w:rsidRDefault="00B67E9C" w:rsidP="00B67E9C">
      <w:pPr>
        <w:snapToGrid w:val="0"/>
        <w:spacing w:before="240"/>
        <w:rPr>
          <w:rFonts w:cs="Times New Roman"/>
          <w:b/>
          <w:lang w:val="en-AU"/>
        </w:rPr>
      </w:pPr>
      <w:r>
        <w:rPr>
          <w:rFonts w:cs="Times New Roman"/>
          <w:b/>
          <w:lang w:val="en-AU"/>
        </w:rPr>
        <w:t>Proportion of residential and commercial</w:t>
      </w:r>
    </w:p>
    <w:p w14:paraId="34632439" w14:textId="77777777" w:rsidR="00B67E9C" w:rsidRDefault="00B67E9C" w:rsidP="00B67E9C">
      <w:pPr>
        <w:rPr>
          <w:szCs w:val="22"/>
        </w:rPr>
      </w:pPr>
      <w:r>
        <w:rPr>
          <w:szCs w:val="22"/>
        </w:rPr>
        <w:t>To allow calculation of indirect emissions as a result of electricity consumption in various product categories, an estimate of annual hours of use of the equipment types is used. Estimates of hours of use vary depending on whether the equipment is employed in a residential or a commercial setting. There are many smaller equipment types that are used in both residential and commercial settings. The table below lists the estimated percentage of ‘commercial use’ of the stock, applied to the product categories where this is the case.</w:t>
      </w:r>
    </w:p>
    <w:p w14:paraId="5A715F5E" w14:textId="77777777" w:rsidR="00B67E9C" w:rsidRDefault="00B67E9C" w:rsidP="00B67E9C">
      <w:pPr>
        <w:rPr>
          <w:szCs w:val="22"/>
        </w:rPr>
      </w:pPr>
      <w:r>
        <w:rPr>
          <w:szCs w:val="22"/>
        </w:rPr>
        <w:t>As well as being used in the calculation of indirect emissions these ratios are also used in calculated annual expenditure on electricity as different national average electricity tariffs apply for residential and commercial users.</w:t>
      </w:r>
    </w:p>
    <w:p w14:paraId="4A648FFC" w14:textId="77777777" w:rsidR="00B67E9C" w:rsidRDefault="00B67E9C" w:rsidP="00B67E9C">
      <w:pPr>
        <w:rPr>
          <w:szCs w:val="22"/>
          <w:highlight w:val="yellow"/>
        </w:rPr>
      </w:pPr>
    </w:p>
    <w:p w14:paraId="0EF49389" w14:textId="6417638C" w:rsidR="00B67E9C" w:rsidRDefault="00B67E9C" w:rsidP="00B67E9C">
      <w:pPr>
        <w:pStyle w:val="Caption"/>
        <w:keepNext/>
        <w:rPr>
          <w:szCs w:val="22"/>
        </w:rPr>
      </w:pPr>
      <w:bookmarkStart w:id="31" w:name="_Toc54602350"/>
      <w:r>
        <w:t xml:space="preserve">Table </w:t>
      </w:r>
      <w:r>
        <w:fldChar w:fldCharType="begin"/>
      </w:r>
      <w:r>
        <w:rPr>
          <w:noProof/>
        </w:rPr>
        <w:instrText xml:space="preserve"> SEQ Table \* ARABIC </w:instrText>
      </w:r>
      <w:r>
        <w:fldChar w:fldCharType="separate"/>
      </w:r>
      <w:r w:rsidR="007B01C2">
        <w:rPr>
          <w:noProof/>
        </w:rPr>
        <w:t>5</w:t>
      </w:r>
      <w:r>
        <w:fldChar w:fldCharType="end"/>
      </w:r>
      <w:r>
        <w:t xml:space="preserve">: </w:t>
      </w:r>
      <w:r>
        <w:rPr>
          <w:szCs w:val="22"/>
        </w:rPr>
        <w:t>Estimated air conditioning proportion of use in commercial applications.</w:t>
      </w:r>
      <w:bookmarkEnd w:id="31"/>
    </w:p>
    <w:tbl>
      <w:tblPr>
        <w:tblW w:w="94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9"/>
        <w:gridCol w:w="4749"/>
      </w:tblGrid>
      <w:tr w:rsidR="00B67E9C" w14:paraId="61DF8E0C" w14:textId="77777777" w:rsidTr="00B67E9C">
        <w:trPr>
          <w:trHeight w:val="684"/>
          <w:tblHeader/>
        </w:trPr>
        <w:tc>
          <w:tcPr>
            <w:tcW w:w="4749"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14:paraId="57CCB234" w14:textId="77777777" w:rsidR="00B67E9C" w:rsidRDefault="00B67E9C">
            <w:pPr>
              <w:spacing w:before="60" w:after="60"/>
              <w:ind w:left="34"/>
              <w:jc w:val="left"/>
            </w:pPr>
            <w:r>
              <w:t>Product category</w:t>
            </w:r>
          </w:p>
        </w:tc>
        <w:tc>
          <w:tcPr>
            <w:tcW w:w="4749"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14:paraId="62DD6103" w14:textId="77777777" w:rsidR="00B67E9C" w:rsidRDefault="00B67E9C">
            <w:pPr>
              <w:spacing w:before="60" w:after="60"/>
              <w:jc w:val="center"/>
            </w:pPr>
            <w:r>
              <w:t xml:space="preserve">Commercial (%) </w:t>
            </w:r>
          </w:p>
        </w:tc>
      </w:tr>
      <w:tr w:rsidR="00B67E9C" w14:paraId="6FDC1866"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58595A05" w14:textId="77777777" w:rsidR="00B67E9C" w:rsidRDefault="00B67E9C">
            <w:pPr>
              <w:spacing w:before="0"/>
              <w:ind w:left="34"/>
              <w:jc w:val="left"/>
              <w:rPr>
                <w:sz w:val="20"/>
                <w:szCs w:val="20"/>
              </w:rPr>
            </w:pPr>
            <w:r>
              <w:rPr>
                <w:sz w:val="20"/>
                <w:szCs w:val="20"/>
              </w:rPr>
              <w:t xml:space="preserve">1Ph Non ducted split 0-4kW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76DF4EB9" w14:textId="77777777" w:rsidR="00B67E9C" w:rsidRDefault="00B67E9C">
            <w:pPr>
              <w:spacing w:before="0"/>
              <w:jc w:val="center"/>
              <w:rPr>
                <w:sz w:val="20"/>
                <w:szCs w:val="20"/>
              </w:rPr>
            </w:pPr>
            <w:r>
              <w:rPr>
                <w:sz w:val="20"/>
                <w:szCs w:val="20"/>
              </w:rPr>
              <w:t>5%</w:t>
            </w:r>
          </w:p>
        </w:tc>
      </w:tr>
      <w:tr w:rsidR="00B67E9C" w14:paraId="0B1D72BF"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69A0F15F" w14:textId="77777777" w:rsidR="00B67E9C" w:rsidRDefault="00B67E9C">
            <w:pPr>
              <w:spacing w:before="60" w:after="60"/>
              <w:ind w:left="34"/>
              <w:jc w:val="left"/>
              <w:rPr>
                <w:sz w:val="20"/>
                <w:szCs w:val="20"/>
              </w:rPr>
            </w:pPr>
            <w:r>
              <w:rPr>
                <w:sz w:val="20"/>
                <w:szCs w:val="20"/>
              </w:rPr>
              <w:t xml:space="preserve">1Ph Non ducted split 4-6kW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5E58AE24" w14:textId="77777777" w:rsidR="00B67E9C" w:rsidRDefault="00B67E9C">
            <w:pPr>
              <w:spacing w:before="60" w:after="60"/>
              <w:jc w:val="center"/>
              <w:rPr>
                <w:sz w:val="20"/>
                <w:szCs w:val="20"/>
              </w:rPr>
            </w:pPr>
            <w:r>
              <w:rPr>
                <w:sz w:val="20"/>
                <w:szCs w:val="20"/>
              </w:rPr>
              <w:t>15%</w:t>
            </w:r>
          </w:p>
        </w:tc>
      </w:tr>
      <w:tr w:rsidR="00B67E9C" w14:paraId="13240650"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03C7D0CC" w14:textId="77777777" w:rsidR="00B67E9C" w:rsidRDefault="00B67E9C">
            <w:pPr>
              <w:spacing w:before="60" w:after="60"/>
              <w:ind w:left="34"/>
              <w:jc w:val="left"/>
              <w:rPr>
                <w:sz w:val="20"/>
                <w:szCs w:val="20"/>
              </w:rPr>
            </w:pPr>
            <w:r>
              <w:rPr>
                <w:sz w:val="20"/>
                <w:szCs w:val="20"/>
              </w:rPr>
              <w:t xml:space="preserve">1Ph Non ducted split 6-10kW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23A1D98F" w14:textId="77777777" w:rsidR="00B67E9C" w:rsidRDefault="00B67E9C">
            <w:pPr>
              <w:spacing w:before="60" w:after="60"/>
              <w:jc w:val="center"/>
              <w:rPr>
                <w:sz w:val="20"/>
                <w:szCs w:val="20"/>
              </w:rPr>
            </w:pPr>
            <w:r>
              <w:rPr>
                <w:sz w:val="20"/>
                <w:szCs w:val="20"/>
              </w:rPr>
              <w:t>20%</w:t>
            </w:r>
          </w:p>
        </w:tc>
      </w:tr>
      <w:tr w:rsidR="00B67E9C" w14:paraId="416F9EB7"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6812E9DA" w14:textId="77777777" w:rsidR="00B67E9C" w:rsidRDefault="00B67E9C">
            <w:pPr>
              <w:spacing w:before="60" w:after="60"/>
              <w:ind w:left="34"/>
              <w:jc w:val="left"/>
              <w:rPr>
                <w:sz w:val="20"/>
                <w:szCs w:val="20"/>
              </w:rPr>
            </w:pPr>
            <w:r>
              <w:rPr>
                <w:sz w:val="20"/>
                <w:szCs w:val="20"/>
              </w:rPr>
              <w:t xml:space="preserve">1Ph Non ducted split&gt;10kW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38A23247" w14:textId="77777777" w:rsidR="00B67E9C" w:rsidRDefault="00B67E9C">
            <w:pPr>
              <w:spacing w:before="60" w:after="60"/>
              <w:jc w:val="center"/>
              <w:rPr>
                <w:sz w:val="20"/>
                <w:szCs w:val="20"/>
              </w:rPr>
            </w:pPr>
            <w:r>
              <w:rPr>
                <w:sz w:val="20"/>
                <w:szCs w:val="20"/>
              </w:rPr>
              <w:t>30%</w:t>
            </w:r>
          </w:p>
        </w:tc>
      </w:tr>
      <w:tr w:rsidR="00B67E9C" w14:paraId="125EC9CA"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7228B2E9" w14:textId="77777777" w:rsidR="00B67E9C" w:rsidRDefault="00B67E9C">
            <w:pPr>
              <w:spacing w:before="60" w:after="60"/>
              <w:ind w:left="34"/>
              <w:jc w:val="left"/>
              <w:rPr>
                <w:sz w:val="20"/>
                <w:szCs w:val="20"/>
              </w:rPr>
            </w:pPr>
            <w:r>
              <w:rPr>
                <w:sz w:val="20"/>
                <w:szCs w:val="20"/>
              </w:rPr>
              <w:t xml:space="preserve">3Ph Non ducted split 0-20kW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1E648C15" w14:textId="77777777" w:rsidR="00B67E9C" w:rsidRDefault="00B67E9C">
            <w:pPr>
              <w:spacing w:before="60" w:after="60"/>
              <w:jc w:val="center"/>
              <w:rPr>
                <w:sz w:val="20"/>
                <w:szCs w:val="20"/>
              </w:rPr>
            </w:pPr>
            <w:r>
              <w:rPr>
                <w:sz w:val="20"/>
                <w:szCs w:val="20"/>
              </w:rPr>
              <w:t>95%</w:t>
            </w:r>
          </w:p>
        </w:tc>
      </w:tr>
      <w:tr w:rsidR="00B67E9C" w14:paraId="470B5517"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596FFAC9" w14:textId="77777777" w:rsidR="00B67E9C" w:rsidRDefault="00B67E9C">
            <w:pPr>
              <w:spacing w:before="60" w:after="60"/>
              <w:ind w:left="34"/>
              <w:jc w:val="left"/>
              <w:rPr>
                <w:sz w:val="20"/>
                <w:szCs w:val="20"/>
              </w:rPr>
            </w:pPr>
            <w:r>
              <w:rPr>
                <w:sz w:val="20"/>
                <w:szCs w:val="20"/>
              </w:rPr>
              <w:t>1Ph Ducted</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37F4D7E6" w14:textId="77777777" w:rsidR="00B67E9C" w:rsidRDefault="00B67E9C">
            <w:pPr>
              <w:spacing w:before="60" w:after="60"/>
              <w:jc w:val="center"/>
              <w:rPr>
                <w:sz w:val="20"/>
                <w:szCs w:val="20"/>
              </w:rPr>
            </w:pPr>
            <w:r>
              <w:rPr>
                <w:sz w:val="20"/>
                <w:szCs w:val="20"/>
              </w:rPr>
              <w:t>20%</w:t>
            </w:r>
          </w:p>
        </w:tc>
      </w:tr>
      <w:tr w:rsidR="00B67E9C" w14:paraId="379ED283"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18CC3896" w14:textId="77777777" w:rsidR="00B67E9C" w:rsidRDefault="00B67E9C">
            <w:pPr>
              <w:spacing w:before="60" w:after="60"/>
              <w:ind w:left="34"/>
              <w:jc w:val="left"/>
              <w:rPr>
                <w:sz w:val="20"/>
                <w:szCs w:val="20"/>
              </w:rPr>
            </w:pPr>
            <w:r>
              <w:rPr>
                <w:sz w:val="20"/>
                <w:szCs w:val="20"/>
              </w:rPr>
              <w:t xml:space="preserve">3Ph Ducted 0-20kW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6DA3952D" w14:textId="77777777" w:rsidR="00B67E9C" w:rsidRDefault="00B67E9C">
            <w:pPr>
              <w:spacing w:before="60" w:after="60"/>
              <w:jc w:val="center"/>
              <w:rPr>
                <w:sz w:val="20"/>
                <w:szCs w:val="20"/>
              </w:rPr>
            </w:pPr>
            <w:r>
              <w:rPr>
                <w:sz w:val="20"/>
                <w:szCs w:val="20"/>
              </w:rPr>
              <w:t>80%</w:t>
            </w:r>
          </w:p>
        </w:tc>
      </w:tr>
      <w:tr w:rsidR="00B67E9C" w14:paraId="188CA7F7"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62FECC78" w14:textId="77777777" w:rsidR="00B67E9C" w:rsidRDefault="00B67E9C">
            <w:pPr>
              <w:spacing w:before="60" w:after="60"/>
              <w:ind w:left="34"/>
              <w:jc w:val="left"/>
              <w:rPr>
                <w:sz w:val="20"/>
                <w:szCs w:val="20"/>
              </w:rPr>
            </w:pPr>
            <w:r>
              <w:rPr>
                <w:sz w:val="20"/>
                <w:szCs w:val="20"/>
              </w:rPr>
              <w:t xml:space="preserve">3Ph Ducted 20-40kW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63F71279" w14:textId="77777777" w:rsidR="00B67E9C" w:rsidRDefault="00B67E9C">
            <w:pPr>
              <w:spacing w:before="60" w:after="60"/>
              <w:jc w:val="center"/>
              <w:rPr>
                <w:sz w:val="20"/>
                <w:szCs w:val="20"/>
              </w:rPr>
            </w:pPr>
            <w:r>
              <w:rPr>
                <w:sz w:val="20"/>
                <w:szCs w:val="20"/>
              </w:rPr>
              <w:t>95%</w:t>
            </w:r>
          </w:p>
        </w:tc>
      </w:tr>
      <w:tr w:rsidR="00B67E9C" w14:paraId="5086150C"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671479CE" w14:textId="77777777" w:rsidR="00B67E9C" w:rsidRDefault="00B67E9C">
            <w:pPr>
              <w:spacing w:before="60" w:after="60"/>
              <w:ind w:left="34"/>
              <w:jc w:val="left"/>
              <w:rPr>
                <w:sz w:val="20"/>
                <w:szCs w:val="20"/>
              </w:rPr>
            </w:pPr>
            <w:r>
              <w:rPr>
                <w:sz w:val="20"/>
                <w:szCs w:val="20"/>
              </w:rPr>
              <w:t xml:space="preserve">3Ph Ducted &gt;40kW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1791D431" w14:textId="77777777" w:rsidR="00B67E9C" w:rsidRDefault="00B67E9C">
            <w:pPr>
              <w:spacing w:before="60" w:after="60"/>
              <w:jc w:val="center"/>
              <w:rPr>
                <w:sz w:val="20"/>
                <w:szCs w:val="20"/>
              </w:rPr>
            </w:pPr>
            <w:r>
              <w:rPr>
                <w:sz w:val="20"/>
                <w:szCs w:val="20"/>
              </w:rPr>
              <w:t>100%</w:t>
            </w:r>
          </w:p>
        </w:tc>
      </w:tr>
      <w:tr w:rsidR="00B67E9C" w14:paraId="0E341F9A"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42E23E82" w14:textId="77777777" w:rsidR="00B67E9C" w:rsidRDefault="00B67E9C">
            <w:pPr>
              <w:spacing w:before="60" w:after="60"/>
              <w:ind w:left="34"/>
              <w:jc w:val="left"/>
              <w:rPr>
                <w:sz w:val="20"/>
                <w:szCs w:val="20"/>
              </w:rPr>
            </w:pPr>
            <w:r>
              <w:rPr>
                <w:sz w:val="20"/>
                <w:szCs w:val="20"/>
              </w:rPr>
              <w:t xml:space="preserve">1Ph Non ducted unitary 0-10kW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7C84D033" w14:textId="77777777" w:rsidR="00B67E9C" w:rsidRDefault="00B67E9C">
            <w:pPr>
              <w:spacing w:before="60" w:after="60"/>
              <w:jc w:val="center"/>
              <w:rPr>
                <w:sz w:val="20"/>
                <w:szCs w:val="20"/>
              </w:rPr>
            </w:pPr>
            <w:r>
              <w:rPr>
                <w:sz w:val="20"/>
                <w:szCs w:val="20"/>
              </w:rPr>
              <w:t>30%</w:t>
            </w:r>
          </w:p>
        </w:tc>
      </w:tr>
      <w:tr w:rsidR="00B67E9C" w14:paraId="6CBB6BF6"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00AD2028" w14:textId="77777777" w:rsidR="00B67E9C" w:rsidRDefault="00B67E9C">
            <w:pPr>
              <w:spacing w:before="60" w:after="60"/>
              <w:ind w:left="34"/>
              <w:jc w:val="left"/>
              <w:rPr>
                <w:sz w:val="20"/>
                <w:szCs w:val="20"/>
              </w:rPr>
            </w:pPr>
            <w:r>
              <w:rPr>
                <w:sz w:val="20"/>
                <w:szCs w:val="20"/>
              </w:rPr>
              <w:t xml:space="preserve">1Ph Non ducted unitary&gt;10kW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0CB73D68" w14:textId="77777777" w:rsidR="00B67E9C" w:rsidRDefault="00B67E9C">
            <w:pPr>
              <w:spacing w:before="60" w:after="60"/>
              <w:jc w:val="center"/>
              <w:rPr>
                <w:sz w:val="20"/>
                <w:szCs w:val="20"/>
              </w:rPr>
            </w:pPr>
            <w:r>
              <w:rPr>
                <w:sz w:val="20"/>
                <w:szCs w:val="20"/>
              </w:rPr>
              <w:t>100%</w:t>
            </w:r>
          </w:p>
        </w:tc>
      </w:tr>
      <w:tr w:rsidR="00B67E9C" w14:paraId="35AFA416"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6D29B603" w14:textId="77777777" w:rsidR="00B67E9C" w:rsidRDefault="00B67E9C">
            <w:pPr>
              <w:spacing w:before="60" w:after="60"/>
              <w:ind w:left="34"/>
              <w:jc w:val="left"/>
              <w:rPr>
                <w:sz w:val="20"/>
                <w:szCs w:val="20"/>
              </w:rPr>
            </w:pPr>
            <w:r>
              <w:rPr>
                <w:sz w:val="20"/>
                <w:szCs w:val="20"/>
              </w:rPr>
              <w:t>Portable AC 0-10kW</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74387A10" w14:textId="77777777" w:rsidR="00B67E9C" w:rsidRDefault="00B67E9C">
            <w:pPr>
              <w:spacing w:before="60" w:after="60"/>
              <w:jc w:val="center"/>
              <w:rPr>
                <w:sz w:val="20"/>
                <w:szCs w:val="20"/>
              </w:rPr>
            </w:pPr>
            <w:r>
              <w:rPr>
                <w:sz w:val="20"/>
                <w:szCs w:val="20"/>
              </w:rPr>
              <w:t>5%</w:t>
            </w:r>
          </w:p>
        </w:tc>
      </w:tr>
      <w:tr w:rsidR="00B67E9C" w14:paraId="06A607A3"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2E36A59A" w14:textId="77777777" w:rsidR="00B67E9C" w:rsidRDefault="00B67E9C">
            <w:pPr>
              <w:spacing w:before="60" w:after="60"/>
              <w:ind w:left="34"/>
              <w:jc w:val="left"/>
              <w:rPr>
                <w:sz w:val="20"/>
                <w:szCs w:val="20"/>
              </w:rPr>
            </w:pPr>
            <w:r>
              <w:rPr>
                <w:sz w:val="20"/>
                <w:szCs w:val="20"/>
              </w:rPr>
              <w:t xml:space="preserve">3Ph Non ducted 20-40kW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017BD4F9" w14:textId="77777777" w:rsidR="00B67E9C" w:rsidRDefault="00B67E9C">
            <w:pPr>
              <w:spacing w:before="60" w:after="60"/>
              <w:jc w:val="center"/>
              <w:rPr>
                <w:sz w:val="20"/>
                <w:szCs w:val="20"/>
              </w:rPr>
            </w:pPr>
            <w:r>
              <w:rPr>
                <w:sz w:val="20"/>
                <w:szCs w:val="20"/>
              </w:rPr>
              <w:t>100%</w:t>
            </w:r>
          </w:p>
        </w:tc>
      </w:tr>
      <w:tr w:rsidR="00B67E9C" w14:paraId="6022E899"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2A7FAE04" w14:textId="77777777" w:rsidR="00B67E9C" w:rsidRDefault="00B67E9C">
            <w:pPr>
              <w:spacing w:before="60" w:after="60"/>
              <w:ind w:left="34"/>
              <w:jc w:val="left"/>
              <w:rPr>
                <w:sz w:val="20"/>
                <w:szCs w:val="20"/>
              </w:rPr>
            </w:pPr>
            <w:r>
              <w:rPr>
                <w:sz w:val="20"/>
                <w:szCs w:val="20"/>
              </w:rPr>
              <w:t xml:space="preserve">3Ph Non ducted &gt;40kW </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7F439E75" w14:textId="77777777" w:rsidR="00B67E9C" w:rsidRDefault="00B67E9C">
            <w:pPr>
              <w:spacing w:before="60" w:after="60"/>
              <w:jc w:val="center"/>
              <w:rPr>
                <w:sz w:val="20"/>
                <w:szCs w:val="20"/>
              </w:rPr>
            </w:pPr>
            <w:r>
              <w:rPr>
                <w:sz w:val="20"/>
                <w:szCs w:val="20"/>
              </w:rPr>
              <w:t>100%</w:t>
            </w:r>
          </w:p>
        </w:tc>
      </w:tr>
      <w:tr w:rsidR="00B67E9C" w14:paraId="26DFF98F"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36422201" w14:textId="77777777" w:rsidR="00B67E9C" w:rsidRDefault="00B67E9C">
            <w:pPr>
              <w:spacing w:before="60" w:after="60"/>
              <w:ind w:left="34"/>
              <w:jc w:val="left"/>
              <w:rPr>
                <w:sz w:val="20"/>
                <w:szCs w:val="20"/>
              </w:rPr>
            </w:pPr>
            <w:r>
              <w:rPr>
                <w:sz w:val="20"/>
                <w:szCs w:val="20"/>
              </w:rPr>
              <w:t>Chillers</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221F53D6" w14:textId="77777777" w:rsidR="00B67E9C" w:rsidRDefault="00B67E9C">
            <w:pPr>
              <w:spacing w:before="60" w:after="60"/>
              <w:jc w:val="center"/>
              <w:rPr>
                <w:sz w:val="20"/>
                <w:szCs w:val="20"/>
              </w:rPr>
            </w:pPr>
            <w:r>
              <w:rPr>
                <w:sz w:val="20"/>
                <w:szCs w:val="20"/>
              </w:rPr>
              <w:t>100%</w:t>
            </w:r>
          </w:p>
        </w:tc>
      </w:tr>
      <w:tr w:rsidR="00B67E9C" w14:paraId="26505CDD"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79759AFE" w14:textId="77777777" w:rsidR="00B67E9C" w:rsidRDefault="00B67E9C">
            <w:pPr>
              <w:spacing w:before="60" w:after="60"/>
              <w:ind w:left="34"/>
              <w:jc w:val="left"/>
              <w:rPr>
                <w:sz w:val="20"/>
                <w:szCs w:val="20"/>
              </w:rPr>
            </w:pPr>
            <w:r>
              <w:rPr>
                <w:sz w:val="20"/>
                <w:szCs w:val="20"/>
              </w:rPr>
              <w:lastRenderedPageBreak/>
              <w:t>Multi Splits</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2FC7FD62" w14:textId="77777777" w:rsidR="00B67E9C" w:rsidRDefault="00B67E9C">
            <w:pPr>
              <w:spacing w:before="60" w:after="60"/>
              <w:jc w:val="center"/>
              <w:rPr>
                <w:sz w:val="20"/>
                <w:szCs w:val="20"/>
              </w:rPr>
            </w:pPr>
            <w:r>
              <w:rPr>
                <w:sz w:val="20"/>
                <w:szCs w:val="20"/>
              </w:rPr>
              <w:t>20%</w:t>
            </w:r>
          </w:p>
        </w:tc>
      </w:tr>
      <w:tr w:rsidR="00B67E9C" w14:paraId="5870857C"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74074FF7" w14:textId="77777777" w:rsidR="00B67E9C" w:rsidRDefault="00B67E9C">
            <w:pPr>
              <w:spacing w:before="60" w:after="60"/>
              <w:ind w:left="34"/>
              <w:jc w:val="left"/>
              <w:rPr>
                <w:sz w:val="20"/>
                <w:szCs w:val="20"/>
              </w:rPr>
            </w:pPr>
            <w:r>
              <w:rPr>
                <w:sz w:val="20"/>
                <w:szCs w:val="20"/>
              </w:rPr>
              <w:t>VRV/VRF split systems</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5793B416" w14:textId="77777777" w:rsidR="00B67E9C" w:rsidRDefault="00B67E9C">
            <w:pPr>
              <w:spacing w:before="60" w:after="60"/>
              <w:jc w:val="center"/>
              <w:rPr>
                <w:sz w:val="20"/>
                <w:szCs w:val="20"/>
              </w:rPr>
            </w:pPr>
            <w:r>
              <w:rPr>
                <w:sz w:val="20"/>
                <w:szCs w:val="20"/>
              </w:rPr>
              <w:t>75%</w:t>
            </w:r>
          </w:p>
        </w:tc>
      </w:tr>
      <w:tr w:rsidR="00B67E9C" w14:paraId="53532913"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6FBDC98D" w14:textId="77777777" w:rsidR="00B67E9C" w:rsidRDefault="00B67E9C">
            <w:pPr>
              <w:spacing w:before="60" w:after="60"/>
              <w:ind w:left="34"/>
              <w:jc w:val="left"/>
              <w:rPr>
                <w:sz w:val="20"/>
                <w:szCs w:val="20"/>
              </w:rPr>
            </w:pPr>
            <w:r>
              <w:rPr>
                <w:sz w:val="20"/>
                <w:szCs w:val="20"/>
              </w:rPr>
              <w:t>Close control air conditioning</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5EEA0874" w14:textId="77777777" w:rsidR="00B67E9C" w:rsidRDefault="00B67E9C">
            <w:pPr>
              <w:spacing w:before="60" w:after="60"/>
              <w:jc w:val="center"/>
              <w:rPr>
                <w:sz w:val="20"/>
                <w:szCs w:val="20"/>
              </w:rPr>
            </w:pPr>
            <w:r>
              <w:rPr>
                <w:sz w:val="20"/>
                <w:szCs w:val="20"/>
              </w:rPr>
              <w:t>100%</w:t>
            </w:r>
          </w:p>
        </w:tc>
      </w:tr>
      <w:tr w:rsidR="00B67E9C" w14:paraId="370F554B" w14:textId="77777777" w:rsidTr="00B67E9C">
        <w:trPr>
          <w:trHeight w:val="456"/>
        </w:trPr>
        <w:tc>
          <w:tcPr>
            <w:tcW w:w="4749" w:type="dxa"/>
            <w:tcBorders>
              <w:top w:val="single" w:sz="4" w:space="0" w:color="000000"/>
              <w:left w:val="single" w:sz="4" w:space="0" w:color="000000"/>
              <w:bottom w:val="single" w:sz="4" w:space="0" w:color="000000"/>
              <w:right w:val="single" w:sz="4" w:space="0" w:color="000000"/>
            </w:tcBorders>
            <w:vAlign w:val="center"/>
            <w:hideMark/>
          </w:tcPr>
          <w:p w14:paraId="385B9D10" w14:textId="77777777" w:rsidR="00B67E9C" w:rsidRDefault="00B67E9C">
            <w:pPr>
              <w:spacing w:before="60" w:after="60"/>
              <w:ind w:left="34"/>
              <w:jc w:val="left"/>
              <w:rPr>
                <w:sz w:val="20"/>
                <w:szCs w:val="20"/>
              </w:rPr>
            </w:pPr>
            <w:r>
              <w:rPr>
                <w:sz w:val="20"/>
                <w:szCs w:val="20"/>
              </w:rPr>
              <w:t>HW heat pump: commercial</w:t>
            </w:r>
          </w:p>
        </w:tc>
        <w:tc>
          <w:tcPr>
            <w:tcW w:w="4749" w:type="dxa"/>
            <w:tcBorders>
              <w:top w:val="single" w:sz="4" w:space="0" w:color="000000"/>
              <w:left w:val="single" w:sz="4" w:space="0" w:color="000000"/>
              <w:bottom w:val="single" w:sz="4" w:space="0" w:color="000000"/>
              <w:right w:val="single" w:sz="4" w:space="0" w:color="000000"/>
            </w:tcBorders>
            <w:vAlign w:val="center"/>
            <w:hideMark/>
          </w:tcPr>
          <w:p w14:paraId="2DA53C84" w14:textId="77777777" w:rsidR="00B67E9C" w:rsidRDefault="00B67E9C">
            <w:pPr>
              <w:spacing w:before="60" w:after="60"/>
              <w:jc w:val="center"/>
              <w:rPr>
                <w:sz w:val="20"/>
                <w:szCs w:val="20"/>
              </w:rPr>
            </w:pPr>
            <w:r>
              <w:rPr>
                <w:sz w:val="20"/>
                <w:szCs w:val="20"/>
              </w:rPr>
              <w:t>100%</w:t>
            </w:r>
          </w:p>
        </w:tc>
      </w:tr>
    </w:tbl>
    <w:p w14:paraId="6247E0B5" w14:textId="77777777" w:rsidR="00B67E9C" w:rsidRDefault="00B67E9C" w:rsidP="00B67E9C">
      <w:pPr>
        <w:pStyle w:val="Heading3"/>
        <w:numPr>
          <w:ilvl w:val="0"/>
          <w:numId w:val="0"/>
        </w:numPr>
        <w:ind w:left="720" w:hanging="720"/>
        <w:rPr>
          <w:rFonts w:ascii="Times New Roman" w:eastAsiaTheme="minorEastAsia" w:hAnsi="Times New Roman"/>
          <w:b w:val="0"/>
          <w:bCs w:val="0"/>
          <w:sz w:val="22"/>
          <w:szCs w:val="22"/>
        </w:rPr>
      </w:pPr>
    </w:p>
    <w:p w14:paraId="7A845E03" w14:textId="77777777" w:rsidR="00B67E9C" w:rsidRDefault="00B67E9C" w:rsidP="00B67E9C">
      <w:pPr>
        <w:pStyle w:val="Heading3"/>
        <w:numPr>
          <w:ilvl w:val="2"/>
          <w:numId w:val="5"/>
        </w:numPr>
      </w:pPr>
      <w:bookmarkStart w:id="32" w:name="_Toc54601658"/>
      <w:r>
        <w:t>Energy related greenhouse emissions</w:t>
      </w:r>
      <w:bookmarkEnd w:id="32"/>
    </w:p>
    <w:p w14:paraId="43178643" w14:textId="77777777" w:rsidR="00B67E9C" w:rsidRDefault="00B67E9C" w:rsidP="00B67E9C">
      <w:pPr>
        <w:rPr>
          <w:rFonts w:cs="Times New Roman"/>
          <w:szCs w:val="22"/>
          <w:lang w:val="en-US"/>
        </w:rPr>
      </w:pPr>
      <w:r>
        <w:rPr>
          <w:rFonts w:cs="Times New Roman"/>
          <w:szCs w:val="22"/>
          <w:lang w:val="en-US"/>
        </w:rPr>
        <w:t>The total hours each product is operated per annum is multiplied by the electricity demand of each product, and by a national average greenhouse intensity factor for electricity, to arrive at an estimate of indirect, energy related greenhouse gas emissions.</w:t>
      </w:r>
    </w:p>
    <w:p w14:paraId="788684D7" w14:textId="77777777" w:rsidR="00B67E9C" w:rsidRDefault="00B67E9C" w:rsidP="00B67E9C">
      <w:pPr>
        <w:rPr>
          <w:rFonts w:cs="Times New Roman"/>
          <w:szCs w:val="22"/>
          <w:lang w:val="en-US"/>
        </w:rPr>
      </w:pPr>
      <w:r>
        <w:rPr>
          <w:rFonts w:cs="Times New Roman"/>
          <w:szCs w:val="22"/>
          <w:lang w:val="en-US"/>
        </w:rPr>
        <w:t>In CHF2 the NGERS state based indirect (scope 2) emission factors from consumption of purchased electricity from a grid for the 2012-13 reporting year was used to calculate a national weighted average based on population using data from ABS 3101.0, Australian Demographic Statistics, June 2012 (ABS 3101.0 2017). The calculated national average for CHF2 in 2012 was 0.914 kg CO</w:t>
      </w:r>
      <w:r>
        <w:rPr>
          <w:rFonts w:cs="Times New Roman"/>
          <w:szCs w:val="22"/>
          <w:vertAlign w:val="subscript"/>
          <w:lang w:val="en-US"/>
        </w:rPr>
        <w:t>2</w:t>
      </w:r>
      <w:r>
        <w:rPr>
          <w:rFonts w:cs="Times New Roman"/>
          <w:szCs w:val="22"/>
          <w:lang w:val="en-US"/>
        </w:rPr>
        <w:t>e/kWh.</w:t>
      </w:r>
    </w:p>
    <w:p w14:paraId="5BA31767" w14:textId="77777777" w:rsidR="00B67E9C" w:rsidRDefault="00B67E9C" w:rsidP="00B67E9C">
      <w:pPr>
        <w:rPr>
          <w:rFonts w:cs="Times New Roman"/>
          <w:szCs w:val="22"/>
          <w:lang w:val="en-US"/>
        </w:rPr>
      </w:pPr>
      <w:r>
        <w:rPr>
          <w:rFonts w:cs="Times New Roman"/>
          <w:szCs w:val="22"/>
          <w:lang w:val="en-US"/>
        </w:rPr>
        <w:t>In CHF3 the latest national estimate for scope 2 emission factor for consumption of purchased electricity by end users were used. The scope 2 emission factor used in CHF 2020 was 0.79 kg CO</w:t>
      </w:r>
      <w:r>
        <w:rPr>
          <w:rFonts w:cs="Times New Roman"/>
          <w:szCs w:val="22"/>
          <w:vertAlign w:val="subscript"/>
          <w:lang w:val="en-US"/>
        </w:rPr>
        <w:t>2</w:t>
      </w:r>
      <w:r>
        <w:rPr>
          <w:rFonts w:cs="Times New Roman"/>
          <w:szCs w:val="22"/>
          <w:lang w:val="en-US"/>
        </w:rPr>
        <w:t xml:space="preserve">e/kWh (Table 44, NGA Factors </w:t>
      </w:r>
      <w:proofErr w:type="spellStart"/>
      <w:r>
        <w:rPr>
          <w:rFonts w:cs="Times New Roman"/>
          <w:szCs w:val="22"/>
          <w:lang w:val="en-US"/>
        </w:rPr>
        <w:t>DoEE</w:t>
      </w:r>
      <w:proofErr w:type="spellEnd"/>
      <w:r>
        <w:rPr>
          <w:rFonts w:cs="Times New Roman"/>
          <w:szCs w:val="22"/>
          <w:lang w:val="en-US"/>
        </w:rPr>
        <w:t xml:space="preserve"> 2019b). If scope 2 and 3 were used to account for generation, plus transmission and distribution network losses, the value would be 0.88 kg CO</w:t>
      </w:r>
      <w:r>
        <w:rPr>
          <w:rFonts w:cs="Times New Roman"/>
          <w:szCs w:val="22"/>
          <w:vertAlign w:val="subscript"/>
          <w:lang w:val="en-US"/>
        </w:rPr>
        <w:t>2</w:t>
      </w:r>
      <w:r>
        <w:rPr>
          <w:rFonts w:cs="Times New Roman"/>
          <w:szCs w:val="22"/>
          <w:lang w:val="en-US"/>
        </w:rPr>
        <w:t>e/kWh.</w:t>
      </w:r>
    </w:p>
    <w:p w14:paraId="1AC5A875" w14:textId="77777777" w:rsidR="00B67E9C" w:rsidRDefault="00B67E9C" w:rsidP="00B67E9C">
      <w:pPr>
        <w:rPr>
          <w:rFonts w:cs="Times New Roman"/>
          <w:szCs w:val="22"/>
          <w:lang w:val="en-US"/>
        </w:rPr>
      </w:pPr>
      <w:r>
        <w:rPr>
          <w:rFonts w:cs="Times New Roman"/>
          <w:szCs w:val="22"/>
          <w:lang w:val="en-US"/>
        </w:rPr>
        <w:t>Fuel combustion emissions for petrol and diesel used by transport refrigeration and mobile air conditioning were calculated using the relevant energy content emission factors for post 2004 vehicles.</w:t>
      </w:r>
    </w:p>
    <w:p w14:paraId="2BDC4268" w14:textId="77777777" w:rsidR="00B67E9C" w:rsidRDefault="00B67E9C" w:rsidP="00B67E9C">
      <w:pPr>
        <w:rPr>
          <w:rFonts w:cs="Times New Roman"/>
          <w:szCs w:val="22"/>
          <w:lang w:val="en-US"/>
        </w:rPr>
      </w:pPr>
    </w:p>
    <w:p w14:paraId="3BEC6892" w14:textId="08918E23" w:rsidR="00B67E9C" w:rsidRDefault="00B67E9C" w:rsidP="00B67E9C">
      <w:pPr>
        <w:pStyle w:val="Caption"/>
        <w:keepNext/>
        <w:rPr>
          <w:szCs w:val="22"/>
        </w:rPr>
      </w:pPr>
      <w:bookmarkStart w:id="33" w:name="_Toc54602351"/>
      <w:r>
        <w:t xml:space="preserve">Table </w:t>
      </w:r>
      <w:r>
        <w:fldChar w:fldCharType="begin"/>
      </w:r>
      <w:r>
        <w:rPr>
          <w:noProof/>
        </w:rPr>
        <w:instrText xml:space="preserve"> SEQ Table \* ARABIC </w:instrText>
      </w:r>
      <w:r>
        <w:fldChar w:fldCharType="separate"/>
      </w:r>
      <w:r w:rsidR="007B01C2">
        <w:rPr>
          <w:noProof/>
        </w:rPr>
        <w:t>6</w:t>
      </w:r>
      <w:r>
        <w:fldChar w:fldCharType="end"/>
      </w:r>
      <w:r>
        <w:t xml:space="preserve">: </w:t>
      </w:r>
      <w:r>
        <w:rPr>
          <w:szCs w:val="22"/>
        </w:rPr>
        <w:t>Fuel combustion emission factors-fuels used for transport energy purposes for post-2004 vehicles.</w:t>
      </w:r>
      <w:bookmarkEnd w:id="33"/>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7"/>
        <w:gridCol w:w="2198"/>
        <w:gridCol w:w="1699"/>
        <w:gridCol w:w="1699"/>
        <w:gridCol w:w="1700"/>
      </w:tblGrid>
      <w:tr w:rsidR="00B67E9C" w14:paraId="396C9B36" w14:textId="77777777" w:rsidTr="00B67E9C">
        <w:trPr>
          <w:trHeight w:val="684"/>
        </w:trPr>
        <w:tc>
          <w:tcPr>
            <w:tcW w:w="2197" w:type="dxa"/>
            <w:vMerge w:val="restart"/>
            <w:tcBorders>
              <w:top w:val="single" w:sz="8" w:space="0" w:color="auto"/>
              <w:left w:val="single" w:sz="8" w:space="0" w:color="auto"/>
              <w:bottom w:val="single" w:sz="4" w:space="0" w:color="000000"/>
              <w:right w:val="single" w:sz="8" w:space="0" w:color="auto"/>
            </w:tcBorders>
            <w:shd w:val="clear" w:color="auto" w:fill="B6DDE8" w:themeFill="accent5" w:themeFillTint="66"/>
            <w:vAlign w:val="center"/>
            <w:hideMark/>
          </w:tcPr>
          <w:p w14:paraId="77748C3E" w14:textId="77777777" w:rsidR="00B67E9C" w:rsidRDefault="00B67E9C">
            <w:pPr>
              <w:spacing w:after="120"/>
              <w:rPr>
                <w:color w:val="000000" w:themeColor="text1"/>
              </w:rPr>
            </w:pPr>
            <w:r>
              <w:rPr>
                <w:color w:val="000000" w:themeColor="text1"/>
              </w:rPr>
              <w:t>Fuel type</w:t>
            </w:r>
          </w:p>
        </w:tc>
        <w:tc>
          <w:tcPr>
            <w:tcW w:w="2198" w:type="dxa"/>
            <w:vMerge w:val="restart"/>
            <w:tcBorders>
              <w:top w:val="single" w:sz="8" w:space="0" w:color="auto"/>
              <w:left w:val="single" w:sz="8" w:space="0" w:color="auto"/>
              <w:bottom w:val="single" w:sz="4" w:space="0" w:color="000000"/>
              <w:right w:val="single" w:sz="8" w:space="0" w:color="auto"/>
            </w:tcBorders>
            <w:shd w:val="clear" w:color="auto" w:fill="B6DDE8" w:themeFill="accent5" w:themeFillTint="66"/>
            <w:vAlign w:val="center"/>
            <w:hideMark/>
          </w:tcPr>
          <w:p w14:paraId="4D35133E" w14:textId="77777777" w:rsidR="00B67E9C" w:rsidRDefault="00B67E9C">
            <w:pPr>
              <w:spacing w:after="120"/>
              <w:jc w:val="center"/>
              <w:rPr>
                <w:rFonts w:cs="Times New Roman"/>
                <w:color w:val="000000" w:themeColor="text1"/>
                <w:szCs w:val="22"/>
              </w:rPr>
            </w:pPr>
            <w:r>
              <w:rPr>
                <w:rFonts w:eastAsia="Times New Roman" w:cs="Times New Roman"/>
                <w:color w:val="000000" w:themeColor="text1"/>
                <w:szCs w:val="22"/>
              </w:rPr>
              <w:t>Energy content factor (GJ/</w:t>
            </w:r>
            <w:proofErr w:type="spellStart"/>
            <w:r>
              <w:rPr>
                <w:rFonts w:eastAsia="Times New Roman" w:cs="Times New Roman"/>
                <w:color w:val="000000" w:themeColor="text1"/>
                <w:szCs w:val="22"/>
              </w:rPr>
              <w:t>kL</w:t>
            </w:r>
            <w:proofErr w:type="spellEnd"/>
            <w:r>
              <w:rPr>
                <w:rFonts w:eastAsia="Times New Roman" w:cs="Times New Roman"/>
                <w:color w:val="000000" w:themeColor="text1"/>
                <w:szCs w:val="22"/>
              </w:rPr>
              <w:t>)</w:t>
            </w:r>
          </w:p>
        </w:tc>
        <w:tc>
          <w:tcPr>
            <w:tcW w:w="5098" w:type="dxa"/>
            <w:gridSpan w:val="3"/>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14:paraId="083020F2" w14:textId="77777777" w:rsidR="00B67E9C" w:rsidRDefault="00B67E9C">
            <w:pPr>
              <w:spacing w:after="120"/>
              <w:jc w:val="center"/>
              <w:rPr>
                <w:rFonts w:cs="Times New Roman"/>
                <w:color w:val="000000" w:themeColor="text1"/>
                <w:szCs w:val="22"/>
              </w:rPr>
            </w:pPr>
            <w:r>
              <w:rPr>
                <w:rFonts w:eastAsia="Times New Roman" w:cs="Times New Roman"/>
                <w:color w:val="000000" w:themeColor="text1"/>
                <w:szCs w:val="22"/>
              </w:rPr>
              <w:t>Emission factors (kg CO</w:t>
            </w:r>
            <w:r>
              <w:rPr>
                <w:rFonts w:eastAsia="Times New Roman" w:cs="Times New Roman"/>
                <w:color w:val="000000" w:themeColor="text1"/>
                <w:szCs w:val="22"/>
                <w:vertAlign w:val="subscript"/>
              </w:rPr>
              <w:t>2</w:t>
            </w:r>
            <w:r>
              <w:rPr>
                <w:rFonts w:eastAsia="Times New Roman" w:cs="Times New Roman"/>
                <w:color w:val="000000" w:themeColor="text1"/>
                <w:szCs w:val="22"/>
              </w:rPr>
              <w:t>e/GJ)</w:t>
            </w:r>
          </w:p>
        </w:tc>
      </w:tr>
      <w:tr w:rsidR="00B67E9C" w14:paraId="4CCEA2A6" w14:textId="77777777" w:rsidTr="00B67E9C">
        <w:trPr>
          <w:trHeight w:val="456"/>
        </w:trPr>
        <w:tc>
          <w:tcPr>
            <w:tcW w:w="0" w:type="auto"/>
            <w:vMerge/>
            <w:tcBorders>
              <w:top w:val="single" w:sz="8" w:space="0" w:color="auto"/>
              <w:left w:val="single" w:sz="8" w:space="0" w:color="auto"/>
              <w:bottom w:val="single" w:sz="4" w:space="0" w:color="000000"/>
              <w:right w:val="single" w:sz="8" w:space="0" w:color="auto"/>
            </w:tcBorders>
            <w:vAlign w:val="center"/>
            <w:hideMark/>
          </w:tcPr>
          <w:p w14:paraId="168B4268" w14:textId="77777777" w:rsidR="00B67E9C" w:rsidRDefault="00B67E9C">
            <w:pPr>
              <w:spacing w:before="0"/>
              <w:jc w:val="left"/>
              <w:rPr>
                <w:color w:val="000000" w:themeColor="text1"/>
              </w:rPr>
            </w:pPr>
          </w:p>
        </w:tc>
        <w:tc>
          <w:tcPr>
            <w:tcW w:w="0" w:type="auto"/>
            <w:vMerge/>
            <w:tcBorders>
              <w:top w:val="single" w:sz="8" w:space="0" w:color="auto"/>
              <w:left w:val="single" w:sz="8" w:space="0" w:color="auto"/>
              <w:bottom w:val="single" w:sz="4" w:space="0" w:color="000000"/>
              <w:right w:val="single" w:sz="8" w:space="0" w:color="auto"/>
            </w:tcBorders>
            <w:vAlign w:val="center"/>
            <w:hideMark/>
          </w:tcPr>
          <w:p w14:paraId="777F56CF" w14:textId="77777777" w:rsidR="00B67E9C" w:rsidRDefault="00B67E9C">
            <w:pPr>
              <w:spacing w:before="0"/>
              <w:jc w:val="left"/>
              <w:rPr>
                <w:rFonts w:cs="Times New Roman"/>
                <w:color w:val="000000" w:themeColor="text1"/>
                <w:szCs w:val="22"/>
              </w:rPr>
            </w:pPr>
          </w:p>
        </w:tc>
        <w:tc>
          <w:tcPr>
            <w:tcW w:w="1699" w:type="dxa"/>
            <w:tcBorders>
              <w:top w:val="single" w:sz="8" w:space="0" w:color="auto"/>
              <w:left w:val="single" w:sz="8" w:space="0" w:color="auto"/>
              <w:bottom w:val="single" w:sz="4" w:space="0" w:color="000000"/>
              <w:right w:val="single" w:sz="8" w:space="0" w:color="auto"/>
            </w:tcBorders>
            <w:shd w:val="clear" w:color="auto" w:fill="B6DDE8" w:themeFill="accent5" w:themeFillTint="66"/>
            <w:vAlign w:val="bottom"/>
            <w:hideMark/>
          </w:tcPr>
          <w:p w14:paraId="6B324AE4" w14:textId="77777777" w:rsidR="00B67E9C" w:rsidRDefault="00B67E9C">
            <w:pPr>
              <w:spacing w:before="60" w:after="60"/>
              <w:jc w:val="center"/>
              <w:rPr>
                <w:color w:val="000000" w:themeColor="text1"/>
              </w:rPr>
            </w:pPr>
            <w:r>
              <w:rPr>
                <w:color w:val="000000" w:themeColor="text1"/>
              </w:rPr>
              <w:t>CO</w:t>
            </w:r>
            <w:r>
              <w:rPr>
                <w:color w:val="000000" w:themeColor="text1"/>
                <w:vertAlign w:val="subscript"/>
              </w:rPr>
              <w:t>2</w:t>
            </w:r>
          </w:p>
        </w:tc>
        <w:tc>
          <w:tcPr>
            <w:tcW w:w="1699" w:type="dxa"/>
            <w:tcBorders>
              <w:top w:val="single" w:sz="8" w:space="0" w:color="auto"/>
              <w:left w:val="single" w:sz="8" w:space="0" w:color="auto"/>
              <w:bottom w:val="single" w:sz="4" w:space="0" w:color="000000"/>
              <w:right w:val="single" w:sz="8" w:space="0" w:color="auto"/>
            </w:tcBorders>
            <w:shd w:val="clear" w:color="auto" w:fill="B6DDE8" w:themeFill="accent5" w:themeFillTint="66"/>
            <w:vAlign w:val="bottom"/>
            <w:hideMark/>
          </w:tcPr>
          <w:p w14:paraId="03700B3C" w14:textId="77777777" w:rsidR="00B67E9C" w:rsidRDefault="00B67E9C">
            <w:pPr>
              <w:spacing w:before="60" w:after="60"/>
              <w:jc w:val="center"/>
              <w:rPr>
                <w:color w:val="000000" w:themeColor="text1"/>
              </w:rPr>
            </w:pPr>
            <w:r>
              <w:rPr>
                <w:color w:val="000000" w:themeColor="text1"/>
              </w:rPr>
              <w:t>CH</w:t>
            </w:r>
            <w:r>
              <w:rPr>
                <w:color w:val="000000" w:themeColor="text1"/>
                <w:vertAlign w:val="subscript"/>
              </w:rPr>
              <w:t>4</w:t>
            </w:r>
          </w:p>
        </w:tc>
        <w:tc>
          <w:tcPr>
            <w:tcW w:w="1700" w:type="dxa"/>
            <w:tcBorders>
              <w:top w:val="single" w:sz="8" w:space="0" w:color="auto"/>
              <w:left w:val="single" w:sz="8" w:space="0" w:color="auto"/>
              <w:bottom w:val="single" w:sz="4" w:space="0" w:color="000000"/>
              <w:right w:val="single" w:sz="4" w:space="0" w:color="000000"/>
            </w:tcBorders>
            <w:shd w:val="clear" w:color="auto" w:fill="B6DDE8" w:themeFill="accent5" w:themeFillTint="66"/>
            <w:vAlign w:val="bottom"/>
            <w:hideMark/>
          </w:tcPr>
          <w:p w14:paraId="7C6BC0C1" w14:textId="77777777" w:rsidR="00B67E9C" w:rsidRDefault="00B67E9C">
            <w:pPr>
              <w:spacing w:before="60" w:after="60"/>
              <w:jc w:val="center"/>
              <w:rPr>
                <w:color w:val="000000" w:themeColor="text1"/>
              </w:rPr>
            </w:pPr>
            <w:r>
              <w:rPr>
                <w:color w:val="000000" w:themeColor="text1"/>
              </w:rPr>
              <w:t>N</w:t>
            </w:r>
            <w:r>
              <w:rPr>
                <w:color w:val="000000" w:themeColor="text1"/>
                <w:vertAlign w:val="subscript"/>
              </w:rPr>
              <w:t>2</w:t>
            </w:r>
            <w:r>
              <w:rPr>
                <w:color w:val="000000" w:themeColor="text1"/>
              </w:rPr>
              <w:t>O</w:t>
            </w:r>
          </w:p>
        </w:tc>
      </w:tr>
      <w:tr w:rsidR="00B67E9C" w14:paraId="35705E1F" w14:textId="77777777" w:rsidTr="00B67E9C">
        <w:trPr>
          <w:trHeight w:val="456"/>
        </w:trPr>
        <w:tc>
          <w:tcPr>
            <w:tcW w:w="2197" w:type="dxa"/>
            <w:tcBorders>
              <w:top w:val="single" w:sz="8" w:space="0" w:color="auto"/>
              <w:left w:val="single" w:sz="4" w:space="0" w:color="000000"/>
              <w:bottom w:val="single" w:sz="4" w:space="0" w:color="000000"/>
              <w:right w:val="single" w:sz="4" w:space="0" w:color="000000"/>
            </w:tcBorders>
            <w:vAlign w:val="center"/>
            <w:hideMark/>
          </w:tcPr>
          <w:p w14:paraId="2E42A1EF" w14:textId="77777777" w:rsidR="00B67E9C" w:rsidRDefault="00B67E9C">
            <w:pPr>
              <w:spacing w:before="60" w:after="60"/>
              <w:jc w:val="left"/>
            </w:pPr>
            <w:r>
              <w:t>Gasoline (petrol)</w:t>
            </w:r>
          </w:p>
        </w:tc>
        <w:tc>
          <w:tcPr>
            <w:tcW w:w="2198" w:type="dxa"/>
            <w:tcBorders>
              <w:top w:val="single" w:sz="8" w:space="0" w:color="auto"/>
              <w:left w:val="single" w:sz="4" w:space="0" w:color="000000"/>
              <w:bottom w:val="single" w:sz="4" w:space="0" w:color="000000"/>
              <w:right w:val="single" w:sz="4" w:space="0" w:color="000000"/>
            </w:tcBorders>
            <w:vAlign w:val="center"/>
            <w:hideMark/>
          </w:tcPr>
          <w:p w14:paraId="4D4B0951" w14:textId="77777777" w:rsidR="00B67E9C" w:rsidRDefault="00B67E9C">
            <w:pPr>
              <w:spacing w:before="60" w:after="60"/>
              <w:jc w:val="center"/>
            </w:pPr>
            <w:r>
              <w:t>34.2</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52B14ACE" w14:textId="77777777" w:rsidR="00B67E9C" w:rsidRDefault="00B67E9C">
            <w:pPr>
              <w:spacing w:before="60" w:after="60"/>
              <w:jc w:val="center"/>
            </w:pPr>
            <w:r>
              <w:t>67.4</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768FADA1" w14:textId="77777777" w:rsidR="00B67E9C" w:rsidRDefault="00B67E9C">
            <w:pPr>
              <w:spacing w:before="60" w:after="60"/>
              <w:jc w:val="center"/>
            </w:pPr>
            <w:r>
              <w:t>0.02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104EFCE" w14:textId="77777777" w:rsidR="00B67E9C" w:rsidRDefault="00B67E9C">
            <w:pPr>
              <w:spacing w:before="60" w:after="60"/>
              <w:jc w:val="center"/>
            </w:pPr>
            <w:r>
              <w:t>0.2</w:t>
            </w:r>
          </w:p>
        </w:tc>
      </w:tr>
      <w:tr w:rsidR="00B67E9C" w14:paraId="670695AF" w14:textId="77777777" w:rsidTr="00B67E9C">
        <w:trPr>
          <w:trHeight w:val="456"/>
        </w:trPr>
        <w:tc>
          <w:tcPr>
            <w:tcW w:w="2197" w:type="dxa"/>
            <w:tcBorders>
              <w:top w:val="single" w:sz="4" w:space="0" w:color="000000"/>
              <w:left w:val="single" w:sz="4" w:space="0" w:color="000000"/>
              <w:bottom w:val="single" w:sz="4" w:space="0" w:color="000000"/>
              <w:right w:val="single" w:sz="4" w:space="0" w:color="000000"/>
            </w:tcBorders>
            <w:vAlign w:val="center"/>
            <w:hideMark/>
          </w:tcPr>
          <w:p w14:paraId="32D78C27" w14:textId="77777777" w:rsidR="00B67E9C" w:rsidRDefault="00B67E9C">
            <w:pPr>
              <w:spacing w:before="60" w:after="60"/>
              <w:jc w:val="left"/>
            </w:pPr>
            <w:r>
              <w:t>Diesel oil</w:t>
            </w:r>
          </w:p>
        </w:tc>
        <w:tc>
          <w:tcPr>
            <w:tcW w:w="2198" w:type="dxa"/>
            <w:tcBorders>
              <w:top w:val="single" w:sz="4" w:space="0" w:color="000000"/>
              <w:left w:val="single" w:sz="4" w:space="0" w:color="000000"/>
              <w:bottom w:val="single" w:sz="4" w:space="0" w:color="000000"/>
              <w:right w:val="single" w:sz="4" w:space="0" w:color="000000"/>
            </w:tcBorders>
            <w:vAlign w:val="center"/>
            <w:hideMark/>
          </w:tcPr>
          <w:p w14:paraId="12287EA6" w14:textId="77777777" w:rsidR="00B67E9C" w:rsidRDefault="00B67E9C">
            <w:pPr>
              <w:spacing w:before="60" w:after="60"/>
              <w:jc w:val="center"/>
            </w:pPr>
            <w:r>
              <w:t>38.6</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368F6EE9" w14:textId="77777777" w:rsidR="00B67E9C" w:rsidRDefault="00B67E9C">
            <w:pPr>
              <w:spacing w:before="60" w:after="60"/>
              <w:jc w:val="center"/>
            </w:pPr>
            <w:r>
              <w:t>69.9</w:t>
            </w:r>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379EBADC" w14:textId="77777777" w:rsidR="00B67E9C" w:rsidRDefault="00B67E9C">
            <w:pPr>
              <w:spacing w:before="60" w:after="60"/>
              <w:jc w:val="center"/>
            </w:pPr>
            <w:r>
              <w:t>0.01</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F735812" w14:textId="77777777" w:rsidR="00B67E9C" w:rsidRDefault="00B67E9C">
            <w:pPr>
              <w:spacing w:before="60" w:after="60"/>
              <w:jc w:val="center"/>
            </w:pPr>
            <w:r>
              <w:t>0.6</w:t>
            </w:r>
          </w:p>
        </w:tc>
      </w:tr>
    </w:tbl>
    <w:p w14:paraId="02A9510A" w14:textId="77777777" w:rsidR="00B67E9C" w:rsidRDefault="00B67E9C" w:rsidP="00B67E9C">
      <w:pPr>
        <w:spacing w:before="0"/>
        <w:rPr>
          <w:sz w:val="20"/>
          <w:szCs w:val="20"/>
        </w:rPr>
      </w:pPr>
      <w:r>
        <w:rPr>
          <w:sz w:val="20"/>
          <w:szCs w:val="20"/>
        </w:rPr>
        <w:t xml:space="preserve">(Source: Table 4, Post-2004 Vehicles, NGA Factors, </w:t>
      </w:r>
      <w:proofErr w:type="spellStart"/>
      <w:r>
        <w:rPr>
          <w:sz w:val="20"/>
          <w:szCs w:val="20"/>
        </w:rPr>
        <w:t>DoEE</w:t>
      </w:r>
      <w:proofErr w:type="spellEnd"/>
      <w:r>
        <w:rPr>
          <w:sz w:val="20"/>
          <w:szCs w:val="20"/>
        </w:rPr>
        <w:t xml:space="preserve"> 2019b)</w:t>
      </w:r>
    </w:p>
    <w:p w14:paraId="3496A6C7" w14:textId="77777777" w:rsidR="00B67E9C" w:rsidRDefault="00B67E9C" w:rsidP="00B67E9C">
      <w:pPr>
        <w:rPr>
          <w:rFonts w:cs="Times New Roman"/>
          <w:szCs w:val="22"/>
          <w:lang w:val="en-US"/>
        </w:rPr>
      </w:pPr>
    </w:p>
    <w:p w14:paraId="1288F857" w14:textId="77777777" w:rsidR="00B67E9C" w:rsidRDefault="00B67E9C" w:rsidP="00B67E9C">
      <w:pPr>
        <w:pStyle w:val="Heading3"/>
        <w:numPr>
          <w:ilvl w:val="2"/>
          <w:numId w:val="5"/>
        </w:numPr>
      </w:pPr>
      <w:bookmarkStart w:id="34" w:name="_Toc54601659"/>
      <w:r>
        <w:t>Annual expenditure</w:t>
      </w:r>
      <w:bookmarkEnd w:id="34"/>
    </w:p>
    <w:p w14:paraId="2BABD622" w14:textId="77777777" w:rsidR="00B67E9C" w:rsidRDefault="00B67E9C" w:rsidP="00B67E9C">
      <w:pPr>
        <w:rPr>
          <w:rFonts w:cs="Times New Roman"/>
          <w:szCs w:val="22"/>
          <w:lang w:val="en-US"/>
        </w:rPr>
      </w:pPr>
      <w:r>
        <w:rPr>
          <w:rFonts w:cs="Times New Roman"/>
          <w:szCs w:val="22"/>
          <w:lang w:val="en-US"/>
        </w:rPr>
        <w:t>The number of pieces of any product being imported, manufactured, sold, installed, and commissioned in any year is known from the stock model. The average cost to the end-user of that product is known from surveys of the market and interviews with suppliers. These two factors allow the calculation of total expenditure on RAC equipment in any year.</w:t>
      </w:r>
    </w:p>
    <w:p w14:paraId="7A42967D" w14:textId="77777777" w:rsidR="00B67E9C" w:rsidRDefault="00B67E9C" w:rsidP="00B67E9C">
      <w:pPr>
        <w:rPr>
          <w:rFonts w:cs="Times New Roman"/>
          <w:szCs w:val="22"/>
          <w:lang w:val="en-US"/>
        </w:rPr>
      </w:pPr>
      <w:r>
        <w:rPr>
          <w:rFonts w:cs="Times New Roman"/>
          <w:szCs w:val="22"/>
          <w:lang w:val="en-US"/>
        </w:rPr>
        <w:lastRenderedPageBreak/>
        <w:t>The quantity of refrigerants that are imported every year is known from the Department of the Environment and Energy’s bulk import data. The uses to which that refrigerant is put is deduced from the data underlying the calculation of the bank of refrigerants. The cost to the end-users of that refrigerant is known from market surveys and information from wholesalers (</w:t>
      </w:r>
      <w:proofErr w:type="gramStart"/>
      <w:r>
        <w:rPr>
          <w:rFonts w:cs="Times New Roman"/>
          <w:szCs w:val="22"/>
          <w:lang w:val="en-US"/>
        </w:rPr>
        <w:t>i.e.</w:t>
      </w:r>
      <w:proofErr w:type="gramEnd"/>
      <w:r>
        <w:rPr>
          <w:rFonts w:cs="Times New Roman"/>
          <w:szCs w:val="22"/>
          <w:lang w:val="en-US"/>
        </w:rPr>
        <w:t xml:space="preserve"> list prices and discounts) and service contractors (i.e. mark-ups to end-users). These factors allow the calculation of total annual expenditure by end-users on refrigerant.</w:t>
      </w:r>
    </w:p>
    <w:p w14:paraId="679425D4" w14:textId="77777777" w:rsidR="00B67E9C" w:rsidRDefault="00B67E9C" w:rsidP="00B67E9C">
      <w:pPr>
        <w:rPr>
          <w:rFonts w:cs="Times New Roman"/>
          <w:szCs w:val="22"/>
          <w:lang w:val="en-US"/>
        </w:rPr>
      </w:pPr>
      <w:r>
        <w:rPr>
          <w:rFonts w:cs="Times New Roman"/>
          <w:szCs w:val="22"/>
          <w:lang w:val="en-US"/>
        </w:rPr>
        <w:t>The quantity of electricity consumed in RAC equipment is calculated and an average per kWh price applied to provide an estimate of annual expenditure by equipment and appliance owners on electricity consumed in the equipment. Three national average rates were used in the model, one for commercial end-users, industrial end-users such as cold storage facilities and residential.</w:t>
      </w:r>
    </w:p>
    <w:p w14:paraId="397C2FED" w14:textId="77777777" w:rsidR="00B67E9C" w:rsidRDefault="00B67E9C" w:rsidP="00B67E9C">
      <w:pPr>
        <w:rPr>
          <w:rFonts w:cs="Times New Roman"/>
          <w:szCs w:val="22"/>
          <w:lang w:val="en-US"/>
        </w:rPr>
      </w:pPr>
      <w:r>
        <w:rPr>
          <w:rFonts w:cs="Times New Roman"/>
          <w:szCs w:val="22"/>
          <w:lang w:val="en-US"/>
        </w:rPr>
        <w:t xml:space="preserve">Average State based prices were sourced from AEMO National Electricity and Gas Forecasting, Neutral Scenario, 1981 to 2037 by State, wholesale and retail prices, Australian Energy Market Operator, published 2017 and national average prices were calculated based on population weightings. Residential, Commercial and Industrial national average prices have increased from 0.28, 0.16 and 0.13 c/kWh in 2016 to a projected 0.36, 0.24 and 0.21 c/kWh in 2018. Prices for 2018 used AEMO projected prices, as the AEMO 2018 Electricity Statement of Opportunities now only publishes the Price Index, not the actual prices. CHF 2020 uses prices from the Australian Competition &amp; Consumer Commission, Inquiry into the National Electricity Market November 2019. With residential 0.287 c/kWh; SME 0.28 c/kWh; and, commercial and industrial 0.167 c/kWh. </w:t>
      </w:r>
    </w:p>
    <w:p w14:paraId="6C475EE0" w14:textId="77777777" w:rsidR="00B67E9C" w:rsidRDefault="00B67E9C" w:rsidP="00B67E9C">
      <w:pPr>
        <w:rPr>
          <w:rFonts w:cs="Times New Roman"/>
          <w:szCs w:val="22"/>
          <w:lang w:val="en-US"/>
        </w:rPr>
      </w:pPr>
      <w:r>
        <w:rPr>
          <w:rFonts w:cs="Times New Roman"/>
          <w:szCs w:val="22"/>
          <w:lang w:val="en-US"/>
        </w:rPr>
        <w:t xml:space="preserve">The assumptions made about the proportion of different classes of air conditioning equipment found in commercial applications are tabulated in </w:t>
      </w:r>
      <w:r>
        <w:rPr>
          <w:rFonts w:cs="Times New Roman"/>
          <w:i/>
          <w:szCs w:val="22"/>
          <w:lang w:val="en-US"/>
        </w:rPr>
        <w:t>Table 5: Estimated air conditioning proportion of use in commercial applications</w:t>
      </w:r>
      <w:r>
        <w:rPr>
          <w:rFonts w:cs="Times New Roman"/>
          <w:szCs w:val="22"/>
          <w:lang w:val="en-US"/>
        </w:rPr>
        <w:t xml:space="preserve">. These estimates are based on information provided by major importers and manufacturers, and on first-hand experience of the market for air conditioning equipment in Australia, where some large ducted systems are used in the residential sector, and many small units are found being employed in commercial and retail applications. </w:t>
      </w:r>
    </w:p>
    <w:p w14:paraId="090FB808" w14:textId="77777777" w:rsidR="00B67E9C" w:rsidRDefault="00B67E9C" w:rsidP="00B67E9C">
      <w:pPr>
        <w:rPr>
          <w:rFonts w:cs="Times New Roman"/>
          <w:szCs w:val="22"/>
          <w:lang w:val="en-US"/>
        </w:rPr>
      </w:pPr>
      <w:r>
        <w:rPr>
          <w:rFonts w:cs="Times New Roman"/>
          <w:szCs w:val="22"/>
          <w:lang w:val="en-US"/>
        </w:rPr>
        <w:t>The proportion of equipment used in commercial applications influences the result of the calculation of the energy spend because of the different hours of use of commercial equipment versus residential equipment, and because of the different electricity prices applied to commercial equipment.</w:t>
      </w:r>
    </w:p>
    <w:p w14:paraId="3B13B9BD" w14:textId="77777777" w:rsidR="00B67E9C" w:rsidRDefault="00B67E9C" w:rsidP="00B67E9C">
      <w:pPr>
        <w:rPr>
          <w:rFonts w:cs="Times New Roman"/>
          <w:szCs w:val="22"/>
          <w:lang w:val="en-US"/>
        </w:rPr>
      </w:pPr>
      <w:r>
        <w:rPr>
          <w:rFonts w:cs="Times New Roman"/>
          <w:szCs w:val="22"/>
          <w:lang w:val="en-US"/>
        </w:rPr>
        <w:t>All domestic refrigeration equipment used the residential tariff. Devices in the refrigerated cold food chain used the commercial rate.</w:t>
      </w:r>
    </w:p>
    <w:p w14:paraId="7EC94F4A" w14:textId="77777777" w:rsidR="00B67E9C" w:rsidRDefault="00B67E9C" w:rsidP="00B67E9C">
      <w:pPr>
        <w:spacing w:before="0"/>
        <w:jc w:val="left"/>
        <w:rPr>
          <w:rFonts w:asciiTheme="majorHAnsi" w:hAnsiTheme="majorHAnsi"/>
          <w:b/>
          <w:sz w:val="32"/>
          <w:szCs w:val="32"/>
        </w:rPr>
      </w:pPr>
      <w:r>
        <w:rPr>
          <w:rFonts w:asciiTheme="majorHAnsi" w:hAnsiTheme="majorHAnsi"/>
          <w:b/>
          <w:sz w:val="32"/>
          <w:szCs w:val="32"/>
        </w:rPr>
        <w:br w:type="page"/>
      </w:r>
    </w:p>
    <w:p w14:paraId="0BF3BC9A" w14:textId="77777777" w:rsidR="00B67E9C" w:rsidRDefault="00B67E9C" w:rsidP="00B67E9C">
      <w:pPr>
        <w:pStyle w:val="Heading2"/>
        <w:numPr>
          <w:ilvl w:val="1"/>
          <w:numId w:val="5"/>
        </w:numPr>
      </w:pPr>
      <w:bookmarkStart w:id="35" w:name="_Toc54601660"/>
      <w:r>
        <w:lastRenderedPageBreak/>
        <w:t>RAC Stock model outputs and projections</w:t>
      </w:r>
      <w:bookmarkEnd w:id="35"/>
    </w:p>
    <w:p w14:paraId="20971705" w14:textId="77777777" w:rsidR="00B67E9C" w:rsidRDefault="00B67E9C" w:rsidP="00B67E9C">
      <w:r>
        <w:t>The main outputs and projections of the model are:</w:t>
      </w:r>
    </w:p>
    <w:p w14:paraId="5F5AE1B2"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b/>
        </w:rPr>
        <w:t xml:space="preserve">Annual refrigerant use </w:t>
      </w:r>
      <w:r>
        <w:rPr>
          <w:rFonts w:ascii="Times New Roman" w:hAnsi="Times New Roman"/>
        </w:rPr>
        <w:t xml:space="preserve">of all RAC technology and of classes, segments and some product </w:t>
      </w:r>
      <w:proofErr w:type="gramStart"/>
      <w:r>
        <w:rPr>
          <w:rFonts w:ascii="Times New Roman" w:hAnsi="Times New Roman"/>
        </w:rPr>
        <w:t>categories;</w:t>
      </w:r>
      <w:proofErr w:type="gramEnd"/>
    </w:p>
    <w:p w14:paraId="3C91636C"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b/>
        </w:rPr>
        <w:t>Indirect emissions</w:t>
      </w:r>
      <w:r>
        <w:rPr>
          <w:rFonts w:ascii="Times New Roman" w:hAnsi="Times New Roman"/>
        </w:rPr>
        <w:t xml:space="preserve"> as a result of energy use by RAC technology owned by commercial enterprises and </w:t>
      </w:r>
      <w:proofErr w:type="gramStart"/>
      <w:r>
        <w:rPr>
          <w:rFonts w:ascii="Times New Roman" w:hAnsi="Times New Roman"/>
        </w:rPr>
        <w:t>privately;</w:t>
      </w:r>
      <w:proofErr w:type="gramEnd"/>
    </w:p>
    <w:p w14:paraId="30A00672"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b/>
        </w:rPr>
        <w:t>The bank</w:t>
      </w:r>
      <w:r>
        <w:rPr>
          <w:rFonts w:ascii="Times New Roman" w:hAnsi="Times New Roman"/>
        </w:rPr>
        <w:t xml:space="preserve"> of refrigerant employed in the entire stock of equipment, and in various classes, segments and product categories of the </w:t>
      </w:r>
      <w:proofErr w:type="gramStart"/>
      <w:r>
        <w:rPr>
          <w:rFonts w:ascii="Times New Roman" w:hAnsi="Times New Roman"/>
        </w:rPr>
        <w:t>stock;</w:t>
      </w:r>
      <w:proofErr w:type="gramEnd"/>
    </w:p>
    <w:p w14:paraId="0623FF96"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b/>
        </w:rPr>
        <w:t xml:space="preserve">Direct emissions </w:t>
      </w:r>
      <w:r>
        <w:rPr>
          <w:rFonts w:ascii="Times New Roman" w:hAnsi="Times New Roman"/>
        </w:rPr>
        <w:t xml:space="preserve">by product category in most cases, by segment and class, and as an economy wide average from the entire </w:t>
      </w:r>
      <w:proofErr w:type="gramStart"/>
      <w:r>
        <w:rPr>
          <w:rFonts w:ascii="Times New Roman" w:hAnsi="Times New Roman"/>
        </w:rPr>
        <w:t>Bank;</w:t>
      </w:r>
      <w:proofErr w:type="gramEnd"/>
    </w:p>
    <w:p w14:paraId="2E10CB80"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b/>
        </w:rPr>
        <w:t>Projections for predicted sales mix</w:t>
      </w:r>
      <w:r>
        <w:rPr>
          <w:rFonts w:ascii="Times New Roman" w:hAnsi="Times New Roman"/>
        </w:rPr>
        <w:t xml:space="preserve"> of new equipment by the type of refrigerant in that equipment; and,</w:t>
      </w:r>
    </w:p>
    <w:p w14:paraId="555BB535" w14:textId="77777777" w:rsidR="00B67E9C" w:rsidRDefault="00B67E9C" w:rsidP="00B67E9C">
      <w:pPr>
        <w:pStyle w:val="ListParagraph"/>
        <w:numPr>
          <w:ilvl w:val="0"/>
          <w:numId w:val="6"/>
        </w:numPr>
        <w:spacing w:before="120" w:after="0" w:line="240" w:lineRule="auto"/>
        <w:ind w:left="357" w:hanging="357"/>
        <w:jc w:val="both"/>
        <w:rPr>
          <w:rFonts w:ascii="Times New Roman" w:hAnsi="Times New Roman"/>
        </w:rPr>
      </w:pPr>
      <w:r>
        <w:rPr>
          <w:rFonts w:ascii="Times New Roman" w:hAnsi="Times New Roman"/>
          <w:b/>
        </w:rPr>
        <w:t xml:space="preserve">End-of-life emissions </w:t>
      </w:r>
      <w:r>
        <w:rPr>
          <w:rFonts w:ascii="Times New Roman" w:hAnsi="Times New Roman"/>
        </w:rPr>
        <w:t>from the entire stock of equipment and from some classes and segments of the stock.</w:t>
      </w:r>
    </w:p>
    <w:p w14:paraId="3A438593" w14:textId="77777777" w:rsidR="00B67E9C" w:rsidRDefault="00B67E9C" w:rsidP="00B67E9C">
      <w:pPr>
        <w:rPr>
          <w:rFonts w:cs="Times New Roman"/>
          <w:szCs w:val="22"/>
          <w:lang w:val="en-US"/>
        </w:rPr>
      </w:pPr>
      <w:r>
        <w:rPr>
          <w:rFonts w:cs="Times New Roman"/>
          <w:szCs w:val="22"/>
          <w:lang w:val="en-US"/>
        </w:rPr>
        <w:t xml:space="preserve">As a result of </w:t>
      </w:r>
      <w:proofErr w:type="gramStart"/>
      <w:r>
        <w:rPr>
          <w:rFonts w:cs="Times New Roman"/>
          <w:szCs w:val="22"/>
          <w:lang w:val="en-US"/>
        </w:rPr>
        <w:t>all of</w:t>
      </w:r>
      <w:proofErr w:type="gramEnd"/>
      <w:r>
        <w:rPr>
          <w:rFonts w:cs="Times New Roman"/>
          <w:szCs w:val="22"/>
          <w:lang w:val="en-US"/>
        </w:rPr>
        <w:t xml:space="preserve"> the above the RAC Stock model can also be used to generate projections of the working banks of refrigerant by class, and, in some cases by equipment segment.  The model also produces projections of annual service use by refrigerant type from 2016 to 2030. Projections are calculated in metric </w:t>
      </w:r>
      <w:proofErr w:type="spellStart"/>
      <w:r>
        <w:rPr>
          <w:rFonts w:cs="Times New Roman"/>
          <w:szCs w:val="22"/>
          <w:lang w:val="en-US"/>
        </w:rPr>
        <w:t>tonnes</w:t>
      </w:r>
      <w:proofErr w:type="spellEnd"/>
      <w:r>
        <w:rPr>
          <w:rFonts w:cs="Times New Roman"/>
          <w:szCs w:val="22"/>
          <w:lang w:val="en-US"/>
        </w:rPr>
        <w:t xml:space="preserve"> and in millions of </w:t>
      </w:r>
      <w:proofErr w:type="spellStart"/>
      <w:r>
        <w:rPr>
          <w:rFonts w:cs="Times New Roman"/>
          <w:szCs w:val="22"/>
          <w:lang w:val="en-US"/>
        </w:rPr>
        <w:t>tonnes</w:t>
      </w:r>
      <w:proofErr w:type="spellEnd"/>
      <w:r>
        <w:rPr>
          <w:rFonts w:cs="Times New Roman"/>
          <w:szCs w:val="22"/>
          <w:lang w:val="en-US"/>
        </w:rPr>
        <w:t xml:space="preserve"> CO</w:t>
      </w:r>
      <w:r>
        <w:rPr>
          <w:rFonts w:cs="Times New Roman"/>
          <w:szCs w:val="22"/>
          <w:vertAlign w:val="subscript"/>
          <w:lang w:val="en-US"/>
        </w:rPr>
        <w:t>2</w:t>
      </w:r>
      <w:r>
        <w:rPr>
          <w:rFonts w:cs="Times New Roman"/>
          <w:szCs w:val="22"/>
          <w:lang w:val="en-US"/>
        </w:rPr>
        <w:t xml:space="preserve">e. This enables the model to be used to estimate and </w:t>
      </w:r>
      <w:proofErr w:type="spellStart"/>
      <w:r>
        <w:rPr>
          <w:rFonts w:cs="Times New Roman"/>
          <w:szCs w:val="22"/>
          <w:lang w:val="en-US"/>
        </w:rPr>
        <w:t>analyse</w:t>
      </w:r>
      <w:proofErr w:type="spellEnd"/>
      <w:r>
        <w:rPr>
          <w:rFonts w:cs="Times New Roman"/>
          <w:szCs w:val="22"/>
          <w:lang w:val="en-US"/>
        </w:rPr>
        <w:t xml:space="preserve"> the future refrigerant bank in an economy as compared to the bank required under international agreements to phase down HFCs and an overall reduction in greenhouse gas emissions.</w:t>
      </w:r>
    </w:p>
    <w:p w14:paraId="4B6831A4" w14:textId="77777777" w:rsidR="00B67E9C" w:rsidRDefault="00B67E9C" w:rsidP="00B67E9C">
      <w:pPr>
        <w:rPr>
          <w:rFonts w:cs="Times New Roman"/>
          <w:szCs w:val="22"/>
          <w:lang w:val="en-US"/>
        </w:rPr>
      </w:pPr>
      <w:r>
        <w:rPr>
          <w:rFonts w:cs="Times New Roman"/>
          <w:szCs w:val="22"/>
          <w:lang w:val="en-US"/>
        </w:rPr>
        <w:t xml:space="preserve">An example is shown below of the small MAC bank in </w:t>
      </w:r>
      <w:proofErr w:type="spellStart"/>
      <w:r>
        <w:rPr>
          <w:rFonts w:cs="Times New Roman"/>
          <w:szCs w:val="22"/>
          <w:lang w:val="en-US"/>
        </w:rPr>
        <w:t>tonnes</w:t>
      </w:r>
      <w:proofErr w:type="spellEnd"/>
      <w:r>
        <w:rPr>
          <w:rFonts w:cs="Times New Roman"/>
          <w:szCs w:val="22"/>
          <w:lang w:val="en-US"/>
        </w:rPr>
        <w:t xml:space="preserve"> and millions of </w:t>
      </w:r>
      <w:proofErr w:type="spellStart"/>
      <w:r>
        <w:rPr>
          <w:rFonts w:cs="Times New Roman"/>
          <w:szCs w:val="22"/>
          <w:lang w:val="en-US"/>
        </w:rPr>
        <w:t>tonnes</w:t>
      </w:r>
      <w:proofErr w:type="spellEnd"/>
      <w:r>
        <w:rPr>
          <w:rFonts w:cs="Times New Roman"/>
          <w:szCs w:val="22"/>
          <w:lang w:val="en-US"/>
        </w:rPr>
        <w:t xml:space="preserve"> of CO</w:t>
      </w:r>
      <w:r>
        <w:rPr>
          <w:rFonts w:cs="Times New Roman"/>
          <w:szCs w:val="22"/>
          <w:vertAlign w:val="subscript"/>
          <w:lang w:val="en-US"/>
        </w:rPr>
        <w:t>2</w:t>
      </w:r>
      <w:r>
        <w:rPr>
          <w:rFonts w:cs="Times New Roman"/>
          <w:szCs w:val="22"/>
          <w:lang w:val="en-US"/>
        </w:rPr>
        <w:t>e based on the equivalent bank.</w:t>
      </w:r>
    </w:p>
    <w:p w14:paraId="7745473A" w14:textId="77777777" w:rsidR="00B67E9C" w:rsidRDefault="00B67E9C" w:rsidP="00B67E9C">
      <w:pPr>
        <w:spacing w:before="0"/>
        <w:jc w:val="left"/>
        <w:rPr>
          <w:rFonts w:cs="Times New Roman"/>
        </w:rPr>
      </w:pPr>
      <w:r>
        <w:rPr>
          <w:rFonts w:cs="Times New Roman"/>
        </w:rPr>
        <w:br w:type="page"/>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B67E9C" w14:paraId="6D2E2543"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37CA766E" w14:textId="77777777" w:rsidR="00B67E9C" w:rsidRDefault="00B67E9C">
            <w:pPr>
              <w:spacing w:after="120"/>
              <w:jc w:val="center"/>
              <w:rPr>
                <w:rFonts w:cs="Times New Roman"/>
                <w:b/>
              </w:rPr>
            </w:pPr>
            <w:r>
              <w:rPr>
                <w:rFonts w:cs="Times New Roman"/>
                <w:b/>
              </w:rPr>
              <w:lastRenderedPageBreak/>
              <w:br w:type="page"/>
              <w:t>Bank (tonnes): 2018 to 2030</w:t>
            </w:r>
          </w:p>
        </w:tc>
      </w:tr>
      <w:tr w:rsidR="00B67E9C" w14:paraId="6C20DE79"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tcPr>
          <w:p w14:paraId="1E586A3C" w14:textId="77777777" w:rsidR="00B67E9C" w:rsidRDefault="00B67E9C">
            <w:pPr>
              <w:spacing w:before="60" w:after="60"/>
              <w:jc w:val="center"/>
              <w:rPr>
                <w:sz w:val="16"/>
                <w:szCs w:val="16"/>
              </w:rPr>
            </w:pPr>
          </w:p>
          <w:p w14:paraId="40F0530B" w14:textId="75F87C2E" w:rsidR="00B67E9C" w:rsidRDefault="00B67E9C">
            <w:pPr>
              <w:spacing w:before="60" w:after="60"/>
              <w:jc w:val="center"/>
              <w:rPr>
                <w:sz w:val="16"/>
                <w:szCs w:val="16"/>
              </w:rPr>
            </w:pPr>
            <w:r>
              <w:rPr>
                <w:noProof/>
              </w:rPr>
              <w:drawing>
                <wp:inline distT="0" distB="0" distL="0" distR="0" wp14:anchorId="6F86BCDB" wp14:editId="58CE1B41">
                  <wp:extent cx="5270500" cy="1840230"/>
                  <wp:effectExtent l="0" t="0" r="6350" b="7620"/>
                  <wp:docPr id="2" name="Picture 2" descr="Shows the predicted small mobile air conditioning bank in metric tonnes, from 2018 to 2030. HFC-134A declines from near 100% in 2018, to around 55% in 2030, with associated growth in refrigerants with GWP less than ten comprising the rest. Overall the bank grows from around 10,000 tonnes to almost 12,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ws the predicted small mobile air conditioning bank in metric tonnes, from 2018 to 2030. HFC-134A declines from near 100% in 2018, to around 55% in 2030, with associated growth in refrigerants with GWP less than ten comprising the rest. Overall the bank grows from around 10,000 tonnes to almost 12,000 ton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840230"/>
                          </a:xfrm>
                          <a:prstGeom prst="rect">
                            <a:avLst/>
                          </a:prstGeom>
                          <a:noFill/>
                          <a:ln>
                            <a:noFill/>
                          </a:ln>
                        </pic:spPr>
                      </pic:pic>
                    </a:graphicData>
                  </a:graphic>
                </wp:inline>
              </w:drawing>
            </w:r>
          </w:p>
          <w:p w14:paraId="5EAE9F44" w14:textId="77777777" w:rsidR="00B67E9C" w:rsidRDefault="00B67E9C">
            <w:pPr>
              <w:spacing w:before="60" w:after="60"/>
              <w:jc w:val="center"/>
              <w:rPr>
                <w:sz w:val="16"/>
                <w:szCs w:val="16"/>
              </w:rPr>
            </w:pPr>
          </w:p>
        </w:tc>
      </w:tr>
      <w:tr w:rsidR="00B67E9C" w14:paraId="5F34094D"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4403C1F1" w14:textId="75C3D9F0" w:rsidR="00B67E9C" w:rsidRDefault="00B67E9C">
            <w:pPr>
              <w:pStyle w:val="Caption"/>
            </w:pPr>
            <w:bookmarkStart w:id="36" w:name="_Toc54602344"/>
            <w:r>
              <w:t xml:space="preserve">Figure </w:t>
            </w:r>
            <w:r>
              <w:fldChar w:fldCharType="begin"/>
            </w:r>
            <w:r>
              <w:rPr>
                <w:noProof/>
              </w:rPr>
              <w:instrText xml:space="preserve"> SEQ Figure \* ARABIC </w:instrText>
            </w:r>
            <w:r>
              <w:fldChar w:fldCharType="separate"/>
            </w:r>
            <w:r w:rsidR="007B01C2">
              <w:rPr>
                <w:noProof/>
              </w:rPr>
              <w:t>6</w:t>
            </w:r>
            <w:r>
              <w:fldChar w:fldCharType="end"/>
            </w:r>
            <w:r>
              <w:rPr>
                <w:bCs w:val="0"/>
              </w:rPr>
              <w:t xml:space="preserve">: Small MAC refrigerant bank in </w:t>
            </w:r>
            <w:proofErr w:type="spellStart"/>
            <w:r>
              <w:rPr>
                <w:bCs w:val="0"/>
              </w:rPr>
              <w:t>tonnes</w:t>
            </w:r>
            <w:proofErr w:type="spellEnd"/>
            <w:r>
              <w:rPr>
                <w:bCs w:val="0"/>
              </w:rPr>
              <w:t xml:space="preserve"> from 2018 to 2030.</w:t>
            </w:r>
            <w:bookmarkEnd w:id="36"/>
          </w:p>
        </w:tc>
      </w:tr>
    </w:tbl>
    <w:p w14:paraId="6A55A523" w14:textId="77777777" w:rsidR="00B67E9C" w:rsidRDefault="00B67E9C" w:rsidP="00B67E9C">
      <w:pPr>
        <w:spacing w:before="60"/>
        <w:rPr>
          <w:rFonts w:cs="Times New Roman"/>
          <w:sz w:val="20"/>
          <w:szCs w:val="20"/>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B67E9C" w14:paraId="786D638A"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72AD2B92" w14:textId="77777777" w:rsidR="00B67E9C" w:rsidRDefault="00B67E9C">
            <w:pPr>
              <w:spacing w:after="120"/>
              <w:jc w:val="center"/>
              <w:rPr>
                <w:rFonts w:cs="Times New Roman"/>
                <w:b/>
              </w:rPr>
            </w:pPr>
            <w:r>
              <w:rPr>
                <w:rFonts w:cs="Times New Roman"/>
                <w:b/>
              </w:rPr>
              <w:br w:type="page"/>
              <w:t>Bank (Mt CO</w:t>
            </w:r>
            <w:r>
              <w:rPr>
                <w:rFonts w:cs="Times New Roman"/>
                <w:b/>
                <w:vertAlign w:val="subscript"/>
              </w:rPr>
              <w:t>2</w:t>
            </w:r>
            <w:r>
              <w:rPr>
                <w:rFonts w:cs="Times New Roman"/>
                <w:b/>
              </w:rPr>
              <w:t>e): 2018 to 2030</w:t>
            </w:r>
          </w:p>
        </w:tc>
      </w:tr>
      <w:tr w:rsidR="00B67E9C" w14:paraId="7AB726E1"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tcPr>
          <w:p w14:paraId="1790ADBB" w14:textId="77777777" w:rsidR="00B67E9C" w:rsidRDefault="00B67E9C">
            <w:pPr>
              <w:spacing w:before="60" w:after="60"/>
              <w:jc w:val="center"/>
              <w:rPr>
                <w:sz w:val="16"/>
                <w:szCs w:val="16"/>
              </w:rPr>
            </w:pPr>
          </w:p>
          <w:p w14:paraId="24659782" w14:textId="32A32758" w:rsidR="00B67E9C" w:rsidRDefault="00B67E9C">
            <w:pPr>
              <w:spacing w:before="60" w:after="60"/>
              <w:jc w:val="center"/>
              <w:rPr>
                <w:sz w:val="16"/>
                <w:szCs w:val="16"/>
              </w:rPr>
            </w:pPr>
            <w:r>
              <w:rPr>
                <w:noProof/>
              </w:rPr>
              <w:drawing>
                <wp:inline distT="0" distB="0" distL="0" distR="0" wp14:anchorId="1F081931" wp14:editId="519A9717">
                  <wp:extent cx="5270500" cy="1781810"/>
                  <wp:effectExtent l="0" t="0" r="6350" b="8890"/>
                  <wp:docPr id="1" name="Picture 1" descr="Shows the predicted small mobile air conditioning bank in carbon dioxide equivalent tonnes, from 2018 to 2030. Overall the bank declines over the period, from around 14,000 to around 9,000 carbon dioxide equivalent tonnes. This comprises almost exclusively HFC-134A, with a negligible component of refrigerants with a GWP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ws the predicted small mobile air conditioning bank in carbon dioxide equivalent tonnes, from 2018 to 2030. Overall the bank declines over the period, from around 14,000 to around 9,000 carbon dioxide equivalent tonnes. This comprises almost exclusively HFC-134A, with a negligible component of refrigerants with a GWP less tha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781810"/>
                          </a:xfrm>
                          <a:prstGeom prst="rect">
                            <a:avLst/>
                          </a:prstGeom>
                          <a:noFill/>
                          <a:ln>
                            <a:noFill/>
                          </a:ln>
                        </pic:spPr>
                      </pic:pic>
                    </a:graphicData>
                  </a:graphic>
                </wp:inline>
              </w:drawing>
            </w:r>
          </w:p>
          <w:p w14:paraId="68720F05" w14:textId="77777777" w:rsidR="00B67E9C" w:rsidRDefault="00B67E9C">
            <w:pPr>
              <w:spacing w:before="60" w:after="60"/>
              <w:jc w:val="center"/>
              <w:rPr>
                <w:sz w:val="16"/>
                <w:szCs w:val="16"/>
              </w:rPr>
            </w:pPr>
          </w:p>
        </w:tc>
      </w:tr>
      <w:tr w:rsidR="00B67E9C" w14:paraId="51824A83" w14:textId="77777777" w:rsidTr="00B67E9C">
        <w:tc>
          <w:tcPr>
            <w:tcW w:w="9757" w:type="dxa"/>
            <w:tcBorders>
              <w:top w:val="single" w:sz="4" w:space="0" w:color="000000"/>
              <w:left w:val="single" w:sz="4" w:space="0" w:color="000000"/>
              <w:bottom w:val="single" w:sz="4" w:space="0" w:color="000000"/>
              <w:right w:val="single" w:sz="4" w:space="0" w:color="000000"/>
            </w:tcBorders>
            <w:vAlign w:val="center"/>
            <w:hideMark/>
          </w:tcPr>
          <w:p w14:paraId="5F5B6D70" w14:textId="6754571C" w:rsidR="00B67E9C" w:rsidRDefault="00B67E9C">
            <w:pPr>
              <w:pStyle w:val="Caption"/>
            </w:pPr>
            <w:bookmarkStart w:id="37" w:name="_Toc54602345"/>
            <w:r>
              <w:t xml:space="preserve">Figure </w:t>
            </w:r>
            <w:r>
              <w:fldChar w:fldCharType="begin"/>
            </w:r>
            <w:r>
              <w:rPr>
                <w:noProof/>
              </w:rPr>
              <w:instrText xml:space="preserve"> SEQ Figure \* ARABIC </w:instrText>
            </w:r>
            <w:r>
              <w:fldChar w:fldCharType="separate"/>
            </w:r>
            <w:r w:rsidR="007B01C2">
              <w:rPr>
                <w:noProof/>
              </w:rPr>
              <w:t>7</w:t>
            </w:r>
            <w:r>
              <w:fldChar w:fldCharType="end"/>
            </w:r>
            <w:r>
              <w:rPr>
                <w:bCs w:val="0"/>
              </w:rPr>
              <w:t>: Small MAC refrigerant bank in Mt CO</w:t>
            </w:r>
            <w:r>
              <w:rPr>
                <w:bCs w:val="0"/>
                <w:vertAlign w:val="subscript"/>
              </w:rPr>
              <w:t>2</w:t>
            </w:r>
            <w:r>
              <w:rPr>
                <w:bCs w:val="0"/>
              </w:rPr>
              <w:t>e from 2018 to 2030.</w:t>
            </w:r>
            <w:bookmarkEnd w:id="37"/>
          </w:p>
        </w:tc>
      </w:tr>
    </w:tbl>
    <w:p w14:paraId="0E7161DA" w14:textId="77777777" w:rsidR="00B67E9C" w:rsidRDefault="00B67E9C" w:rsidP="00B67E9C">
      <w:pPr>
        <w:rPr>
          <w:rFonts w:cs="Times New Roman"/>
          <w:szCs w:val="22"/>
          <w:lang w:val="en-US"/>
        </w:rPr>
      </w:pPr>
    </w:p>
    <w:p w14:paraId="2EC3AF01" w14:textId="77777777" w:rsidR="00B67E9C" w:rsidRDefault="00B67E9C" w:rsidP="00B67E9C">
      <w:pPr>
        <w:rPr>
          <w:rFonts w:cs="Times New Roman"/>
          <w:szCs w:val="22"/>
          <w:lang w:val="en-US"/>
        </w:rPr>
      </w:pPr>
      <w:r>
        <w:rPr>
          <w:rFonts w:cs="Times New Roman"/>
          <w:szCs w:val="22"/>
          <w:lang w:val="en-US"/>
        </w:rPr>
        <w:t xml:space="preserve">Charts and tables illustrating projected changes of the various banks are published in </w:t>
      </w:r>
      <w:r>
        <w:rPr>
          <w:rFonts w:cs="Times New Roman"/>
          <w:i/>
          <w:szCs w:val="22"/>
          <w:lang w:val="en-US"/>
        </w:rPr>
        <w:t>Appendix B3: Bank projections by class and segment</w:t>
      </w:r>
      <w:r>
        <w:rPr>
          <w:rFonts w:cs="Times New Roman"/>
          <w:szCs w:val="22"/>
          <w:lang w:val="en-US"/>
        </w:rPr>
        <w:t>.</w:t>
      </w:r>
    </w:p>
    <w:p w14:paraId="241D85CB" w14:textId="77777777" w:rsidR="00B67E9C" w:rsidRDefault="00B67E9C" w:rsidP="00B67E9C">
      <w:pPr>
        <w:spacing w:before="60"/>
        <w:rPr>
          <w:rFonts w:cs="Times New Roman"/>
          <w:sz w:val="20"/>
          <w:szCs w:val="20"/>
        </w:rPr>
      </w:pPr>
    </w:p>
    <w:p w14:paraId="1BA27AB7" w14:textId="77777777" w:rsidR="00B67E9C" w:rsidRDefault="00B67E9C" w:rsidP="00B67E9C">
      <w:pPr>
        <w:rPr>
          <w:rFonts w:cs="Times New Roman"/>
          <w:szCs w:val="22"/>
          <w:highlight w:val="yellow"/>
          <w:lang w:val="en-US"/>
        </w:rPr>
      </w:pPr>
    </w:p>
    <w:p w14:paraId="434A7A46" w14:textId="77777777" w:rsidR="00B67E9C" w:rsidRDefault="00B67E9C" w:rsidP="00B67E9C">
      <w:pPr>
        <w:spacing w:before="60"/>
        <w:rPr>
          <w:rFonts w:cs="Times New Roman"/>
          <w:sz w:val="20"/>
          <w:szCs w:val="20"/>
        </w:rPr>
      </w:pPr>
    </w:p>
    <w:p w14:paraId="1B41A753" w14:textId="77777777" w:rsidR="00B67E9C" w:rsidRDefault="00B67E9C" w:rsidP="00B67E9C">
      <w:pPr>
        <w:rPr>
          <w:rFonts w:cs="Times New Roman"/>
          <w:szCs w:val="22"/>
          <w:lang w:val="en-US"/>
        </w:rPr>
      </w:pPr>
    </w:p>
    <w:p w14:paraId="40BCD11A" w14:textId="77777777" w:rsidR="00B67E9C" w:rsidRDefault="00B67E9C" w:rsidP="00B67E9C">
      <w:pPr>
        <w:rPr>
          <w:rFonts w:cs="Times New Roman"/>
          <w:szCs w:val="22"/>
          <w:lang w:val="en-US"/>
        </w:rPr>
      </w:pPr>
    </w:p>
    <w:p w14:paraId="26AEA3E5" w14:textId="77777777" w:rsidR="00B67E9C" w:rsidRDefault="00B67E9C" w:rsidP="00B67E9C">
      <w:pPr>
        <w:pStyle w:val="Heading2"/>
        <w:numPr>
          <w:ilvl w:val="1"/>
          <w:numId w:val="5"/>
        </w:numPr>
      </w:pPr>
      <w:bookmarkStart w:id="38" w:name="_Toc54601661"/>
      <w:r>
        <w:lastRenderedPageBreak/>
        <w:t>HVAC&amp;R Supply chain business types and end use applications</w:t>
      </w:r>
      <w:bookmarkEnd w:id="38"/>
    </w:p>
    <w:p w14:paraId="14D24CAE" w14:textId="77777777" w:rsidR="00B67E9C" w:rsidRDefault="00B67E9C" w:rsidP="00B67E9C">
      <w:pPr>
        <w:spacing w:before="0"/>
      </w:pPr>
      <w:r>
        <w:t xml:space="preserve">Understanding the types of businesses in the HVAC&amp;R supply chain and end use applications is important when defining the industry boundaries in terms of business and employment counts. </w:t>
      </w:r>
      <w:r>
        <w:rPr>
          <w:i/>
        </w:rPr>
        <w:t>Table 7</w:t>
      </w:r>
      <w:r>
        <w:t xml:space="preserve"> below provides a list of businesses that are considered part of the HVAC&amp;R industry. A list of end use applications is provided on the following page. Equipment and services suppliers to these end use applications are generally considered part of the industry sector.</w:t>
      </w:r>
    </w:p>
    <w:p w14:paraId="62D4636F" w14:textId="77777777" w:rsidR="00B67E9C" w:rsidRDefault="00B67E9C" w:rsidP="00B67E9C">
      <w:pPr>
        <w:spacing w:before="0"/>
      </w:pPr>
      <w:r>
        <w:t xml:space="preserve"> </w:t>
      </w:r>
    </w:p>
    <w:p w14:paraId="08F78A52" w14:textId="7FB18F6E" w:rsidR="00B67E9C" w:rsidRDefault="00B67E9C" w:rsidP="00B67E9C">
      <w:pPr>
        <w:pStyle w:val="Caption"/>
        <w:keepNext/>
        <w:rPr>
          <w:szCs w:val="22"/>
        </w:rPr>
      </w:pPr>
      <w:bookmarkStart w:id="39" w:name="_Toc54602352"/>
      <w:r>
        <w:t xml:space="preserve">Table </w:t>
      </w:r>
      <w:r>
        <w:fldChar w:fldCharType="begin"/>
      </w:r>
      <w:r>
        <w:rPr>
          <w:noProof/>
        </w:rPr>
        <w:instrText xml:space="preserve"> SEQ Table \* ARABIC </w:instrText>
      </w:r>
      <w:r>
        <w:fldChar w:fldCharType="separate"/>
      </w:r>
      <w:r w:rsidR="007B01C2">
        <w:rPr>
          <w:noProof/>
        </w:rPr>
        <w:t>7</w:t>
      </w:r>
      <w:r>
        <w:fldChar w:fldCharType="end"/>
      </w:r>
      <w:r>
        <w:t xml:space="preserve">: </w:t>
      </w:r>
      <w:r>
        <w:rPr>
          <w:szCs w:val="22"/>
        </w:rPr>
        <w:t>Types of businesses in the HVAC&amp;R supply chain.</w:t>
      </w:r>
      <w:bookmarkEnd w:id="39"/>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7"/>
      </w:tblGrid>
      <w:tr w:rsidR="00B67E9C" w14:paraId="6977CB10" w14:textId="77777777" w:rsidTr="00B67E9C">
        <w:trPr>
          <w:trHeight w:val="684"/>
        </w:trPr>
        <w:tc>
          <w:tcPr>
            <w:tcW w:w="9487"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14:paraId="1B821BF8" w14:textId="77777777" w:rsidR="00B67E9C" w:rsidRDefault="00B67E9C">
            <w:pPr>
              <w:spacing w:after="120"/>
              <w:jc w:val="center"/>
              <w:rPr>
                <w:rFonts w:cs="Times New Roman"/>
                <w:szCs w:val="22"/>
              </w:rPr>
            </w:pPr>
            <w:r>
              <w:rPr>
                <w:rFonts w:cs="Times New Roman"/>
                <w:szCs w:val="22"/>
              </w:rPr>
              <w:t>Types of businesses in the HVAC&amp;R industry</w:t>
            </w:r>
          </w:p>
        </w:tc>
      </w:tr>
      <w:tr w:rsidR="00B67E9C" w14:paraId="6C132F01" w14:textId="77777777" w:rsidTr="00B67E9C">
        <w:trPr>
          <w:trHeight w:val="456"/>
        </w:trPr>
        <w:tc>
          <w:tcPr>
            <w:tcW w:w="9487" w:type="dxa"/>
            <w:tcBorders>
              <w:top w:val="single" w:sz="8" w:space="0" w:color="auto"/>
              <w:left w:val="single" w:sz="4" w:space="0" w:color="000000"/>
              <w:bottom w:val="single" w:sz="4" w:space="0" w:color="000000"/>
              <w:right w:val="single" w:sz="4" w:space="0" w:color="000000"/>
            </w:tcBorders>
            <w:vAlign w:val="bottom"/>
            <w:hideMark/>
          </w:tcPr>
          <w:p w14:paraId="33B61A14" w14:textId="77777777" w:rsidR="00B67E9C" w:rsidRDefault="00B67E9C">
            <w:pPr>
              <w:spacing w:before="60" w:after="60"/>
              <w:jc w:val="left"/>
            </w:pPr>
            <w:r>
              <w:rPr>
                <w:rFonts w:eastAsia="Times New Roman"/>
                <w:color w:val="000000"/>
                <w:sz w:val="24"/>
                <w:lang w:eastAsia="en-AU"/>
              </w:rPr>
              <w:t>Wholesalers (major and independents: full HVAC&amp;R range, air conditioning, auto air, etc.)</w:t>
            </w:r>
          </w:p>
        </w:tc>
      </w:tr>
      <w:tr w:rsidR="00B67E9C" w14:paraId="766D5725"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36FF2CFB" w14:textId="77777777" w:rsidR="00B67E9C" w:rsidRDefault="00B67E9C">
            <w:pPr>
              <w:spacing w:before="60" w:after="60"/>
              <w:jc w:val="left"/>
            </w:pPr>
            <w:r>
              <w:rPr>
                <w:rFonts w:eastAsia="Times New Roman"/>
                <w:color w:val="000000"/>
                <w:sz w:val="24"/>
                <w:lang w:eastAsia="en-AU"/>
              </w:rPr>
              <w:t>Contractors (installation, service and maintenance)</w:t>
            </w:r>
          </w:p>
        </w:tc>
      </w:tr>
      <w:tr w:rsidR="00B67E9C" w14:paraId="50D76B68"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5BB52EF6" w14:textId="77777777" w:rsidR="00B67E9C" w:rsidRDefault="00B67E9C">
            <w:pPr>
              <w:spacing w:before="60" w:after="60"/>
              <w:jc w:val="left"/>
            </w:pPr>
            <w:r>
              <w:rPr>
                <w:rFonts w:eastAsia="Times New Roman"/>
                <w:color w:val="000000"/>
                <w:sz w:val="24"/>
                <w:lang w:eastAsia="en-AU"/>
              </w:rPr>
              <w:t>Equipment manufacturers</w:t>
            </w:r>
          </w:p>
        </w:tc>
      </w:tr>
      <w:tr w:rsidR="00B67E9C" w14:paraId="078A7F1D"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73405F07" w14:textId="77777777" w:rsidR="00B67E9C" w:rsidRDefault="00B67E9C">
            <w:pPr>
              <w:spacing w:before="60" w:after="60"/>
              <w:jc w:val="left"/>
            </w:pPr>
            <w:r>
              <w:rPr>
                <w:rFonts w:eastAsia="Times New Roman"/>
                <w:color w:val="000000"/>
                <w:sz w:val="24"/>
                <w:lang w:eastAsia="en-AU"/>
              </w:rPr>
              <w:t>Equipment suppliers (air conditioning, evaporative coolers, heating, hot water heat pumps, hydronic, commercial refrigeration, domestic refrigeration)</w:t>
            </w:r>
          </w:p>
        </w:tc>
      </w:tr>
      <w:tr w:rsidR="00B67E9C" w14:paraId="673378FB"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673B40D7" w14:textId="77777777" w:rsidR="00B67E9C" w:rsidRDefault="00B67E9C">
            <w:pPr>
              <w:spacing w:before="60" w:after="60"/>
              <w:jc w:val="left"/>
            </w:pPr>
            <w:r>
              <w:rPr>
                <w:rFonts w:eastAsia="Times New Roman"/>
                <w:color w:val="000000"/>
                <w:sz w:val="24"/>
                <w:lang w:eastAsia="en-AU"/>
              </w:rPr>
              <w:t>Component suppliers (compressors, fans, coils, chilled beams, refrigerant, etc.)</w:t>
            </w:r>
          </w:p>
        </w:tc>
      </w:tr>
      <w:tr w:rsidR="00B67E9C" w14:paraId="0B7B0EEC"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3CB51F35" w14:textId="77777777" w:rsidR="00B67E9C" w:rsidRDefault="00B67E9C">
            <w:pPr>
              <w:spacing w:before="60" w:after="60"/>
              <w:jc w:val="left"/>
            </w:pPr>
            <w:r>
              <w:rPr>
                <w:rFonts w:eastAsia="Times New Roman"/>
                <w:color w:val="000000"/>
                <w:sz w:val="24"/>
                <w:lang w:eastAsia="en-AU"/>
              </w:rPr>
              <w:t>Cool room suppliers (panel and contractors)</w:t>
            </w:r>
          </w:p>
        </w:tc>
      </w:tr>
      <w:tr w:rsidR="00B67E9C" w14:paraId="6BC8E283"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0AF81EF9" w14:textId="77777777" w:rsidR="00B67E9C" w:rsidRDefault="00B67E9C">
            <w:pPr>
              <w:spacing w:before="60" w:after="60"/>
              <w:jc w:val="left"/>
            </w:pPr>
            <w:r>
              <w:rPr>
                <w:rFonts w:eastAsia="Times New Roman"/>
                <w:color w:val="000000"/>
                <w:sz w:val="24"/>
                <w:lang w:eastAsia="en-AU"/>
              </w:rPr>
              <w:t>Controls and instrumentation suppliers (</w:t>
            </w:r>
            <w:proofErr w:type="gramStart"/>
            <w:r>
              <w:rPr>
                <w:rFonts w:eastAsia="Times New Roman"/>
                <w:color w:val="000000"/>
                <w:sz w:val="24"/>
                <w:lang w:eastAsia="en-AU"/>
              </w:rPr>
              <w:t>IS</w:t>
            </w:r>
            <w:proofErr w:type="gramEnd"/>
            <w:r>
              <w:rPr>
                <w:rFonts w:eastAsia="Times New Roman"/>
                <w:color w:val="000000"/>
                <w:sz w:val="24"/>
                <w:lang w:eastAsia="en-AU"/>
              </w:rPr>
              <w:t>, software, electronics, data logging, VSDs, sensing/measuring, temp/humidity/air flow/air quality, etc.)</w:t>
            </w:r>
          </w:p>
        </w:tc>
      </w:tr>
      <w:tr w:rsidR="00B67E9C" w14:paraId="5A5FB96D"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14A6B44D" w14:textId="77777777" w:rsidR="00B67E9C" w:rsidRDefault="00B67E9C">
            <w:pPr>
              <w:spacing w:before="60" w:after="60"/>
              <w:jc w:val="left"/>
            </w:pPr>
            <w:r>
              <w:rPr>
                <w:rFonts w:eastAsia="Times New Roman"/>
                <w:color w:val="000000"/>
                <w:sz w:val="24"/>
                <w:lang w:eastAsia="en-AU"/>
              </w:rPr>
              <w:t>Filtration and environmental services (supply and cleaning)</w:t>
            </w:r>
          </w:p>
        </w:tc>
      </w:tr>
      <w:tr w:rsidR="00B67E9C" w14:paraId="70ED942D"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25596111" w14:textId="77777777" w:rsidR="00B67E9C" w:rsidRDefault="00B67E9C">
            <w:pPr>
              <w:spacing w:before="60" w:after="60"/>
              <w:jc w:val="left"/>
            </w:pPr>
            <w:r>
              <w:rPr>
                <w:rFonts w:eastAsia="Times New Roman"/>
                <w:color w:val="000000"/>
                <w:sz w:val="24"/>
                <w:lang w:eastAsia="en-AU"/>
              </w:rPr>
              <w:t>Air movement (ducts, sheet metal, fittings, registers, dampers, diffusers, accessories)</w:t>
            </w:r>
          </w:p>
        </w:tc>
      </w:tr>
      <w:tr w:rsidR="00B67E9C" w14:paraId="5B4998A9"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655A7BBB" w14:textId="77777777" w:rsidR="00B67E9C" w:rsidRDefault="00B67E9C">
            <w:pPr>
              <w:spacing w:before="60" w:after="60"/>
              <w:jc w:val="left"/>
            </w:pPr>
            <w:r>
              <w:rPr>
                <w:rFonts w:eastAsia="Times New Roman"/>
                <w:color w:val="000000"/>
                <w:sz w:val="24"/>
                <w:lang w:eastAsia="en-AU"/>
              </w:rPr>
              <w:t>Fans and ventilation</w:t>
            </w:r>
          </w:p>
        </w:tc>
      </w:tr>
      <w:tr w:rsidR="00B67E9C" w14:paraId="11066DE8"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31728288" w14:textId="77777777" w:rsidR="00B67E9C" w:rsidRDefault="00B67E9C">
            <w:pPr>
              <w:spacing w:before="60" w:after="60"/>
              <w:jc w:val="left"/>
            </w:pPr>
            <w:r>
              <w:rPr>
                <w:rFonts w:eastAsia="Times New Roman"/>
                <w:color w:val="000000"/>
                <w:sz w:val="24"/>
                <w:lang w:eastAsia="en-AU"/>
              </w:rPr>
              <w:t>Mechanical services engineers</w:t>
            </w:r>
          </w:p>
        </w:tc>
      </w:tr>
      <w:tr w:rsidR="00B67E9C" w14:paraId="7682950D"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3EB3103C" w14:textId="77777777" w:rsidR="00B67E9C" w:rsidRDefault="00B67E9C">
            <w:pPr>
              <w:spacing w:before="60" w:after="60"/>
              <w:jc w:val="left"/>
            </w:pPr>
            <w:r>
              <w:rPr>
                <w:rFonts w:eastAsia="Times New Roman"/>
                <w:color w:val="000000"/>
                <w:sz w:val="24"/>
                <w:lang w:eastAsia="en-AU"/>
              </w:rPr>
              <w:t>Consulting and design engineers</w:t>
            </w:r>
          </w:p>
        </w:tc>
      </w:tr>
      <w:tr w:rsidR="00B67E9C" w14:paraId="4593EE1F"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0A9D09F7" w14:textId="77777777" w:rsidR="00B67E9C" w:rsidRDefault="00B67E9C">
            <w:pPr>
              <w:spacing w:before="60" w:after="60"/>
              <w:jc w:val="left"/>
            </w:pPr>
            <w:r>
              <w:rPr>
                <w:rFonts w:eastAsia="Times New Roman"/>
                <w:color w:val="000000"/>
                <w:sz w:val="24"/>
                <w:lang w:eastAsia="en-AU"/>
              </w:rPr>
              <w:t>Commissioning engineers</w:t>
            </w:r>
          </w:p>
        </w:tc>
      </w:tr>
      <w:tr w:rsidR="00B67E9C" w14:paraId="710DF00A"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5722E73D" w14:textId="77777777" w:rsidR="00B67E9C" w:rsidRDefault="00B67E9C">
            <w:pPr>
              <w:spacing w:before="60" w:after="60"/>
              <w:jc w:val="left"/>
            </w:pPr>
            <w:r>
              <w:rPr>
                <w:rFonts w:eastAsia="Times New Roman"/>
                <w:color w:val="000000"/>
                <w:sz w:val="24"/>
                <w:lang w:eastAsia="en-AU"/>
              </w:rPr>
              <w:t>Energy efficiency and specialist (</w:t>
            </w:r>
            <w:proofErr w:type="gramStart"/>
            <w:r>
              <w:rPr>
                <w:rFonts w:eastAsia="Times New Roman"/>
                <w:color w:val="000000"/>
                <w:sz w:val="24"/>
                <w:lang w:eastAsia="en-AU"/>
              </w:rPr>
              <w:t>i.e.</w:t>
            </w:r>
            <w:proofErr w:type="gramEnd"/>
            <w:r>
              <w:rPr>
                <w:rFonts w:eastAsia="Times New Roman"/>
                <w:color w:val="000000"/>
                <w:sz w:val="24"/>
                <w:lang w:eastAsia="en-AU"/>
              </w:rPr>
              <w:t xml:space="preserve"> natural refrigerants) engineers</w:t>
            </w:r>
          </w:p>
        </w:tc>
      </w:tr>
      <w:tr w:rsidR="00B67E9C" w14:paraId="33A05F99"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3EBEAA84" w14:textId="77777777" w:rsidR="00B67E9C" w:rsidRDefault="00B67E9C">
            <w:pPr>
              <w:spacing w:before="60" w:after="60"/>
              <w:jc w:val="left"/>
            </w:pPr>
            <w:r>
              <w:rPr>
                <w:rFonts w:eastAsia="Times New Roman"/>
                <w:color w:val="000000"/>
                <w:sz w:val="24"/>
                <w:lang w:eastAsia="en-AU"/>
              </w:rPr>
              <w:t>Facilities maintenance</w:t>
            </w:r>
          </w:p>
        </w:tc>
      </w:tr>
      <w:tr w:rsidR="00B67E9C" w14:paraId="147D9C63"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2A803BA9" w14:textId="77777777" w:rsidR="00B67E9C" w:rsidRDefault="00B67E9C">
            <w:pPr>
              <w:spacing w:before="60" w:after="60"/>
              <w:jc w:val="left"/>
            </w:pPr>
            <w:r>
              <w:rPr>
                <w:rFonts w:eastAsia="Times New Roman"/>
                <w:color w:val="000000"/>
                <w:sz w:val="24"/>
                <w:lang w:eastAsia="en-AU"/>
              </w:rPr>
              <w:t>Accessory suppliers (insulation, pipes, fittings, pumps, valves, lighting, tools, chemicals, oils, corrosion protection, etc.)</w:t>
            </w:r>
          </w:p>
        </w:tc>
      </w:tr>
      <w:tr w:rsidR="00B67E9C" w14:paraId="421D57C4"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31E53B36" w14:textId="77777777" w:rsidR="00B67E9C" w:rsidRDefault="00B67E9C">
            <w:pPr>
              <w:spacing w:before="60" w:after="60"/>
              <w:jc w:val="left"/>
            </w:pPr>
            <w:r>
              <w:rPr>
                <w:rFonts w:eastAsia="Times New Roman"/>
                <w:color w:val="000000"/>
                <w:sz w:val="24"/>
                <w:lang w:eastAsia="en-AU"/>
              </w:rPr>
              <w:t>Cooling tower specialist</w:t>
            </w:r>
          </w:p>
        </w:tc>
      </w:tr>
      <w:tr w:rsidR="00B67E9C" w14:paraId="377EAE6C"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7ABCC92D" w14:textId="77777777" w:rsidR="00B67E9C" w:rsidRDefault="00B67E9C">
            <w:pPr>
              <w:spacing w:before="60" w:after="60"/>
              <w:jc w:val="left"/>
            </w:pPr>
            <w:r>
              <w:rPr>
                <w:rFonts w:eastAsia="Times New Roman"/>
                <w:color w:val="000000"/>
                <w:sz w:val="24"/>
                <w:lang w:eastAsia="en-AU"/>
              </w:rPr>
              <w:t>Rental companies (air conditioning equipment for events and breakdowns)</w:t>
            </w:r>
          </w:p>
        </w:tc>
      </w:tr>
      <w:tr w:rsidR="00B67E9C" w14:paraId="2C606A49"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11F62E71" w14:textId="77777777" w:rsidR="00B67E9C" w:rsidRDefault="00B67E9C">
            <w:pPr>
              <w:spacing w:before="60" w:after="60"/>
              <w:jc w:val="left"/>
            </w:pPr>
            <w:r>
              <w:rPr>
                <w:rFonts w:eastAsia="Times New Roman"/>
                <w:color w:val="000000"/>
                <w:sz w:val="24"/>
                <w:lang w:eastAsia="en-AU"/>
              </w:rPr>
              <w:t>Business services (insurance brokers, etc.)</w:t>
            </w:r>
          </w:p>
        </w:tc>
      </w:tr>
      <w:tr w:rsidR="00B67E9C" w14:paraId="15BEC1F6" w14:textId="77777777" w:rsidTr="00B67E9C">
        <w:trPr>
          <w:trHeight w:val="456"/>
        </w:trPr>
        <w:tc>
          <w:tcPr>
            <w:tcW w:w="9487" w:type="dxa"/>
            <w:tcBorders>
              <w:top w:val="single" w:sz="4" w:space="0" w:color="000000"/>
              <w:left w:val="single" w:sz="4" w:space="0" w:color="000000"/>
              <w:bottom w:val="single" w:sz="4" w:space="0" w:color="000000"/>
              <w:right w:val="single" w:sz="4" w:space="0" w:color="000000"/>
            </w:tcBorders>
            <w:vAlign w:val="bottom"/>
            <w:hideMark/>
          </w:tcPr>
          <w:p w14:paraId="09DA4611" w14:textId="77777777" w:rsidR="00B67E9C" w:rsidRDefault="00B67E9C">
            <w:pPr>
              <w:spacing w:before="60" w:after="60"/>
              <w:jc w:val="left"/>
            </w:pPr>
            <w:r>
              <w:rPr>
                <w:rFonts w:eastAsia="Times New Roman"/>
                <w:color w:val="000000"/>
                <w:sz w:val="24"/>
                <w:lang w:eastAsia="en-AU"/>
              </w:rPr>
              <w:lastRenderedPageBreak/>
              <w:t>Technical services (equipment testing, scientific, calibration, etc.)</w:t>
            </w:r>
          </w:p>
        </w:tc>
      </w:tr>
    </w:tbl>
    <w:p w14:paraId="5223AE4B" w14:textId="77777777" w:rsidR="00B67E9C" w:rsidRDefault="00B67E9C" w:rsidP="00B67E9C">
      <w:pPr>
        <w:rPr>
          <w:szCs w:val="22"/>
        </w:rPr>
      </w:pPr>
    </w:p>
    <w:p w14:paraId="3DE2485D" w14:textId="77777777" w:rsidR="00B67E9C" w:rsidRDefault="00B67E9C" w:rsidP="00B67E9C">
      <w:pPr>
        <w:spacing w:before="240"/>
        <w:rPr>
          <w:rFonts w:asciiTheme="majorHAnsi" w:hAnsiTheme="majorHAnsi"/>
          <w:b/>
          <w:sz w:val="24"/>
        </w:rPr>
      </w:pPr>
      <w:r>
        <w:rPr>
          <w:rFonts w:asciiTheme="majorHAnsi" w:hAnsiTheme="majorHAnsi"/>
          <w:b/>
          <w:sz w:val="24"/>
        </w:rPr>
        <w:t>End use applications</w:t>
      </w:r>
    </w:p>
    <w:p w14:paraId="2CFEFED0" w14:textId="77777777" w:rsidR="00B67E9C" w:rsidRDefault="00B67E9C" w:rsidP="00B67E9C">
      <w:r>
        <w:t xml:space="preserve">The following is a list of some of the important industrial and commercial applications where RAC systems are found across the Australian economy. This list does not include the common and populous applications of domestic refrigeration and residential air conditioning with which readers would be familiar. This provides an insight into the wide applications of RAC systems that the Taxonomy does not reveal, based as that is on the format and capacity of the enabling technology employed in the applications listed below.  </w:t>
      </w:r>
    </w:p>
    <w:p w14:paraId="4D824209" w14:textId="77777777" w:rsidR="00B67E9C" w:rsidRDefault="00B67E9C" w:rsidP="00B67E9C">
      <w:r>
        <w:t>If there was any question about the central and essential energy service role that RAC technology plays in the Australian economy, simply read the following list and imagine how the environments and processes listed would be without being serviced by RAC systems.</w:t>
      </w:r>
    </w:p>
    <w:p w14:paraId="192C3042" w14:textId="77777777" w:rsidR="00B67E9C" w:rsidRDefault="00B67E9C" w:rsidP="00B67E9C">
      <w:pPr>
        <w:spacing w:before="240"/>
        <w:rPr>
          <w:rFonts w:asciiTheme="majorHAnsi" w:hAnsiTheme="majorHAnsi"/>
          <w:b/>
          <w:sz w:val="24"/>
        </w:rPr>
      </w:pPr>
      <w:r>
        <w:rPr>
          <w:rFonts w:asciiTheme="majorHAnsi" w:hAnsiTheme="majorHAnsi"/>
          <w:b/>
          <w:sz w:val="24"/>
        </w:rPr>
        <w:t>Stationary air conditioning systems</w:t>
      </w:r>
    </w:p>
    <w:p w14:paraId="4F441769" w14:textId="77777777" w:rsidR="00B67E9C" w:rsidRDefault="00B67E9C" w:rsidP="00B67E9C">
      <w:pPr>
        <w:jc w:val="left"/>
      </w:pPr>
      <w:r>
        <w:t>Non-residential buildings ventilation and air conditioning systems:</w:t>
      </w:r>
    </w:p>
    <w:p w14:paraId="02430345"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Commercial and government office accommodation</w:t>
      </w:r>
    </w:p>
    <w:p w14:paraId="5FE125A9"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Education (all generally also including some larger format refrigeration) such as schools, universities and TAFEs</w:t>
      </w:r>
    </w:p>
    <w:p w14:paraId="5B6EBC0E"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Community buildings</w:t>
      </w:r>
    </w:p>
    <w:p w14:paraId="4231590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Hospitals and health facilities including mortuaries</w:t>
      </w:r>
    </w:p>
    <w:p w14:paraId="7A302EC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Hotels and accommodation</w:t>
      </w:r>
    </w:p>
    <w:p w14:paraId="257EDFE9"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Industrial</w:t>
      </w:r>
    </w:p>
    <w:p w14:paraId="0F60A4DF"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Convention centres, retail malls and food courts</w:t>
      </w:r>
    </w:p>
    <w:p w14:paraId="09A1AD79"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Entertainment, restaurants, swimming pools, gyms</w:t>
      </w:r>
    </w:p>
    <w:p w14:paraId="1A889FC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Transport hubs, underground train stations, airports</w:t>
      </w:r>
    </w:p>
    <w:p w14:paraId="06654359" w14:textId="77777777" w:rsidR="00B67E9C" w:rsidRDefault="00B67E9C" w:rsidP="00B67E9C">
      <w:r>
        <w:t>Close Control facilities:</w:t>
      </w:r>
    </w:p>
    <w:p w14:paraId="75D56274"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Computing, server farms and UPS</w:t>
      </w:r>
    </w:p>
    <w:p w14:paraId="162EF407"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Telecommunications switching, PABX and UPS</w:t>
      </w:r>
    </w:p>
    <w:p w14:paraId="22547BFF"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Museums, galleries, archives and specialised storage</w:t>
      </w:r>
    </w:p>
    <w:p w14:paraId="1E25BC1B"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Pharmaceutical</w:t>
      </w:r>
    </w:p>
    <w:p w14:paraId="28AE22D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Labs and testing</w:t>
      </w:r>
    </w:p>
    <w:p w14:paraId="3B7A5895" w14:textId="77777777" w:rsidR="00B67E9C" w:rsidRDefault="00B67E9C" w:rsidP="00B67E9C">
      <w:pPr>
        <w:spacing w:before="240"/>
        <w:rPr>
          <w:rFonts w:asciiTheme="majorHAnsi" w:hAnsiTheme="majorHAnsi"/>
          <w:b/>
          <w:sz w:val="24"/>
        </w:rPr>
      </w:pPr>
      <w:r>
        <w:rPr>
          <w:rFonts w:asciiTheme="majorHAnsi" w:hAnsiTheme="majorHAnsi"/>
          <w:b/>
          <w:sz w:val="24"/>
        </w:rPr>
        <w:t>Mobile air conditioning systems</w:t>
      </w:r>
    </w:p>
    <w:p w14:paraId="5FA52FDB" w14:textId="77777777" w:rsidR="00B67E9C" w:rsidRDefault="00B67E9C" w:rsidP="00B67E9C">
      <w:r>
        <w:t>Air conditioned and refrigerated transport:</w:t>
      </w:r>
    </w:p>
    <w:p w14:paraId="5F29DBB1"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Light commercial</w:t>
      </w:r>
    </w:p>
    <w:p w14:paraId="63DE0E29"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Buses</w:t>
      </w:r>
    </w:p>
    <w:p w14:paraId="58D21435"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Recreational vehicles, mobile homes and caravans</w:t>
      </w:r>
    </w:p>
    <w:p w14:paraId="0E5E22E1"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Mining &amp; construction</w:t>
      </w:r>
    </w:p>
    <w:p w14:paraId="4C6CBB4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Trains</w:t>
      </w:r>
    </w:p>
    <w:p w14:paraId="025851DB"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Agricultural (including tractors, harvesters)</w:t>
      </w:r>
    </w:p>
    <w:p w14:paraId="1148FC9A"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Refrigerated trucks &amp; trailers (cold food chain)</w:t>
      </w:r>
    </w:p>
    <w:p w14:paraId="380F62B6" w14:textId="77777777" w:rsidR="00B67E9C" w:rsidRDefault="00B67E9C" w:rsidP="00B67E9C">
      <w:r>
        <w:t>Aviation:</w:t>
      </w:r>
    </w:p>
    <w:p w14:paraId="414AA487"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Commercial passenger airlines</w:t>
      </w:r>
    </w:p>
    <w:p w14:paraId="6796A2A9"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Military aviation</w:t>
      </w:r>
    </w:p>
    <w:p w14:paraId="18EB228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lastRenderedPageBreak/>
        <w:t>Private and charter aircraft</w:t>
      </w:r>
    </w:p>
    <w:p w14:paraId="0F97AB66" w14:textId="77777777" w:rsidR="00B67E9C" w:rsidRDefault="00B67E9C" w:rsidP="00B67E9C">
      <w:r>
        <w:t>Maritime systems:</w:t>
      </w:r>
    </w:p>
    <w:p w14:paraId="4897172F"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Fishing fleet</w:t>
      </w:r>
    </w:p>
    <w:p w14:paraId="67614994"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Specialised sea freight</w:t>
      </w:r>
    </w:p>
    <w:p w14:paraId="1A50950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Passenger liners</w:t>
      </w:r>
    </w:p>
    <w:p w14:paraId="2070D98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Luxury boats and private charter</w:t>
      </w:r>
    </w:p>
    <w:p w14:paraId="2454B554" w14:textId="77777777" w:rsidR="00B67E9C" w:rsidRDefault="00B67E9C" w:rsidP="00B67E9C">
      <w:pPr>
        <w:pStyle w:val="ListParagraph"/>
        <w:numPr>
          <w:ilvl w:val="0"/>
          <w:numId w:val="16"/>
        </w:numPr>
        <w:spacing w:before="120" w:after="0" w:line="240" w:lineRule="auto"/>
      </w:pPr>
      <w:r>
        <w:rPr>
          <w:rFonts w:ascii="Times New Roman" w:hAnsi="Times New Roman"/>
        </w:rPr>
        <w:t>Defence field systems and</w:t>
      </w:r>
      <w:r>
        <w:t xml:space="preserve"> emergency services</w:t>
      </w:r>
    </w:p>
    <w:p w14:paraId="60BD2956" w14:textId="77777777" w:rsidR="00B67E9C" w:rsidRDefault="00B67E9C" w:rsidP="00B67E9C">
      <w:pPr>
        <w:spacing w:before="240"/>
        <w:rPr>
          <w:rFonts w:asciiTheme="majorHAnsi" w:hAnsiTheme="majorHAnsi"/>
          <w:b/>
          <w:sz w:val="24"/>
        </w:rPr>
      </w:pPr>
      <w:r>
        <w:rPr>
          <w:rFonts w:asciiTheme="majorHAnsi" w:hAnsiTheme="majorHAnsi"/>
          <w:b/>
          <w:sz w:val="24"/>
        </w:rPr>
        <w:t>Refrigerated cold food chain, industrial and process systems</w:t>
      </w:r>
    </w:p>
    <w:p w14:paraId="53E7AF91" w14:textId="77777777" w:rsidR="00B67E9C" w:rsidRDefault="00B67E9C" w:rsidP="00B67E9C">
      <w:r>
        <w:t>Commercial refrigeration:</w:t>
      </w:r>
    </w:p>
    <w:p w14:paraId="7A473A05"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On farm cool rooms (horticulture, vegetables, wine grapes)</w:t>
      </w:r>
    </w:p>
    <w:p w14:paraId="1989C4AF"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Aquaculture &amp; wild caught seafood</w:t>
      </w:r>
    </w:p>
    <w:p w14:paraId="554B3295"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Food transport and distribution centres</w:t>
      </w:r>
    </w:p>
    <w:p w14:paraId="40E06322"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Retail display</w:t>
      </w:r>
    </w:p>
    <w:p w14:paraId="7B47E37E"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Supermarkets</w:t>
      </w:r>
    </w:p>
    <w:p w14:paraId="0FEF584E"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Pharmaceuticals</w:t>
      </w:r>
    </w:p>
    <w:p w14:paraId="6C1B61CE" w14:textId="77777777" w:rsidR="00B67E9C" w:rsidRDefault="00B67E9C" w:rsidP="00B67E9C">
      <w:r>
        <w:t>Process chillers &amp; industrial refrigeration:</w:t>
      </w:r>
    </w:p>
    <w:p w14:paraId="718401E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Brewing and wine making</w:t>
      </w:r>
    </w:p>
    <w:p w14:paraId="70494A96"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Dairy industry</w:t>
      </w:r>
    </w:p>
    <w:p w14:paraId="46BF56B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Milk harvesting and storage</w:t>
      </w:r>
    </w:p>
    <w:p w14:paraId="356DF4C2"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 xml:space="preserve">Milk processing </w:t>
      </w:r>
    </w:p>
    <w:p w14:paraId="5653874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Cheese industry</w:t>
      </w:r>
    </w:p>
    <w:p w14:paraId="5D7874BF"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Food processing (confectionary, frozen foods, drinks, fruit juice, chilled water as additive)</w:t>
      </w:r>
    </w:p>
    <w:p w14:paraId="71239CB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Ice making</w:t>
      </w:r>
    </w:p>
    <w:p w14:paraId="7E3F6CA5" w14:textId="77777777" w:rsidR="00B67E9C" w:rsidRDefault="00B67E9C" w:rsidP="00B67E9C">
      <w:r>
        <w:t>Industrial chiller applications:</w:t>
      </w:r>
    </w:p>
    <w:p w14:paraId="6237EC4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Plastics/die cooling</w:t>
      </w:r>
    </w:p>
    <w:p w14:paraId="166F4C4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 xml:space="preserve">Electronic plating </w:t>
      </w:r>
    </w:p>
    <w:p w14:paraId="46CD673A"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Printing machines &amp; associated equipment</w:t>
      </w:r>
    </w:p>
    <w:p w14:paraId="50FE0173"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 xml:space="preserve">Dry cleaning </w:t>
      </w:r>
    </w:p>
    <w:p w14:paraId="3B8A6967"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Construction</w:t>
      </w:r>
    </w:p>
    <w:p w14:paraId="47FA58FA"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Laser cutting equipment</w:t>
      </w:r>
    </w:p>
    <w:p w14:paraId="6A345060"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Chilling of water for industrial processes</w:t>
      </w:r>
    </w:p>
    <w:p w14:paraId="73FC5FBE" w14:textId="77777777" w:rsidR="00B67E9C" w:rsidRDefault="00B67E9C" w:rsidP="00B67E9C">
      <w:r>
        <w:t>Other large chiller deep freeze applications:</w:t>
      </w:r>
    </w:p>
    <w:p w14:paraId="33F1F94E"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Water cooling for medical or chemical equipment such as SEM, MRI and X-Ray units</w:t>
      </w:r>
    </w:p>
    <w:p w14:paraId="64F5F3C9"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Petro-chemical/gas &amp; chemical</w:t>
      </w:r>
    </w:p>
    <w:p w14:paraId="4A9646AD"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Medical/pharmaceutical/serum/plasma</w:t>
      </w:r>
    </w:p>
    <w:p w14:paraId="022240D4"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Co-generation/tri-generation</w:t>
      </w:r>
    </w:p>
    <w:p w14:paraId="771DC0A8" w14:textId="77777777" w:rsidR="00B67E9C" w:rsidRDefault="00B67E9C" w:rsidP="00B67E9C">
      <w:pPr>
        <w:pStyle w:val="ListParagraph"/>
        <w:numPr>
          <w:ilvl w:val="0"/>
          <w:numId w:val="16"/>
        </w:numPr>
        <w:spacing w:before="120" w:after="0" w:line="240" w:lineRule="auto"/>
      </w:pPr>
      <w:r>
        <w:rPr>
          <w:rFonts w:ascii="Times New Roman" w:hAnsi="Times New Roman"/>
        </w:rPr>
        <w:t>Mining and tunnel</w:t>
      </w:r>
      <w:r>
        <w:t>s</w:t>
      </w:r>
    </w:p>
    <w:p w14:paraId="4B74DD5A" w14:textId="77777777" w:rsidR="00B67E9C" w:rsidRDefault="00B67E9C" w:rsidP="00B67E9C">
      <w:pPr>
        <w:pStyle w:val="ListParagraph"/>
        <w:numPr>
          <w:ilvl w:val="0"/>
          <w:numId w:val="16"/>
        </w:numPr>
        <w:spacing w:before="120" w:after="0" w:line="240" w:lineRule="auto"/>
      </w:pPr>
      <w:r>
        <w:rPr>
          <w:rFonts w:ascii="Times New Roman" w:hAnsi="Times New Roman"/>
        </w:rPr>
        <w:t>Liquefaction and cryogenics</w:t>
      </w:r>
    </w:p>
    <w:p w14:paraId="5D5C9AE3" w14:textId="77777777" w:rsidR="00B67E9C" w:rsidRDefault="00B67E9C" w:rsidP="00B67E9C">
      <w:pPr>
        <w:jc w:val="left"/>
      </w:pPr>
      <w:r>
        <w:t>Power generation industry:</w:t>
      </w:r>
    </w:p>
    <w:p w14:paraId="44AEE476"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Mobile plant</w:t>
      </w:r>
    </w:p>
    <w:p w14:paraId="047F4F39" w14:textId="77777777" w:rsidR="00B67E9C" w:rsidRDefault="00B67E9C" w:rsidP="00B67E9C">
      <w:pPr>
        <w:jc w:val="left"/>
      </w:pPr>
      <w:r>
        <w:t>Other applications:</w:t>
      </w:r>
    </w:p>
    <w:p w14:paraId="230EF4B5"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Water coolers</w:t>
      </w:r>
    </w:p>
    <w:p w14:paraId="0FCE83AC" w14:textId="77777777" w:rsidR="00B67E9C" w:rsidRDefault="00B67E9C" w:rsidP="00B67E9C">
      <w:pPr>
        <w:pStyle w:val="ListParagraph"/>
        <w:numPr>
          <w:ilvl w:val="0"/>
          <w:numId w:val="16"/>
        </w:numPr>
        <w:spacing w:before="120" w:after="0" w:line="240" w:lineRule="auto"/>
        <w:rPr>
          <w:rFonts w:ascii="Times New Roman" w:hAnsi="Times New Roman"/>
        </w:rPr>
      </w:pPr>
      <w:r>
        <w:rPr>
          <w:rFonts w:ascii="Times New Roman" w:hAnsi="Times New Roman"/>
        </w:rPr>
        <w:t>Heat pump pool heaters</w:t>
      </w:r>
    </w:p>
    <w:p w14:paraId="009E0EA4" w14:textId="77777777" w:rsidR="00B67E9C" w:rsidRDefault="00B67E9C" w:rsidP="00B67E9C">
      <w:pPr>
        <w:spacing w:before="0"/>
        <w:jc w:val="left"/>
        <w:rPr>
          <w:rFonts w:eastAsia="Times New Roman" w:cs="Times New Roman"/>
          <w:bCs/>
          <w:szCs w:val="22"/>
          <w:lang w:val="en-US"/>
        </w:rPr>
      </w:pPr>
    </w:p>
    <w:p w14:paraId="4AA4630C" w14:textId="77777777" w:rsidR="00B67E9C" w:rsidRDefault="00B67E9C" w:rsidP="00B67E9C">
      <w:pPr>
        <w:spacing w:before="0" w:after="120"/>
        <w:jc w:val="left"/>
        <w:rPr>
          <w:rFonts w:cs="Times New Roman"/>
          <w:b/>
          <w:szCs w:val="22"/>
        </w:rPr>
      </w:pPr>
    </w:p>
    <w:p w14:paraId="1F78A96A" w14:textId="77777777" w:rsidR="00B67E9C" w:rsidRDefault="00B67E9C" w:rsidP="00B67E9C">
      <w:pPr>
        <w:spacing w:before="0"/>
        <w:jc w:val="left"/>
        <w:rPr>
          <w:rFonts w:ascii="Calibri" w:eastAsia="Times New Roman" w:hAnsi="Calibri" w:cs="Times New Roman"/>
          <w:b/>
          <w:bCs/>
          <w:kern w:val="32"/>
          <w:sz w:val="32"/>
          <w:szCs w:val="32"/>
          <w:lang w:val="en-US"/>
        </w:rPr>
      </w:pPr>
      <w:r>
        <w:br w:type="page"/>
      </w:r>
    </w:p>
    <w:p w14:paraId="73081595" w14:textId="77777777" w:rsidR="00B67E9C" w:rsidRDefault="00B67E9C" w:rsidP="00B67E9C">
      <w:pPr>
        <w:pStyle w:val="Heading1"/>
        <w:numPr>
          <w:ilvl w:val="0"/>
          <w:numId w:val="5"/>
        </w:numPr>
      </w:pPr>
      <w:bookmarkStart w:id="40" w:name="_Toc54601662"/>
      <w:r>
        <w:lastRenderedPageBreak/>
        <w:t>References</w:t>
      </w:r>
      <w:bookmarkEnd w:id="40"/>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7"/>
        <w:gridCol w:w="7688"/>
      </w:tblGrid>
      <w:tr w:rsidR="00B67E9C" w14:paraId="11F41A61"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1830D950"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AACS 2018</w:t>
            </w:r>
          </w:p>
        </w:tc>
        <w:tc>
          <w:tcPr>
            <w:tcW w:w="7683" w:type="dxa"/>
            <w:tcBorders>
              <w:top w:val="single" w:sz="4" w:space="0" w:color="auto"/>
              <w:left w:val="single" w:sz="4" w:space="0" w:color="auto"/>
              <w:bottom w:val="single" w:sz="4" w:space="0" w:color="auto"/>
              <w:right w:val="single" w:sz="4" w:space="0" w:color="auto"/>
            </w:tcBorders>
            <w:hideMark/>
          </w:tcPr>
          <w:p w14:paraId="250D7FFF"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Australasian Association of Convenience Stores State of the Industry Report, 2017, published April 2018.</w:t>
            </w:r>
          </w:p>
        </w:tc>
      </w:tr>
      <w:tr w:rsidR="00B67E9C" w14:paraId="4CDA990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5CA4AC51"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AB&amp;C 2019</w:t>
            </w:r>
          </w:p>
        </w:tc>
        <w:tc>
          <w:tcPr>
            <w:tcW w:w="7683" w:type="dxa"/>
            <w:tcBorders>
              <w:top w:val="single" w:sz="4" w:space="0" w:color="auto"/>
              <w:left w:val="single" w:sz="4" w:space="0" w:color="auto"/>
              <w:bottom w:val="single" w:sz="4" w:space="0" w:color="auto"/>
              <w:right w:val="single" w:sz="4" w:space="0" w:color="auto"/>
            </w:tcBorders>
            <w:hideMark/>
          </w:tcPr>
          <w:p w14:paraId="3473784B" w14:textId="77777777" w:rsidR="00B67E9C" w:rsidRDefault="00B67E9C">
            <w:pPr>
              <w:spacing w:before="60" w:after="60"/>
              <w:jc w:val="left"/>
              <w:rPr>
                <w:rFonts w:eastAsia="Times New Roman" w:cs="Times New Roman"/>
                <w:color w:val="000000" w:themeColor="text1"/>
                <w:sz w:val="20"/>
                <w:szCs w:val="20"/>
              </w:rPr>
            </w:pPr>
            <w:r>
              <w:rPr>
                <w:rFonts w:eastAsia="Times New Roman" w:cs="Times New Roman"/>
                <w:color w:val="000000" w:themeColor="text1"/>
                <w:sz w:val="20"/>
                <w:szCs w:val="20"/>
              </w:rPr>
              <w:t>Australasian Bus &amp; Coach (AB&amp;C) bus and coach deliveries data from 1998 to 2019.</w:t>
            </w:r>
          </w:p>
        </w:tc>
      </w:tr>
      <w:tr w:rsidR="00B67E9C" w14:paraId="3CB9BB7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792E96AF"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ABARES 2019</w:t>
            </w:r>
          </w:p>
        </w:tc>
        <w:tc>
          <w:tcPr>
            <w:tcW w:w="7683" w:type="dxa"/>
            <w:tcBorders>
              <w:top w:val="single" w:sz="4" w:space="0" w:color="auto"/>
              <w:left w:val="single" w:sz="4" w:space="0" w:color="auto"/>
              <w:bottom w:val="single" w:sz="4" w:space="0" w:color="auto"/>
              <w:right w:val="single" w:sz="4" w:space="0" w:color="auto"/>
            </w:tcBorders>
            <w:hideMark/>
          </w:tcPr>
          <w:p w14:paraId="0B57A74C" w14:textId="77777777" w:rsidR="00B67E9C" w:rsidRDefault="00B67E9C">
            <w:pPr>
              <w:spacing w:before="60" w:after="60"/>
              <w:jc w:val="left"/>
              <w:rPr>
                <w:rFonts w:eastAsia="Times New Roman" w:cs="Times New Roman"/>
                <w:color w:val="000000" w:themeColor="text1"/>
                <w:sz w:val="20"/>
                <w:szCs w:val="20"/>
              </w:rPr>
            </w:pPr>
            <w:r>
              <w:rPr>
                <w:rFonts w:eastAsia="Times New Roman" w:cs="Times New Roman"/>
                <w:color w:val="000000" w:themeColor="text1"/>
                <w:sz w:val="20"/>
                <w:szCs w:val="20"/>
              </w:rPr>
              <w:t>Agricultural commodity statistics, 2019, Department of Agriculture and Water Resource Economics and Sciences (ABARES), December 2019.</w:t>
            </w:r>
          </w:p>
        </w:tc>
      </w:tr>
      <w:tr w:rsidR="00B67E9C" w14:paraId="0355A431"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3C5AA30C"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ABS 3101.0 2020</w:t>
            </w:r>
          </w:p>
        </w:tc>
        <w:tc>
          <w:tcPr>
            <w:tcW w:w="7683" w:type="dxa"/>
            <w:tcBorders>
              <w:top w:val="single" w:sz="4" w:space="0" w:color="auto"/>
              <w:left w:val="single" w:sz="4" w:space="0" w:color="auto"/>
              <w:bottom w:val="single" w:sz="4" w:space="0" w:color="auto"/>
              <w:right w:val="single" w:sz="4" w:space="0" w:color="auto"/>
            </w:tcBorders>
            <w:hideMark/>
          </w:tcPr>
          <w:p w14:paraId="7C2DC7C4" w14:textId="77777777" w:rsidR="00B67E9C" w:rsidRDefault="00B67E9C">
            <w:pPr>
              <w:spacing w:before="60" w:after="60"/>
              <w:jc w:val="left"/>
              <w:rPr>
                <w:rFonts w:eastAsia="Times New Roman" w:cs="Times New Roman"/>
                <w:color w:val="000000" w:themeColor="text1"/>
                <w:sz w:val="20"/>
                <w:szCs w:val="20"/>
              </w:rPr>
            </w:pPr>
            <w:r>
              <w:rPr>
                <w:rFonts w:eastAsia="Times New Roman" w:cs="Times New Roman"/>
                <w:color w:val="000000" w:themeColor="text1"/>
                <w:sz w:val="20"/>
                <w:szCs w:val="20"/>
              </w:rPr>
              <w:t xml:space="preserve">Australian Bureau of Statistics, catalogue 3101.0, Australian Demographic Statistics, population </w:t>
            </w:r>
            <w:proofErr w:type="gramStart"/>
            <w:r>
              <w:rPr>
                <w:rFonts w:eastAsia="Times New Roman" w:cs="Times New Roman"/>
                <w:color w:val="000000" w:themeColor="text1"/>
                <w:sz w:val="20"/>
                <w:szCs w:val="20"/>
              </w:rPr>
              <w:t>at</w:t>
            </w:r>
            <w:proofErr w:type="gramEnd"/>
            <w:r>
              <w:rPr>
                <w:rFonts w:eastAsia="Times New Roman" w:cs="Times New Roman"/>
                <w:color w:val="000000" w:themeColor="text1"/>
                <w:sz w:val="20"/>
                <w:szCs w:val="20"/>
              </w:rPr>
              <w:t xml:space="preserve"> September 2018, published June 2020.</w:t>
            </w:r>
          </w:p>
        </w:tc>
      </w:tr>
      <w:tr w:rsidR="00B67E9C" w14:paraId="15F4CEC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07889431" w14:textId="77777777" w:rsidR="00B67E9C" w:rsidRDefault="00B67E9C">
            <w:pPr>
              <w:pStyle w:val="BodyText"/>
              <w:spacing w:before="60" w:after="60"/>
              <w:jc w:val="left"/>
              <w:rPr>
                <w:rFonts w:ascii="Times New Roman" w:hAnsi="Times New Roman"/>
                <w:color w:val="00B0F0"/>
                <w:sz w:val="20"/>
                <w:szCs w:val="20"/>
              </w:rPr>
            </w:pPr>
            <w:r>
              <w:rPr>
                <w:rFonts w:ascii="Times New Roman" w:hAnsi="Times New Roman"/>
                <w:color w:val="000000" w:themeColor="text1"/>
                <w:sz w:val="20"/>
                <w:szCs w:val="20"/>
              </w:rPr>
              <w:t>ABS 8165.0 2020</w:t>
            </w:r>
          </w:p>
        </w:tc>
        <w:tc>
          <w:tcPr>
            <w:tcW w:w="7683" w:type="dxa"/>
            <w:tcBorders>
              <w:top w:val="single" w:sz="4" w:space="0" w:color="auto"/>
              <w:left w:val="single" w:sz="4" w:space="0" w:color="auto"/>
              <w:bottom w:val="single" w:sz="4" w:space="0" w:color="auto"/>
              <w:right w:val="single" w:sz="4" w:space="0" w:color="auto"/>
            </w:tcBorders>
            <w:hideMark/>
          </w:tcPr>
          <w:p w14:paraId="1DA9CB9C" w14:textId="77777777" w:rsidR="00B67E9C" w:rsidRDefault="00B67E9C">
            <w:pPr>
              <w:pStyle w:val="BodyText"/>
              <w:spacing w:before="60" w:after="60"/>
              <w:jc w:val="left"/>
              <w:rPr>
                <w:rFonts w:ascii="Times New Roman" w:hAnsi="Times New Roman"/>
                <w:color w:val="00B0F0"/>
                <w:sz w:val="20"/>
                <w:szCs w:val="20"/>
              </w:rPr>
            </w:pPr>
            <w:r>
              <w:rPr>
                <w:rFonts w:ascii="Times New Roman" w:hAnsi="Times New Roman"/>
                <w:color w:val="000000" w:themeColor="text1"/>
                <w:sz w:val="20"/>
                <w:szCs w:val="20"/>
              </w:rPr>
              <w:t xml:space="preserve">Australian Bureau of Statistics, catalogue 8165.0, Counts of Australian Businesses as </w:t>
            </w:r>
            <w:proofErr w:type="gramStart"/>
            <w:r>
              <w:rPr>
                <w:rFonts w:ascii="Times New Roman" w:hAnsi="Times New Roman"/>
                <w:color w:val="000000" w:themeColor="text1"/>
                <w:sz w:val="20"/>
                <w:szCs w:val="20"/>
              </w:rPr>
              <w:t>at</w:t>
            </w:r>
            <w:proofErr w:type="gramEnd"/>
            <w:r>
              <w:rPr>
                <w:rFonts w:ascii="Times New Roman" w:hAnsi="Times New Roman"/>
                <w:color w:val="000000" w:themeColor="text1"/>
                <w:sz w:val="20"/>
                <w:szCs w:val="20"/>
              </w:rPr>
              <w:t xml:space="preserve"> June 2019, published February 2020.</w:t>
            </w:r>
          </w:p>
        </w:tc>
      </w:tr>
      <w:tr w:rsidR="00B67E9C" w14:paraId="19F2DFA9"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BAE71FA"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ABS 9309.0 2020</w:t>
            </w:r>
          </w:p>
        </w:tc>
        <w:tc>
          <w:tcPr>
            <w:tcW w:w="7683" w:type="dxa"/>
            <w:tcBorders>
              <w:top w:val="single" w:sz="4" w:space="0" w:color="auto"/>
              <w:left w:val="single" w:sz="4" w:space="0" w:color="auto"/>
              <w:bottom w:val="single" w:sz="4" w:space="0" w:color="auto"/>
              <w:right w:val="single" w:sz="4" w:space="0" w:color="auto"/>
            </w:tcBorders>
            <w:hideMark/>
          </w:tcPr>
          <w:p w14:paraId="1E57660E"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Australian Bureau of Statistics, catalogue 9309.0, Motor Vehicle Census, May 2020.</w:t>
            </w:r>
          </w:p>
        </w:tc>
      </w:tr>
      <w:tr w:rsidR="00B67E9C" w14:paraId="57A14E33"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157B0F31"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ABS 9314.0 2018</w:t>
            </w:r>
          </w:p>
        </w:tc>
        <w:tc>
          <w:tcPr>
            <w:tcW w:w="7683" w:type="dxa"/>
            <w:tcBorders>
              <w:top w:val="single" w:sz="4" w:space="0" w:color="auto"/>
              <w:left w:val="single" w:sz="4" w:space="0" w:color="auto"/>
              <w:bottom w:val="single" w:sz="4" w:space="0" w:color="auto"/>
              <w:right w:val="single" w:sz="4" w:space="0" w:color="auto"/>
            </w:tcBorders>
            <w:hideMark/>
          </w:tcPr>
          <w:p w14:paraId="2D029881"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Australian Bureau of Statistics, catalogue 9314.0, Sales of New Motor Vehicles, Australia, December 2012 and Jan 2018.</w:t>
            </w:r>
          </w:p>
        </w:tc>
      </w:tr>
      <w:tr w:rsidR="00B67E9C" w14:paraId="04726AD1"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241E35A"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ACCC 2019</w:t>
            </w:r>
          </w:p>
        </w:tc>
        <w:tc>
          <w:tcPr>
            <w:tcW w:w="7683" w:type="dxa"/>
            <w:tcBorders>
              <w:top w:val="single" w:sz="4" w:space="0" w:color="auto"/>
              <w:left w:val="single" w:sz="4" w:space="0" w:color="auto"/>
              <w:bottom w:val="single" w:sz="4" w:space="0" w:color="auto"/>
              <w:right w:val="single" w:sz="4" w:space="0" w:color="auto"/>
            </w:tcBorders>
            <w:hideMark/>
          </w:tcPr>
          <w:p w14:paraId="14BBD1F5"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Inquiry into the National Electricity Market, Australian Competition &amp; Consumer Commission, pages 34 to 37, November 2019.</w:t>
            </w:r>
          </w:p>
        </w:tc>
      </w:tr>
      <w:tr w:rsidR="00B67E9C" w14:paraId="720ADD50"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347879FE"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AEMO 2017</w:t>
            </w:r>
          </w:p>
        </w:tc>
        <w:tc>
          <w:tcPr>
            <w:tcW w:w="7683" w:type="dxa"/>
            <w:tcBorders>
              <w:top w:val="single" w:sz="4" w:space="0" w:color="auto"/>
              <w:left w:val="single" w:sz="4" w:space="0" w:color="auto"/>
              <w:bottom w:val="single" w:sz="4" w:space="0" w:color="auto"/>
              <w:right w:val="single" w:sz="4" w:space="0" w:color="auto"/>
            </w:tcBorders>
            <w:hideMark/>
          </w:tcPr>
          <w:p w14:paraId="0CECC33E"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AEMO National Electricity and Gas Forecasting, Neutral Scenario, 1981 to 2037 by State, wholesale and retail prices, Australian Energy Market Operator, published 2017. This was used for CHF 2016, 2017 and 2018 pricing. AEMO now only publishes the Price Index, not the actual prices. For 2019 pricing refer ACCC 2019. </w:t>
            </w:r>
          </w:p>
        </w:tc>
      </w:tr>
      <w:tr w:rsidR="00B67E9C" w14:paraId="03E50AFB"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5D94452"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AFCE 2018</w:t>
            </w:r>
          </w:p>
        </w:tc>
        <w:tc>
          <w:tcPr>
            <w:tcW w:w="7683" w:type="dxa"/>
            <w:tcBorders>
              <w:top w:val="single" w:sz="4" w:space="0" w:color="auto"/>
              <w:left w:val="single" w:sz="4" w:space="0" w:color="auto"/>
              <w:bottom w:val="single" w:sz="4" w:space="0" w:color="auto"/>
              <w:right w:val="single" w:sz="4" w:space="0" w:color="auto"/>
            </w:tcBorders>
            <w:hideMark/>
          </w:tcPr>
          <w:p w14:paraId="1B1EB3D1"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Energy Efficiency State of the art available low GWP refrigerants and systems, Alliance </w:t>
            </w:r>
            <w:proofErr w:type="spellStart"/>
            <w:r>
              <w:rPr>
                <w:rFonts w:ascii="Times New Roman" w:hAnsi="Times New Roman"/>
                <w:color w:val="000000" w:themeColor="text1"/>
                <w:sz w:val="20"/>
                <w:szCs w:val="20"/>
              </w:rPr>
              <w:t>Froid</w:t>
            </w:r>
            <w:proofErr w:type="spellEnd"/>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Climatisation</w:t>
            </w:r>
            <w:proofErr w:type="spellEnd"/>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Environnement</w:t>
            </w:r>
            <w:proofErr w:type="spellEnd"/>
            <w:r>
              <w:rPr>
                <w:rFonts w:ascii="Times New Roman" w:hAnsi="Times New Roman"/>
                <w:color w:val="000000" w:themeColor="text1"/>
                <w:sz w:val="20"/>
                <w:szCs w:val="20"/>
              </w:rPr>
              <w:t xml:space="preserve"> (AFCE), September 2018.</w:t>
            </w:r>
          </w:p>
        </w:tc>
      </w:tr>
      <w:tr w:rsidR="00B67E9C" w14:paraId="2991FDC3"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04E2FF8D"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AMSA 2020</w:t>
            </w:r>
          </w:p>
        </w:tc>
        <w:tc>
          <w:tcPr>
            <w:tcW w:w="7683" w:type="dxa"/>
            <w:tcBorders>
              <w:top w:val="single" w:sz="4" w:space="0" w:color="auto"/>
              <w:left w:val="single" w:sz="4" w:space="0" w:color="auto"/>
              <w:bottom w:val="single" w:sz="4" w:space="0" w:color="auto"/>
              <w:right w:val="single" w:sz="4" w:space="0" w:color="auto"/>
            </w:tcBorders>
            <w:hideMark/>
          </w:tcPr>
          <w:p w14:paraId="137278D3"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Registrar of Ships, Ship Inspection and Registration Division, Ship Safety Division, Australian Maritime Safety Authority, 2020.</w:t>
            </w:r>
          </w:p>
        </w:tc>
      </w:tr>
      <w:tr w:rsidR="00B67E9C" w14:paraId="0A3DAB60"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0C0E3C6"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ANSI/ASHRAE 34</w:t>
            </w:r>
          </w:p>
        </w:tc>
        <w:tc>
          <w:tcPr>
            <w:tcW w:w="7683" w:type="dxa"/>
            <w:tcBorders>
              <w:top w:val="single" w:sz="4" w:space="0" w:color="auto"/>
              <w:left w:val="single" w:sz="4" w:space="0" w:color="auto"/>
              <w:bottom w:val="single" w:sz="4" w:space="0" w:color="auto"/>
              <w:right w:val="single" w:sz="4" w:space="0" w:color="auto"/>
            </w:tcBorders>
            <w:hideMark/>
          </w:tcPr>
          <w:p w14:paraId="62EF1D23"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ANSI/ASHRAE 34, Designation and Safety Classification of Refrigerant, which is published on the ASHRAE website.</w:t>
            </w:r>
          </w:p>
        </w:tc>
      </w:tr>
      <w:tr w:rsidR="00B67E9C" w14:paraId="2FAF5DF0"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7AE42550" w14:textId="77777777" w:rsidR="00B67E9C" w:rsidRDefault="00B67E9C">
            <w:pPr>
              <w:pStyle w:val="BodyText"/>
              <w:spacing w:before="60" w:after="6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ARCtick</w:t>
            </w:r>
            <w:proofErr w:type="spellEnd"/>
            <w:r>
              <w:rPr>
                <w:rFonts w:ascii="Times New Roman" w:hAnsi="Times New Roman"/>
                <w:color w:val="000000" w:themeColor="text1"/>
                <w:sz w:val="20"/>
                <w:szCs w:val="20"/>
              </w:rPr>
              <w:t xml:space="preserve"> 2020</w:t>
            </w:r>
          </w:p>
        </w:tc>
        <w:tc>
          <w:tcPr>
            <w:tcW w:w="7683" w:type="dxa"/>
            <w:tcBorders>
              <w:top w:val="single" w:sz="4" w:space="0" w:color="auto"/>
              <w:left w:val="single" w:sz="4" w:space="0" w:color="auto"/>
              <w:bottom w:val="single" w:sz="4" w:space="0" w:color="auto"/>
              <w:right w:val="single" w:sz="4" w:space="0" w:color="auto"/>
            </w:tcBorders>
            <w:hideMark/>
          </w:tcPr>
          <w:p w14:paraId="1D786B0C"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License data provided by </w:t>
            </w:r>
            <w:proofErr w:type="spellStart"/>
            <w:r>
              <w:rPr>
                <w:rFonts w:ascii="Times New Roman" w:hAnsi="Times New Roman"/>
                <w:color w:val="000000" w:themeColor="text1"/>
                <w:sz w:val="20"/>
                <w:szCs w:val="20"/>
              </w:rPr>
              <w:t>ARCtick</w:t>
            </w:r>
            <w:proofErr w:type="spellEnd"/>
            <w:r>
              <w:rPr>
                <w:rFonts w:ascii="Times New Roman" w:hAnsi="Times New Roman"/>
                <w:color w:val="000000" w:themeColor="text1"/>
                <w:sz w:val="20"/>
                <w:szCs w:val="20"/>
              </w:rPr>
              <w:t xml:space="preserve"> Australian Refrigeration Council by technician and business types.</w:t>
            </w:r>
          </w:p>
        </w:tc>
      </w:tr>
      <w:tr w:rsidR="00B67E9C" w14:paraId="517F836C"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75B38AF7"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BIC 2017</w:t>
            </w:r>
          </w:p>
        </w:tc>
        <w:tc>
          <w:tcPr>
            <w:tcW w:w="7683" w:type="dxa"/>
            <w:tcBorders>
              <w:top w:val="single" w:sz="4" w:space="0" w:color="auto"/>
              <w:left w:val="single" w:sz="4" w:space="0" w:color="auto"/>
              <w:bottom w:val="single" w:sz="4" w:space="0" w:color="auto"/>
              <w:right w:val="single" w:sz="4" w:space="0" w:color="auto"/>
            </w:tcBorders>
            <w:hideMark/>
          </w:tcPr>
          <w:p w14:paraId="03E70A37"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Review of Australian Bus Fleet, National Technical and Suppliers Summit, February 2017. Bus Industry Confederation Response to: Vehicle emissions standards for cleaner air Draft Regulation Impact Statement, Bus Industry Confederation, May 2017.</w:t>
            </w:r>
          </w:p>
        </w:tc>
      </w:tr>
      <w:tr w:rsidR="00B67E9C" w14:paraId="5C82797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3E19CDB"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BITRE 2019</w:t>
            </w:r>
          </w:p>
        </w:tc>
        <w:tc>
          <w:tcPr>
            <w:tcW w:w="7683" w:type="dxa"/>
            <w:tcBorders>
              <w:top w:val="single" w:sz="4" w:space="0" w:color="auto"/>
              <w:left w:val="single" w:sz="4" w:space="0" w:color="auto"/>
              <w:bottom w:val="single" w:sz="4" w:space="0" w:color="auto"/>
              <w:right w:val="single" w:sz="4" w:space="0" w:color="auto"/>
            </w:tcBorders>
            <w:hideMark/>
          </w:tcPr>
          <w:p w14:paraId="214B3023"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Bureau of Infrastructure, Transport and Regional Economics (BITRE) and Australasian Railway Association (ARA), Trainline 7 Statistical Report, December 2019.</w:t>
            </w:r>
          </w:p>
        </w:tc>
      </w:tr>
      <w:tr w:rsidR="00B67E9C" w14:paraId="3D87DD9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147BBB41" w14:textId="77777777" w:rsidR="00B67E9C" w:rsidRDefault="00B67E9C">
            <w:pPr>
              <w:pStyle w:val="BodyText"/>
              <w:spacing w:before="60" w:after="60"/>
              <w:jc w:val="left"/>
              <w:rPr>
                <w:rFonts w:ascii="Times New Roman" w:hAnsi="Times New Roman"/>
                <w:color w:val="00B0F0"/>
                <w:sz w:val="20"/>
                <w:szCs w:val="20"/>
              </w:rPr>
            </w:pPr>
            <w:r>
              <w:rPr>
                <w:rFonts w:ascii="Times New Roman" w:hAnsi="Times New Roman"/>
                <w:color w:val="000000" w:themeColor="text1"/>
                <w:sz w:val="20"/>
                <w:szCs w:val="20"/>
              </w:rPr>
              <w:t>CG 2019</w:t>
            </w:r>
          </w:p>
        </w:tc>
        <w:tc>
          <w:tcPr>
            <w:tcW w:w="7683" w:type="dxa"/>
            <w:tcBorders>
              <w:top w:val="single" w:sz="4" w:space="0" w:color="auto"/>
              <w:left w:val="single" w:sz="4" w:space="0" w:color="auto"/>
              <w:bottom w:val="single" w:sz="4" w:space="0" w:color="auto"/>
              <w:right w:val="single" w:sz="4" w:space="0" w:color="auto"/>
            </w:tcBorders>
            <w:hideMark/>
          </w:tcPr>
          <w:p w14:paraId="69CB7657" w14:textId="77777777" w:rsidR="00B67E9C" w:rsidRDefault="00B67E9C">
            <w:pPr>
              <w:pStyle w:val="BodyText"/>
              <w:spacing w:before="60" w:after="60"/>
              <w:jc w:val="left"/>
              <w:rPr>
                <w:rFonts w:ascii="Times New Roman" w:hAnsi="Times New Roman"/>
                <w:color w:val="00B0F0"/>
                <w:sz w:val="20"/>
                <w:szCs w:val="20"/>
              </w:rPr>
            </w:pPr>
            <w:r>
              <w:rPr>
                <w:rFonts w:ascii="Times New Roman" w:hAnsi="Times New Roman"/>
                <w:color w:val="000000" w:themeColor="text1"/>
                <w:sz w:val="20"/>
                <w:szCs w:val="20"/>
              </w:rPr>
              <w:t>Coles Group, Annual Report, September 2019.</w:t>
            </w:r>
          </w:p>
        </w:tc>
      </w:tr>
      <w:tr w:rsidR="00B67E9C" w14:paraId="3A00DF11"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04DD376"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CRC 2015</w:t>
            </w:r>
          </w:p>
        </w:tc>
        <w:tc>
          <w:tcPr>
            <w:tcW w:w="7683" w:type="dxa"/>
            <w:tcBorders>
              <w:top w:val="single" w:sz="4" w:space="0" w:color="auto"/>
              <w:left w:val="single" w:sz="4" w:space="0" w:color="auto"/>
              <w:bottom w:val="single" w:sz="4" w:space="0" w:color="auto"/>
              <w:right w:val="single" w:sz="4" w:space="0" w:color="auto"/>
            </w:tcBorders>
            <w:hideMark/>
          </w:tcPr>
          <w:p w14:paraId="64B62045"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Refrigeration from Catch to Market, A study of refrigeration technology options for the Northern Prawn Fishery and the Sydney Fish Markets; and A new refrigeration system reference design and demonstration prototype for fishing vessels by Expert Group for Seafood CRC, Fisheries Research and Development Corporation and the Northern Prawn Fisheries (NPF Industry Ltd).</w:t>
            </w:r>
          </w:p>
        </w:tc>
      </w:tr>
      <w:tr w:rsidR="00B67E9C" w14:paraId="19F5C675"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4E7A6D83"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CVIAA 2019</w:t>
            </w:r>
          </w:p>
        </w:tc>
        <w:tc>
          <w:tcPr>
            <w:tcW w:w="7683" w:type="dxa"/>
            <w:tcBorders>
              <w:top w:val="single" w:sz="4" w:space="0" w:color="auto"/>
              <w:left w:val="single" w:sz="4" w:space="0" w:color="auto"/>
              <w:bottom w:val="single" w:sz="4" w:space="0" w:color="auto"/>
              <w:right w:val="single" w:sz="4" w:space="0" w:color="auto"/>
            </w:tcBorders>
            <w:hideMark/>
          </w:tcPr>
          <w:p w14:paraId="49C8085D"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State of the Industry 2019, Caravan Industry Association of Australia Ltd, Published 2019.</w:t>
            </w:r>
          </w:p>
        </w:tc>
      </w:tr>
      <w:tr w:rsidR="00B67E9C" w14:paraId="467DCC18"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04CB34D9" w14:textId="77777777" w:rsidR="00B67E9C" w:rsidRDefault="00B67E9C">
            <w:pPr>
              <w:pStyle w:val="BodyText"/>
              <w:spacing w:before="60" w:after="60"/>
              <w:ind w:left="1440" w:hanging="1440"/>
              <w:jc w:val="left"/>
              <w:rPr>
                <w:rFonts w:ascii="Times New Roman" w:hAnsi="Times New Roman"/>
                <w:sz w:val="20"/>
                <w:szCs w:val="20"/>
              </w:rPr>
            </w:pPr>
            <w:r>
              <w:rPr>
                <w:rFonts w:ascii="Times New Roman" w:hAnsi="Times New Roman"/>
                <w:sz w:val="20"/>
                <w:szCs w:val="20"/>
              </w:rPr>
              <w:t>DAWE 2020a</w:t>
            </w:r>
          </w:p>
        </w:tc>
        <w:tc>
          <w:tcPr>
            <w:tcW w:w="7683" w:type="dxa"/>
            <w:tcBorders>
              <w:top w:val="single" w:sz="4" w:space="0" w:color="auto"/>
              <w:left w:val="single" w:sz="4" w:space="0" w:color="auto"/>
              <w:bottom w:val="single" w:sz="4" w:space="0" w:color="auto"/>
              <w:right w:val="single" w:sz="4" w:space="0" w:color="auto"/>
            </w:tcBorders>
            <w:hideMark/>
          </w:tcPr>
          <w:p w14:paraId="02B7211B" w14:textId="77777777" w:rsidR="00B67E9C" w:rsidRDefault="00B67E9C">
            <w:pPr>
              <w:pStyle w:val="BodyText"/>
              <w:spacing w:before="60" w:after="60"/>
              <w:jc w:val="left"/>
              <w:rPr>
                <w:rFonts w:ascii="Times New Roman" w:hAnsi="Times New Roman"/>
                <w:sz w:val="20"/>
                <w:szCs w:val="20"/>
              </w:rPr>
            </w:pPr>
            <w:r>
              <w:rPr>
                <w:rFonts w:ascii="Times New Roman" w:hAnsi="Times New Roman"/>
                <w:sz w:val="20"/>
                <w:szCs w:val="20"/>
              </w:rPr>
              <w:t>Data (</w:t>
            </w:r>
            <w:proofErr w:type="gramStart"/>
            <w:r>
              <w:rPr>
                <w:rFonts w:ascii="Times New Roman" w:hAnsi="Times New Roman"/>
                <w:sz w:val="20"/>
                <w:szCs w:val="20"/>
              </w:rPr>
              <w:t>i.e.</w:t>
            </w:r>
            <w:proofErr w:type="gramEnd"/>
            <w:r>
              <w:rPr>
                <w:rFonts w:ascii="Times New Roman" w:hAnsi="Times New Roman"/>
                <w:sz w:val="20"/>
                <w:szCs w:val="20"/>
              </w:rPr>
              <w:t xml:space="preserve"> bulk and pre-charged equipment import statistics by quantity, mass, species, </w:t>
            </w:r>
            <w:proofErr w:type="spellStart"/>
            <w:r>
              <w:rPr>
                <w:rFonts w:ascii="Times New Roman" w:hAnsi="Times New Roman"/>
                <w:sz w:val="20"/>
                <w:szCs w:val="20"/>
              </w:rPr>
              <w:t>licence</w:t>
            </w:r>
            <w:proofErr w:type="spellEnd"/>
            <w:r>
              <w:rPr>
                <w:rFonts w:ascii="Times New Roman" w:hAnsi="Times New Roman"/>
                <w:sz w:val="20"/>
                <w:szCs w:val="20"/>
              </w:rPr>
              <w:t xml:space="preserve"> holder, product category from 2006 to 2019) provided by the Department of Agriculture, Water and the Environment, Ozone and Climate Protection, Ozone and Air Quality Branch, March 2020.</w:t>
            </w:r>
          </w:p>
        </w:tc>
      </w:tr>
      <w:tr w:rsidR="00B67E9C" w14:paraId="493E841B"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30B92E7" w14:textId="77777777" w:rsidR="00B67E9C" w:rsidRDefault="00B67E9C">
            <w:pPr>
              <w:pStyle w:val="BodyText"/>
              <w:spacing w:before="60" w:after="60"/>
              <w:ind w:left="1440" w:hanging="1440"/>
              <w:jc w:val="left"/>
              <w:rPr>
                <w:rFonts w:ascii="Times New Roman" w:hAnsi="Times New Roman"/>
                <w:color w:val="000000" w:themeColor="text1"/>
                <w:sz w:val="20"/>
                <w:szCs w:val="20"/>
              </w:rPr>
            </w:pPr>
            <w:r>
              <w:rPr>
                <w:rFonts w:ascii="Times New Roman" w:hAnsi="Times New Roman"/>
                <w:color w:val="000000" w:themeColor="text1"/>
                <w:sz w:val="20"/>
                <w:szCs w:val="20"/>
              </w:rPr>
              <w:lastRenderedPageBreak/>
              <w:t>DISER 2020</w:t>
            </w:r>
          </w:p>
        </w:tc>
        <w:tc>
          <w:tcPr>
            <w:tcW w:w="7683" w:type="dxa"/>
            <w:tcBorders>
              <w:top w:val="single" w:sz="4" w:space="0" w:color="auto"/>
              <w:left w:val="single" w:sz="4" w:space="0" w:color="auto"/>
              <w:bottom w:val="single" w:sz="4" w:space="0" w:color="auto"/>
              <w:right w:val="single" w:sz="4" w:space="0" w:color="auto"/>
            </w:tcBorders>
            <w:hideMark/>
          </w:tcPr>
          <w:p w14:paraId="4E0FA51F"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Australian Energy Statistics 2019, Electricity generation by fuel type, Department of Industry, Science, Energy and Resources, May 2020.</w:t>
            </w:r>
          </w:p>
        </w:tc>
      </w:tr>
      <w:tr w:rsidR="00B67E9C" w14:paraId="19FF6240"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7E5EE495" w14:textId="77777777" w:rsidR="00B67E9C" w:rsidRDefault="00B67E9C">
            <w:pPr>
              <w:pStyle w:val="BodyText"/>
              <w:spacing w:before="60" w:after="60"/>
              <w:ind w:left="1440" w:hanging="144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2019a</w:t>
            </w:r>
          </w:p>
        </w:tc>
        <w:tc>
          <w:tcPr>
            <w:tcW w:w="7683" w:type="dxa"/>
            <w:tcBorders>
              <w:top w:val="single" w:sz="4" w:space="0" w:color="auto"/>
              <w:left w:val="single" w:sz="4" w:space="0" w:color="auto"/>
              <w:bottom w:val="single" w:sz="4" w:space="0" w:color="auto"/>
              <w:right w:val="single" w:sz="4" w:space="0" w:color="auto"/>
            </w:tcBorders>
            <w:hideMark/>
          </w:tcPr>
          <w:p w14:paraId="19743419"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Cold Hard Facts 2019, Key Developments and Emerging Trends in the Refrigeration and Air Conditioning Industry in Australia, Department of the Environment and Energy, September 2019.</w:t>
            </w:r>
          </w:p>
        </w:tc>
      </w:tr>
      <w:tr w:rsidR="00B67E9C" w14:paraId="62278419"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7568E971" w14:textId="77777777" w:rsidR="00B67E9C" w:rsidRDefault="00B67E9C">
            <w:pPr>
              <w:pStyle w:val="BodyText"/>
              <w:spacing w:before="60" w:after="60"/>
              <w:ind w:left="1440" w:hanging="144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2019b</w:t>
            </w:r>
          </w:p>
        </w:tc>
        <w:tc>
          <w:tcPr>
            <w:tcW w:w="7683" w:type="dxa"/>
            <w:tcBorders>
              <w:top w:val="single" w:sz="4" w:space="0" w:color="auto"/>
              <w:left w:val="single" w:sz="4" w:space="0" w:color="auto"/>
              <w:bottom w:val="single" w:sz="4" w:space="0" w:color="auto"/>
              <w:right w:val="single" w:sz="4" w:space="0" w:color="auto"/>
            </w:tcBorders>
            <w:hideMark/>
          </w:tcPr>
          <w:p w14:paraId="54D09D18"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National Greenhouse Accounts Factors, Factors used are latest estimates, Department of the Environment and Energy, August 2019.</w:t>
            </w:r>
          </w:p>
        </w:tc>
      </w:tr>
      <w:tr w:rsidR="00B67E9C" w14:paraId="1C531483"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1039FE1" w14:textId="77777777" w:rsidR="00B67E9C" w:rsidRDefault="00B67E9C">
            <w:pPr>
              <w:pStyle w:val="BodyText"/>
              <w:spacing w:before="60" w:after="60"/>
              <w:ind w:left="1440" w:hanging="144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2018</w:t>
            </w:r>
          </w:p>
        </w:tc>
        <w:tc>
          <w:tcPr>
            <w:tcW w:w="7683" w:type="dxa"/>
            <w:tcBorders>
              <w:top w:val="single" w:sz="4" w:space="0" w:color="auto"/>
              <w:left w:val="single" w:sz="4" w:space="0" w:color="auto"/>
              <w:bottom w:val="single" w:sz="4" w:space="0" w:color="auto"/>
              <w:right w:val="single" w:sz="4" w:space="0" w:color="auto"/>
            </w:tcBorders>
            <w:hideMark/>
          </w:tcPr>
          <w:p w14:paraId="23194AB0"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Cold Hard Facts 3, Review of the Refrigeration and Air Conditioning Industry in Australia Department of the Environment and Energy, September 2018.</w:t>
            </w:r>
          </w:p>
        </w:tc>
      </w:tr>
      <w:tr w:rsidR="00B67E9C" w14:paraId="4A9ADAD1"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3A469F83" w14:textId="77777777" w:rsidR="00B67E9C" w:rsidRDefault="00B67E9C">
            <w:pPr>
              <w:pStyle w:val="BodyText"/>
              <w:spacing w:before="60" w:after="60"/>
              <w:ind w:left="1440" w:hanging="144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2015a</w:t>
            </w:r>
          </w:p>
        </w:tc>
        <w:tc>
          <w:tcPr>
            <w:tcW w:w="7683" w:type="dxa"/>
            <w:tcBorders>
              <w:top w:val="single" w:sz="4" w:space="0" w:color="auto"/>
              <w:left w:val="single" w:sz="4" w:space="0" w:color="auto"/>
              <w:bottom w:val="single" w:sz="4" w:space="0" w:color="auto"/>
              <w:right w:val="single" w:sz="4" w:space="0" w:color="auto"/>
            </w:tcBorders>
            <w:hideMark/>
          </w:tcPr>
          <w:p w14:paraId="426227BA"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Assessment of environmental impacts from the Ozone Protection and Synthetic Greenhouse Gas Management Act 1989 (the OPSGGM Act) prepared by Expert Group for the Australian Government, Department of Environment and Energy, Ozone and Synthetic Gas Team. Refer Attachment B: Environmental Impact Assessment, April 2015.</w:t>
            </w:r>
          </w:p>
        </w:tc>
      </w:tr>
      <w:tr w:rsidR="00B67E9C" w14:paraId="56089FB2"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31C9725F" w14:textId="77777777" w:rsidR="00B67E9C" w:rsidRDefault="00B67E9C">
            <w:pPr>
              <w:pStyle w:val="BodyText"/>
              <w:spacing w:before="60" w:after="60"/>
              <w:ind w:left="1440" w:hanging="144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2015b</w:t>
            </w:r>
          </w:p>
        </w:tc>
        <w:tc>
          <w:tcPr>
            <w:tcW w:w="7683" w:type="dxa"/>
            <w:tcBorders>
              <w:top w:val="single" w:sz="4" w:space="0" w:color="auto"/>
              <w:left w:val="single" w:sz="4" w:space="0" w:color="auto"/>
              <w:bottom w:val="single" w:sz="4" w:space="0" w:color="auto"/>
              <w:right w:val="single" w:sz="4" w:space="0" w:color="auto"/>
            </w:tcBorders>
            <w:hideMark/>
          </w:tcPr>
          <w:p w14:paraId="18357650"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Environmental Impacts of Refrigerant Gas in End-of-Life Vehicles in Australia, Expert Group for the Australian Government, Department of Environment and Energy, Ozone and Synthetic Gas Team, March 2015.</w:t>
            </w:r>
          </w:p>
        </w:tc>
      </w:tr>
      <w:tr w:rsidR="00B67E9C" w14:paraId="1AB592BB"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3E35831" w14:textId="77777777" w:rsidR="00B67E9C" w:rsidRDefault="00B67E9C">
            <w:pPr>
              <w:pStyle w:val="BodyText"/>
              <w:spacing w:before="60" w:after="6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2014</w:t>
            </w:r>
          </w:p>
        </w:tc>
        <w:tc>
          <w:tcPr>
            <w:tcW w:w="7683" w:type="dxa"/>
            <w:tcBorders>
              <w:top w:val="single" w:sz="4" w:space="0" w:color="auto"/>
              <w:left w:val="single" w:sz="4" w:space="0" w:color="auto"/>
              <w:bottom w:val="single" w:sz="4" w:space="0" w:color="auto"/>
              <w:right w:val="single" w:sz="4" w:space="0" w:color="auto"/>
            </w:tcBorders>
            <w:hideMark/>
          </w:tcPr>
          <w:p w14:paraId="63BB122F"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A study into HFC consumption in Australia in 2013, and an assessment of the capacity of Australian industry to transition in accordance with the North American Amendment proposal, under the Montreal Protocol, by Expert Group for the Australian Government, Department of Environment and Energy, Environmental Standards Branch, March 2015.</w:t>
            </w:r>
          </w:p>
        </w:tc>
      </w:tr>
      <w:tr w:rsidR="00B67E9C" w14:paraId="25BAF718"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42CADADD" w14:textId="77777777" w:rsidR="00B67E9C" w:rsidRDefault="00B67E9C">
            <w:pPr>
              <w:pStyle w:val="BodyText"/>
              <w:spacing w:before="60" w:after="6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2013</w:t>
            </w:r>
          </w:p>
        </w:tc>
        <w:tc>
          <w:tcPr>
            <w:tcW w:w="7683" w:type="dxa"/>
            <w:tcBorders>
              <w:top w:val="single" w:sz="4" w:space="0" w:color="auto"/>
              <w:left w:val="single" w:sz="4" w:space="0" w:color="auto"/>
              <w:bottom w:val="single" w:sz="4" w:space="0" w:color="auto"/>
              <w:right w:val="single" w:sz="4" w:space="0" w:color="auto"/>
            </w:tcBorders>
            <w:hideMark/>
          </w:tcPr>
          <w:p w14:paraId="7B3B1C56"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Cold Hard Facts 2, A study of the refrigeration and air conditioning industry in Australia and associated model, prepared by Expert Group for the Department of the Environment, Ozone and Synthetic Gas Team 2013.</w:t>
            </w:r>
          </w:p>
        </w:tc>
      </w:tr>
      <w:tr w:rsidR="00B67E9C" w14:paraId="76869AB5"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10A62445" w14:textId="77777777" w:rsidR="00B67E9C" w:rsidRDefault="00B67E9C">
            <w:pPr>
              <w:pStyle w:val="BodyText"/>
              <w:spacing w:before="60" w:after="6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xml:space="preserve"> 2008</w:t>
            </w:r>
          </w:p>
        </w:tc>
        <w:tc>
          <w:tcPr>
            <w:tcW w:w="7683" w:type="dxa"/>
            <w:tcBorders>
              <w:top w:val="single" w:sz="4" w:space="0" w:color="auto"/>
              <w:left w:val="single" w:sz="4" w:space="0" w:color="auto"/>
              <w:bottom w:val="single" w:sz="4" w:space="0" w:color="auto"/>
              <w:right w:val="single" w:sz="4" w:space="0" w:color="auto"/>
            </w:tcBorders>
            <w:hideMark/>
          </w:tcPr>
          <w:p w14:paraId="50CA28A8"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ODS and SGGs in Australia: A study of end uses, emissions and opportunities for reclamation, prepared by Peter Brodribb and Michael McCann for Department of the Environment, Water, Heritage and the Arts, Ozone &amp; Synthetic Gas Team, 2008.</w:t>
            </w:r>
          </w:p>
        </w:tc>
      </w:tr>
      <w:tr w:rsidR="00B67E9C" w14:paraId="0552BDFF"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4E9FE41" w14:textId="77777777" w:rsidR="00B67E9C" w:rsidRDefault="00B67E9C">
            <w:pPr>
              <w:pStyle w:val="BodyText"/>
              <w:spacing w:before="60" w:after="60"/>
              <w:jc w:val="left"/>
              <w:rPr>
                <w:rFonts w:ascii="Times New Roman" w:hAnsi="Times New Roman"/>
                <w:color w:val="000000" w:themeColor="text1"/>
                <w:sz w:val="20"/>
                <w:szCs w:val="20"/>
              </w:rPr>
            </w:pPr>
            <w:proofErr w:type="spellStart"/>
            <w:r>
              <w:rPr>
                <w:rFonts w:ascii="Times New Roman" w:hAnsi="Times New Roman"/>
                <w:color w:val="000000" w:themeColor="text1"/>
                <w:sz w:val="20"/>
                <w:szCs w:val="20"/>
              </w:rPr>
              <w:t>DoEE</w:t>
            </w:r>
            <w:proofErr w:type="spellEnd"/>
            <w:r>
              <w:rPr>
                <w:rFonts w:ascii="Times New Roman" w:hAnsi="Times New Roman"/>
                <w:color w:val="000000" w:themeColor="text1"/>
                <w:sz w:val="20"/>
                <w:szCs w:val="20"/>
              </w:rPr>
              <w:t>, 2007</w:t>
            </w:r>
          </w:p>
        </w:tc>
        <w:tc>
          <w:tcPr>
            <w:tcW w:w="7683" w:type="dxa"/>
            <w:tcBorders>
              <w:top w:val="single" w:sz="4" w:space="0" w:color="auto"/>
              <w:left w:val="single" w:sz="4" w:space="0" w:color="auto"/>
              <w:bottom w:val="single" w:sz="4" w:space="0" w:color="auto"/>
              <w:right w:val="single" w:sz="4" w:space="0" w:color="auto"/>
            </w:tcBorders>
            <w:hideMark/>
          </w:tcPr>
          <w:p w14:paraId="3FCBB7B0"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Cold Hard Facts, prepared by Energy Strategies in association with Expert Group for DEWHA and Refrigerants Australia, 2007.</w:t>
            </w:r>
          </w:p>
        </w:tc>
      </w:tr>
      <w:tr w:rsidR="00B67E9C" w14:paraId="77B5C46D"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524F980F"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E3 2017a</w:t>
            </w:r>
          </w:p>
        </w:tc>
        <w:tc>
          <w:tcPr>
            <w:tcW w:w="7683" w:type="dxa"/>
            <w:tcBorders>
              <w:top w:val="single" w:sz="4" w:space="0" w:color="auto"/>
              <w:left w:val="single" w:sz="4" w:space="0" w:color="auto"/>
              <w:bottom w:val="single" w:sz="4" w:space="0" w:color="auto"/>
              <w:right w:val="single" w:sz="4" w:space="0" w:color="auto"/>
            </w:tcBorders>
            <w:hideMark/>
          </w:tcPr>
          <w:p w14:paraId="528948AC"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Decision and Consultation Regulation Impact Statement Air conditioners, Chillers and Close Control Air Conditioner: Energy Modelling &amp; Cost Benefit Analysis prepared by </w:t>
            </w:r>
            <w:proofErr w:type="spellStart"/>
            <w:r>
              <w:rPr>
                <w:rFonts w:ascii="Times New Roman" w:hAnsi="Times New Roman"/>
                <w:color w:val="000000" w:themeColor="text1"/>
                <w:sz w:val="20"/>
                <w:szCs w:val="20"/>
              </w:rPr>
              <w:t>EnergyConsult</w:t>
            </w:r>
            <w:proofErr w:type="spellEnd"/>
            <w:r>
              <w:rPr>
                <w:rFonts w:ascii="Times New Roman" w:hAnsi="Times New Roman"/>
                <w:color w:val="000000" w:themeColor="text1"/>
                <w:sz w:val="20"/>
                <w:szCs w:val="20"/>
              </w:rPr>
              <w:t xml:space="preserve"> on behalf of the trans-Tasman Equipment Energy Efficiency (E3) </w:t>
            </w:r>
            <w:proofErr w:type="spellStart"/>
            <w:r>
              <w:rPr>
                <w:rFonts w:ascii="Times New Roman" w:hAnsi="Times New Roman"/>
                <w:color w:val="000000" w:themeColor="text1"/>
                <w:sz w:val="20"/>
                <w:szCs w:val="20"/>
              </w:rPr>
              <w:t>programme</w:t>
            </w:r>
            <w:proofErr w:type="spellEnd"/>
            <w:r>
              <w:rPr>
                <w:rFonts w:ascii="Times New Roman" w:hAnsi="Times New Roman"/>
                <w:color w:val="000000" w:themeColor="text1"/>
                <w:sz w:val="20"/>
                <w:szCs w:val="20"/>
              </w:rPr>
              <w:t>, 2015 to 2017. </w:t>
            </w:r>
          </w:p>
        </w:tc>
      </w:tr>
      <w:tr w:rsidR="00B67E9C" w14:paraId="0629726C"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133D708D"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E3 2017b</w:t>
            </w:r>
          </w:p>
        </w:tc>
        <w:tc>
          <w:tcPr>
            <w:tcW w:w="7683" w:type="dxa"/>
            <w:tcBorders>
              <w:top w:val="single" w:sz="4" w:space="0" w:color="auto"/>
              <w:left w:val="single" w:sz="4" w:space="0" w:color="auto"/>
              <w:bottom w:val="single" w:sz="4" w:space="0" w:color="auto"/>
              <w:right w:val="single" w:sz="4" w:space="0" w:color="auto"/>
            </w:tcBorders>
            <w:hideMark/>
          </w:tcPr>
          <w:p w14:paraId="37139AE1"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Consultation Regulation Impact Statement - Fans in Australia and New Zealand, prepared by Sustainability Victoria (SV) and Expert Group on behalf of Equipment Energy Efficiency (E3) </w:t>
            </w:r>
            <w:proofErr w:type="spellStart"/>
            <w:r>
              <w:rPr>
                <w:rFonts w:ascii="Times New Roman" w:hAnsi="Times New Roman"/>
                <w:color w:val="000000" w:themeColor="text1"/>
                <w:sz w:val="20"/>
                <w:szCs w:val="20"/>
              </w:rPr>
              <w:t>programme</w:t>
            </w:r>
            <w:proofErr w:type="spellEnd"/>
            <w:r>
              <w:rPr>
                <w:rFonts w:ascii="Times New Roman" w:hAnsi="Times New Roman"/>
                <w:color w:val="000000" w:themeColor="text1"/>
                <w:sz w:val="20"/>
                <w:szCs w:val="20"/>
              </w:rPr>
              <w:t>, April 2017.</w:t>
            </w:r>
          </w:p>
        </w:tc>
      </w:tr>
      <w:tr w:rsidR="00B67E9C" w14:paraId="5380AF0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7F17540D"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E3 2016</w:t>
            </w:r>
          </w:p>
        </w:tc>
        <w:tc>
          <w:tcPr>
            <w:tcW w:w="7683" w:type="dxa"/>
            <w:tcBorders>
              <w:top w:val="single" w:sz="4" w:space="0" w:color="auto"/>
              <w:left w:val="single" w:sz="4" w:space="0" w:color="auto"/>
              <w:bottom w:val="single" w:sz="4" w:space="0" w:color="auto"/>
              <w:right w:val="single" w:sz="4" w:space="0" w:color="auto"/>
            </w:tcBorders>
            <w:hideMark/>
          </w:tcPr>
          <w:p w14:paraId="3D00671E"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Consultation Regulation Impact Statement, Refrigerated Display and Storage Cabinets in Australia and New Zealand, prepared by Expert Group for Energy Efficiency and Conservation Authority (ECCA) on behalf of Equipment Energy Efficiency (E3) </w:t>
            </w:r>
            <w:proofErr w:type="spellStart"/>
            <w:r>
              <w:rPr>
                <w:rFonts w:ascii="Times New Roman" w:hAnsi="Times New Roman"/>
                <w:color w:val="000000" w:themeColor="text1"/>
                <w:sz w:val="20"/>
                <w:szCs w:val="20"/>
              </w:rPr>
              <w:t>programme</w:t>
            </w:r>
            <w:proofErr w:type="spellEnd"/>
            <w:r>
              <w:rPr>
                <w:rFonts w:ascii="Times New Roman" w:hAnsi="Times New Roman"/>
                <w:color w:val="000000" w:themeColor="text1"/>
                <w:sz w:val="20"/>
                <w:szCs w:val="20"/>
              </w:rPr>
              <w:t>, 2016.</w:t>
            </w:r>
          </w:p>
        </w:tc>
      </w:tr>
      <w:tr w:rsidR="00B67E9C" w14:paraId="331D3E54"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0AC89F08"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E3 2015</w:t>
            </w:r>
          </w:p>
        </w:tc>
        <w:tc>
          <w:tcPr>
            <w:tcW w:w="7683" w:type="dxa"/>
            <w:tcBorders>
              <w:top w:val="single" w:sz="4" w:space="0" w:color="auto"/>
              <w:left w:val="single" w:sz="4" w:space="0" w:color="auto"/>
              <w:bottom w:val="single" w:sz="4" w:space="0" w:color="auto"/>
              <w:right w:val="single" w:sz="4" w:space="0" w:color="auto"/>
            </w:tcBorders>
            <w:hideMark/>
          </w:tcPr>
          <w:p w14:paraId="4D899B72"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 xml:space="preserve">Residential Energy Baseline Study: New Zealand, Department of Industry and Science, prepared by </w:t>
            </w:r>
            <w:proofErr w:type="spellStart"/>
            <w:r>
              <w:rPr>
                <w:rFonts w:ascii="Times New Roman" w:hAnsi="Times New Roman"/>
                <w:color w:val="000000" w:themeColor="text1"/>
                <w:sz w:val="20"/>
                <w:szCs w:val="20"/>
              </w:rPr>
              <w:t>EnergyConsult</w:t>
            </w:r>
            <w:proofErr w:type="spellEnd"/>
            <w:r>
              <w:rPr>
                <w:rFonts w:ascii="Times New Roman" w:hAnsi="Times New Roman"/>
                <w:color w:val="000000" w:themeColor="text1"/>
                <w:sz w:val="20"/>
                <w:szCs w:val="20"/>
              </w:rPr>
              <w:t xml:space="preserve"> on behalf of the trans-Tasman Equipment Energy Efficiency (E3) </w:t>
            </w:r>
            <w:proofErr w:type="spellStart"/>
            <w:r>
              <w:rPr>
                <w:rFonts w:ascii="Times New Roman" w:hAnsi="Times New Roman"/>
                <w:color w:val="000000" w:themeColor="text1"/>
                <w:sz w:val="20"/>
                <w:szCs w:val="20"/>
              </w:rPr>
              <w:t>programme</w:t>
            </w:r>
            <w:proofErr w:type="spellEnd"/>
            <w:r>
              <w:rPr>
                <w:rFonts w:ascii="Times New Roman" w:hAnsi="Times New Roman"/>
                <w:color w:val="000000" w:themeColor="text1"/>
                <w:sz w:val="20"/>
                <w:szCs w:val="20"/>
              </w:rPr>
              <w:t>, August 2015. </w:t>
            </w:r>
          </w:p>
        </w:tc>
      </w:tr>
      <w:tr w:rsidR="00B67E9C" w14:paraId="0D418B13"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03ECF529"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FCAI 2020</w:t>
            </w:r>
          </w:p>
        </w:tc>
        <w:tc>
          <w:tcPr>
            <w:tcW w:w="7683" w:type="dxa"/>
            <w:tcBorders>
              <w:top w:val="single" w:sz="4" w:space="0" w:color="auto"/>
              <w:left w:val="single" w:sz="4" w:space="0" w:color="auto"/>
              <w:bottom w:val="single" w:sz="4" w:space="0" w:color="auto"/>
              <w:right w:val="single" w:sz="4" w:space="0" w:color="auto"/>
            </w:tcBorders>
            <w:hideMark/>
          </w:tcPr>
          <w:p w14:paraId="3485D4CD"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VFACTS Extracts from National Reports and Media Releases, Federal Chamber of Automotive Industries, 2020.</w:t>
            </w:r>
          </w:p>
        </w:tc>
      </w:tr>
      <w:tr w:rsidR="00B67E9C" w14:paraId="0B1CACC0"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6812023"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IPCC 2007</w:t>
            </w:r>
          </w:p>
        </w:tc>
        <w:tc>
          <w:tcPr>
            <w:tcW w:w="7683" w:type="dxa"/>
            <w:tcBorders>
              <w:top w:val="single" w:sz="4" w:space="0" w:color="auto"/>
              <w:left w:val="single" w:sz="4" w:space="0" w:color="auto"/>
              <w:bottom w:val="single" w:sz="4" w:space="0" w:color="auto"/>
              <w:right w:val="single" w:sz="4" w:space="0" w:color="auto"/>
            </w:tcBorders>
            <w:hideMark/>
          </w:tcPr>
          <w:p w14:paraId="42BA9616"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IPCC Fourth Assessment Report: Climate Change 2007 (AR4), Physical Science Basis, Chapter2, prepared by the Intergovernmental Panel on Climate Change, 2007.</w:t>
            </w:r>
          </w:p>
        </w:tc>
      </w:tr>
      <w:tr w:rsidR="00B67E9C" w14:paraId="7AC31EE3"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61C04A9"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lastRenderedPageBreak/>
              <w:t>MC 2019</w:t>
            </w:r>
          </w:p>
        </w:tc>
        <w:tc>
          <w:tcPr>
            <w:tcW w:w="7683" w:type="dxa"/>
            <w:tcBorders>
              <w:top w:val="single" w:sz="4" w:space="0" w:color="auto"/>
              <w:left w:val="single" w:sz="4" w:space="0" w:color="auto"/>
              <w:bottom w:val="single" w:sz="4" w:space="0" w:color="auto"/>
              <w:right w:val="single" w:sz="4" w:space="0" w:color="auto"/>
            </w:tcBorders>
            <w:hideMark/>
          </w:tcPr>
          <w:p w14:paraId="5BEBA91A"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Metcash Ltd, Annual Report, June 2019.</w:t>
            </w:r>
          </w:p>
        </w:tc>
      </w:tr>
      <w:tr w:rsidR="00B67E9C" w14:paraId="17102A2C"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2A84DF81"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OPSGGM Act</w:t>
            </w:r>
          </w:p>
        </w:tc>
        <w:tc>
          <w:tcPr>
            <w:tcW w:w="7683" w:type="dxa"/>
            <w:tcBorders>
              <w:top w:val="single" w:sz="4" w:space="0" w:color="auto"/>
              <w:left w:val="single" w:sz="4" w:space="0" w:color="auto"/>
              <w:bottom w:val="single" w:sz="4" w:space="0" w:color="auto"/>
              <w:right w:val="single" w:sz="4" w:space="0" w:color="auto"/>
            </w:tcBorders>
            <w:hideMark/>
          </w:tcPr>
          <w:p w14:paraId="467F2736"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Ozone Protection and Synthetic Greenhouse Gas Management Act 1989.</w:t>
            </w:r>
          </w:p>
        </w:tc>
      </w:tr>
      <w:tr w:rsidR="00B67E9C" w14:paraId="2BB586FE"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22E8E82"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QGDME 2020</w:t>
            </w:r>
          </w:p>
        </w:tc>
        <w:tc>
          <w:tcPr>
            <w:tcW w:w="7683" w:type="dxa"/>
            <w:tcBorders>
              <w:top w:val="single" w:sz="4" w:space="0" w:color="auto"/>
              <w:left w:val="single" w:sz="4" w:space="0" w:color="auto"/>
              <w:bottom w:val="single" w:sz="4" w:space="0" w:color="auto"/>
              <w:right w:val="single" w:sz="4" w:space="0" w:color="auto"/>
            </w:tcBorders>
            <w:hideMark/>
          </w:tcPr>
          <w:p w14:paraId="2F1DF7BB"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Hydrocarbon Appliance Register, Queensland Government, Department of Mines and Energy, 2020.</w:t>
            </w:r>
          </w:p>
        </w:tc>
      </w:tr>
      <w:tr w:rsidR="00B67E9C" w14:paraId="04233C04"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6E0891BE"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WOW 2019a</w:t>
            </w:r>
          </w:p>
        </w:tc>
        <w:tc>
          <w:tcPr>
            <w:tcW w:w="7683" w:type="dxa"/>
            <w:tcBorders>
              <w:top w:val="single" w:sz="4" w:space="0" w:color="auto"/>
              <w:left w:val="single" w:sz="4" w:space="0" w:color="auto"/>
              <w:bottom w:val="single" w:sz="4" w:space="0" w:color="auto"/>
              <w:right w:val="single" w:sz="4" w:space="0" w:color="auto"/>
            </w:tcBorders>
            <w:hideMark/>
          </w:tcPr>
          <w:p w14:paraId="59CC0D33" w14:textId="77777777" w:rsidR="00B67E9C" w:rsidRDefault="00B67E9C">
            <w:pPr>
              <w:spacing w:before="60" w:after="60"/>
              <w:jc w:val="left"/>
              <w:rPr>
                <w:rFonts w:eastAsia="Times New Roman" w:cs="Times New Roman"/>
                <w:color w:val="000000" w:themeColor="text1"/>
                <w:sz w:val="20"/>
                <w:szCs w:val="20"/>
              </w:rPr>
            </w:pPr>
            <w:r>
              <w:rPr>
                <w:rFonts w:eastAsia="Times New Roman" w:cs="Times New Roman"/>
                <w:color w:val="000000" w:themeColor="text1"/>
                <w:sz w:val="20"/>
                <w:szCs w:val="20"/>
              </w:rPr>
              <w:t>Woolworths Limited, Annual Report August 2019.</w:t>
            </w:r>
          </w:p>
        </w:tc>
      </w:tr>
      <w:tr w:rsidR="00B67E9C" w14:paraId="45142D02" w14:textId="77777777" w:rsidTr="00B67E9C">
        <w:trPr>
          <w:trHeight w:val="342"/>
        </w:trPr>
        <w:tc>
          <w:tcPr>
            <w:tcW w:w="1956" w:type="dxa"/>
            <w:tcBorders>
              <w:top w:val="single" w:sz="4" w:space="0" w:color="auto"/>
              <w:left w:val="single" w:sz="4" w:space="0" w:color="auto"/>
              <w:bottom w:val="single" w:sz="4" w:space="0" w:color="auto"/>
              <w:right w:val="single" w:sz="4" w:space="0" w:color="auto"/>
            </w:tcBorders>
            <w:hideMark/>
          </w:tcPr>
          <w:p w14:paraId="56C21ACD" w14:textId="77777777" w:rsidR="00B67E9C" w:rsidRDefault="00B67E9C">
            <w:pPr>
              <w:pStyle w:val="BodyText"/>
              <w:spacing w:before="60" w:after="60"/>
              <w:jc w:val="left"/>
              <w:rPr>
                <w:rFonts w:ascii="Times New Roman" w:hAnsi="Times New Roman"/>
                <w:color w:val="000000" w:themeColor="text1"/>
                <w:sz w:val="20"/>
                <w:szCs w:val="20"/>
              </w:rPr>
            </w:pPr>
            <w:r>
              <w:rPr>
                <w:rFonts w:ascii="Times New Roman" w:hAnsi="Times New Roman"/>
                <w:color w:val="000000" w:themeColor="text1"/>
                <w:sz w:val="20"/>
                <w:szCs w:val="20"/>
              </w:rPr>
              <w:t>WOW 2017b</w:t>
            </w:r>
          </w:p>
        </w:tc>
        <w:tc>
          <w:tcPr>
            <w:tcW w:w="7683" w:type="dxa"/>
            <w:tcBorders>
              <w:top w:val="single" w:sz="4" w:space="0" w:color="auto"/>
              <w:left w:val="single" w:sz="4" w:space="0" w:color="auto"/>
              <w:bottom w:val="single" w:sz="4" w:space="0" w:color="auto"/>
              <w:right w:val="single" w:sz="4" w:space="0" w:color="auto"/>
            </w:tcBorders>
            <w:hideMark/>
          </w:tcPr>
          <w:p w14:paraId="6F8B10E6" w14:textId="77777777" w:rsidR="00B67E9C" w:rsidRDefault="00B67E9C">
            <w:pPr>
              <w:spacing w:before="60" w:after="60"/>
              <w:jc w:val="left"/>
              <w:rPr>
                <w:rFonts w:eastAsia="Times New Roman" w:cs="Times New Roman"/>
                <w:color w:val="000000" w:themeColor="text1"/>
                <w:sz w:val="20"/>
                <w:szCs w:val="20"/>
              </w:rPr>
            </w:pPr>
            <w:r>
              <w:rPr>
                <w:rFonts w:eastAsia="Times New Roman" w:cs="Times New Roman"/>
                <w:color w:val="000000" w:themeColor="text1"/>
                <w:sz w:val="20"/>
                <w:szCs w:val="20"/>
              </w:rPr>
              <w:t>Woolworths Limited, Woolworths Group Corporate Responsibility Strategy 2020.</w:t>
            </w:r>
          </w:p>
        </w:tc>
      </w:tr>
    </w:tbl>
    <w:p w14:paraId="320F7D78" w14:textId="77777777" w:rsidR="00B67E9C" w:rsidRDefault="00B67E9C" w:rsidP="00B67E9C"/>
    <w:p w14:paraId="174D32F9" w14:textId="77777777" w:rsidR="00B67E9C" w:rsidRDefault="00B67E9C" w:rsidP="00B67E9C"/>
    <w:p w14:paraId="3B997835" w14:textId="77777777" w:rsidR="00D45918" w:rsidRPr="00CB068F" w:rsidRDefault="00D45918" w:rsidP="00CB068F"/>
    <w:sectPr w:rsidR="00D45918" w:rsidRPr="00CB068F" w:rsidSect="00474B83">
      <w:headerReference w:type="even" r:id="rId20"/>
      <w:headerReference w:type="default" r:id="rId21"/>
      <w:footerReference w:type="default" r:id="rId22"/>
      <w:headerReference w:type="first" r:id="rId23"/>
      <w:pgSz w:w="11900" w:h="16840"/>
      <w:pgMar w:top="511" w:right="1127" w:bottom="1440" w:left="127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CE6" w14:textId="77777777" w:rsidR="00FD4C8B" w:rsidRDefault="00FD4C8B" w:rsidP="003937A5">
      <w:pPr>
        <w:spacing w:before="0"/>
      </w:pPr>
      <w:r>
        <w:separator/>
      </w:r>
    </w:p>
  </w:endnote>
  <w:endnote w:type="continuationSeparator" w:id="0">
    <w:p w14:paraId="683183B7" w14:textId="77777777" w:rsidR="00FD4C8B" w:rsidRDefault="00FD4C8B" w:rsidP="003937A5">
      <w:pPr>
        <w:spacing w:before="0"/>
      </w:pPr>
      <w:r>
        <w:continuationSeparator/>
      </w:r>
    </w:p>
  </w:endnote>
  <w:endnote w:type="continuationNotice" w:id="1">
    <w:p w14:paraId="0F280845" w14:textId="77777777" w:rsidR="00FD4C8B" w:rsidRDefault="00FD4C8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81" w:type="pct"/>
      <w:tblInd w:w="-1303" w:type="dxa"/>
      <w:tblLayout w:type="fixed"/>
      <w:tblCellMar>
        <w:left w:w="115" w:type="dxa"/>
        <w:right w:w="115" w:type="dxa"/>
      </w:tblCellMar>
      <w:tblLook w:val="04A0" w:firstRow="1" w:lastRow="0" w:firstColumn="1" w:lastColumn="0" w:noHBand="0" w:noVBand="1"/>
    </w:tblPr>
    <w:tblGrid>
      <w:gridCol w:w="136"/>
      <w:gridCol w:w="5132"/>
      <w:gridCol w:w="140"/>
      <w:gridCol w:w="1721"/>
      <w:gridCol w:w="213"/>
      <w:gridCol w:w="838"/>
      <w:gridCol w:w="138"/>
      <w:gridCol w:w="1801"/>
      <w:gridCol w:w="971"/>
    </w:tblGrid>
    <w:tr w:rsidR="00473BAD" w:rsidRPr="00EB45B6" w14:paraId="79570386" w14:textId="77777777" w:rsidTr="00473BAD">
      <w:trPr>
        <w:gridBefore w:val="1"/>
        <w:gridAfter w:val="1"/>
        <w:wBefore w:w="61" w:type="pct"/>
        <w:wAfter w:w="438" w:type="pct"/>
      </w:trPr>
      <w:tc>
        <w:tcPr>
          <w:tcW w:w="2314" w:type="pct"/>
          <w:shd w:val="clear" w:color="auto" w:fill="auto"/>
        </w:tcPr>
        <w:p w14:paraId="485E5240" w14:textId="77777777" w:rsidR="00473BAD" w:rsidRPr="00EB45B6" w:rsidRDefault="00473BAD" w:rsidP="00473BAD">
          <w:pPr>
            <w:pStyle w:val="Footer"/>
            <w:ind w:right="-145"/>
          </w:pPr>
        </w:p>
      </w:tc>
      <w:tc>
        <w:tcPr>
          <w:tcW w:w="839" w:type="pct"/>
          <w:gridSpan w:val="2"/>
          <w:shd w:val="clear" w:color="auto" w:fill="auto"/>
        </w:tcPr>
        <w:p w14:paraId="65863265" w14:textId="77777777" w:rsidR="00473BAD" w:rsidRPr="00EB45B6" w:rsidRDefault="00473BAD" w:rsidP="00473BAD">
          <w:pPr>
            <w:pStyle w:val="Footer"/>
            <w:ind w:right="-145"/>
            <w:rPr>
              <w:rFonts w:asciiTheme="majorHAnsi" w:hAnsiTheme="majorHAnsi"/>
              <w:sz w:val="22"/>
              <w:szCs w:val="22"/>
            </w:rPr>
          </w:pPr>
          <w:r w:rsidRPr="00EB45B6">
            <w:rPr>
              <w:rFonts w:asciiTheme="majorHAnsi" w:hAnsiTheme="majorHAnsi"/>
              <w:sz w:val="22"/>
              <w:szCs w:val="22"/>
            </w:rPr>
            <w:t>Phone</w:t>
          </w:r>
        </w:p>
      </w:tc>
      <w:tc>
        <w:tcPr>
          <w:tcW w:w="474" w:type="pct"/>
          <w:gridSpan w:val="2"/>
          <w:shd w:val="clear" w:color="auto" w:fill="auto"/>
        </w:tcPr>
        <w:p w14:paraId="68484207" w14:textId="77777777" w:rsidR="00473BAD" w:rsidRPr="00EB45B6" w:rsidRDefault="00473BAD" w:rsidP="00473BAD">
          <w:pPr>
            <w:pStyle w:val="Footer"/>
            <w:ind w:right="-145"/>
            <w:rPr>
              <w:rFonts w:asciiTheme="majorHAnsi" w:hAnsiTheme="majorHAnsi"/>
              <w:sz w:val="22"/>
              <w:szCs w:val="22"/>
            </w:rPr>
          </w:pPr>
        </w:p>
      </w:tc>
      <w:tc>
        <w:tcPr>
          <w:tcW w:w="874" w:type="pct"/>
          <w:gridSpan w:val="2"/>
          <w:shd w:val="clear" w:color="auto" w:fill="auto"/>
        </w:tcPr>
        <w:p w14:paraId="3719F19E" w14:textId="77777777" w:rsidR="00473BAD" w:rsidRPr="00EB45B6" w:rsidRDefault="00473BAD" w:rsidP="00473BAD">
          <w:pPr>
            <w:pStyle w:val="Footer"/>
            <w:ind w:right="-145"/>
            <w:rPr>
              <w:rFonts w:asciiTheme="majorHAnsi" w:hAnsiTheme="majorHAnsi"/>
              <w:sz w:val="22"/>
              <w:szCs w:val="22"/>
            </w:rPr>
          </w:pPr>
          <w:r w:rsidRPr="00EB45B6">
            <w:rPr>
              <w:rFonts w:asciiTheme="majorHAnsi" w:hAnsiTheme="majorHAnsi"/>
              <w:sz w:val="22"/>
              <w:szCs w:val="22"/>
            </w:rPr>
            <w:t>Web</w:t>
          </w:r>
        </w:p>
      </w:tc>
    </w:tr>
    <w:tr w:rsidR="00473BAD" w:rsidRPr="00847A44" w14:paraId="5684858B" w14:textId="77777777" w:rsidTr="00473BAD">
      <w:tc>
        <w:tcPr>
          <w:tcW w:w="2438" w:type="pct"/>
          <w:gridSpan w:val="3"/>
          <w:shd w:val="clear" w:color="auto" w:fill="2397B0"/>
        </w:tcPr>
        <w:p w14:paraId="1A2F36AD" w14:textId="77777777" w:rsidR="00473BAD" w:rsidRPr="00847A44" w:rsidRDefault="00473BAD" w:rsidP="00473BAD">
          <w:pPr>
            <w:pStyle w:val="Footer"/>
            <w:tabs>
              <w:tab w:val="clear" w:pos="4320"/>
              <w:tab w:val="clear" w:pos="8640"/>
              <w:tab w:val="center" w:pos="4705"/>
              <w:tab w:val="right" w:pos="8533"/>
            </w:tabs>
            <w:spacing w:before="120" w:after="120"/>
            <w:ind w:left="-115" w:right="-113"/>
            <w:rPr>
              <w:color w:val="FFFFFF" w:themeColor="background1"/>
              <w:sz w:val="20"/>
              <w:szCs w:val="20"/>
            </w:rPr>
          </w:pPr>
        </w:p>
      </w:tc>
      <w:tc>
        <w:tcPr>
          <w:tcW w:w="872" w:type="pct"/>
          <w:gridSpan w:val="2"/>
          <w:shd w:val="clear" w:color="auto" w:fill="2397B0"/>
        </w:tcPr>
        <w:p w14:paraId="20513C3A" w14:textId="77777777" w:rsidR="00473BAD" w:rsidRPr="00847A44" w:rsidRDefault="00473BAD" w:rsidP="00473BAD">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+61 3 9592 9111</w:t>
          </w:r>
        </w:p>
      </w:tc>
      <w:tc>
        <w:tcPr>
          <w:tcW w:w="440" w:type="pct"/>
          <w:gridSpan w:val="2"/>
          <w:shd w:val="clear" w:color="auto" w:fill="2397B0"/>
        </w:tcPr>
        <w:p w14:paraId="67804B71" w14:textId="77777777" w:rsidR="00473BAD" w:rsidRPr="00847A44" w:rsidRDefault="00473BAD" w:rsidP="00473BAD">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50" w:type="pct"/>
          <w:gridSpan w:val="2"/>
          <w:shd w:val="clear" w:color="auto" w:fill="2397B0"/>
        </w:tcPr>
        <w:p w14:paraId="3FDB2E1B" w14:textId="77777777" w:rsidR="00473BAD" w:rsidRPr="00847A44" w:rsidRDefault="00473BAD" w:rsidP="00473BAD">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14:paraId="79B18BFC" w14:textId="77777777" w:rsidR="00473BAD" w:rsidRDefault="00473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DC50" w14:textId="77777777" w:rsidR="00473BAD" w:rsidRDefault="00473BAD" w:rsidP="008352D3">
    <w:pPr>
      <w:pStyle w:val="Footer"/>
      <w:jc w:val="right"/>
      <w:rPr>
        <w:rFonts w:ascii="Verdana" w:hAnsi="Verdana"/>
        <w:sz w:val="16"/>
        <w:szCs w:val="16"/>
      </w:rPr>
    </w:pPr>
  </w:p>
  <w:p w14:paraId="601DB9AF" w14:textId="77777777" w:rsidR="00473BAD" w:rsidRDefault="00473BAD" w:rsidP="008352D3">
    <w:pPr>
      <w:pStyle w:val="Footer"/>
      <w:jc w:val="right"/>
      <w:rPr>
        <w:rFonts w:ascii="Verdana" w:hAnsi="Verdana"/>
        <w:sz w:val="16"/>
        <w:szCs w:val="16"/>
      </w:rPr>
    </w:pPr>
  </w:p>
  <w:p w14:paraId="6F69597F" w14:textId="1D576B7B" w:rsidR="00473BAD" w:rsidRPr="001B0746" w:rsidRDefault="00473BAD"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Pr>
        <w:rStyle w:val="PageNumber"/>
        <w:rFonts w:ascii="Verdana" w:hAnsi="Verdana"/>
        <w:noProof/>
        <w:sz w:val="16"/>
        <w:szCs w:val="16"/>
      </w:rPr>
      <w:t>2</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Pr>
        <w:rStyle w:val="PageNumber"/>
        <w:rFonts w:ascii="Verdana" w:hAnsi="Verdana"/>
        <w:noProof/>
        <w:sz w:val="16"/>
        <w:szCs w:val="16"/>
      </w:rPr>
      <w:t>16</w:t>
    </w:r>
    <w:r w:rsidRPr="001B0746">
      <w:rPr>
        <w:rStyle w:val="PageNumber"/>
        <w:rFonts w:ascii="Verdana" w:hAnsi="Verdana"/>
        <w:sz w:val="16"/>
        <w:szCs w:val="16"/>
      </w:rPr>
      <w:fldChar w:fldCharType="end"/>
    </w:r>
  </w:p>
  <w:p w14:paraId="379B3EB2" w14:textId="77777777" w:rsidR="00473BAD" w:rsidRPr="001B0746" w:rsidRDefault="00473BAD" w:rsidP="008352D3">
    <w:pPr>
      <w:pStyle w:val="Footer"/>
      <w:ind w:right="360"/>
      <w:jc w:val="right"/>
      <w:rPr>
        <w:rFonts w:ascii="Verdana" w:hAnsi="Verdana"/>
        <w:sz w:val="16"/>
        <w:szCs w:val="16"/>
      </w:rPr>
    </w:pPr>
  </w:p>
  <w:p w14:paraId="59C0F952" w14:textId="77777777" w:rsidR="00473BAD" w:rsidRDefault="00473BAD"/>
  <w:p w14:paraId="05761123" w14:textId="77777777" w:rsidR="00473BAD" w:rsidRDefault="00473B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891CD" w14:textId="77777777" w:rsidR="00FD4C8B" w:rsidRDefault="00FD4C8B" w:rsidP="003937A5">
      <w:pPr>
        <w:spacing w:before="0"/>
      </w:pPr>
      <w:r>
        <w:separator/>
      </w:r>
    </w:p>
  </w:footnote>
  <w:footnote w:type="continuationSeparator" w:id="0">
    <w:p w14:paraId="591FA755" w14:textId="77777777" w:rsidR="00FD4C8B" w:rsidRDefault="00FD4C8B" w:rsidP="003937A5">
      <w:pPr>
        <w:spacing w:before="0"/>
      </w:pPr>
      <w:r>
        <w:continuationSeparator/>
      </w:r>
    </w:p>
  </w:footnote>
  <w:footnote w:type="continuationNotice" w:id="1">
    <w:p w14:paraId="3075862C" w14:textId="77777777" w:rsidR="00FD4C8B" w:rsidRDefault="00FD4C8B">
      <w:pPr>
        <w:spacing w:before="0"/>
      </w:pPr>
    </w:p>
  </w:footnote>
  <w:footnote w:id="2">
    <w:p w14:paraId="07A92DC9" w14:textId="77777777" w:rsidR="00473BAD" w:rsidRDefault="00473BAD" w:rsidP="00B67E9C">
      <w:pPr>
        <w:pStyle w:val="FootnoteText"/>
        <w:rPr>
          <w:szCs w:val="18"/>
        </w:rPr>
      </w:pPr>
      <w:r>
        <w:rPr>
          <w:rStyle w:val="FootnoteReference"/>
          <w:sz w:val="20"/>
          <w:szCs w:val="20"/>
        </w:rPr>
        <w:footnoteRef/>
      </w:r>
      <w:r>
        <w:rPr>
          <w:sz w:val="20"/>
          <w:szCs w:val="20"/>
        </w:rPr>
        <w:t xml:space="preserve"> </w:t>
      </w:r>
      <w:r>
        <w:rPr>
          <w:szCs w:val="18"/>
        </w:rPr>
        <w:t>Not all refrigerants are defined as controlled substances under the Ozone Protection and Synthetic Greenhouse Gas Management Act. All of the major classes of HCFCs and HFCs must be reported.</w:t>
      </w:r>
    </w:p>
  </w:footnote>
  <w:footnote w:id="3">
    <w:p w14:paraId="004E3BC2" w14:textId="77777777" w:rsidR="00473BAD" w:rsidRDefault="00473BAD" w:rsidP="00B67E9C">
      <w:pPr>
        <w:pStyle w:val="FootnoteText"/>
        <w:rPr>
          <w:lang w:val="en-US"/>
        </w:rPr>
      </w:pPr>
      <w:r>
        <w:rPr>
          <w:rStyle w:val="FootnoteReference"/>
        </w:rPr>
        <w:footnoteRef/>
      </w:r>
      <w:r>
        <w:t xml:space="preserve"> </w:t>
      </w:r>
      <w:r>
        <w:rPr>
          <w:lang w:val="en-US"/>
        </w:rPr>
        <w:t>The EOL factor is used to calculate the residual EOL charge at end-of-life. The end-of-life factors are generally consistent with others cited internationally (e.g. ICF 2010) and in good practice guides by the IPCC.</w:t>
      </w:r>
    </w:p>
  </w:footnote>
  <w:footnote w:id="4">
    <w:p w14:paraId="54573CBE" w14:textId="77777777" w:rsidR="00473BAD" w:rsidRDefault="00473BAD" w:rsidP="00B67E9C">
      <w:pPr>
        <w:pStyle w:val="FootnoteText"/>
        <w:rPr>
          <w:lang w:val="en-US"/>
        </w:rPr>
      </w:pPr>
      <w:r>
        <w:rPr>
          <w:rStyle w:val="FootnoteReference"/>
        </w:rPr>
        <w:footnoteRef/>
      </w:r>
      <w:r>
        <w:t xml:space="preserve"> The calculated EOL charge in each segment has a maximum technical recovery factor that is uniformly set at 90%, except for air conditioning chillers, supermarket systems and commercial refrigeration with remote condensing units where the technical recovery rates are set to 95%.</w:t>
      </w:r>
    </w:p>
  </w:footnote>
  <w:footnote w:id="5">
    <w:p w14:paraId="31C238DD" w14:textId="77777777" w:rsidR="00473BAD" w:rsidRDefault="00473BAD" w:rsidP="00B67E9C">
      <w:pPr>
        <w:pStyle w:val="FootnoteText"/>
        <w:rPr>
          <w:lang w:val="en-AU"/>
        </w:rPr>
      </w:pPr>
      <w:r>
        <w:rPr>
          <w:rStyle w:val="FootnoteReference"/>
        </w:rPr>
        <w:footnoteRef/>
      </w:r>
      <w:r>
        <w:t>http://www.cleanenergyregulator.gov.au/RET/Forms-and-resources/Postcode-data-for-small-scale-installations#Solar-water-heater-SWH-installations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C7DD" w14:textId="77777777" w:rsidR="00473BAD" w:rsidRDefault="00473BAD">
    <w:pPr>
      <w:pStyle w:val="Header"/>
    </w:pPr>
  </w:p>
  <w:p w14:paraId="5E34DDF7" w14:textId="77777777" w:rsidR="00473BAD" w:rsidRDefault="00473B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633A" w14:textId="77777777" w:rsidR="00473BAD" w:rsidRDefault="00473BAD" w:rsidP="00B61B6F">
    <w:pPr>
      <w:pStyle w:val="Header"/>
      <w:shd w:val="clear" w:color="auto" w:fill="D9D9D9"/>
    </w:pPr>
  </w:p>
  <w:p w14:paraId="48677AB7" w14:textId="77777777" w:rsidR="00473BAD" w:rsidRDefault="00473BAD"/>
  <w:p w14:paraId="53528DC9" w14:textId="77777777" w:rsidR="00473BAD" w:rsidRDefault="00473B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B726" w14:textId="77777777" w:rsidR="00473BAD" w:rsidRDefault="00473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EF1F67"/>
    <w:multiLevelType w:val="multilevel"/>
    <w:tmpl w:val="F59854E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0A11B91"/>
    <w:multiLevelType w:val="multilevel"/>
    <w:tmpl w:val="CAA833B8"/>
    <w:numStyleLink w:val="111111"/>
  </w:abstractNum>
  <w:abstractNum w:abstractNumId="3" w15:restartNumberingAfterBreak="0">
    <w:nsid w:val="1A444E92"/>
    <w:multiLevelType w:val="hybridMultilevel"/>
    <w:tmpl w:val="FF7CC6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A35143"/>
    <w:multiLevelType w:val="hybridMultilevel"/>
    <w:tmpl w:val="C6BEE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716D52"/>
    <w:multiLevelType w:val="hybridMultilevel"/>
    <w:tmpl w:val="78FCF34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2BF579F"/>
    <w:multiLevelType w:val="hybridMultilevel"/>
    <w:tmpl w:val="6ABC39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D7E22F1"/>
    <w:multiLevelType w:val="hybridMultilevel"/>
    <w:tmpl w:val="50F64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F69082D"/>
    <w:multiLevelType w:val="hybridMultilevel"/>
    <w:tmpl w:val="CD9C95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8CE75DF"/>
    <w:multiLevelType w:val="hybridMultilevel"/>
    <w:tmpl w:val="5B320CC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DC26A5F"/>
    <w:multiLevelType w:val="hybridMultilevel"/>
    <w:tmpl w:val="C6BEE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F031955"/>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6BC6453"/>
    <w:multiLevelType w:val="hybridMultilevel"/>
    <w:tmpl w:val="04A68D34"/>
    <w:lvl w:ilvl="0" w:tplc="08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B786B53"/>
    <w:multiLevelType w:val="hybridMultilevel"/>
    <w:tmpl w:val="3FF066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8"/>
  </w:num>
  <w:num w:numId="4">
    <w:abstractNumId w:val="2"/>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5"/>
  </w:num>
  <w:num w:numId="10">
    <w:abstractNumId w:val="6"/>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99"/>
    <w:rsid w:val="00000874"/>
    <w:rsid w:val="000009C1"/>
    <w:rsid w:val="00001AAC"/>
    <w:rsid w:val="00001FEC"/>
    <w:rsid w:val="00003600"/>
    <w:rsid w:val="00003790"/>
    <w:rsid w:val="000045FC"/>
    <w:rsid w:val="000047CA"/>
    <w:rsid w:val="0000485D"/>
    <w:rsid w:val="00004D81"/>
    <w:rsid w:val="000052E6"/>
    <w:rsid w:val="00005740"/>
    <w:rsid w:val="00005756"/>
    <w:rsid w:val="000057CF"/>
    <w:rsid w:val="0000582A"/>
    <w:rsid w:val="00005F1B"/>
    <w:rsid w:val="00006891"/>
    <w:rsid w:val="00006C5D"/>
    <w:rsid w:val="0000702D"/>
    <w:rsid w:val="000073EB"/>
    <w:rsid w:val="00007B55"/>
    <w:rsid w:val="00010031"/>
    <w:rsid w:val="000103BC"/>
    <w:rsid w:val="00010F6D"/>
    <w:rsid w:val="0001184F"/>
    <w:rsid w:val="00011BE5"/>
    <w:rsid w:val="00012BE6"/>
    <w:rsid w:val="00012C3F"/>
    <w:rsid w:val="00012CDA"/>
    <w:rsid w:val="00012EB2"/>
    <w:rsid w:val="00013C38"/>
    <w:rsid w:val="00013DF4"/>
    <w:rsid w:val="00013FF3"/>
    <w:rsid w:val="00014231"/>
    <w:rsid w:val="00014C14"/>
    <w:rsid w:val="00014D67"/>
    <w:rsid w:val="00014D84"/>
    <w:rsid w:val="00014DE0"/>
    <w:rsid w:val="00015C04"/>
    <w:rsid w:val="00015E06"/>
    <w:rsid w:val="00016F48"/>
    <w:rsid w:val="000171ED"/>
    <w:rsid w:val="00017310"/>
    <w:rsid w:val="00017396"/>
    <w:rsid w:val="000177C7"/>
    <w:rsid w:val="00017BD7"/>
    <w:rsid w:val="00020DC3"/>
    <w:rsid w:val="0002173B"/>
    <w:rsid w:val="000224DB"/>
    <w:rsid w:val="0002259F"/>
    <w:rsid w:val="0002268F"/>
    <w:rsid w:val="000226CB"/>
    <w:rsid w:val="00022721"/>
    <w:rsid w:val="000228ED"/>
    <w:rsid w:val="0002490E"/>
    <w:rsid w:val="00024B57"/>
    <w:rsid w:val="00024CF0"/>
    <w:rsid w:val="00024F0C"/>
    <w:rsid w:val="00024FAA"/>
    <w:rsid w:val="00025146"/>
    <w:rsid w:val="000252CD"/>
    <w:rsid w:val="0002575C"/>
    <w:rsid w:val="0002672B"/>
    <w:rsid w:val="00027A98"/>
    <w:rsid w:val="000300D8"/>
    <w:rsid w:val="000301E8"/>
    <w:rsid w:val="0003053B"/>
    <w:rsid w:val="00030841"/>
    <w:rsid w:val="000310F6"/>
    <w:rsid w:val="000313A4"/>
    <w:rsid w:val="00032313"/>
    <w:rsid w:val="00032A83"/>
    <w:rsid w:val="00032F0E"/>
    <w:rsid w:val="000331C1"/>
    <w:rsid w:val="0003395D"/>
    <w:rsid w:val="000339E3"/>
    <w:rsid w:val="00033BDF"/>
    <w:rsid w:val="00033C12"/>
    <w:rsid w:val="00033D4C"/>
    <w:rsid w:val="000340C1"/>
    <w:rsid w:val="000341A2"/>
    <w:rsid w:val="000342FA"/>
    <w:rsid w:val="00034CC6"/>
    <w:rsid w:val="00034FD9"/>
    <w:rsid w:val="00035865"/>
    <w:rsid w:val="00035A13"/>
    <w:rsid w:val="00036829"/>
    <w:rsid w:val="00036A2F"/>
    <w:rsid w:val="00036AB1"/>
    <w:rsid w:val="00036F8F"/>
    <w:rsid w:val="00037311"/>
    <w:rsid w:val="0003781F"/>
    <w:rsid w:val="00037CD6"/>
    <w:rsid w:val="000407D6"/>
    <w:rsid w:val="000408AF"/>
    <w:rsid w:val="00040FC9"/>
    <w:rsid w:val="00041327"/>
    <w:rsid w:val="00041A97"/>
    <w:rsid w:val="00041B83"/>
    <w:rsid w:val="00041BDB"/>
    <w:rsid w:val="00041EF4"/>
    <w:rsid w:val="0004239D"/>
    <w:rsid w:val="00042443"/>
    <w:rsid w:val="00042727"/>
    <w:rsid w:val="00042FA8"/>
    <w:rsid w:val="000437B2"/>
    <w:rsid w:val="00043978"/>
    <w:rsid w:val="00043C8C"/>
    <w:rsid w:val="00043F26"/>
    <w:rsid w:val="000441EC"/>
    <w:rsid w:val="00044211"/>
    <w:rsid w:val="00044309"/>
    <w:rsid w:val="000443BD"/>
    <w:rsid w:val="0004465B"/>
    <w:rsid w:val="00044776"/>
    <w:rsid w:val="00044D67"/>
    <w:rsid w:val="00044DC5"/>
    <w:rsid w:val="00044E17"/>
    <w:rsid w:val="0004506D"/>
    <w:rsid w:val="00045263"/>
    <w:rsid w:val="00045488"/>
    <w:rsid w:val="0004554F"/>
    <w:rsid w:val="000456C5"/>
    <w:rsid w:val="00045B67"/>
    <w:rsid w:val="00045F0E"/>
    <w:rsid w:val="000461E2"/>
    <w:rsid w:val="00046887"/>
    <w:rsid w:val="00047359"/>
    <w:rsid w:val="00047821"/>
    <w:rsid w:val="00047DC3"/>
    <w:rsid w:val="0005033E"/>
    <w:rsid w:val="00050452"/>
    <w:rsid w:val="000508BB"/>
    <w:rsid w:val="00051199"/>
    <w:rsid w:val="0005125A"/>
    <w:rsid w:val="00051510"/>
    <w:rsid w:val="000523D4"/>
    <w:rsid w:val="00052486"/>
    <w:rsid w:val="00052FAC"/>
    <w:rsid w:val="000532B3"/>
    <w:rsid w:val="00053AC7"/>
    <w:rsid w:val="00053B8F"/>
    <w:rsid w:val="000552B4"/>
    <w:rsid w:val="00055424"/>
    <w:rsid w:val="0005583C"/>
    <w:rsid w:val="000559ED"/>
    <w:rsid w:val="00055EAF"/>
    <w:rsid w:val="0005675F"/>
    <w:rsid w:val="000569E7"/>
    <w:rsid w:val="00056ABF"/>
    <w:rsid w:val="00056B1E"/>
    <w:rsid w:val="00060792"/>
    <w:rsid w:val="000609F9"/>
    <w:rsid w:val="000610C5"/>
    <w:rsid w:val="00061116"/>
    <w:rsid w:val="0006197A"/>
    <w:rsid w:val="000628FF"/>
    <w:rsid w:val="000629A0"/>
    <w:rsid w:val="00062B56"/>
    <w:rsid w:val="0006309A"/>
    <w:rsid w:val="0006334F"/>
    <w:rsid w:val="000638FC"/>
    <w:rsid w:val="00063CC6"/>
    <w:rsid w:val="00063F12"/>
    <w:rsid w:val="00063F46"/>
    <w:rsid w:val="00064943"/>
    <w:rsid w:val="00064A86"/>
    <w:rsid w:val="000657BB"/>
    <w:rsid w:val="000665BF"/>
    <w:rsid w:val="000665E1"/>
    <w:rsid w:val="0006668C"/>
    <w:rsid w:val="00066997"/>
    <w:rsid w:val="00066BB7"/>
    <w:rsid w:val="00066CDA"/>
    <w:rsid w:val="00066E49"/>
    <w:rsid w:val="0006760D"/>
    <w:rsid w:val="000707EA"/>
    <w:rsid w:val="00070B76"/>
    <w:rsid w:val="00071098"/>
    <w:rsid w:val="000713EC"/>
    <w:rsid w:val="000714CD"/>
    <w:rsid w:val="00071570"/>
    <w:rsid w:val="000716A4"/>
    <w:rsid w:val="000716D6"/>
    <w:rsid w:val="00071A33"/>
    <w:rsid w:val="00071AA2"/>
    <w:rsid w:val="00072166"/>
    <w:rsid w:val="00072AE8"/>
    <w:rsid w:val="0007306E"/>
    <w:rsid w:val="00073691"/>
    <w:rsid w:val="00073BBB"/>
    <w:rsid w:val="00074002"/>
    <w:rsid w:val="00074645"/>
    <w:rsid w:val="00075036"/>
    <w:rsid w:val="000750E6"/>
    <w:rsid w:val="000763BA"/>
    <w:rsid w:val="000763CF"/>
    <w:rsid w:val="0007691F"/>
    <w:rsid w:val="00076DAF"/>
    <w:rsid w:val="00077097"/>
    <w:rsid w:val="000770E1"/>
    <w:rsid w:val="000771FD"/>
    <w:rsid w:val="00077B65"/>
    <w:rsid w:val="0008071F"/>
    <w:rsid w:val="00080783"/>
    <w:rsid w:val="000817D6"/>
    <w:rsid w:val="00081A67"/>
    <w:rsid w:val="00081B34"/>
    <w:rsid w:val="00082519"/>
    <w:rsid w:val="0008278E"/>
    <w:rsid w:val="00082C2C"/>
    <w:rsid w:val="00082CAF"/>
    <w:rsid w:val="000830D7"/>
    <w:rsid w:val="000832C8"/>
    <w:rsid w:val="00083B82"/>
    <w:rsid w:val="0008419D"/>
    <w:rsid w:val="0008469F"/>
    <w:rsid w:val="00084858"/>
    <w:rsid w:val="00084922"/>
    <w:rsid w:val="00084AAB"/>
    <w:rsid w:val="00086E08"/>
    <w:rsid w:val="00086E95"/>
    <w:rsid w:val="00087352"/>
    <w:rsid w:val="000879C9"/>
    <w:rsid w:val="00087BAB"/>
    <w:rsid w:val="000900C0"/>
    <w:rsid w:val="00090303"/>
    <w:rsid w:val="000906A9"/>
    <w:rsid w:val="00090B50"/>
    <w:rsid w:val="0009148C"/>
    <w:rsid w:val="00091594"/>
    <w:rsid w:val="00091697"/>
    <w:rsid w:val="00091F50"/>
    <w:rsid w:val="0009230F"/>
    <w:rsid w:val="00092C0F"/>
    <w:rsid w:val="00093992"/>
    <w:rsid w:val="000942C8"/>
    <w:rsid w:val="00094FE8"/>
    <w:rsid w:val="000951E5"/>
    <w:rsid w:val="00095382"/>
    <w:rsid w:val="00095E91"/>
    <w:rsid w:val="00095EB8"/>
    <w:rsid w:val="000964C0"/>
    <w:rsid w:val="000968D5"/>
    <w:rsid w:val="00096B49"/>
    <w:rsid w:val="00096FA1"/>
    <w:rsid w:val="000972C0"/>
    <w:rsid w:val="000974DA"/>
    <w:rsid w:val="00097E38"/>
    <w:rsid w:val="000A030F"/>
    <w:rsid w:val="000A076A"/>
    <w:rsid w:val="000A08F0"/>
    <w:rsid w:val="000A0B6F"/>
    <w:rsid w:val="000A1186"/>
    <w:rsid w:val="000A141F"/>
    <w:rsid w:val="000A1B37"/>
    <w:rsid w:val="000A21D3"/>
    <w:rsid w:val="000A234C"/>
    <w:rsid w:val="000A34F7"/>
    <w:rsid w:val="000A35B4"/>
    <w:rsid w:val="000A41ED"/>
    <w:rsid w:val="000A4B55"/>
    <w:rsid w:val="000A533E"/>
    <w:rsid w:val="000A5DF7"/>
    <w:rsid w:val="000A62D9"/>
    <w:rsid w:val="000A63B2"/>
    <w:rsid w:val="000A6D25"/>
    <w:rsid w:val="000A6F18"/>
    <w:rsid w:val="000A6FDD"/>
    <w:rsid w:val="000A70C4"/>
    <w:rsid w:val="000A70D0"/>
    <w:rsid w:val="000A7B72"/>
    <w:rsid w:val="000B0456"/>
    <w:rsid w:val="000B0924"/>
    <w:rsid w:val="000B09BB"/>
    <w:rsid w:val="000B0DBC"/>
    <w:rsid w:val="000B0F96"/>
    <w:rsid w:val="000B1B6D"/>
    <w:rsid w:val="000B2361"/>
    <w:rsid w:val="000B24C6"/>
    <w:rsid w:val="000B268D"/>
    <w:rsid w:val="000B319E"/>
    <w:rsid w:val="000B3CE0"/>
    <w:rsid w:val="000B3DD7"/>
    <w:rsid w:val="000B3E52"/>
    <w:rsid w:val="000B4385"/>
    <w:rsid w:val="000B4DE9"/>
    <w:rsid w:val="000B51E8"/>
    <w:rsid w:val="000B5588"/>
    <w:rsid w:val="000B590F"/>
    <w:rsid w:val="000B5B4E"/>
    <w:rsid w:val="000B5D38"/>
    <w:rsid w:val="000B6359"/>
    <w:rsid w:val="000B6423"/>
    <w:rsid w:val="000B6598"/>
    <w:rsid w:val="000B6A32"/>
    <w:rsid w:val="000B6E58"/>
    <w:rsid w:val="000B6E5B"/>
    <w:rsid w:val="000B70A5"/>
    <w:rsid w:val="000B7377"/>
    <w:rsid w:val="000B76E6"/>
    <w:rsid w:val="000B7B65"/>
    <w:rsid w:val="000B7E5E"/>
    <w:rsid w:val="000C04D6"/>
    <w:rsid w:val="000C0D65"/>
    <w:rsid w:val="000C0E2C"/>
    <w:rsid w:val="000C126F"/>
    <w:rsid w:val="000C141D"/>
    <w:rsid w:val="000C1487"/>
    <w:rsid w:val="000C1E5E"/>
    <w:rsid w:val="000C24C3"/>
    <w:rsid w:val="000C2D34"/>
    <w:rsid w:val="000C2D59"/>
    <w:rsid w:val="000C325A"/>
    <w:rsid w:val="000C32FF"/>
    <w:rsid w:val="000C33AD"/>
    <w:rsid w:val="000C35EE"/>
    <w:rsid w:val="000C3A0B"/>
    <w:rsid w:val="000C4A16"/>
    <w:rsid w:val="000C51CF"/>
    <w:rsid w:val="000C5531"/>
    <w:rsid w:val="000C5568"/>
    <w:rsid w:val="000C5965"/>
    <w:rsid w:val="000C62AA"/>
    <w:rsid w:val="000C68E3"/>
    <w:rsid w:val="000C72D8"/>
    <w:rsid w:val="000C7E34"/>
    <w:rsid w:val="000D01C4"/>
    <w:rsid w:val="000D0721"/>
    <w:rsid w:val="000D0928"/>
    <w:rsid w:val="000D1321"/>
    <w:rsid w:val="000D1420"/>
    <w:rsid w:val="000D1C76"/>
    <w:rsid w:val="000D1CDB"/>
    <w:rsid w:val="000D1FF7"/>
    <w:rsid w:val="000D38F4"/>
    <w:rsid w:val="000D3FC9"/>
    <w:rsid w:val="000D4679"/>
    <w:rsid w:val="000D4941"/>
    <w:rsid w:val="000D49A9"/>
    <w:rsid w:val="000D4B44"/>
    <w:rsid w:val="000D52D5"/>
    <w:rsid w:val="000D5AB0"/>
    <w:rsid w:val="000D5BA7"/>
    <w:rsid w:val="000D5DFB"/>
    <w:rsid w:val="000D5FE2"/>
    <w:rsid w:val="000D6254"/>
    <w:rsid w:val="000D63C3"/>
    <w:rsid w:val="000D6A26"/>
    <w:rsid w:val="000D7398"/>
    <w:rsid w:val="000D75BE"/>
    <w:rsid w:val="000D77E4"/>
    <w:rsid w:val="000D7BA0"/>
    <w:rsid w:val="000D7D0D"/>
    <w:rsid w:val="000E0294"/>
    <w:rsid w:val="000E033B"/>
    <w:rsid w:val="000E0404"/>
    <w:rsid w:val="000E0408"/>
    <w:rsid w:val="000E0AEC"/>
    <w:rsid w:val="000E1286"/>
    <w:rsid w:val="000E218F"/>
    <w:rsid w:val="000E3673"/>
    <w:rsid w:val="000E41C8"/>
    <w:rsid w:val="000E48AD"/>
    <w:rsid w:val="000E4C6A"/>
    <w:rsid w:val="000E5148"/>
    <w:rsid w:val="000E5451"/>
    <w:rsid w:val="000E577B"/>
    <w:rsid w:val="000E6077"/>
    <w:rsid w:val="000E61CD"/>
    <w:rsid w:val="000E6628"/>
    <w:rsid w:val="000E6707"/>
    <w:rsid w:val="000E6A93"/>
    <w:rsid w:val="000E6AAF"/>
    <w:rsid w:val="000E71CA"/>
    <w:rsid w:val="000E7FA1"/>
    <w:rsid w:val="000F0A7B"/>
    <w:rsid w:val="000F1262"/>
    <w:rsid w:val="000F1511"/>
    <w:rsid w:val="000F1E05"/>
    <w:rsid w:val="000F24EB"/>
    <w:rsid w:val="000F2890"/>
    <w:rsid w:val="000F2BBC"/>
    <w:rsid w:val="000F2FBE"/>
    <w:rsid w:val="000F2FE9"/>
    <w:rsid w:val="000F3103"/>
    <w:rsid w:val="000F49AE"/>
    <w:rsid w:val="000F5291"/>
    <w:rsid w:val="000F55FC"/>
    <w:rsid w:val="000F56C0"/>
    <w:rsid w:val="000F59D5"/>
    <w:rsid w:val="000F5C49"/>
    <w:rsid w:val="000F6657"/>
    <w:rsid w:val="000F69E0"/>
    <w:rsid w:val="000F6CD8"/>
    <w:rsid w:val="000F7373"/>
    <w:rsid w:val="000F7A90"/>
    <w:rsid w:val="000F7E3E"/>
    <w:rsid w:val="000F7EFB"/>
    <w:rsid w:val="000F7FAE"/>
    <w:rsid w:val="001005DB"/>
    <w:rsid w:val="001008A0"/>
    <w:rsid w:val="00100988"/>
    <w:rsid w:val="00100CBD"/>
    <w:rsid w:val="00100D3A"/>
    <w:rsid w:val="00100E4D"/>
    <w:rsid w:val="00100FA9"/>
    <w:rsid w:val="00101777"/>
    <w:rsid w:val="00102651"/>
    <w:rsid w:val="00102AB2"/>
    <w:rsid w:val="001034AB"/>
    <w:rsid w:val="001039E2"/>
    <w:rsid w:val="00103A4A"/>
    <w:rsid w:val="0010457D"/>
    <w:rsid w:val="001045AC"/>
    <w:rsid w:val="00104C69"/>
    <w:rsid w:val="0010504F"/>
    <w:rsid w:val="00105361"/>
    <w:rsid w:val="00105702"/>
    <w:rsid w:val="001064B4"/>
    <w:rsid w:val="00107447"/>
    <w:rsid w:val="0010757B"/>
    <w:rsid w:val="001079AD"/>
    <w:rsid w:val="00107A47"/>
    <w:rsid w:val="00107B8B"/>
    <w:rsid w:val="00110088"/>
    <w:rsid w:val="00110111"/>
    <w:rsid w:val="001102A7"/>
    <w:rsid w:val="00110769"/>
    <w:rsid w:val="001107EE"/>
    <w:rsid w:val="00110F07"/>
    <w:rsid w:val="00111AD6"/>
    <w:rsid w:val="00112AE0"/>
    <w:rsid w:val="00112F63"/>
    <w:rsid w:val="00113B48"/>
    <w:rsid w:val="00114144"/>
    <w:rsid w:val="00114173"/>
    <w:rsid w:val="00114447"/>
    <w:rsid w:val="00114831"/>
    <w:rsid w:val="001149C1"/>
    <w:rsid w:val="00114CA6"/>
    <w:rsid w:val="001150FD"/>
    <w:rsid w:val="00116557"/>
    <w:rsid w:val="0011693C"/>
    <w:rsid w:val="00116C44"/>
    <w:rsid w:val="0011784B"/>
    <w:rsid w:val="00120F05"/>
    <w:rsid w:val="00121D49"/>
    <w:rsid w:val="00122CE2"/>
    <w:rsid w:val="001230F9"/>
    <w:rsid w:val="00123484"/>
    <w:rsid w:val="001238E1"/>
    <w:rsid w:val="001247DC"/>
    <w:rsid w:val="001248B9"/>
    <w:rsid w:val="001250DA"/>
    <w:rsid w:val="001254AB"/>
    <w:rsid w:val="00125BFF"/>
    <w:rsid w:val="00125D51"/>
    <w:rsid w:val="0012620B"/>
    <w:rsid w:val="00126227"/>
    <w:rsid w:val="0012737E"/>
    <w:rsid w:val="00127ECE"/>
    <w:rsid w:val="0013036A"/>
    <w:rsid w:val="00130702"/>
    <w:rsid w:val="001314F8"/>
    <w:rsid w:val="001314FB"/>
    <w:rsid w:val="001321C2"/>
    <w:rsid w:val="00132B79"/>
    <w:rsid w:val="00133D12"/>
    <w:rsid w:val="001343DE"/>
    <w:rsid w:val="001347B8"/>
    <w:rsid w:val="00134890"/>
    <w:rsid w:val="00135E24"/>
    <w:rsid w:val="001361E8"/>
    <w:rsid w:val="00136426"/>
    <w:rsid w:val="0013680B"/>
    <w:rsid w:val="00136C52"/>
    <w:rsid w:val="00136ECF"/>
    <w:rsid w:val="00137013"/>
    <w:rsid w:val="00137AE8"/>
    <w:rsid w:val="00137D1A"/>
    <w:rsid w:val="00137F3D"/>
    <w:rsid w:val="00137FEE"/>
    <w:rsid w:val="001402F6"/>
    <w:rsid w:val="001405D8"/>
    <w:rsid w:val="00140F2C"/>
    <w:rsid w:val="0014118A"/>
    <w:rsid w:val="00141C4A"/>
    <w:rsid w:val="00141CE1"/>
    <w:rsid w:val="001429A9"/>
    <w:rsid w:val="0014367F"/>
    <w:rsid w:val="00143A01"/>
    <w:rsid w:val="0014400A"/>
    <w:rsid w:val="00144050"/>
    <w:rsid w:val="0014496E"/>
    <w:rsid w:val="00144ADA"/>
    <w:rsid w:val="00144BD6"/>
    <w:rsid w:val="0014510E"/>
    <w:rsid w:val="001459B6"/>
    <w:rsid w:val="00145E68"/>
    <w:rsid w:val="001460E8"/>
    <w:rsid w:val="00146954"/>
    <w:rsid w:val="00146E93"/>
    <w:rsid w:val="001470CB"/>
    <w:rsid w:val="0014717B"/>
    <w:rsid w:val="00147DED"/>
    <w:rsid w:val="001502DB"/>
    <w:rsid w:val="0015116A"/>
    <w:rsid w:val="001515E6"/>
    <w:rsid w:val="00151738"/>
    <w:rsid w:val="00151F6F"/>
    <w:rsid w:val="001527BC"/>
    <w:rsid w:val="00152907"/>
    <w:rsid w:val="00152D37"/>
    <w:rsid w:val="00152F88"/>
    <w:rsid w:val="0015317E"/>
    <w:rsid w:val="0015321D"/>
    <w:rsid w:val="001535E1"/>
    <w:rsid w:val="001542C6"/>
    <w:rsid w:val="00154992"/>
    <w:rsid w:val="00155127"/>
    <w:rsid w:val="00155270"/>
    <w:rsid w:val="00155636"/>
    <w:rsid w:val="00155B77"/>
    <w:rsid w:val="0015658F"/>
    <w:rsid w:val="001568EF"/>
    <w:rsid w:val="001569C9"/>
    <w:rsid w:val="00156E8D"/>
    <w:rsid w:val="00156F16"/>
    <w:rsid w:val="0015708A"/>
    <w:rsid w:val="001570A5"/>
    <w:rsid w:val="00157263"/>
    <w:rsid w:val="001573D9"/>
    <w:rsid w:val="00157886"/>
    <w:rsid w:val="00157D55"/>
    <w:rsid w:val="00157DFD"/>
    <w:rsid w:val="001601C5"/>
    <w:rsid w:val="001602F7"/>
    <w:rsid w:val="001607C3"/>
    <w:rsid w:val="00160D68"/>
    <w:rsid w:val="00161A3C"/>
    <w:rsid w:val="00161C43"/>
    <w:rsid w:val="00162A3F"/>
    <w:rsid w:val="00162DF2"/>
    <w:rsid w:val="00163AEC"/>
    <w:rsid w:val="00163FAB"/>
    <w:rsid w:val="00163FF9"/>
    <w:rsid w:val="0016411D"/>
    <w:rsid w:val="00164672"/>
    <w:rsid w:val="00164739"/>
    <w:rsid w:val="00164992"/>
    <w:rsid w:val="00164A15"/>
    <w:rsid w:val="00164DBA"/>
    <w:rsid w:val="00165034"/>
    <w:rsid w:val="00165C0A"/>
    <w:rsid w:val="00166698"/>
    <w:rsid w:val="0016721C"/>
    <w:rsid w:val="001672F5"/>
    <w:rsid w:val="0016778B"/>
    <w:rsid w:val="0016779B"/>
    <w:rsid w:val="0017032F"/>
    <w:rsid w:val="001708BC"/>
    <w:rsid w:val="00171878"/>
    <w:rsid w:val="00171B14"/>
    <w:rsid w:val="001729AF"/>
    <w:rsid w:val="00172CC7"/>
    <w:rsid w:val="00172EEA"/>
    <w:rsid w:val="00172FD1"/>
    <w:rsid w:val="0017318A"/>
    <w:rsid w:val="00173947"/>
    <w:rsid w:val="00173E25"/>
    <w:rsid w:val="001744ED"/>
    <w:rsid w:val="0017594D"/>
    <w:rsid w:val="00175A3A"/>
    <w:rsid w:val="0017603E"/>
    <w:rsid w:val="001760A4"/>
    <w:rsid w:val="001761A1"/>
    <w:rsid w:val="001761A6"/>
    <w:rsid w:val="0017629F"/>
    <w:rsid w:val="00176B29"/>
    <w:rsid w:val="00176FD3"/>
    <w:rsid w:val="00177234"/>
    <w:rsid w:val="0017735B"/>
    <w:rsid w:val="00177560"/>
    <w:rsid w:val="00177606"/>
    <w:rsid w:val="00180A02"/>
    <w:rsid w:val="0018279A"/>
    <w:rsid w:val="001828C0"/>
    <w:rsid w:val="00182B5D"/>
    <w:rsid w:val="00182E46"/>
    <w:rsid w:val="00183AE9"/>
    <w:rsid w:val="00184603"/>
    <w:rsid w:val="001853DE"/>
    <w:rsid w:val="001857B2"/>
    <w:rsid w:val="00185B73"/>
    <w:rsid w:val="00185D0E"/>
    <w:rsid w:val="001865A3"/>
    <w:rsid w:val="00186844"/>
    <w:rsid w:val="0018688F"/>
    <w:rsid w:val="00186F78"/>
    <w:rsid w:val="0018719D"/>
    <w:rsid w:val="001871CE"/>
    <w:rsid w:val="0019019F"/>
    <w:rsid w:val="0019063E"/>
    <w:rsid w:val="00190720"/>
    <w:rsid w:val="0019092A"/>
    <w:rsid w:val="00191965"/>
    <w:rsid w:val="00191D19"/>
    <w:rsid w:val="00191E13"/>
    <w:rsid w:val="00192108"/>
    <w:rsid w:val="001934CD"/>
    <w:rsid w:val="00193BD0"/>
    <w:rsid w:val="00193D1E"/>
    <w:rsid w:val="00193D9B"/>
    <w:rsid w:val="00193DB7"/>
    <w:rsid w:val="00194C08"/>
    <w:rsid w:val="00195217"/>
    <w:rsid w:val="00195455"/>
    <w:rsid w:val="00195784"/>
    <w:rsid w:val="00195886"/>
    <w:rsid w:val="00195F1C"/>
    <w:rsid w:val="00196929"/>
    <w:rsid w:val="00196A48"/>
    <w:rsid w:val="001A02C4"/>
    <w:rsid w:val="001A04DE"/>
    <w:rsid w:val="001A10A9"/>
    <w:rsid w:val="001A10E2"/>
    <w:rsid w:val="001A1192"/>
    <w:rsid w:val="001A11A1"/>
    <w:rsid w:val="001A12FD"/>
    <w:rsid w:val="001A237C"/>
    <w:rsid w:val="001A2405"/>
    <w:rsid w:val="001A3258"/>
    <w:rsid w:val="001A38D7"/>
    <w:rsid w:val="001A3F64"/>
    <w:rsid w:val="001A3FDE"/>
    <w:rsid w:val="001A4814"/>
    <w:rsid w:val="001A4C9D"/>
    <w:rsid w:val="001A4DA2"/>
    <w:rsid w:val="001A53DC"/>
    <w:rsid w:val="001A5550"/>
    <w:rsid w:val="001A57A5"/>
    <w:rsid w:val="001A5814"/>
    <w:rsid w:val="001A5DDE"/>
    <w:rsid w:val="001A5F15"/>
    <w:rsid w:val="001A62F0"/>
    <w:rsid w:val="001A64A9"/>
    <w:rsid w:val="001A6737"/>
    <w:rsid w:val="001A68A7"/>
    <w:rsid w:val="001A6FC2"/>
    <w:rsid w:val="001A7896"/>
    <w:rsid w:val="001A7965"/>
    <w:rsid w:val="001A7FD4"/>
    <w:rsid w:val="001B0A95"/>
    <w:rsid w:val="001B0D64"/>
    <w:rsid w:val="001B0EF1"/>
    <w:rsid w:val="001B112A"/>
    <w:rsid w:val="001B1547"/>
    <w:rsid w:val="001B1563"/>
    <w:rsid w:val="001B1A4A"/>
    <w:rsid w:val="001B1D7C"/>
    <w:rsid w:val="001B21B9"/>
    <w:rsid w:val="001B2302"/>
    <w:rsid w:val="001B2762"/>
    <w:rsid w:val="001B2D63"/>
    <w:rsid w:val="001B300E"/>
    <w:rsid w:val="001B3362"/>
    <w:rsid w:val="001B3B5C"/>
    <w:rsid w:val="001B3CDF"/>
    <w:rsid w:val="001B3CFA"/>
    <w:rsid w:val="001B41E1"/>
    <w:rsid w:val="001B4619"/>
    <w:rsid w:val="001B4F59"/>
    <w:rsid w:val="001B501F"/>
    <w:rsid w:val="001B544A"/>
    <w:rsid w:val="001B55BB"/>
    <w:rsid w:val="001B5CE0"/>
    <w:rsid w:val="001B73B4"/>
    <w:rsid w:val="001B7687"/>
    <w:rsid w:val="001B78C4"/>
    <w:rsid w:val="001B7CB6"/>
    <w:rsid w:val="001C0124"/>
    <w:rsid w:val="001C03E6"/>
    <w:rsid w:val="001C066C"/>
    <w:rsid w:val="001C0FCC"/>
    <w:rsid w:val="001C13A2"/>
    <w:rsid w:val="001C1679"/>
    <w:rsid w:val="001C1CF2"/>
    <w:rsid w:val="001C2086"/>
    <w:rsid w:val="001C331C"/>
    <w:rsid w:val="001C3335"/>
    <w:rsid w:val="001C37B7"/>
    <w:rsid w:val="001C3823"/>
    <w:rsid w:val="001C391C"/>
    <w:rsid w:val="001C3D3F"/>
    <w:rsid w:val="001C3D4D"/>
    <w:rsid w:val="001C40C8"/>
    <w:rsid w:val="001C4288"/>
    <w:rsid w:val="001C4347"/>
    <w:rsid w:val="001C44B0"/>
    <w:rsid w:val="001C4E28"/>
    <w:rsid w:val="001C52C3"/>
    <w:rsid w:val="001C52E7"/>
    <w:rsid w:val="001C5B35"/>
    <w:rsid w:val="001C6134"/>
    <w:rsid w:val="001C6255"/>
    <w:rsid w:val="001C6364"/>
    <w:rsid w:val="001C6486"/>
    <w:rsid w:val="001C6BA9"/>
    <w:rsid w:val="001C6DD0"/>
    <w:rsid w:val="001C6DDD"/>
    <w:rsid w:val="001C7650"/>
    <w:rsid w:val="001C7867"/>
    <w:rsid w:val="001C7B87"/>
    <w:rsid w:val="001D027C"/>
    <w:rsid w:val="001D0BAE"/>
    <w:rsid w:val="001D0F15"/>
    <w:rsid w:val="001D118D"/>
    <w:rsid w:val="001D1518"/>
    <w:rsid w:val="001D1562"/>
    <w:rsid w:val="001D1740"/>
    <w:rsid w:val="001D1768"/>
    <w:rsid w:val="001D1AEF"/>
    <w:rsid w:val="001D21D8"/>
    <w:rsid w:val="001D255E"/>
    <w:rsid w:val="001D3150"/>
    <w:rsid w:val="001D33D8"/>
    <w:rsid w:val="001D3DD5"/>
    <w:rsid w:val="001D4398"/>
    <w:rsid w:val="001D447D"/>
    <w:rsid w:val="001D4D37"/>
    <w:rsid w:val="001D55DC"/>
    <w:rsid w:val="001D668E"/>
    <w:rsid w:val="001D6A05"/>
    <w:rsid w:val="001D6D59"/>
    <w:rsid w:val="001D7052"/>
    <w:rsid w:val="001D70F4"/>
    <w:rsid w:val="001D76FC"/>
    <w:rsid w:val="001D79BB"/>
    <w:rsid w:val="001D7F27"/>
    <w:rsid w:val="001D7F45"/>
    <w:rsid w:val="001E0218"/>
    <w:rsid w:val="001E08B9"/>
    <w:rsid w:val="001E0FEE"/>
    <w:rsid w:val="001E126D"/>
    <w:rsid w:val="001E15FA"/>
    <w:rsid w:val="001E198A"/>
    <w:rsid w:val="001E1D9F"/>
    <w:rsid w:val="001E25DC"/>
    <w:rsid w:val="001E26C7"/>
    <w:rsid w:val="001E2E14"/>
    <w:rsid w:val="001E34D3"/>
    <w:rsid w:val="001E36B8"/>
    <w:rsid w:val="001E386D"/>
    <w:rsid w:val="001E3B3D"/>
    <w:rsid w:val="001E489E"/>
    <w:rsid w:val="001E4C31"/>
    <w:rsid w:val="001E4DE1"/>
    <w:rsid w:val="001E4EF6"/>
    <w:rsid w:val="001E4F19"/>
    <w:rsid w:val="001E528D"/>
    <w:rsid w:val="001E5628"/>
    <w:rsid w:val="001E6117"/>
    <w:rsid w:val="001E68A3"/>
    <w:rsid w:val="001E6A8B"/>
    <w:rsid w:val="001E6BB5"/>
    <w:rsid w:val="001E72EB"/>
    <w:rsid w:val="001E7601"/>
    <w:rsid w:val="001E7654"/>
    <w:rsid w:val="001E7885"/>
    <w:rsid w:val="001E7D47"/>
    <w:rsid w:val="001E7E4A"/>
    <w:rsid w:val="001F0635"/>
    <w:rsid w:val="001F0716"/>
    <w:rsid w:val="001F0838"/>
    <w:rsid w:val="001F0BB2"/>
    <w:rsid w:val="001F1144"/>
    <w:rsid w:val="001F13A0"/>
    <w:rsid w:val="001F2CBC"/>
    <w:rsid w:val="001F2D12"/>
    <w:rsid w:val="001F36AE"/>
    <w:rsid w:val="001F37A2"/>
    <w:rsid w:val="001F39B3"/>
    <w:rsid w:val="001F3C11"/>
    <w:rsid w:val="001F4A68"/>
    <w:rsid w:val="001F56A1"/>
    <w:rsid w:val="001F56BA"/>
    <w:rsid w:val="001F5E4C"/>
    <w:rsid w:val="001F5FAE"/>
    <w:rsid w:val="001F64CE"/>
    <w:rsid w:val="001F6E8C"/>
    <w:rsid w:val="001F76CF"/>
    <w:rsid w:val="00200416"/>
    <w:rsid w:val="002013B1"/>
    <w:rsid w:val="002016BF"/>
    <w:rsid w:val="002019A0"/>
    <w:rsid w:val="00201AEA"/>
    <w:rsid w:val="00201C55"/>
    <w:rsid w:val="00201C97"/>
    <w:rsid w:val="002024C7"/>
    <w:rsid w:val="002028B3"/>
    <w:rsid w:val="00203828"/>
    <w:rsid w:val="0020393F"/>
    <w:rsid w:val="00203A75"/>
    <w:rsid w:val="0020499C"/>
    <w:rsid w:val="00205A97"/>
    <w:rsid w:val="00206C47"/>
    <w:rsid w:val="00206CD4"/>
    <w:rsid w:val="00206E8C"/>
    <w:rsid w:val="00207145"/>
    <w:rsid w:val="00207559"/>
    <w:rsid w:val="00210124"/>
    <w:rsid w:val="00210351"/>
    <w:rsid w:val="002103FB"/>
    <w:rsid w:val="00210686"/>
    <w:rsid w:val="00210C65"/>
    <w:rsid w:val="00210FF3"/>
    <w:rsid w:val="0021115A"/>
    <w:rsid w:val="00211C68"/>
    <w:rsid w:val="00211E5C"/>
    <w:rsid w:val="002123EB"/>
    <w:rsid w:val="0021248D"/>
    <w:rsid w:val="002127E9"/>
    <w:rsid w:val="002127F1"/>
    <w:rsid w:val="00212886"/>
    <w:rsid w:val="00212D00"/>
    <w:rsid w:val="0021357D"/>
    <w:rsid w:val="0021378A"/>
    <w:rsid w:val="002137E7"/>
    <w:rsid w:val="00213D35"/>
    <w:rsid w:val="0021420A"/>
    <w:rsid w:val="0021435F"/>
    <w:rsid w:val="00214923"/>
    <w:rsid w:val="002149BE"/>
    <w:rsid w:val="00214A6A"/>
    <w:rsid w:val="00214D2D"/>
    <w:rsid w:val="0021575F"/>
    <w:rsid w:val="002157D3"/>
    <w:rsid w:val="00215A1A"/>
    <w:rsid w:val="00215A98"/>
    <w:rsid w:val="0021609C"/>
    <w:rsid w:val="00216E13"/>
    <w:rsid w:val="00217142"/>
    <w:rsid w:val="002179D2"/>
    <w:rsid w:val="00217A98"/>
    <w:rsid w:val="00217DDB"/>
    <w:rsid w:val="00220888"/>
    <w:rsid w:val="0022088E"/>
    <w:rsid w:val="00220AB1"/>
    <w:rsid w:val="0022100E"/>
    <w:rsid w:val="002211B4"/>
    <w:rsid w:val="0022162B"/>
    <w:rsid w:val="0022259D"/>
    <w:rsid w:val="0022263B"/>
    <w:rsid w:val="00222D4D"/>
    <w:rsid w:val="0022359E"/>
    <w:rsid w:val="00223FDA"/>
    <w:rsid w:val="002243BC"/>
    <w:rsid w:val="002250D4"/>
    <w:rsid w:val="002254D5"/>
    <w:rsid w:val="002256B8"/>
    <w:rsid w:val="00225AD8"/>
    <w:rsid w:val="00225E01"/>
    <w:rsid w:val="00227DD7"/>
    <w:rsid w:val="0023000D"/>
    <w:rsid w:val="00230073"/>
    <w:rsid w:val="0023014D"/>
    <w:rsid w:val="002303D6"/>
    <w:rsid w:val="00230E2E"/>
    <w:rsid w:val="00230F5C"/>
    <w:rsid w:val="002319F7"/>
    <w:rsid w:val="00231F17"/>
    <w:rsid w:val="00232983"/>
    <w:rsid w:val="00232AE8"/>
    <w:rsid w:val="00232AED"/>
    <w:rsid w:val="00232E83"/>
    <w:rsid w:val="002339D9"/>
    <w:rsid w:val="00233A42"/>
    <w:rsid w:val="00234081"/>
    <w:rsid w:val="00234DDB"/>
    <w:rsid w:val="00234F03"/>
    <w:rsid w:val="002350DC"/>
    <w:rsid w:val="002352D9"/>
    <w:rsid w:val="00235793"/>
    <w:rsid w:val="0023594B"/>
    <w:rsid w:val="00235C7B"/>
    <w:rsid w:val="00235ED9"/>
    <w:rsid w:val="00235FA2"/>
    <w:rsid w:val="0023612A"/>
    <w:rsid w:val="00236229"/>
    <w:rsid w:val="00236A2B"/>
    <w:rsid w:val="0023799B"/>
    <w:rsid w:val="00237BF5"/>
    <w:rsid w:val="00237D63"/>
    <w:rsid w:val="002402B4"/>
    <w:rsid w:val="00240361"/>
    <w:rsid w:val="002409D0"/>
    <w:rsid w:val="00240A0E"/>
    <w:rsid w:val="00240AA8"/>
    <w:rsid w:val="00240FB3"/>
    <w:rsid w:val="002413CC"/>
    <w:rsid w:val="002413D9"/>
    <w:rsid w:val="00241A71"/>
    <w:rsid w:val="00241A9B"/>
    <w:rsid w:val="00242098"/>
    <w:rsid w:val="002420DF"/>
    <w:rsid w:val="00243012"/>
    <w:rsid w:val="00243784"/>
    <w:rsid w:val="00244668"/>
    <w:rsid w:val="00244B21"/>
    <w:rsid w:val="00244F2A"/>
    <w:rsid w:val="0024531D"/>
    <w:rsid w:val="00245A2C"/>
    <w:rsid w:val="00245A2F"/>
    <w:rsid w:val="00245DB5"/>
    <w:rsid w:val="0024605B"/>
    <w:rsid w:val="002473B9"/>
    <w:rsid w:val="00247770"/>
    <w:rsid w:val="002502D8"/>
    <w:rsid w:val="0025089B"/>
    <w:rsid w:val="00250CE9"/>
    <w:rsid w:val="00250D23"/>
    <w:rsid w:val="0025177D"/>
    <w:rsid w:val="00251BAE"/>
    <w:rsid w:val="0025215E"/>
    <w:rsid w:val="00252A3E"/>
    <w:rsid w:val="00252E8E"/>
    <w:rsid w:val="0025349E"/>
    <w:rsid w:val="00253828"/>
    <w:rsid w:val="00253986"/>
    <w:rsid w:val="00253FFD"/>
    <w:rsid w:val="00254556"/>
    <w:rsid w:val="00254785"/>
    <w:rsid w:val="002552E6"/>
    <w:rsid w:val="002558A7"/>
    <w:rsid w:val="00255F5A"/>
    <w:rsid w:val="0025650B"/>
    <w:rsid w:val="00256516"/>
    <w:rsid w:val="002567BE"/>
    <w:rsid w:val="00256B93"/>
    <w:rsid w:val="002577C6"/>
    <w:rsid w:val="0026022C"/>
    <w:rsid w:val="0026041C"/>
    <w:rsid w:val="002612D0"/>
    <w:rsid w:val="00261401"/>
    <w:rsid w:val="002617D5"/>
    <w:rsid w:val="00261BD7"/>
    <w:rsid w:val="00261CF7"/>
    <w:rsid w:val="00261EB1"/>
    <w:rsid w:val="0026204D"/>
    <w:rsid w:val="0026219C"/>
    <w:rsid w:val="00262780"/>
    <w:rsid w:val="00262A66"/>
    <w:rsid w:val="00262D4C"/>
    <w:rsid w:val="002633CA"/>
    <w:rsid w:val="002640F9"/>
    <w:rsid w:val="002648C0"/>
    <w:rsid w:val="0026556C"/>
    <w:rsid w:val="0026592D"/>
    <w:rsid w:val="00265A2C"/>
    <w:rsid w:val="00265A85"/>
    <w:rsid w:val="00266AAA"/>
    <w:rsid w:val="00266EEB"/>
    <w:rsid w:val="00270510"/>
    <w:rsid w:val="00270882"/>
    <w:rsid w:val="00270B15"/>
    <w:rsid w:val="00270CB4"/>
    <w:rsid w:val="00270ED7"/>
    <w:rsid w:val="0027102C"/>
    <w:rsid w:val="002713D0"/>
    <w:rsid w:val="00271823"/>
    <w:rsid w:val="00272167"/>
    <w:rsid w:val="00272457"/>
    <w:rsid w:val="002725E1"/>
    <w:rsid w:val="00272E7C"/>
    <w:rsid w:val="0027416A"/>
    <w:rsid w:val="002741E0"/>
    <w:rsid w:val="0027449B"/>
    <w:rsid w:val="002744A2"/>
    <w:rsid w:val="002744BA"/>
    <w:rsid w:val="00274A89"/>
    <w:rsid w:val="00275269"/>
    <w:rsid w:val="00276058"/>
    <w:rsid w:val="002763FD"/>
    <w:rsid w:val="002764B9"/>
    <w:rsid w:val="0027674A"/>
    <w:rsid w:val="0027679B"/>
    <w:rsid w:val="00276B2B"/>
    <w:rsid w:val="002770F1"/>
    <w:rsid w:val="0027756B"/>
    <w:rsid w:val="00277B70"/>
    <w:rsid w:val="00277CA0"/>
    <w:rsid w:val="00280CBF"/>
    <w:rsid w:val="00281452"/>
    <w:rsid w:val="0028213D"/>
    <w:rsid w:val="00282DA7"/>
    <w:rsid w:val="002837D8"/>
    <w:rsid w:val="00283C04"/>
    <w:rsid w:val="002842FC"/>
    <w:rsid w:val="00284989"/>
    <w:rsid w:val="00284B16"/>
    <w:rsid w:val="002850A6"/>
    <w:rsid w:val="00285558"/>
    <w:rsid w:val="00285EDA"/>
    <w:rsid w:val="00285FF8"/>
    <w:rsid w:val="00287747"/>
    <w:rsid w:val="00287E7E"/>
    <w:rsid w:val="0029039F"/>
    <w:rsid w:val="002907AC"/>
    <w:rsid w:val="00290841"/>
    <w:rsid w:val="00290A9E"/>
    <w:rsid w:val="00290B13"/>
    <w:rsid w:val="00290D90"/>
    <w:rsid w:val="00290E0E"/>
    <w:rsid w:val="002912EC"/>
    <w:rsid w:val="0029179E"/>
    <w:rsid w:val="00291F2D"/>
    <w:rsid w:val="00292682"/>
    <w:rsid w:val="002938D6"/>
    <w:rsid w:val="00293948"/>
    <w:rsid w:val="00293C73"/>
    <w:rsid w:val="00293E60"/>
    <w:rsid w:val="00294104"/>
    <w:rsid w:val="00294361"/>
    <w:rsid w:val="00294B13"/>
    <w:rsid w:val="00294D2C"/>
    <w:rsid w:val="00295078"/>
    <w:rsid w:val="002951A5"/>
    <w:rsid w:val="00295A29"/>
    <w:rsid w:val="00295B44"/>
    <w:rsid w:val="00295E1A"/>
    <w:rsid w:val="00295ECC"/>
    <w:rsid w:val="002965C7"/>
    <w:rsid w:val="0029682C"/>
    <w:rsid w:val="002968F3"/>
    <w:rsid w:val="00296A82"/>
    <w:rsid w:val="0029727E"/>
    <w:rsid w:val="00297430"/>
    <w:rsid w:val="002975C4"/>
    <w:rsid w:val="00297632"/>
    <w:rsid w:val="002977F6"/>
    <w:rsid w:val="00297C63"/>
    <w:rsid w:val="002A04A3"/>
    <w:rsid w:val="002A06F4"/>
    <w:rsid w:val="002A08A8"/>
    <w:rsid w:val="002A09FC"/>
    <w:rsid w:val="002A0DD1"/>
    <w:rsid w:val="002A101C"/>
    <w:rsid w:val="002A1114"/>
    <w:rsid w:val="002A11E1"/>
    <w:rsid w:val="002A17ED"/>
    <w:rsid w:val="002A19F1"/>
    <w:rsid w:val="002A2420"/>
    <w:rsid w:val="002A2444"/>
    <w:rsid w:val="002A2899"/>
    <w:rsid w:val="002A2B56"/>
    <w:rsid w:val="002A2D08"/>
    <w:rsid w:val="002A30C0"/>
    <w:rsid w:val="002A3697"/>
    <w:rsid w:val="002A37C2"/>
    <w:rsid w:val="002A3C66"/>
    <w:rsid w:val="002A4277"/>
    <w:rsid w:val="002A4337"/>
    <w:rsid w:val="002A4405"/>
    <w:rsid w:val="002A4B87"/>
    <w:rsid w:val="002A5904"/>
    <w:rsid w:val="002A5A15"/>
    <w:rsid w:val="002A5B58"/>
    <w:rsid w:val="002A6035"/>
    <w:rsid w:val="002A76BC"/>
    <w:rsid w:val="002A76BE"/>
    <w:rsid w:val="002A7795"/>
    <w:rsid w:val="002A7FDF"/>
    <w:rsid w:val="002B0425"/>
    <w:rsid w:val="002B20B5"/>
    <w:rsid w:val="002B2235"/>
    <w:rsid w:val="002B27CA"/>
    <w:rsid w:val="002B2870"/>
    <w:rsid w:val="002B297A"/>
    <w:rsid w:val="002B31DF"/>
    <w:rsid w:val="002B475B"/>
    <w:rsid w:val="002B4EBE"/>
    <w:rsid w:val="002B4EC0"/>
    <w:rsid w:val="002B57CE"/>
    <w:rsid w:val="002B59AF"/>
    <w:rsid w:val="002B695E"/>
    <w:rsid w:val="002B6D25"/>
    <w:rsid w:val="002B6DF1"/>
    <w:rsid w:val="002B7286"/>
    <w:rsid w:val="002B7915"/>
    <w:rsid w:val="002C004A"/>
    <w:rsid w:val="002C0587"/>
    <w:rsid w:val="002C099A"/>
    <w:rsid w:val="002C0D76"/>
    <w:rsid w:val="002C115B"/>
    <w:rsid w:val="002C1E0D"/>
    <w:rsid w:val="002C2A4B"/>
    <w:rsid w:val="002C345C"/>
    <w:rsid w:val="002C44B8"/>
    <w:rsid w:val="002C4831"/>
    <w:rsid w:val="002C4E58"/>
    <w:rsid w:val="002C4E74"/>
    <w:rsid w:val="002C4F3D"/>
    <w:rsid w:val="002C5680"/>
    <w:rsid w:val="002C56EC"/>
    <w:rsid w:val="002C5D69"/>
    <w:rsid w:val="002C5D85"/>
    <w:rsid w:val="002C6456"/>
    <w:rsid w:val="002C70DA"/>
    <w:rsid w:val="002C7AF3"/>
    <w:rsid w:val="002C7BF0"/>
    <w:rsid w:val="002D028B"/>
    <w:rsid w:val="002D06C8"/>
    <w:rsid w:val="002D27F5"/>
    <w:rsid w:val="002D2AE2"/>
    <w:rsid w:val="002D331B"/>
    <w:rsid w:val="002D3638"/>
    <w:rsid w:val="002D4C74"/>
    <w:rsid w:val="002D4F3C"/>
    <w:rsid w:val="002D5961"/>
    <w:rsid w:val="002D5D7A"/>
    <w:rsid w:val="002D62EB"/>
    <w:rsid w:val="002D6732"/>
    <w:rsid w:val="002D6905"/>
    <w:rsid w:val="002D69B6"/>
    <w:rsid w:val="002D710B"/>
    <w:rsid w:val="002D7154"/>
    <w:rsid w:val="002D74D2"/>
    <w:rsid w:val="002D7DD7"/>
    <w:rsid w:val="002E0504"/>
    <w:rsid w:val="002E088B"/>
    <w:rsid w:val="002E0A1C"/>
    <w:rsid w:val="002E1194"/>
    <w:rsid w:val="002E123D"/>
    <w:rsid w:val="002E1422"/>
    <w:rsid w:val="002E1A54"/>
    <w:rsid w:val="002E1E3C"/>
    <w:rsid w:val="002E24D6"/>
    <w:rsid w:val="002E2FCB"/>
    <w:rsid w:val="002E34B1"/>
    <w:rsid w:val="002E3E9A"/>
    <w:rsid w:val="002E3EAF"/>
    <w:rsid w:val="002E443D"/>
    <w:rsid w:val="002E44F7"/>
    <w:rsid w:val="002E5035"/>
    <w:rsid w:val="002E5514"/>
    <w:rsid w:val="002E55C8"/>
    <w:rsid w:val="002E55C9"/>
    <w:rsid w:val="002E5B1D"/>
    <w:rsid w:val="002E5BCD"/>
    <w:rsid w:val="002E6AC8"/>
    <w:rsid w:val="002E6F59"/>
    <w:rsid w:val="002E7DA3"/>
    <w:rsid w:val="002F0B13"/>
    <w:rsid w:val="002F0DA0"/>
    <w:rsid w:val="002F2168"/>
    <w:rsid w:val="002F2316"/>
    <w:rsid w:val="002F2533"/>
    <w:rsid w:val="002F2889"/>
    <w:rsid w:val="002F2966"/>
    <w:rsid w:val="002F2C3E"/>
    <w:rsid w:val="002F2CE3"/>
    <w:rsid w:val="002F32C4"/>
    <w:rsid w:val="002F42EF"/>
    <w:rsid w:val="002F4981"/>
    <w:rsid w:val="002F4A0A"/>
    <w:rsid w:val="002F5140"/>
    <w:rsid w:val="002F5691"/>
    <w:rsid w:val="002F651F"/>
    <w:rsid w:val="002F67F0"/>
    <w:rsid w:val="002F68E5"/>
    <w:rsid w:val="002F744A"/>
    <w:rsid w:val="002F77B5"/>
    <w:rsid w:val="002F7974"/>
    <w:rsid w:val="002F7AED"/>
    <w:rsid w:val="002F7B7D"/>
    <w:rsid w:val="002F7CE7"/>
    <w:rsid w:val="002F7FDE"/>
    <w:rsid w:val="00300C2D"/>
    <w:rsid w:val="00300C77"/>
    <w:rsid w:val="00301120"/>
    <w:rsid w:val="00301166"/>
    <w:rsid w:val="003018C6"/>
    <w:rsid w:val="00301B11"/>
    <w:rsid w:val="00301CC6"/>
    <w:rsid w:val="00301D49"/>
    <w:rsid w:val="00301FD5"/>
    <w:rsid w:val="00302112"/>
    <w:rsid w:val="00302455"/>
    <w:rsid w:val="003024FB"/>
    <w:rsid w:val="00302552"/>
    <w:rsid w:val="003046D2"/>
    <w:rsid w:val="00304B85"/>
    <w:rsid w:val="00304C10"/>
    <w:rsid w:val="00306A29"/>
    <w:rsid w:val="00306BB8"/>
    <w:rsid w:val="00306BD3"/>
    <w:rsid w:val="0030784C"/>
    <w:rsid w:val="00307938"/>
    <w:rsid w:val="00307B28"/>
    <w:rsid w:val="00307E5A"/>
    <w:rsid w:val="00307ECF"/>
    <w:rsid w:val="0031030D"/>
    <w:rsid w:val="00310665"/>
    <w:rsid w:val="0031133F"/>
    <w:rsid w:val="003114A5"/>
    <w:rsid w:val="00311794"/>
    <w:rsid w:val="00311813"/>
    <w:rsid w:val="00311821"/>
    <w:rsid w:val="00311D78"/>
    <w:rsid w:val="00311F1B"/>
    <w:rsid w:val="003124C2"/>
    <w:rsid w:val="003129F3"/>
    <w:rsid w:val="003137F8"/>
    <w:rsid w:val="00313889"/>
    <w:rsid w:val="00313B1E"/>
    <w:rsid w:val="00313EFE"/>
    <w:rsid w:val="00314033"/>
    <w:rsid w:val="00314B55"/>
    <w:rsid w:val="00315322"/>
    <w:rsid w:val="0031533D"/>
    <w:rsid w:val="00315B87"/>
    <w:rsid w:val="00316B3A"/>
    <w:rsid w:val="00317144"/>
    <w:rsid w:val="003174D2"/>
    <w:rsid w:val="003175B0"/>
    <w:rsid w:val="003179A1"/>
    <w:rsid w:val="003206BC"/>
    <w:rsid w:val="003206C8"/>
    <w:rsid w:val="00320758"/>
    <w:rsid w:val="003209EE"/>
    <w:rsid w:val="00321D4C"/>
    <w:rsid w:val="00321FDA"/>
    <w:rsid w:val="003220F2"/>
    <w:rsid w:val="00322B4F"/>
    <w:rsid w:val="00322B70"/>
    <w:rsid w:val="003230A4"/>
    <w:rsid w:val="00323540"/>
    <w:rsid w:val="00323FAB"/>
    <w:rsid w:val="00324002"/>
    <w:rsid w:val="0032482F"/>
    <w:rsid w:val="003251AD"/>
    <w:rsid w:val="0032559E"/>
    <w:rsid w:val="00325721"/>
    <w:rsid w:val="00325DFE"/>
    <w:rsid w:val="003260FA"/>
    <w:rsid w:val="0032645B"/>
    <w:rsid w:val="003266B3"/>
    <w:rsid w:val="003270E5"/>
    <w:rsid w:val="0032728A"/>
    <w:rsid w:val="00327719"/>
    <w:rsid w:val="00327C26"/>
    <w:rsid w:val="0033006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504C"/>
    <w:rsid w:val="0033539F"/>
    <w:rsid w:val="003353BD"/>
    <w:rsid w:val="003356A0"/>
    <w:rsid w:val="0033573A"/>
    <w:rsid w:val="00335BC3"/>
    <w:rsid w:val="00335D15"/>
    <w:rsid w:val="00336A0E"/>
    <w:rsid w:val="00336A56"/>
    <w:rsid w:val="00337BC3"/>
    <w:rsid w:val="00337CA1"/>
    <w:rsid w:val="00337D9D"/>
    <w:rsid w:val="00340174"/>
    <w:rsid w:val="003404B7"/>
    <w:rsid w:val="00340666"/>
    <w:rsid w:val="00341134"/>
    <w:rsid w:val="00341219"/>
    <w:rsid w:val="0034186A"/>
    <w:rsid w:val="0034191A"/>
    <w:rsid w:val="00341B3C"/>
    <w:rsid w:val="00341BB7"/>
    <w:rsid w:val="00341E2D"/>
    <w:rsid w:val="0034201A"/>
    <w:rsid w:val="00342406"/>
    <w:rsid w:val="00342EC8"/>
    <w:rsid w:val="00343BEE"/>
    <w:rsid w:val="00343E9A"/>
    <w:rsid w:val="003440C8"/>
    <w:rsid w:val="00344AC4"/>
    <w:rsid w:val="00344E94"/>
    <w:rsid w:val="003451BB"/>
    <w:rsid w:val="003451C0"/>
    <w:rsid w:val="0034686B"/>
    <w:rsid w:val="0034694D"/>
    <w:rsid w:val="00347061"/>
    <w:rsid w:val="00347893"/>
    <w:rsid w:val="003478A5"/>
    <w:rsid w:val="00347D0F"/>
    <w:rsid w:val="0035050B"/>
    <w:rsid w:val="00350659"/>
    <w:rsid w:val="00350817"/>
    <w:rsid w:val="00350B75"/>
    <w:rsid w:val="0035179A"/>
    <w:rsid w:val="0035211C"/>
    <w:rsid w:val="003527CA"/>
    <w:rsid w:val="00352F5E"/>
    <w:rsid w:val="00353232"/>
    <w:rsid w:val="00353646"/>
    <w:rsid w:val="003536E9"/>
    <w:rsid w:val="00353734"/>
    <w:rsid w:val="00353CF7"/>
    <w:rsid w:val="00353D98"/>
    <w:rsid w:val="00353DC3"/>
    <w:rsid w:val="00354449"/>
    <w:rsid w:val="0035448C"/>
    <w:rsid w:val="003549B3"/>
    <w:rsid w:val="003549C8"/>
    <w:rsid w:val="00354C3C"/>
    <w:rsid w:val="00354FD8"/>
    <w:rsid w:val="0035509E"/>
    <w:rsid w:val="003554B7"/>
    <w:rsid w:val="003557C7"/>
    <w:rsid w:val="003558D4"/>
    <w:rsid w:val="00355EF6"/>
    <w:rsid w:val="0035613F"/>
    <w:rsid w:val="00356682"/>
    <w:rsid w:val="0035684B"/>
    <w:rsid w:val="00356DBC"/>
    <w:rsid w:val="003572C5"/>
    <w:rsid w:val="00360460"/>
    <w:rsid w:val="00360E14"/>
    <w:rsid w:val="00360F46"/>
    <w:rsid w:val="003613E2"/>
    <w:rsid w:val="00361A82"/>
    <w:rsid w:val="003621A3"/>
    <w:rsid w:val="003622A9"/>
    <w:rsid w:val="00362302"/>
    <w:rsid w:val="003628CA"/>
    <w:rsid w:val="00362AE7"/>
    <w:rsid w:val="00362AF1"/>
    <w:rsid w:val="0036355B"/>
    <w:rsid w:val="003637B0"/>
    <w:rsid w:val="003638F5"/>
    <w:rsid w:val="00363D2E"/>
    <w:rsid w:val="00363D72"/>
    <w:rsid w:val="003650AD"/>
    <w:rsid w:val="00365342"/>
    <w:rsid w:val="00366DCB"/>
    <w:rsid w:val="0036712B"/>
    <w:rsid w:val="00367541"/>
    <w:rsid w:val="00367D5E"/>
    <w:rsid w:val="00367DAC"/>
    <w:rsid w:val="00367E2A"/>
    <w:rsid w:val="00367E7C"/>
    <w:rsid w:val="00367F59"/>
    <w:rsid w:val="00370228"/>
    <w:rsid w:val="0037090F"/>
    <w:rsid w:val="00370DA5"/>
    <w:rsid w:val="0037108D"/>
    <w:rsid w:val="0037195F"/>
    <w:rsid w:val="003719E6"/>
    <w:rsid w:val="00371F93"/>
    <w:rsid w:val="00372156"/>
    <w:rsid w:val="00372A39"/>
    <w:rsid w:val="00373284"/>
    <w:rsid w:val="00373889"/>
    <w:rsid w:val="00373E19"/>
    <w:rsid w:val="003745B7"/>
    <w:rsid w:val="0037474F"/>
    <w:rsid w:val="00374882"/>
    <w:rsid w:val="00374D54"/>
    <w:rsid w:val="003751AD"/>
    <w:rsid w:val="003755A8"/>
    <w:rsid w:val="003756FD"/>
    <w:rsid w:val="0037591E"/>
    <w:rsid w:val="00376A67"/>
    <w:rsid w:val="00376EC1"/>
    <w:rsid w:val="00377530"/>
    <w:rsid w:val="00377CDE"/>
    <w:rsid w:val="00380870"/>
    <w:rsid w:val="003808B3"/>
    <w:rsid w:val="00380B85"/>
    <w:rsid w:val="00380E53"/>
    <w:rsid w:val="00380EBF"/>
    <w:rsid w:val="00380FBA"/>
    <w:rsid w:val="00381260"/>
    <w:rsid w:val="0038181B"/>
    <w:rsid w:val="00381AFC"/>
    <w:rsid w:val="00381DDC"/>
    <w:rsid w:val="00381E08"/>
    <w:rsid w:val="0038225B"/>
    <w:rsid w:val="00382A1D"/>
    <w:rsid w:val="00382A79"/>
    <w:rsid w:val="00383C10"/>
    <w:rsid w:val="00384D78"/>
    <w:rsid w:val="00384F36"/>
    <w:rsid w:val="003850FA"/>
    <w:rsid w:val="003855EA"/>
    <w:rsid w:val="00385A15"/>
    <w:rsid w:val="0038618D"/>
    <w:rsid w:val="003861AB"/>
    <w:rsid w:val="0038724E"/>
    <w:rsid w:val="0038734B"/>
    <w:rsid w:val="00387CE5"/>
    <w:rsid w:val="00390656"/>
    <w:rsid w:val="00390837"/>
    <w:rsid w:val="003908AE"/>
    <w:rsid w:val="00390AC1"/>
    <w:rsid w:val="00391135"/>
    <w:rsid w:val="00391C3B"/>
    <w:rsid w:val="0039205F"/>
    <w:rsid w:val="00392E5A"/>
    <w:rsid w:val="0039303E"/>
    <w:rsid w:val="0039332E"/>
    <w:rsid w:val="0039375B"/>
    <w:rsid w:val="003937A5"/>
    <w:rsid w:val="003939E2"/>
    <w:rsid w:val="00393EE8"/>
    <w:rsid w:val="003949E5"/>
    <w:rsid w:val="003955F1"/>
    <w:rsid w:val="00395868"/>
    <w:rsid w:val="00395917"/>
    <w:rsid w:val="00395CB8"/>
    <w:rsid w:val="003961CE"/>
    <w:rsid w:val="0039662C"/>
    <w:rsid w:val="00396D5F"/>
    <w:rsid w:val="00396E29"/>
    <w:rsid w:val="00396F09"/>
    <w:rsid w:val="00396FA8"/>
    <w:rsid w:val="003A0D1B"/>
    <w:rsid w:val="003A0FEF"/>
    <w:rsid w:val="003A173D"/>
    <w:rsid w:val="003A2649"/>
    <w:rsid w:val="003A2A91"/>
    <w:rsid w:val="003A3251"/>
    <w:rsid w:val="003A39AA"/>
    <w:rsid w:val="003A4279"/>
    <w:rsid w:val="003A454A"/>
    <w:rsid w:val="003A4C9F"/>
    <w:rsid w:val="003A4F60"/>
    <w:rsid w:val="003A5B1F"/>
    <w:rsid w:val="003A5DF6"/>
    <w:rsid w:val="003A6108"/>
    <w:rsid w:val="003A617E"/>
    <w:rsid w:val="003A630B"/>
    <w:rsid w:val="003A6372"/>
    <w:rsid w:val="003A6590"/>
    <w:rsid w:val="003A6839"/>
    <w:rsid w:val="003A7908"/>
    <w:rsid w:val="003A7BA9"/>
    <w:rsid w:val="003B000C"/>
    <w:rsid w:val="003B05E7"/>
    <w:rsid w:val="003B0686"/>
    <w:rsid w:val="003B0A5E"/>
    <w:rsid w:val="003B0CFD"/>
    <w:rsid w:val="003B0E3E"/>
    <w:rsid w:val="003B13FC"/>
    <w:rsid w:val="003B1471"/>
    <w:rsid w:val="003B1718"/>
    <w:rsid w:val="003B1944"/>
    <w:rsid w:val="003B1ADB"/>
    <w:rsid w:val="003B25BC"/>
    <w:rsid w:val="003B28F3"/>
    <w:rsid w:val="003B2D38"/>
    <w:rsid w:val="003B2DCF"/>
    <w:rsid w:val="003B2F53"/>
    <w:rsid w:val="003B5525"/>
    <w:rsid w:val="003B5A37"/>
    <w:rsid w:val="003B673D"/>
    <w:rsid w:val="003B6CEE"/>
    <w:rsid w:val="003B6E42"/>
    <w:rsid w:val="003B6F66"/>
    <w:rsid w:val="003B7307"/>
    <w:rsid w:val="003B7367"/>
    <w:rsid w:val="003B74AD"/>
    <w:rsid w:val="003B7666"/>
    <w:rsid w:val="003B7684"/>
    <w:rsid w:val="003B7836"/>
    <w:rsid w:val="003B795E"/>
    <w:rsid w:val="003B7A8C"/>
    <w:rsid w:val="003C0156"/>
    <w:rsid w:val="003C022F"/>
    <w:rsid w:val="003C023B"/>
    <w:rsid w:val="003C0683"/>
    <w:rsid w:val="003C099D"/>
    <w:rsid w:val="003C09E3"/>
    <w:rsid w:val="003C0DD3"/>
    <w:rsid w:val="003C209B"/>
    <w:rsid w:val="003C2A2C"/>
    <w:rsid w:val="003C3511"/>
    <w:rsid w:val="003C3B8B"/>
    <w:rsid w:val="003C3E9C"/>
    <w:rsid w:val="003C41D6"/>
    <w:rsid w:val="003C42F0"/>
    <w:rsid w:val="003C504F"/>
    <w:rsid w:val="003C5F7F"/>
    <w:rsid w:val="003C6465"/>
    <w:rsid w:val="003C67E6"/>
    <w:rsid w:val="003C6CAB"/>
    <w:rsid w:val="003C6EBE"/>
    <w:rsid w:val="003C790F"/>
    <w:rsid w:val="003D0843"/>
    <w:rsid w:val="003D10FF"/>
    <w:rsid w:val="003D11DB"/>
    <w:rsid w:val="003D1D0F"/>
    <w:rsid w:val="003D1E16"/>
    <w:rsid w:val="003D1F51"/>
    <w:rsid w:val="003D290E"/>
    <w:rsid w:val="003D2ED3"/>
    <w:rsid w:val="003D3336"/>
    <w:rsid w:val="003D340C"/>
    <w:rsid w:val="003D386B"/>
    <w:rsid w:val="003D3CF5"/>
    <w:rsid w:val="003D3EA7"/>
    <w:rsid w:val="003D46D0"/>
    <w:rsid w:val="003D4A8D"/>
    <w:rsid w:val="003D5419"/>
    <w:rsid w:val="003D5856"/>
    <w:rsid w:val="003D5ECE"/>
    <w:rsid w:val="003D6C9C"/>
    <w:rsid w:val="003D72AA"/>
    <w:rsid w:val="003D7702"/>
    <w:rsid w:val="003D77DB"/>
    <w:rsid w:val="003E073F"/>
    <w:rsid w:val="003E074C"/>
    <w:rsid w:val="003E13F6"/>
    <w:rsid w:val="003E169A"/>
    <w:rsid w:val="003E19E1"/>
    <w:rsid w:val="003E2230"/>
    <w:rsid w:val="003E2540"/>
    <w:rsid w:val="003E2AC2"/>
    <w:rsid w:val="003E3201"/>
    <w:rsid w:val="003E32D8"/>
    <w:rsid w:val="003E445E"/>
    <w:rsid w:val="003E4727"/>
    <w:rsid w:val="003E47FD"/>
    <w:rsid w:val="003E4D8F"/>
    <w:rsid w:val="003E4DD4"/>
    <w:rsid w:val="003E4FC1"/>
    <w:rsid w:val="003E5135"/>
    <w:rsid w:val="003E590A"/>
    <w:rsid w:val="003E5FF4"/>
    <w:rsid w:val="003E62D3"/>
    <w:rsid w:val="003E658C"/>
    <w:rsid w:val="003E6CEC"/>
    <w:rsid w:val="003E7227"/>
    <w:rsid w:val="003E76DA"/>
    <w:rsid w:val="003E7764"/>
    <w:rsid w:val="003E77F1"/>
    <w:rsid w:val="003E79B9"/>
    <w:rsid w:val="003E7CF6"/>
    <w:rsid w:val="003F0024"/>
    <w:rsid w:val="003F0437"/>
    <w:rsid w:val="003F09F1"/>
    <w:rsid w:val="003F0EF1"/>
    <w:rsid w:val="003F0F27"/>
    <w:rsid w:val="003F0F3E"/>
    <w:rsid w:val="003F119E"/>
    <w:rsid w:val="003F12EA"/>
    <w:rsid w:val="003F14FA"/>
    <w:rsid w:val="003F1AA2"/>
    <w:rsid w:val="003F1B6B"/>
    <w:rsid w:val="003F1EDA"/>
    <w:rsid w:val="003F2222"/>
    <w:rsid w:val="003F2D72"/>
    <w:rsid w:val="003F3045"/>
    <w:rsid w:val="003F3460"/>
    <w:rsid w:val="003F3B5E"/>
    <w:rsid w:val="003F4567"/>
    <w:rsid w:val="003F493B"/>
    <w:rsid w:val="003F53B8"/>
    <w:rsid w:val="003F5FBD"/>
    <w:rsid w:val="003F6018"/>
    <w:rsid w:val="003F628A"/>
    <w:rsid w:val="003F6468"/>
    <w:rsid w:val="003F6A24"/>
    <w:rsid w:val="003F6FAA"/>
    <w:rsid w:val="003F736A"/>
    <w:rsid w:val="003F776D"/>
    <w:rsid w:val="004005E9"/>
    <w:rsid w:val="004006CE"/>
    <w:rsid w:val="0040150F"/>
    <w:rsid w:val="00401766"/>
    <w:rsid w:val="00401C62"/>
    <w:rsid w:val="00401C73"/>
    <w:rsid w:val="00401D93"/>
    <w:rsid w:val="00402148"/>
    <w:rsid w:val="0040239A"/>
    <w:rsid w:val="00402ADB"/>
    <w:rsid w:val="00402BF5"/>
    <w:rsid w:val="00403616"/>
    <w:rsid w:val="004036A5"/>
    <w:rsid w:val="004037C0"/>
    <w:rsid w:val="00403FC8"/>
    <w:rsid w:val="0040456A"/>
    <w:rsid w:val="004049A3"/>
    <w:rsid w:val="00404BA9"/>
    <w:rsid w:val="00404BD9"/>
    <w:rsid w:val="00404CC1"/>
    <w:rsid w:val="00404E8D"/>
    <w:rsid w:val="004051E7"/>
    <w:rsid w:val="00405A71"/>
    <w:rsid w:val="00405DE1"/>
    <w:rsid w:val="004060C9"/>
    <w:rsid w:val="0040682E"/>
    <w:rsid w:val="00406B47"/>
    <w:rsid w:val="0040712D"/>
    <w:rsid w:val="0040757F"/>
    <w:rsid w:val="00407783"/>
    <w:rsid w:val="00407C33"/>
    <w:rsid w:val="0041035B"/>
    <w:rsid w:val="004103AA"/>
    <w:rsid w:val="004104CF"/>
    <w:rsid w:val="00410777"/>
    <w:rsid w:val="00410DFA"/>
    <w:rsid w:val="00410EB9"/>
    <w:rsid w:val="00410EF4"/>
    <w:rsid w:val="00411351"/>
    <w:rsid w:val="00411643"/>
    <w:rsid w:val="00411A13"/>
    <w:rsid w:val="00412423"/>
    <w:rsid w:val="00412678"/>
    <w:rsid w:val="00412BDC"/>
    <w:rsid w:val="00413320"/>
    <w:rsid w:val="0041427A"/>
    <w:rsid w:val="00414521"/>
    <w:rsid w:val="004148E5"/>
    <w:rsid w:val="00414AA9"/>
    <w:rsid w:val="00415499"/>
    <w:rsid w:val="004159D8"/>
    <w:rsid w:val="00415BDC"/>
    <w:rsid w:val="00415E88"/>
    <w:rsid w:val="00415F3C"/>
    <w:rsid w:val="004161C9"/>
    <w:rsid w:val="004164EB"/>
    <w:rsid w:val="0041692C"/>
    <w:rsid w:val="00417595"/>
    <w:rsid w:val="00417CEE"/>
    <w:rsid w:val="00417D6E"/>
    <w:rsid w:val="00420550"/>
    <w:rsid w:val="00420587"/>
    <w:rsid w:val="0042084E"/>
    <w:rsid w:val="00420CE9"/>
    <w:rsid w:val="0042139D"/>
    <w:rsid w:val="00421775"/>
    <w:rsid w:val="00421852"/>
    <w:rsid w:val="00422041"/>
    <w:rsid w:val="00422A75"/>
    <w:rsid w:val="00422EA8"/>
    <w:rsid w:val="00423173"/>
    <w:rsid w:val="00423626"/>
    <w:rsid w:val="00423CD4"/>
    <w:rsid w:val="0042423E"/>
    <w:rsid w:val="0042439C"/>
    <w:rsid w:val="004243A5"/>
    <w:rsid w:val="004247B1"/>
    <w:rsid w:val="00424CEC"/>
    <w:rsid w:val="004258D2"/>
    <w:rsid w:val="00425BFD"/>
    <w:rsid w:val="0042615E"/>
    <w:rsid w:val="00426F9E"/>
    <w:rsid w:val="0042756B"/>
    <w:rsid w:val="004277AD"/>
    <w:rsid w:val="004277C7"/>
    <w:rsid w:val="00427A46"/>
    <w:rsid w:val="00427C33"/>
    <w:rsid w:val="0043039A"/>
    <w:rsid w:val="00431107"/>
    <w:rsid w:val="00431595"/>
    <w:rsid w:val="0043161C"/>
    <w:rsid w:val="0043194D"/>
    <w:rsid w:val="004321C9"/>
    <w:rsid w:val="00432B56"/>
    <w:rsid w:val="00432EB2"/>
    <w:rsid w:val="004341A7"/>
    <w:rsid w:val="0043456E"/>
    <w:rsid w:val="0043476C"/>
    <w:rsid w:val="00434CB5"/>
    <w:rsid w:val="00434EB2"/>
    <w:rsid w:val="004351DB"/>
    <w:rsid w:val="00436039"/>
    <w:rsid w:val="00436438"/>
    <w:rsid w:val="00436656"/>
    <w:rsid w:val="00436674"/>
    <w:rsid w:val="00436A8E"/>
    <w:rsid w:val="00436D19"/>
    <w:rsid w:val="00436D53"/>
    <w:rsid w:val="00436D8B"/>
    <w:rsid w:val="0043729C"/>
    <w:rsid w:val="00440019"/>
    <w:rsid w:val="004400EE"/>
    <w:rsid w:val="00440437"/>
    <w:rsid w:val="004407C6"/>
    <w:rsid w:val="00440863"/>
    <w:rsid w:val="0044090B"/>
    <w:rsid w:val="00440AF3"/>
    <w:rsid w:val="004414A9"/>
    <w:rsid w:val="004415E3"/>
    <w:rsid w:val="00441A11"/>
    <w:rsid w:val="00441B4C"/>
    <w:rsid w:val="00441F67"/>
    <w:rsid w:val="0044218B"/>
    <w:rsid w:val="004422FA"/>
    <w:rsid w:val="004425EA"/>
    <w:rsid w:val="00442990"/>
    <w:rsid w:val="00442DFE"/>
    <w:rsid w:val="00442FD9"/>
    <w:rsid w:val="0044312D"/>
    <w:rsid w:val="00443921"/>
    <w:rsid w:val="00443F81"/>
    <w:rsid w:val="004442BB"/>
    <w:rsid w:val="004442C1"/>
    <w:rsid w:val="00444564"/>
    <w:rsid w:val="00444CB4"/>
    <w:rsid w:val="00444F1C"/>
    <w:rsid w:val="00444F81"/>
    <w:rsid w:val="0044528D"/>
    <w:rsid w:val="004453C3"/>
    <w:rsid w:val="0044565A"/>
    <w:rsid w:val="00445EBA"/>
    <w:rsid w:val="00446371"/>
    <w:rsid w:val="004463B9"/>
    <w:rsid w:val="00446D5E"/>
    <w:rsid w:val="00447533"/>
    <w:rsid w:val="00450035"/>
    <w:rsid w:val="004504F9"/>
    <w:rsid w:val="00450544"/>
    <w:rsid w:val="0045057A"/>
    <w:rsid w:val="0045088E"/>
    <w:rsid w:val="00450F96"/>
    <w:rsid w:val="00451437"/>
    <w:rsid w:val="00451C08"/>
    <w:rsid w:val="00451ED2"/>
    <w:rsid w:val="00451F1A"/>
    <w:rsid w:val="004520E0"/>
    <w:rsid w:val="004528C3"/>
    <w:rsid w:val="00452C58"/>
    <w:rsid w:val="00453245"/>
    <w:rsid w:val="0045332F"/>
    <w:rsid w:val="00453427"/>
    <w:rsid w:val="00453BB7"/>
    <w:rsid w:val="004541D3"/>
    <w:rsid w:val="004542E7"/>
    <w:rsid w:val="00454431"/>
    <w:rsid w:val="0045455D"/>
    <w:rsid w:val="00454736"/>
    <w:rsid w:val="00455D29"/>
    <w:rsid w:val="00456071"/>
    <w:rsid w:val="0045653B"/>
    <w:rsid w:val="00457E12"/>
    <w:rsid w:val="00460051"/>
    <w:rsid w:val="00460724"/>
    <w:rsid w:val="00460B1E"/>
    <w:rsid w:val="00460EBE"/>
    <w:rsid w:val="0046131C"/>
    <w:rsid w:val="004613C4"/>
    <w:rsid w:val="00461990"/>
    <w:rsid w:val="0046213B"/>
    <w:rsid w:val="004633BE"/>
    <w:rsid w:val="00463951"/>
    <w:rsid w:val="00463A53"/>
    <w:rsid w:val="00463FCF"/>
    <w:rsid w:val="00464431"/>
    <w:rsid w:val="00464568"/>
    <w:rsid w:val="00464BA0"/>
    <w:rsid w:val="00464D3E"/>
    <w:rsid w:val="00464E9B"/>
    <w:rsid w:val="00464EDC"/>
    <w:rsid w:val="004652F0"/>
    <w:rsid w:val="00465969"/>
    <w:rsid w:val="00465CCF"/>
    <w:rsid w:val="0046618F"/>
    <w:rsid w:val="00466FD6"/>
    <w:rsid w:val="00467234"/>
    <w:rsid w:val="00467371"/>
    <w:rsid w:val="0046751C"/>
    <w:rsid w:val="00467BC5"/>
    <w:rsid w:val="00467DEE"/>
    <w:rsid w:val="00470564"/>
    <w:rsid w:val="00470C8A"/>
    <w:rsid w:val="00470D51"/>
    <w:rsid w:val="00470E87"/>
    <w:rsid w:val="004711B1"/>
    <w:rsid w:val="00471445"/>
    <w:rsid w:val="00471D85"/>
    <w:rsid w:val="00471E48"/>
    <w:rsid w:val="00472285"/>
    <w:rsid w:val="00472368"/>
    <w:rsid w:val="0047253B"/>
    <w:rsid w:val="004728E2"/>
    <w:rsid w:val="00472A27"/>
    <w:rsid w:val="004735E1"/>
    <w:rsid w:val="00473BAD"/>
    <w:rsid w:val="00473CBE"/>
    <w:rsid w:val="004740F7"/>
    <w:rsid w:val="0047465A"/>
    <w:rsid w:val="00474B83"/>
    <w:rsid w:val="00474BD3"/>
    <w:rsid w:val="00475235"/>
    <w:rsid w:val="00475332"/>
    <w:rsid w:val="0047551A"/>
    <w:rsid w:val="004755E9"/>
    <w:rsid w:val="00475E60"/>
    <w:rsid w:val="00476D50"/>
    <w:rsid w:val="0047724F"/>
    <w:rsid w:val="00477C2A"/>
    <w:rsid w:val="00480388"/>
    <w:rsid w:val="00480500"/>
    <w:rsid w:val="004808F3"/>
    <w:rsid w:val="00481199"/>
    <w:rsid w:val="00481DAB"/>
    <w:rsid w:val="0048227F"/>
    <w:rsid w:val="00482409"/>
    <w:rsid w:val="00482A8A"/>
    <w:rsid w:val="00482AFC"/>
    <w:rsid w:val="00482FCD"/>
    <w:rsid w:val="004831D9"/>
    <w:rsid w:val="00484352"/>
    <w:rsid w:val="00484748"/>
    <w:rsid w:val="0048514B"/>
    <w:rsid w:val="00485A56"/>
    <w:rsid w:val="004863FE"/>
    <w:rsid w:val="004874F6"/>
    <w:rsid w:val="0049008B"/>
    <w:rsid w:val="004906B5"/>
    <w:rsid w:val="00490B92"/>
    <w:rsid w:val="00491313"/>
    <w:rsid w:val="00491EAC"/>
    <w:rsid w:val="0049214B"/>
    <w:rsid w:val="0049341E"/>
    <w:rsid w:val="00493660"/>
    <w:rsid w:val="00493900"/>
    <w:rsid w:val="00493AC5"/>
    <w:rsid w:val="00494690"/>
    <w:rsid w:val="00494833"/>
    <w:rsid w:val="00494DE8"/>
    <w:rsid w:val="00494E8B"/>
    <w:rsid w:val="0049507D"/>
    <w:rsid w:val="004955CA"/>
    <w:rsid w:val="00495ADF"/>
    <w:rsid w:val="004963EE"/>
    <w:rsid w:val="00496B73"/>
    <w:rsid w:val="00497684"/>
    <w:rsid w:val="00497CFD"/>
    <w:rsid w:val="004A0306"/>
    <w:rsid w:val="004A03C3"/>
    <w:rsid w:val="004A0531"/>
    <w:rsid w:val="004A0DD4"/>
    <w:rsid w:val="004A0E4B"/>
    <w:rsid w:val="004A109D"/>
    <w:rsid w:val="004A125F"/>
    <w:rsid w:val="004A1E1A"/>
    <w:rsid w:val="004A23BA"/>
    <w:rsid w:val="004A2687"/>
    <w:rsid w:val="004A36D7"/>
    <w:rsid w:val="004A3768"/>
    <w:rsid w:val="004A3C90"/>
    <w:rsid w:val="004A4706"/>
    <w:rsid w:val="004A4C6F"/>
    <w:rsid w:val="004A5B08"/>
    <w:rsid w:val="004A6857"/>
    <w:rsid w:val="004A69AE"/>
    <w:rsid w:val="004A7211"/>
    <w:rsid w:val="004A7404"/>
    <w:rsid w:val="004A76F0"/>
    <w:rsid w:val="004A7F94"/>
    <w:rsid w:val="004B03DD"/>
    <w:rsid w:val="004B0648"/>
    <w:rsid w:val="004B0AF8"/>
    <w:rsid w:val="004B0DFA"/>
    <w:rsid w:val="004B0FB5"/>
    <w:rsid w:val="004B103D"/>
    <w:rsid w:val="004B1619"/>
    <w:rsid w:val="004B16BC"/>
    <w:rsid w:val="004B1735"/>
    <w:rsid w:val="004B201C"/>
    <w:rsid w:val="004B22D8"/>
    <w:rsid w:val="004B2E7E"/>
    <w:rsid w:val="004B2EC1"/>
    <w:rsid w:val="004B359A"/>
    <w:rsid w:val="004B3881"/>
    <w:rsid w:val="004B38C9"/>
    <w:rsid w:val="004B3E2F"/>
    <w:rsid w:val="004B4210"/>
    <w:rsid w:val="004B441C"/>
    <w:rsid w:val="004B4479"/>
    <w:rsid w:val="004B52EE"/>
    <w:rsid w:val="004B5955"/>
    <w:rsid w:val="004B59E0"/>
    <w:rsid w:val="004B5B5F"/>
    <w:rsid w:val="004B5E5D"/>
    <w:rsid w:val="004B63D9"/>
    <w:rsid w:val="004B6B4A"/>
    <w:rsid w:val="004B782C"/>
    <w:rsid w:val="004B7CAE"/>
    <w:rsid w:val="004C0154"/>
    <w:rsid w:val="004C0184"/>
    <w:rsid w:val="004C1A29"/>
    <w:rsid w:val="004C1DCD"/>
    <w:rsid w:val="004C1EF8"/>
    <w:rsid w:val="004C2006"/>
    <w:rsid w:val="004C26B9"/>
    <w:rsid w:val="004C2A0A"/>
    <w:rsid w:val="004C3A68"/>
    <w:rsid w:val="004C45A7"/>
    <w:rsid w:val="004C5C05"/>
    <w:rsid w:val="004C648E"/>
    <w:rsid w:val="004C67D5"/>
    <w:rsid w:val="004C6805"/>
    <w:rsid w:val="004C6E6C"/>
    <w:rsid w:val="004C702B"/>
    <w:rsid w:val="004C785E"/>
    <w:rsid w:val="004C7EB9"/>
    <w:rsid w:val="004D009C"/>
    <w:rsid w:val="004D0604"/>
    <w:rsid w:val="004D09F6"/>
    <w:rsid w:val="004D0A8C"/>
    <w:rsid w:val="004D19DE"/>
    <w:rsid w:val="004D1CF8"/>
    <w:rsid w:val="004D1E03"/>
    <w:rsid w:val="004D2049"/>
    <w:rsid w:val="004D2135"/>
    <w:rsid w:val="004D2792"/>
    <w:rsid w:val="004D2D7E"/>
    <w:rsid w:val="004D352C"/>
    <w:rsid w:val="004D3900"/>
    <w:rsid w:val="004D3A80"/>
    <w:rsid w:val="004D3AD0"/>
    <w:rsid w:val="004D3C64"/>
    <w:rsid w:val="004D3DE4"/>
    <w:rsid w:val="004D4482"/>
    <w:rsid w:val="004D4D52"/>
    <w:rsid w:val="004D56B6"/>
    <w:rsid w:val="004D69F3"/>
    <w:rsid w:val="004D6E74"/>
    <w:rsid w:val="004D6ED8"/>
    <w:rsid w:val="004D7134"/>
    <w:rsid w:val="004D71A5"/>
    <w:rsid w:val="004D7512"/>
    <w:rsid w:val="004D766E"/>
    <w:rsid w:val="004E038D"/>
    <w:rsid w:val="004E04A9"/>
    <w:rsid w:val="004E0F4D"/>
    <w:rsid w:val="004E10D3"/>
    <w:rsid w:val="004E1514"/>
    <w:rsid w:val="004E2B86"/>
    <w:rsid w:val="004E32EB"/>
    <w:rsid w:val="004E3300"/>
    <w:rsid w:val="004E33CD"/>
    <w:rsid w:val="004E3588"/>
    <w:rsid w:val="004E3E2D"/>
    <w:rsid w:val="004E3ED3"/>
    <w:rsid w:val="004E4032"/>
    <w:rsid w:val="004E41B6"/>
    <w:rsid w:val="004E43D6"/>
    <w:rsid w:val="004E44C1"/>
    <w:rsid w:val="004E45E8"/>
    <w:rsid w:val="004E4BEF"/>
    <w:rsid w:val="004E5550"/>
    <w:rsid w:val="004E56D1"/>
    <w:rsid w:val="004E5B78"/>
    <w:rsid w:val="004E5C1A"/>
    <w:rsid w:val="004E6A06"/>
    <w:rsid w:val="004E6A89"/>
    <w:rsid w:val="004E7435"/>
    <w:rsid w:val="004F0016"/>
    <w:rsid w:val="004F0762"/>
    <w:rsid w:val="004F175A"/>
    <w:rsid w:val="004F1D6B"/>
    <w:rsid w:val="004F2410"/>
    <w:rsid w:val="004F3996"/>
    <w:rsid w:val="004F3E07"/>
    <w:rsid w:val="004F4584"/>
    <w:rsid w:val="004F458E"/>
    <w:rsid w:val="004F4C6D"/>
    <w:rsid w:val="004F4D00"/>
    <w:rsid w:val="004F4DC3"/>
    <w:rsid w:val="004F4F4D"/>
    <w:rsid w:val="004F5F5E"/>
    <w:rsid w:val="004F61F0"/>
    <w:rsid w:val="004F69A9"/>
    <w:rsid w:val="004F6AA6"/>
    <w:rsid w:val="004F768B"/>
    <w:rsid w:val="00500D32"/>
    <w:rsid w:val="00500DF0"/>
    <w:rsid w:val="00501217"/>
    <w:rsid w:val="005016C9"/>
    <w:rsid w:val="00501951"/>
    <w:rsid w:val="00501AE7"/>
    <w:rsid w:val="00502144"/>
    <w:rsid w:val="0050228E"/>
    <w:rsid w:val="00502E04"/>
    <w:rsid w:val="00502EF5"/>
    <w:rsid w:val="00502F17"/>
    <w:rsid w:val="005031CB"/>
    <w:rsid w:val="0050385D"/>
    <w:rsid w:val="005043CB"/>
    <w:rsid w:val="0050460C"/>
    <w:rsid w:val="0050469B"/>
    <w:rsid w:val="00504954"/>
    <w:rsid w:val="00504AC3"/>
    <w:rsid w:val="00504BCC"/>
    <w:rsid w:val="005055F3"/>
    <w:rsid w:val="00506282"/>
    <w:rsid w:val="00506495"/>
    <w:rsid w:val="005065CE"/>
    <w:rsid w:val="00506617"/>
    <w:rsid w:val="005070C1"/>
    <w:rsid w:val="005078E7"/>
    <w:rsid w:val="0051018C"/>
    <w:rsid w:val="00511269"/>
    <w:rsid w:val="00511637"/>
    <w:rsid w:val="00511B9D"/>
    <w:rsid w:val="00511C5F"/>
    <w:rsid w:val="00511D18"/>
    <w:rsid w:val="005120A8"/>
    <w:rsid w:val="005120BE"/>
    <w:rsid w:val="005122F7"/>
    <w:rsid w:val="00512E93"/>
    <w:rsid w:val="00513F57"/>
    <w:rsid w:val="00513FF4"/>
    <w:rsid w:val="0051410C"/>
    <w:rsid w:val="005141D6"/>
    <w:rsid w:val="005143F5"/>
    <w:rsid w:val="00514672"/>
    <w:rsid w:val="00514A16"/>
    <w:rsid w:val="00514D51"/>
    <w:rsid w:val="00514F05"/>
    <w:rsid w:val="005157CC"/>
    <w:rsid w:val="00515F28"/>
    <w:rsid w:val="005169C2"/>
    <w:rsid w:val="005177B1"/>
    <w:rsid w:val="0051781A"/>
    <w:rsid w:val="00517CBC"/>
    <w:rsid w:val="00517FB4"/>
    <w:rsid w:val="005206A3"/>
    <w:rsid w:val="00520952"/>
    <w:rsid w:val="00521064"/>
    <w:rsid w:val="00521165"/>
    <w:rsid w:val="0052140E"/>
    <w:rsid w:val="00521910"/>
    <w:rsid w:val="005219F5"/>
    <w:rsid w:val="00521ECD"/>
    <w:rsid w:val="00521F58"/>
    <w:rsid w:val="00521F81"/>
    <w:rsid w:val="0052211E"/>
    <w:rsid w:val="00522438"/>
    <w:rsid w:val="0052299E"/>
    <w:rsid w:val="00522F8F"/>
    <w:rsid w:val="005238E9"/>
    <w:rsid w:val="00524301"/>
    <w:rsid w:val="005247EE"/>
    <w:rsid w:val="00524A39"/>
    <w:rsid w:val="00524D15"/>
    <w:rsid w:val="00525B19"/>
    <w:rsid w:val="00525F2C"/>
    <w:rsid w:val="005261F0"/>
    <w:rsid w:val="005263E6"/>
    <w:rsid w:val="00526939"/>
    <w:rsid w:val="00526B4C"/>
    <w:rsid w:val="0052701D"/>
    <w:rsid w:val="00527087"/>
    <w:rsid w:val="005271BB"/>
    <w:rsid w:val="0053017A"/>
    <w:rsid w:val="005301C9"/>
    <w:rsid w:val="005306D7"/>
    <w:rsid w:val="00530DD8"/>
    <w:rsid w:val="00530FC1"/>
    <w:rsid w:val="00531FF4"/>
    <w:rsid w:val="00532806"/>
    <w:rsid w:val="00532907"/>
    <w:rsid w:val="0053290D"/>
    <w:rsid w:val="00532C8F"/>
    <w:rsid w:val="0053361E"/>
    <w:rsid w:val="00533731"/>
    <w:rsid w:val="00533A0B"/>
    <w:rsid w:val="00533BA7"/>
    <w:rsid w:val="00534300"/>
    <w:rsid w:val="00534778"/>
    <w:rsid w:val="00534C1F"/>
    <w:rsid w:val="00536297"/>
    <w:rsid w:val="00536DA7"/>
    <w:rsid w:val="00536FFE"/>
    <w:rsid w:val="0053770F"/>
    <w:rsid w:val="0053785D"/>
    <w:rsid w:val="00537BDB"/>
    <w:rsid w:val="005403D2"/>
    <w:rsid w:val="00540740"/>
    <w:rsid w:val="00540BA2"/>
    <w:rsid w:val="00540E05"/>
    <w:rsid w:val="005410EB"/>
    <w:rsid w:val="00541305"/>
    <w:rsid w:val="00541542"/>
    <w:rsid w:val="00541FEE"/>
    <w:rsid w:val="0054235D"/>
    <w:rsid w:val="005427B1"/>
    <w:rsid w:val="00542C7C"/>
    <w:rsid w:val="00542CD2"/>
    <w:rsid w:val="00542FFB"/>
    <w:rsid w:val="00543C27"/>
    <w:rsid w:val="00543C60"/>
    <w:rsid w:val="00543E91"/>
    <w:rsid w:val="005441AE"/>
    <w:rsid w:val="005442AA"/>
    <w:rsid w:val="0054431E"/>
    <w:rsid w:val="0054445B"/>
    <w:rsid w:val="00544C83"/>
    <w:rsid w:val="00544EC8"/>
    <w:rsid w:val="00545358"/>
    <w:rsid w:val="00545A97"/>
    <w:rsid w:val="00545E98"/>
    <w:rsid w:val="00546B0D"/>
    <w:rsid w:val="00547107"/>
    <w:rsid w:val="005476DD"/>
    <w:rsid w:val="005478F9"/>
    <w:rsid w:val="005500C5"/>
    <w:rsid w:val="005502D6"/>
    <w:rsid w:val="0055230B"/>
    <w:rsid w:val="00552421"/>
    <w:rsid w:val="00552636"/>
    <w:rsid w:val="00552B60"/>
    <w:rsid w:val="00553B76"/>
    <w:rsid w:val="00554170"/>
    <w:rsid w:val="00554616"/>
    <w:rsid w:val="00554A7B"/>
    <w:rsid w:val="0055519E"/>
    <w:rsid w:val="00555D17"/>
    <w:rsid w:val="0055633E"/>
    <w:rsid w:val="0055733C"/>
    <w:rsid w:val="005575A8"/>
    <w:rsid w:val="00557B48"/>
    <w:rsid w:val="00557F16"/>
    <w:rsid w:val="005608EA"/>
    <w:rsid w:val="00560CAE"/>
    <w:rsid w:val="00560EFE"/>
    <w:rsid w:val="005615D9"/>
    <w:rsid w:val="00561D00"/>
    <w:rsid w:val="00562DF8"/>
    <w:rsid w:val="005631FA"/>
    <w:rsid w:val="005633B3"/>
    <w:rsid w:val="00563E73"/>
    <w:rsid w:val="005646D1"/>
    <w:rsid w:val="0056477D"/>
    <w:rsid w:val="005647D1"/>
    <w:rsid w:val="00564EE6"/>
    <w:rsid w:val="0056567F"/>
    <w:rsid w:val="005659B7"/>
    <w:rsid w:val="00565AE0"/>
    <w:rsid w:val="0056640B"/>
    <w:rsid w:val="0056645E"/>
    <w:rsid w:val="0056680F"/>
    <w:rsid w:val="00566A14"/>
    <w:rsid w:val="00567A16"/>
    <w:rsid w:val="00567B0F"/>
    <w:rsid w:val="00570810"/>
    <w:rsid w:val="005715DE"/>
    <w:rsid w:val="00571670"/>
    <w:rsid w:val="00571F94"/>
    <w:rsid w:val="00572B70"/>
    <w:rsid w:val="00572CF0"/>
    <w:rsid w:val="00572D8F"/>
    <w:rsid w:val="00572EE2"/>
    <w:rsid w:val="005730BE"/>
    <w:rsid w:val="005735A5"/>
    <w:rsid w:val="00573A03"/>
    <w:rsid w:val="00573A8B"/>
    <w:rsid w:val="00573DA1"/>
    <w:rsid w:val="00574B1B"/>
    <w:rsid w:val="00574E1E"/>
    <w:rsid w:val="00574F70"/>
    <w:rsid w:val="00575037"/>
    <w:rsid w:val="005755C3"/>
    <w:rsid w:val="005759B7"/>
    <w:rsid w:val="00576B16"/>
    <w:rsid w:val="005770CF"/>
    <w:rsid w:val="0057797B"/>
    <w:rsid w:val="00577B9D"/>
    <w:rsid w:val="00577CEF"/>
    <w:rsid w:val="00577DEA"/>
    <w:rsid w:val="00577ED9"/>
    <w:rsid w:val="005803F9"/>
    <w:rsid w:val="00580579"/>
    <w:rsid w:val="00580882"/>
    <w:rsid w:val="00580A16"/>
    <w:rsid w:val="00581303"/>
    <w:rsid w:val="00582070"/>
    <w:rsid w:val="00582497"/>
    <w:rsid w:val="00582B65"/>
    <w:rsid w:val="00582CDC"/>
    <w:rsid w:val="00583005"/>
    <w:rsid w:val="005832AC"/>
    <w:rsid w:val="0058379A"/>
    <w:rsid w:val="00584F16"/>
    <w:rsid w:val="005856BA"/>
    <w:rsid w:val="00585D34"/>
    <w:rsid w:val="005861F1"/>
    <w:rsid w:val="00586265"/>
    <w:rsid w:val="00586FDA"/>
    <w:rsid w:val="00587ACB"/>
    <w:rsid w:val="005903C1"/>
    <w:rsid w:val="005906DB"/>
    <w:rsid w:val="0059178D"/>
    <w:rsid w:val="0059200F"/>
    <w:rsid w:val="00592712"/>
    <w:rsid w:val="0059285D"/>
    <w:rsid w:val="00592A51"/>
    <w:rsid w:val="00592DC5"/>
    <w:rsid w:val="0059369F"/>
    <w:rsid w:val="005938DE"/>
    <w:rsid w:val="00593D9E"/>
    <w:rsid w:val="00595347"/>
    <w:rsid w:val="0059556D"/>
    <w:rsid w:val="00595DEE"/>
    <w:rsid w:val="005960AF"/>
    <w:rsid w:val="0059687C"/>
    <w:rsid w:val="005A077A"/>
    <w:rsid w:val="005A07E8"/>
    <w:rsid w:val="005A0ADE"/>
    <w:rsid w:val="005A0B3B"/>
    <w:rsid w:val="005A11B9"/>
    <w:rsid w:val="005A120D"/>
    <w:rsid w:val="005A1422"/>
    <w:rsid w:val="005A1640"/>
    <w:rsid w:val="005A1A8A"/>
    <w:rsid w:val="005A1FD2"/>
    <w:rsid w:val="005A2A05"/>
    <w:rsid w:val="005A3452"/>
    <w:rsid w:val="005A3FAF"/>
    <w:rsid w:val="005A40E4"/>
    <w:rsid w:val="005A40EE"/>
    <w:rsid w:val="005A572D"/>
    <w:rsid w:val="005A5BC7"/>
    <w:rsid w:val="005A5D61"/>
    <w:rsid w:val="005A62C0"/>
    <w:rsid w:val="005A67D5"/>
    <w:rsid w:val="005A6921"/>
    <w:rsid w:val="005A6A77"/>
    <w:rsid w:val="005A6CC0"/>
    <w:rsid w:val="005A6EEC"/>
    <w:rsid w:val="005A7687"/>
    <w:rsid w:val="005A7E57"/>
    <w:rsid w:val="005B0278"/>
    <w:rsid w:val="005B0601"/>
    <w:rsid w:val="005B15BB"/>
    <w:rsid w:val="005B25A4"/>
    <w:rsid w:val="005B27AA"/>
    <w:rsid w:val="005B2BAE"/>
    <w:rsid w:val="005B318E"/>
    <w:rsid w:val="005B322C"/>
    <w:rsid w:val="005B38F1"/>
    <w:rsid w:val="005B4358"/>
    <w:rsid w:val="005B47AF"/>
    <w:rsid w:val="005B4C0A"/>
    <w:rsid w:val="005B4C6C"/>
    <w:rsid w:val="005B4C7E"/>
    <w:rsid w:val="005B4F3D"/>
    <w:rsid w:val="005B52F7"/>
    <w:rsid w:val="005B548B"/>
    <w:rsid w:val="005B611F"/>
    <w:rsid w:val="005B66A4"/>
    <w:rsid w:val="005B6858"/>
    <w:rsid w:val="005B797F"/>
    <w:rsid w:val="005B7BFF"/>
    <w:rsid w:val="005C05BB"/>
    <w:rsid w:val="005C089B"/>
    <w:rsid w:val="005C09D9"/>
    <w:rsid w:val="005C0B51"/>
    <w:rsid w:val="005C1EB0"/>
    <w:rsid w:val="005C2873"/>
    <w:rsid w:val="005C3266"/>
    <w:rsid w:val="005C342E"/>
    <w:rsid w:val="005C3586"/>
    <w:rsid w:val="005C3858"/>
    <w:rsid w:val="005C3A38"/>
    <w:rsid w:val="005C3F5E"/>
    <w:rsid w:val="005C41A2"/>
    <w:rsid w:val="005C44AC"/>
    <w:rsid w:val="005C4931"/>
    <w:rsid w:val="005C4F96"/>
    <w:rsid w:val="005C51AD"/>
    <w:rsid w:val="005C5275"/>
    <w:rsid w:val="005C5436"/>
    <w:rsid w:val="005C596D"/>
    <w:rsid w:val="005C6950"/>
    <w:rsid w:val="005C6A85"/>
    <w:rsid w:val="005C6F3D"/>
    <w:rsid w:val="005C7185"/>
    <w:rsid w:val="005C7647"/>
    <w:rsid w:val="005C79D9"/>
    <w:rsid w:val="005C7A5E"/>
    <w:rsid w:val="005D1508"/>
    <w:rsid w:val="005D159D"/>
    <w:rsid w:val="005D17E6"/>
    <w:rsid w:val="005D194F"/>
    <w:rsid w:val="005D1B7B"/>
    <w:rsid w:val="005D210B"/>
    <w:rsid w:val="005D263F"/>
    <w:rsid w:val="005D28CB"/>
    <w:rsid w:val="005D2ACB"/>
    <w:rsid w:val="005D2E12"/>
    <w:rsid w:val="005D30C8"/>
    <w:rsid w:val="005D3522"/>
    <w:rsid w:val="005D366D"/>
    <w:rsid w:val="005D3A80"/>
    <w:rsid w:val="005D3BE5"/>
    <w:rsid w:val="005D4082"/>
    <w:rsid w:val="005D41DA"/>
    <w:rsid w:val="005D4997"/>
    <w:rsid w:val="005D4B7C"/>
    <w:rsid w:val="005D5E83"/>
    <w:rsid w:val="005D62E2"/>
    <w:rsid w:val="005D64D8"/>
    <w:rsid w:val="005D6A53"/>
    <w:rsid w:val="005D7351"/>
    <w:rsid w:val="005D7BD8"/>
    <w:rsid w:val="005E01C3"/>
    <w:rsid w:val="005E0726"/>
    <w:rsid w:val="005E0833"/>
    <w:rsid w:val="005E112C"/>
    <w:rsid w:val="005E1951"/>
    <w:rsid w:val="005E2065"/>
    <w:rsid w:val="005E24D7"/>
    <w:rsid w:val="005E27C5"/>
    <w:rsid w:val="005E2B83"/>
    <w:rsid w:val="005E3024"/>
    <w:rsid w:val="005E322E"/>
    <w:rsid w:val="005E3891"/>
    <w:rsid w:val="005E3929"/>
    <w:rsid w:val="005E39D1"/>
    <w:rsid w:val="005E3ADF"/>
    <w:rsid w:val="005E3F00"/>
    <w:rsid w:val="005E42B0"/>
    <w:rsid w:val="005E4558"/>
    <w:rsid w:val="005E4A63"/>
    <w:rsid w:val="005E4E61"/>
    <w:rsid w:val="005E5455"/>
    <w:rsid w:val="005E5687"/>
    <w:rsid w:val="005E5BAD"/>
    <w:rsid w:val="005E5FD0"/>
    <w:rsid w:val="005E6C8D"/>
    <w:rsid w:val="005E6CCA"/>
    <w:rsid w:val="005E6DF4"/>
    <w:rsid w:val="005E7172"/>
    <w:rsid w:val="005F0446"/>
    <w:rsid w:val="005F073D"/>
    <w:rsid w:val="005F0A17"/>
    <w:rsid w:val="005F0B8C"/>
    <w:rsid w:val="005F0CC1"/>
    <w:rsid w:val="005F0EB5"/>
    <w:rsid w:val="005F0FCF"/>
    <w:rsid w:val="005F1352"/>
    <w:rsid w:val="005F1637"/>
    <w:rsid w:val="005F1DC6"/>
    <w:rsid w:val="005F20DB"/>
    <w:rsid w:val="005F2CFD"/>
    <w:rsid w:val="005F302E"/>
    <w:rsid w:val="005F33B4"/>
    <w:rsid w:val="005F35DA"/>
    <w:rsid w:val="005F38DF"/>
    <w:rsid w:val="005F3947"/>
    <w:rsid w:val="005F3E57"/>
    <w:rsid w:val="005F421E"/>
    <w:rsid w:val="005F42C7"/>
    <w:rsid w:val="005F44B6"/>
    <w:rsid w:val="005F464D"/>
    <w:rsid w:val="005F4673"/>
    <w:rsid w:val="005F47C4"/>
    <w:rsid w:val="005F4840"/>
    <w:rsid w:val="005F4CF7"/>
    <w:rsid w:val="005F4E72"/>
    <w:rsid w:val="005F4E7E"/>
    <w:rsid w:val="005F51BB"/>
    <w:rsid w:val="005F55F8"/>
    <w:rsid w:val="005F5B5D"/>
    <w:rsid w:val="005F6380"/>
    <w:rsid w:val="005F64D0"/>
    <w:rsid w:val="005F65BF"/>
    <w:rsid w:val="005F68C1"/>
    <w:rsid w:val="005F6A7D"/>
    <w:rsid w:val="005F6FE7"/>
    <w:rsid w:val="005F7220"/>
    <w:rsid w:val="00600295"/>
    <w:rsid w:val="006002E4"/>
    <w:rsid w:val="0060154D"/>
    <w:rsid w:val="00601E81"/>
    <w:rsid w:val="00601F8A"/>
    <w:rsid w:val="00602255"/>
    <w:rsid w:val="006035EC"/>
    <w:rsid w:val="00603850"/>
    <w:rsid w:val="0060449E"/>
    <w:rsid w:val="00604C40"/>
    <w:rsid w:val="00604E57"/>
    <w:rsid w:val="006050A4"/>
    <w:rsid w:val="0060544B"/>
    <w:rsid w:val="00605A63"/>
    <w:rsid w:val="006062D2"/>
    <w:rsid w:val="00606BCB"/>
    <w:rsid w:val="00606F2C"/>
    <w:rsid w:val="00606F78"/>
    <w:rsid w:val="0060717D"/>
    <w:rsid w:val="00607679"/>
    <w:rsid w:val="006077F3"/>
    <w:rsid w:val="006106CB"/>
    <w:rsid w:val="00610E6B"/>
    <w:rsid w:val="00611791"/>
    <w:rsid w:val="00611B00"/>
    <w:rsid w:val="00611BD2"/>
    <w:rsid w:val="00611F88"/>
    <w:rsid w:val="00612055"/>
    <w:rsid w:val="00612476"/>
    <w:rsid w:val="00612570"/>
    <w:rsid w:val="00612C0A"/>
    <w:rsid w:val="00612E95"/>
    <w:rsid w:val="0061313E"/>
    <w:rsid w:val="0061370D"/>
    <w:rsid w:val="00613B21"/>
    <w:rsid w:val="00613F5E"/>
    <w:rsid w:val="00614862"/>
    <w:rsid w:val="006149A6"/>
    <w:rsid w:val="00614D4B"/>
    <w:rsid w:val="006151D8"/>
    <w:rsid w:val="00615D42"/>
    <w:rsid w:val="006168D8"/>
    <w:rsid w:val="00616CDE"/>
    <w:rsid w:val="006175F1"/>
    <w:rsid w:val="00620A2F"/>
    <w:rsid w:val="00620A9C"/>
    <w:rsid w:val="00620AEB"/>
    <w:rsid w:val="0062107B"/>
    <w:rsid w:val="00621343"/>
    <w:rsid w:val="00621489"/>
    <w:rsid w:val="00621B10"/>
    <w:rsid w:val="00621DA9"/>
    <w:rsid w:val="00621F53"/>
    <w:rsid w:val="0062241D"/>
    <w:rsid w:val="006224A9"/>
    <w:rsid w:val="006229BD"/>
    <w:rsid w:val="0062393C"/>
    <w:rsid w:val="00623BCF"/>
    <w:rsid w:val="00624526"/>
    <w:rsid w:val="006249B2"/>
    <w:rsid w:val="00624CB7"/>
    <w:rsid w:val="006253B6"/>
    <w:rsid w:val="0062578B"/>
    <w:rsid w:val="00625793"/>
    <w:rsid w:val="00625900"/>
    <w:rsid w:val="00625E9A"/>
    <w:rsid w:val="006261EC"/>
    <w:rsid w:val="00626978"/>
    <w:rsid w:val="006269FF"/>
    <w:rsid w:val="006276D1"/>
    <w:rsid w:val="00627832"/>
    <w:rsid w:val="00627A06"/>
    <w:rsid w:val="006303E0"/>
    <w:rsid w:val="006317E5"/>
    <w:rsid w:val="00631934"/>
    <w:rsid w:val="0063196F"/>
    <w:rsid w:val="00631D4A"/>
    <w:rsid w:val="00631DB1"/>
    <w:rsid w:val="00632414"/>
    <w:rsid w:val="00632436"/>
    <w:rsid w:val="00632AB1"/>
    <w:rsid w:val="00632B22"/>
    <w:rsid w:val="006332AF"/>
    <w:rsid w:val="006333AB"/>
    <w:rsid w:val="006338AA"/>
    <w:rsid w:val="006338C2"/>
    <w:rsid w:val="006342E7"/>
    <w:rsid w:val="0063444C"/>
    <w:rsid w:val="00634941"/>
    <w:rsid w:val="00635328"/>
    <w:rsid w:val="006354A2"/>
    <w:rsid w:val="0063578D"/>
    <w:rsid w:val="006361A5"/>
    <w:rsid w:val="006364CA"/>
    <w:rsid w:val="006370BC"/>
    <w:rsid w:val="00637841"/>
    <w:rsid w:val="0063796E"/>
    <w:rsid w:val="00641CB9"/>
    <w:rsid w:val="00641EF2"/>
    <w:rsid w:val="00642E98"/>
    <w:rsid w:val="00642EF3"/>
    <w:rsid w:val="006437AA"/>
    <w:rsid w:val="00644254"/>
    <w:rsid w:val="00644422"/>
    <w:rsid w:val="00644840"/>
    <w:rsid w:val="0064569F"/>
    <w:rsid w:val="006456C3"/>
    <w:rsid w:val="00646C49"/>
    <w:rsid w:val="006471B9"/>
    <w:rsid w:val="006479AA"/>
    <w:rsid w:val="00650391"/>
    <w:rsid w:val="00650D66"/>
    <w:rsid w:val="006510C2"/>
    <w:rsid w:val="006514C3"/>
    <w:rsid w:val="00651751"/>
    <w:rsid w:val="00651C55"/>
    <w:rsid w:val="00652E7D"/>
    <w:rsid w:val="00653684"/>
    <w:rsid w:val="00653757"/>
    <w:rsid w:val="006537AD"/>
    <w:rsid w:val="00653AED"/>
    <w:rsid w:val="006542B3"/>
    <w:rsid w:val="00654AC6"/>
    <w:rsid w:val="00654C11"/>
    <w:rsid w:val="00654DD4"/>
    <w:rsid w:val="00654DDB"/>
    <w:rsid w:val="006553C6"/>
    <w:rsid w:val="00655B22"/>
    <w:rsid w:val="0065622F"/>
    <w:rsid w:val="00656285"/>
    <w:rsid w:val="00656883"/>
    <w:rsid w:val="00656E68"/>
    <w:rsid w:val="006573C7"/>
    <w:rsid w:val="006576E9"/>
    <w:rsid w:val="00660EAC"/>
    <w:rsid w:val="00660F94"/>
    <w:rsid w:val="006614BA"/>
    <w:rsid w:val="006616D5"/>
    <w:rsid w:val="00661BEC"/>
    <w:rsid w:val="00661F00"/>
    <w:rsid w:val="00662022"/>
    <w:rsid w:val="0066216C"/>
    <w:rsid w:val="00662D1C"/>
    <w:rsid w:val="006633A6"/>
    <w:rsid w:val="0066343E"/>
    <w:rsid w:val="006639FE"/>
    <w:rsid w:val="00663A41"/>
    <w:rsid w:val="00663B1F"/>
    <w:rsid w:val="00663E9B"/>
    <w:rsid w:val="0066458E"/>
    <w:rsid w:val="00664C8A"/>
    <w:rsid w:val="00665DD4"/>
    <w:rsid w:val="00666018"/>
    <w:rsid w:val="00666080"/>
    <w:rsid w:val="00666350"/>
    <w:rsid w:val="00666819"/>
    <w:rsid w:val="00666FB8"/>
    <w:rsid w:val="006671F3"/>
    <w:rsid w:val="0067084D"/>
    <w:rsid w:val="0067096F"/>
    <w:rsid w:val="00670A4E"/>
    <w:rsid w:val="00670D4B"/>
    <w:rsid w:val="00671BCD"/>
    <w:rsid w:val="006728FD"/>
    <w:rsid w:val="00673267"/>
    <w:rsid w:val="00673288"/>
    <w:rsid w:val="0067336A"/>
    <w:rsid w:val="00673721"/>
    <w:rsid w:val="00674BB0"/>
    <w:rsid w:val="00674E1C"/>
    <w:rsid w:val="0067556F"/>
    <w:rsid w:val="0067557C"/>
    <w:rsid w:val="00675DBF"/>
    <w:rsid w:val="006762C2"/>
    <w:rsid w:val="0067683B"/>
    <w:rsid w:val="00676D10"/>
    <w:rsid w:val="00677186"/>
    <w:rsid w:val="0067746E"/>
    <w:rsid w:val="00677F86"/>
    <w:rsid w:val="00677FC8"/>
    <w:rsid w:val="00680DC8"/>
    <w:rsid w:val="006815E8"/>
    <w:rsid w:val="006818AD"/>
    <w:rsid w:val="006821DD"/>
    <w:rsid w:val="0068225F"/>
    <w:rsid w:val="0068265E"/>
    <w:rsid w:val="00682AA7"/>
    <w:rsid w:val="0068391F"/>
    <w:rsid w:val="006839E9"/>
    <w:rsid w:val="00683CA1"/>
    <w:rsid w:val="00684A81"/>
    <w:rsid w:val="006853B6"/>
    <w:rsid w:val="006855EB"/>
    <w:rsid w:val="00685944"/>
    <w:rsid w:val="00685B96"/>
    <w:rsid w:val="00685F4D"/>
    <w:rsid w:val="006866D5"/>
    <w:rsid w:val="00687450"/>
    <w:rsid w:val="0068791B"/>
    <w:rsid w:val="00690A68"/>
    <w:rsid w:val="00690AEE"/>
    <w:rsid w:val="00690B41"/>
    <w:rsid w:val="00690B9C"/>
    <w:rsid w:val="00690C7D"/>
    <w:rsid w:val="0069138E"/>
    <w:rsid w:val="00691742"/>
    <w:rsid w:val="00691D4F"/>
    <w:rsid w:val="006928E9"/>
    <w:rsid w:val="006931A5"/>
    <w:rsid w:val="006934EE"/>
    <w:rsid w:val="00693BC7"/>
    <w:rsid w:val="00693DB4"/>
    <w:rsid w:val="006944E2"/>
    <w:rsid w:val="0069475E"/>
    <w:rsid w:val="00694BF9"/>
    <w:rsid w:val="00694D28"/>
    <w:rsid w:val="006950D2"/>
    <w:rsid w:val="00695787"/>
    <w:rsid w:val="00695864"/>
    <w:rsid w:val="00695F8B"/>
    <w:rsid w:val="00696493"/>
    <w:rsid w:val="00696691"/>
    <w:rsid w:val="00696826"/>
    <w:rsid w:val="00696E7A"/>
    <w:rsid w:val="006974AA"/>
    <w:rsid w:val="0069760D"/>
    <w:rsid w:val="0069765B"/>
    <w:rsid w:val="00697804"/>
    <w:rsid w:val="00697A0C"/>
    <w:rsid w:val="00697F52"/>
    <w:rsid w:val="006A027F"/>
    <w:rsid w:val="006A0D0B"/>
    <w:rsid w:val="006A0EF0"/>
    <w:rsid w:val="006A1266"/>
    <w:rsid w:val="006A141F"/>
    <w:rsid w:val="006A1A92"/>
    <w:rsid w:val="006A1B65"/>
    <w:rsid w:val="006A2570"/>
    <w:rsid w:val="006A2C7C"/>
    <w:rsid w:val="006A3437"/>
    <w:rsid w:val="006A34BA"/>
    <w:rsid w:val="006A3762"/>
    <w:rsid w:val="006A409C"/>
    <w:rsid w:val="006A453A"/>
    <w:rsid w:val="006A572B"/>
    <w:rsid w:val="006A58AC"/>
    <w:rsid w:val="006A5E3C"/>
    <w:rsid w:val="006A5F6D"/>
    <w:rsid w:val="006A610E"/>
    <w:rsid w:val="006A6252"/>
    <w:rsid w:val="006A6666"/>
    <w:rsid w:val="006A6BA7"/>
    <w:rsid w:val="006A6FDB"/>
    <w:rsid w:val="006A718A"/>
    <w:rsid w:val="006A7955"/>
    <w:rsid w:val="006A7BE6"/>
    <w:rsid w:val="006A7DBB"/>
    <w:rsid w:val="006A7F34"/>
    <w:rsid w:val="006B0426"/>
    <w:rsid w:val="006B04F0"/>
    <w:rsid w:val="006B058A"/>
    <w:rsid w:val="006B067F"/>
    <w:rsid w:val="006B1097"/>
    <w:rsid w:val="006B1747"/>
    <w:rsid w:val="006B1DD4"/>
    <w:rsid w:val="006B1F35"/>
    <w:rsid w:val="006B259C"/>
    <w:rsid w:val="006B2B8B"/>
    <w:rsid w:val="006B330E"/>
    <w:rsid w:val="006B3710"/>
    <w:rsid w:val="006B3C80"/>
    <w:rsid w:val="006B4DC1"/>
    <w:rsid w:val="006B4FEF"/>
    <w:rsid w:val="006B54A4"/>
    <w:rsid w:val="006B5BDC"/>
    <w:rsid w:val="006B5E98"/>
    <w:rsid w:val="006B6799"/>
    <w:rsid w:val="006B6C77"/>
    <w:rsid w:val="006B6DD1"/>
    <w:rsid w:val="006B7596"/>
    <w:rsid w:val="006C07F5"/>
    <w:rsid w:val="006C0926"/>
    <w:rsid w:val="006C0DB1"/>
    <w:rsid w:val="006C1471"/>
    <w:rsid w:val="006C14F7"/>
    <w:rsid w:val="006C1A6E"/>
    <w:rsid w:val="006C233A"/>
    <w:rsid w:val="006C2364"/>
    <w:rsid w:val="006C26ED"/>
    <w:rsid w:val="006C29F6"/>
    <w:rsid w:val="006C2ACB"/>
    <w:rsid w:val="006C307F"/>
    <w:rsid w:val="006C3088"/>
    <w:rsid w:val="006C3195"/>
    <w:rsid w:val="006C351F"/>
    <w:rsid w:val="006C4256"/>
    <w:rsid w:val="006C45B7"/>
    <w:rsid w:val="006C4746"/>
    <w:rsid w:val="006C491B"/>
    <w:rsid w:val="006C4B4F"/>
    <w:rsid w:val="006C5138"/>
    <w:rsid w:val="006C5B02"/>
    <w:rsid w:val="006C5B2C"/>
    <w:rsid w:val="006C5DD4"/>
    <w:rsid w:val="006C61FF"/>
    <w:rsid w:val="006C6398"/>
    <w:rsid w:val="006C6667"/>
    <w:rsid w:val="006C6675"/>
    <w:rsid w:val="006C69F6"/>
    <w:rsid w:val="006C6A60"/>
    <w:rsid w:val="006C79D3"/>
    <w:rsid w:val="006C7E03"/>
    <w:rsid w:val="006D0A35"/>
    <w:rsid w:val="006D0B15"/>
    <w:rsid w:val="006D0D5C"/>
    <w:rsid w:val="006D0FF1"/>
    <w:rsid w:val="006D240A"/>
    <w:rsid w:val="006D2712"/>
    <w:rsid w:val="006D2E9A"/>
    <w:rsid w:val="006D3088"/>
    <w:rsid w:val="006D3424"/>
    <w:rsid w:val="006D3E85"/>
    <w:rsid w:val="006D48B9"/>
    <w:rsid w:val="006D51CF"/>
    <w:rsid w:val="006D5805"/>
    <w:rsid w:val="006D5A9D"/>
    <w:rsid w:val="006D621D"/>
    <w:rsid w:val="006D6509"/>
    <w:rsid w:val="006D6F09"/>
    <w:rsid w:val="006D7E2C"/>
    <w:rsid w:val="006E00DA"/>
    <w:rsid w:val="006E0480"/>
    <w:rsid w:val="006E05BC"/>
    <w:rsid w:val="006E10A0"/>
    <w:rsid w:val="006E1935"/>
    <w:rsid w:val="006E1D59"/>
    <w:rsid w:val="006E228B"/>
    <w:rsid w:val="006E2BEC"/>
    <w:rsid w:val="006E2DED"/>
    <w:rsid w:val="006E2EDD"/>
    <w:rsid w:val="006E2FC0"/>
    <w:rsid w:val="006E3439"/>
    <w:rsid w:val="006E366A"/>
    <w:rsid w:val="006E38D5"/>
    <w:rsid w:val="006E3CDD"/>
    <w:rsid w:val="006E461B"/>
    <w:rsid w:val="006E5E47"/>
    <w:rsid w:val="006E6723"/>
    <w:rsid w:val="006E677F"/>
    <w:rsid w:val="006E6C6A"/>
    <w:rsid w:val="006E6D54"/>
    <w:rsid w:val="006E709D"/>
    <w:rsid w:val="006E719A"/>
    <w:rsid w:val="006E74B5"/>
    <w:rsid w:val="006E7A71"/>
    <w:rsid w:val="006E7EB6"/>
    <w:rsid w:val="006F0891"/>
    <w:rsid w:val="006F0C7A"/>
    <w:rsid w:val="006F10CC"/>
    <w:rsid w:val="006F10F0"/>
    <w:rsid w:val="006F12F7"/>
    <w:rsid w:val="006F1A00"/>
    <w:rsid w:val="006F1C73"/>
    <w:rsid w:val="006F2085"/>
    <w:rsid w:val="006F2220"/>
    <w:rsid w:val="006F22DC"/>
    <w:rsid w:val="006F2364"/>
    <w:rsid w:val="006F263E"/>
    <w:rsid w:val="006F31E1"/>
    <w:rsid w:val="006F3323"/>
    <w:rsid w:val="006F3A04"/>
    <w:rsid w:val="006F3BDA"/>
    <w:rsid w:val="006F3DD8"/>
    <w:rsid w:val="006F4866"/>
    <w:rsid w:val="006F53E6"/>
    <w:rsid w:val="006F56B9"/>
    <w:rsid w:val="006F56F3"/>
    <w:rsid w:val="006F57A6"/>
    <w:rsid w:val="006F5898"/>
    <w:rsid w:val="006F6DC5"/>
    <w:rsid w:val="006F73AB"/>
    <w:rsid w:val="006F78B3"/>
    <w:rsid w:val="006F7C78"/>
    <w:rsid w:val="007000C0"/>
    <w:rsid w:val="00700720"/>
    <w:rsid w:val="00701343"/>
    <w:rsid w:val="00701949"/>
    <w:rsid w:val="00701F14"/>
    <w:rsid w:val="0070240A"/>
    <w:rsid w:val="00702E06"/>
    <w:rsid w:val="00702EED"/>
    <w:rsid w:val="00702FED"/>
    <w:rsid w:val="00703419"/>
    <w:rsid w:val="00703782"/>
    <w:rsid w:val="00703A81"/>
    <w:rsid w:val="00704267"/>
    <w:rsid w:val="007044E7"/>
    <w:rsid w:val="00704889"/>
    <w:rsid w:val="007051AF"/>
    <w:rsid w:val="00705642"/>
    <w:rsid w:val="0070596E"/>
    <w:rsid w:val="00705A93"/>
    <w:rsid w:val="00705B36"/>
    <w:rsid w:val="00705CFC"/>
    <w:rsid w:val="00706523"/>
    <w:rsid w:val="007068E2"/>
    <w:rsid w:val="00706C1A"/>
    <w:rsid w:val="007073E9"/>
    <w:rsid w:val="00707FD8"/>
    <w:rsid w:val="00710E34"/>
    <w:rsid w:val="00711088"/>
    <w:rsid w:val="007114CA"/>
    <w:rsid w:val="00711791"/>
    <w:rsid w:val="00711A6C"/>
    <w:rsid w:val="007128F2"/>
    <w:rsid w:val="00712B8E"/>
    <w:rsid w:val="007137FA"/>
    <w:rsid w:val="00713C7F"/>
    <w:rsid w:val="00713E81"/>
    <w:rsid w:val="00713F2C"/>
    <w:rsid w:val="007153D8"/>
    <w:rsid w:val="00715E05"/>
    <w:rsid w:val="00716474"/>
    <w:rsid w:val="007165E8"/>
    <w:rsid w:val="00716638"/>
    <w:rsid w:val="00716760"/>
    <w:rsid w:val="007173FA"/>
    <w:rsid w:val="0071756C"/>
    <w:rsid w:val="007209FE"/>
    <w:rsid w:val="00720E46"/>
    <w:rsid w:val="007215EE"/>
    <w:rsid w:val="007216A3"/>
    <w:rsid w:val="00721862"/>
    <w:rsid w:val="00722396"/>
    <w:rsid w:val="00723550"/>
    <w:rsid w:val="00723982"/>
    <w:rsid w:val="00723F40"/>
    <w:rsid w:val="007249E8"/>
    <w:rsid w:val="00724AA2"/>
    <w:rsid w:val="00725D12"/>
    <w:rsid w:val="00726538"/>
    <w:rsid w:val="00726632"/>
    <w:rsid w:val="00726637"/>
    <w:rsid w:val="00726744"/>
    <w:rsid w:val="007268F1"/>
    <w:rsid w:val="00727261"/>
    <w:rsid w:val="00730E93"/>
    <w:rsid w:val="00730F97"/>
    <w:rsid w:val="007312D6"/>
    <w:rsid w:val="00731B7E"/>
    <w:rsid w:val="00732378"/>
    <w:rsid w:val="007326CD"/>
    <w:rsid w:val="007328B1"/>
    <w:rsid w:val="007335E0"/>
    <w:rsid w:val="00733627"/>
    <w:rsid w:val="00733ED4"/>
    <w:rsid w:val="0073427C"/>
    <w:rsid w:val="00734314"/>
    <w:rsid w:val="007351CF"/>
    <w:rsid w:val="0073541B"/>
    <w:rsid w:val="007355A8"/>
    <w:rsid w:val="00735D84"/>
    <w:rsid w:val="00736A62"/>
    <w:rsid w:val="00736DDE"/>
    <w:rsid w:val="007373E0"/>
    <w:rsid w:val="00737E96"/>
    <w:rsid w:val="00740A9E"/>
    <w:rsid w:val="00740AB9"/>
    <w:rsid w:val="00740CB1"/>
    <w:rsid w:val="00741484"/>
    <w:rsid w:val="00741687"/>
    <w:rsid w:val="0074170E"/>
    <w:rsid w:val="0074185D"/>
    <w:rsid w:val="00741D90"/>
    <w:rsid w:val="00742399"/>
    <w:rsid w:val="0074260D"/>
    <w:rsid w:val="00742BFB"/>
    <w:rsid w:val="00743DA3"/>
    <w:rsid w:val="00744171"/>
    <w:rsid w:val="007448A4"/>
    <w:rsid w:val="00744F34"/>
    <w:rsid w:val="007450BE"/>
    <w:rsid w:val="00745891"/>
    <w:rsid w:val="0074598F"/>
    <w:rsid w:val="00745FA8"/>
    <w:rsid w:val="0074630D"/>
    <w:rsid w:val="00746622"/>
    <w:rsid w:val="00746972"/>
    <w:rsid w:val="00746A47"/>
    <w:rsid w:val="00750012"/>
    <w:rsid w:val="00750182"/>
    <w:rsid w:val="007506DD"/>
    <w:rsid w:val="0075166D"/>
    <w:rsid w:val="00751D16"/>
    <w:rsid w:val="007527D5"/>
    <w:rsid w:val="00752F2C"/>
    <w:rsid w:val="00753943"/>
    <w:rsid w:val="00754A6A"/>
    <w:rsid w:val="00754A8D"/>
    <w:rsid w:val="00754F2F"/>
    <w:rsid w:val="007552F7"/>
    <w:rsid w:val="007557F1"/>
    <w:rsid w:val="00755B02"/>
    <w:rsid w:val="00756AD4"/>
    <w:rsid w:val="00756F93"/>
    <w:rsid w:val="007576BC"/>
    <w:rsid w:val="00757735"/>
    <w:rsid w:val="00757B89"/>
    <w:rsid w:val="00757CA8"/>
    <w:rsid w:val="00757D4E"/>
    <w:rsid w:val="00757E6E"/>
    <w:rsid w:val="00760610"/>
    <w:rsid w:val="00760C0D"/>
    <w:rsid w:val="00760FDC"/>
    <w:rsid w:val="007611CA"/>
    <w:rsid w:val="00761349"/>
    <w:rsid w:val="00761685"/>
    <w:rsid w:val="007616C9"/>
    <w:rsid w:val="00761D42"/>
    <w:rsid w:val="00761F8A"/>
    <w:rsid w:val="0076206D"/>
    <w:rsid w:val="0076243A"/>
    <w:rsid w:val="00762C3B"/>
    <w:rsid w:val="00763010"/>
    <w:rsid w:val="00763B34"/>
    <w:rsid w:val="0076403F"/>
    <w:rsid w:val="00764319"/>
    <w:rsid w:val="007646C1"/>
    <w:rsid w:val="00764BE6"/>
    <w:rsid w:val="00764FF9"/>
    <w:rsid w:val="00765C1A"/>
    <w:rsid w:val="00765EAD"/>
    <w:rsid w:val="007664AB"/>
    <w:rsid w:val="00766662"/>
    <w:rsid w:val="00766791"/>
    <w:rsid w:val="00770139"/>
    <w:rsid w:val="007706B0"/>
    <w:rsid w:val="00770900"/>
    <w:rsid w:val="00771220"/>
    <w:rsid w:val="007713AA"/>
    <w:rsid w:val="007715F1"/>
    <w:rsid w:val="007718CC"/>
    <w:rsid w:val="00771933"/>
    <w:rsid w:val="007723C4"/>
    <w:rsid w:val="007729DA"/>
    <w:rsid w:val="0077344D"/>
    <w:rsid w:val="00773F12"/>
    <w:rsid w:val="00773FBC"/>
    <w:rsid w:val="007745D4"/>
    <w:rsid w:val="0077490E"/>
    <w:rsid w:val="00774A7C"/>
    <w:rsid w:val="00774C01"/>
    <w:rsid w:val="00774C96"/>
    <w:rsid w:val="007755AF"/>
    <w:rsid w:val="007758A9"/>
    <w:rsid w:val="00775DC1"/>
    <w:rsid w:val="00775F23"/>
    <w:rsid w:val="007762BE"/>
    <w:rsid w:val="00776748"/>
    <w:rsid w:val="0077751F"/>
    <w:rsid w:val="00777991"/>
    <w:rsid w:val="00780226"/>
    <w:rsid w:val="0078102A"/>
    <w:rsid w:val="0078156B"/>
    <w:rsid w:val="0078159F"/>
    <w:rsid w:val="00781B3F"/>
    <w:rsid w:val="00781C2A"/>
    <w:rsid w:val="00781C3C"/>
    <w:rsid w:val="00781CC7"/>
    <w:rsid w:val="00781E0A"/>
    <w:rsid w:val="00782924"/>
    <w:rsid w:val="007829D8"/>
    <w:rsid w:val="00783A3D"/>
    <w:rsid w:val="00784611"/>
    <w:rsid w:val="00784657"/>
    <w:rsid w:val="007847A4"/>
    <w:rsid w:val="00784879"/>
    <w:rsid w:val="00784964"/>
    <w:rsid w:val="00784A3F"/>
    <w:rsid w:val="00784D8B"/>
    <w:rsid w:val="00784F17"/>
    <w:rsid w:val="00785D86"/>
    <w:rsid w:val="0078619C"/>
    <w:rsid w:val="00786419"/>
    <w:rsid w:val="0078645C"/>
    <w:rsid w:val="00787A03"/>
    <w:rsid w:val="00787A9A"/>
    <w:rsid w:val="00787D7A"/>
    <w:rsid w:val="00790158"/>
    <w:rsid w:val="007904C0"/>
    <w:rsid w:val="0079065C"/>
    <w:rsid w:val="00790959"/>
    <w:rsid w:val="00790BAD"/>
    <w:rsid w:val="0079115B"/>
    <w:rsid w:val="0079172D"/>
    <w:rsid w:val="007920F1"/>
    <w:rsid w:val="00792CD2"/>
    <w:rsid w:val="00794A2E"/>
    <w:rsid w:val="0079524E"/>
    <w:rsid w:val="00795C2B"/>
    <w:rsid w:val="00796716"/>
    <w:rsid w:val="007967E2"/>
    <w:rsid w:val="007A021F"/>
    <w:rsid w:val="007A078B"/>
    <w:rsid w:val="007A0848"/>
    <w:rsid w:val="007A08A5"/>
    <w:rsid w:val="007A1095"/>
    <w:rsid w:val="007A10C0"/>
    <w:rsid w:val="007A1335"/>
    <w:rsid w:val="007A19F0"/>
    <w:rsid w:val="007A1FEB"/>
    <w:rsid w:val="007A2CD6"/>
    <w:rsid w:val="007A3651"/>
    <w:rsid w:val="007A3837"/>
    <w:rsid w:val="007A3A21"/>
    <w:rsid w:val="007A3DB9"/>
    <w:rsid w:val="007A4A68"/>
    <w:rsid w:val="007A4CA0"/>
    <w:rsid w:val="007A4E6A"/>
    <w:rsid w:val="007A5335"/>
    <w:rsid w:val="007A53FE"/>
    <w:rsid w:val="007A5540"/>
    <w:rsid w:val="007A5558"/>
    <w:rsid w:val="007A5A65"/>
    <w:rsid w:val="007A5FD5"/>
    <w:rsid w:val="007A640A"/>
    <w:rsid w:val="007A6D80"/>
    <w:rsid w:val="007A7735"/>
    <w:rsid w:val="007B01C2"/>
    <w:rsid w:val="007B03CF"/>
    <w:rsid w:val="007B07DD"/>
    <w:rsid w:val="007B0A43"/>
    <w:rsid w:val="007B0C64"/>
    <w:rsid w:val="007B1373"/>
    <w:rsid w:val="007B1738"/>
    <w:rsid w:val="007B1FD8"/>
    <w:rsid w:val="007B2495"/>
    <w:rsid w:val="007B2527"/>
    <w:rsid w:val="007B2A74"/>
    <w:rsid w:val="007B3759"/>
    <w:rsid w:val="007B3F0D"/>
    <w:rsid w:val="007B42E7"/>
    <w:rsid w:val="007B4471"/>
    <w:rsid w:val="007B48FC"/>
    <w:rsid w:val="007B4D7D"/>
    <w:rsid w:val="007B4FF9"/>
    <w:rsid w:val="007B500D"/>
    <w:rsid w:val="007B5040"/>
    <w:rsid w:val="007B54A2"/>
    <w:rsid w:val="007B573E"/>
    <w:rsid w:val="007B61A5"/>
    <w:rsid w:val="007B64AA"/>
    <w:rsid w:val="007B6646"/>
    <w:rsid w:val="007B69BA"/>
    <w:rsid w:val="007B6A8F"/>
    <w:rsid w:val="007B711D"/>
    <w:rsid w:val="007B717F"/>
    <w:rsid w:val="007B79D5"/>
    <w:rsid w:val="007B7A2C"/>
    <w:rsid w:val="007C034A"/>
    <w:rsid w:val="007C0B21"/>
    <w:rsid w:val="007C0F28"/>
    <w:rsid w:val="007C1A60"/>
    <w:rsid w:val="007C2626"/>
    <w:rsid w:val="007C2664"/>
    <w:rsid w:val="007C2826"/>
    <w:rsid w:val="007C2D36"/>
    <w:rsid w:val="007C414C"/>
    <w:rsid w:val="007C4376"/>
    <w:rsid w:val="007C4568"/>
    <w:rsid w:val="007C4C97"/>
    <w:rsid w:val="007C4DBE"/>
    <w:rsid w:val="007C4F53"/>
    <w:rsid w:val="007C4F86"/>
    <w:rsid w:val="007C5C52"/>
    <w:rsid w:val="007C614C"/>
    <w:rsid w:val="007C678B"/>
    <w:rsid w:val="007C6BEF"/>
    <w:rsid w:val="007C6DE8"/>
    <w:rsid w:val="007D0C95"/>
    <w:rsid w:val="007D17EC"/>
    <w:rsid w:val="007D1918"/>
    <w:rsid w:val="007D1DDD"/>
    <w:rsid w:val="007D210D"/>
    <w:rsid w:val="007D2403"/>
    <w:rsid w:val="007D2638"/>
    <w:rsid w:val="007D292A"/>
    <w:rsid w:val="007D2A27"/>
    <w:rsid w:val="007D2A4C"/>
    <w:rsid w:val="007D2BD9"/>
    <w:rsid w:val="007D2E21"/>
    <w:rsid w:val="007D32A6"/>
    <w:rsid w:val="007D3896"/>
    <w:rsid w:val="007D3C2B"/>
    <w:rsid w:val="007D4089"/>
    <w:rsid w:val="007D43EF"/>
    <w:rsid w:val="007D491A"/>
    <w:rsid w:val="007D4B9A"/>
    <w:rsid w:val="007D4CD8"/>
    <w:rsid w:val="007D4EB4"/>
    <w:rsid w:val="007D4ED6"/>
    <w:rsid w:val="007D559F"/>
    <w:rsid w:val="007D60CF"/>
    <w:rsid w:val="007D60FF"/>
    <w:rsid w:val="007D610A"/>
    <w:rsid w:val="007D6211"/>
    <w:rsid w:val="007D651B"/>
    <w:rsid w:val="007D7BE9"/>
    <w:rsid w:val="007D7EE9"/>
    <w:rsid w:val="007D7F0F"/>
    <w:rsid w:val="007E053F"/>
    <w:rsid w:val="007E0901"/>
    <w:rsid w:val="007E0A92"/>
    <w:rsid w:val="007E0EA2"/>
    <w:rsid w:val="007E162B"/>
    <w:rsid w:val="007E168A"/>
    <w:rsid w:val="007E186B"/>
    <w:rsid w:val="007E2F49"/>
    <w:rsid w:val="007E3BAC"/>
    <w:rsid w:val="007E3F08"/>
    <w:rsid w:val="007E4C24"/>
    <w:rsid w:val="007E63C7"/>
    <w:rsid w:val="007E6657"/>
    <w:rsid w:val="007E6FD6"/>
    <w:rsid w:val="007E7050"/>
    <w:rsid w:val="007F05BE"/>
    <w:rsid w:val="007F05D8"/>
    <w:rsid w:val="007F13D4"/>
    <w:rsid w:val="007F162F"/>
    <w:rsid w:val="007F176C"/>
    <w:rsid w:val="007F19EB"/>
    <w:rsid w:val="007F3414"/>
    <w:rsid w:val="007F380B"/>
    <w:rsid w:val="007F38D8"/>
    <w:rsid w:val="007F3B4D"/>
    <w:rsid w:val="007F3EA8"/>
    <w:rsid w:val="007F406D"/>
    <w:rsid w:val="007F40AB"/>
    <w:rsid w:val="007F4BFB"/>
    <w:rsid w:val="007F4D1A"/>
    <w:rsid w:val="007F5265"/>
    <w:rsid w:val="007F59EB"/>
    <w:rsid w:val="007F66B1"/>
    <w:rsid w:val="007F689E"/>
    <w:rsid w:val="007F7722"/>
    <w:rsid w:val="007F7AB4"/>
    <w:rsid w:val="0080059B"/>
    <w:rsid w:val="008005E5"/>
    <w:rsid w:val="008008C4"/>
    <w:rsid w:val="00800F06"/>
    <w:rsid w:val="00801AFA"/>
    <w:rsid w:val="00801EA4"/>
    <w:rsid w:val="00802173"/>
    <w:rsid w:val="008023A5"/>
    <w:rsid w:val="0080288D"/>
    <w:rsid w:val="00803DF0"/>
    <w:rsid w:val="008040B0"/>
    <w:rsid w:val="0080418F"/>
    <w:rsid w:val="0080451D"/>
    <w:rsid w:val="0080461C"/>
    <w:rsid w:val="008047D5"/>
    <w:rsid w:val="00804B41"/>
    <w:rsid w:val="008054ED"/>
    <w:rsid w:val="00805727"/>
    <w:rsid w:val="00805829"/>
    <w:rsid w:val="008059DB"/>
    <w:rsid w:val="00806B2C"/>
    <w:rsid w:val="00806CFE"/>
    <w:rsid w:val="00807C60"/>
    <w:rsid w:val="00807CA8"/>
    <w:rsid w:val="00807CE1"/>
    <w:rsid w:val="00807F50"/>
    <w:rsid w:val="00807FC9"/>
    <w:rsid w:val="00810532"/>
    <w:rsid w:val="00810865"/>
    <w:rsid w:val="008109F3"/>
    <w:rsid w:val="00811B92"/>
    <w:rsid w:val="00811C28"/>
    <w:rsid w:val="00812647"/>
    <w:rsid w:val="008129A7"/>
    <w:rsid w:val="00812AF9"/>
    <w:rsid w:val="00813441"/>
    <w:rsid w:val="008144EC"/>
    <w:rsid w:val="00814FFE"/>
    <w:rsid w:val="008154E0"/>
    <w:rsid w:val="00815BDF"/>
    <w:rsid w:val="0081635B"/>
    <w:rsid w:val="008164A8"/>
    <w:rsid w:val="008164B2"/>
    <w:rsid w:val="00816601"/>
    <w:rsid w:val="008168F0"/>
    <w:rsid w:val="00816A58"/>
    <w:rsid w:val="008170B2"/>
    <w:rsid w:val="00817175"/>
    <w:rsid w:val="00817C04"/>
    <w:rsid w:val="00820398"/>
    <w:rsid w:val="008203F1"/>
    <w:rsid w:val="00820460"/>
    <w:rsid w:val="008207C1"/>
    <w:rsid w:val="00821034"/>
    <w:rsid w:val="0082124E"/>
    <w:rsid w:val="00821250"/>
    <w:rsid w:val="008214B1"/>
    <w:rsid w:val="00821725"/>
    <w:rsid w:val="00821A4E"/>
    <w:rsid w:val="00821BA8"/>
    <w:rsid w:val="00821F8D"/>
    <w:rsid w:val="008222E3"/>
    <w:rsid w:val="00822BCE"/>
    <w:rsid w:val="0082314B"/>
    <w:rsid w:val="00823426"/>
    <w:rsid w:val="00824716"/>
    <w:rsid w:val="00824AE8"/>
    <w:rsid w:val="00825C93"/>
    <w:rsid w:val="00825FE1"/>
    <w:rsid w:val="008263E9"/>
    <w:rsid w:val="00826A09"/>
    <w:rsid w:val="00826F20"/>
    <w:rsid w:val="008271CB"/>
    <w:rsid w:val="00827663"/>
    <w:rsid w:val="008302B3"/>
    <w:rsid w:val="00830B40"/>
    <w:rsid w:val="008310D8"/>
    <w:rsid w:val="00831199"/>
    <w:rsid w:val="00831788"/>
    <w:rsid w:val="008317A1"/>
    <w:rsid w:val="00831E10"/>
    <w:rsid w:val="00831E8E"/>
    <w:rsid w:val="00832584"/>
    <w:rsid w:val="00832F57"/>
    <w:rsid w:val="00833483"/>
    <w:rsid w:val="00833856"/>
    <w:rsid w:val="0083397C"/>
    <w:rsid w:val="00834C8F"/>
    <w:rsid w:val="008352D3"/>
    <w:rsid w:val="00835529"/>
    <w:rsid w:val="00835712"/>
    <w:rsid w:val="00835A3D"/>
    <w:rsid w:val="00835EFF"/>
    <w:rsid w:val="008360E8"/>
    <w:rsid w:val="00836C5B"/>
    <w:rsid w:val="00836E33"/>
    <w:rsid w:val="008373D1"/>
    <w:rsid w:val="00837924"/>
    <w:rsid w:val="00840061"/>
    <w:rsid w:val="0084014D"/>
    <w:rsid w:val="00840A52"/>
    <w:rsid w:val="00840B92"/>
    <w:rsid w:val="00840BAF"/>
    <w:rsid w:val="008412EF"/>
    <w:rsid w:val="00841B31"/>
    <w:rsid w:val="00841C65"/>
    <w:rsid w:val="0084216D"/>
    <w:rsid w:val="008426A4"/>
    <w:rsid w:val="008426FE"/>
    <w:rsid w:val="00843CB5"/>
    <w:rsid w:val="008445DA"/>
    <w:rsid w:val="00844A5D"/>
    <w:rsid w:val="00844AB9"/>
    <w:rsid w:val="00844BC3"/>
    <w:rsid w:val="00844E17"/>
    <w:rsid w:val="00844F36"/>
    <w:rsid w:val="008456E0"/>
    <w:rsid w:val="00845EBD"/>
    <w:rsid w:val="00845FAB"/>
    <w:rsid w:val="00845FE0"/>
    <w:rsid w:val="00846681"/>
    <w:rsid w:val="008467C2"/>
    <w:rsid w:val="008472B5"/>
    <w:rsid w:val="008476C3"/>
    <w:rsid w:val="00847B12"/>
    <w:rsid w:val="008500EA"/>
    <w:rsid w:val="00850809"/>
    <w:rsid w:val="00850CFE"/>
    <w:rsid w:val="00850D50"/>
    <w:rsid w:val="0085160E"/>
    <w:rsid w:val="00851864"/>
    <w:rsid w:val="00851A1C"/>
    <w:rsid w:val="00851AF5"/>
    <w:rsid w:val="00851D30"/>
    <w:rsid w:val="008522F4"/>
    <w:rsid w:val="0085239F"/>
    <w:rsid w:val="0085278C"/>
    <w:rsid w:val="00852F5D"/>
    <w:rsid w:val="00853409"/>
    <w:rsid w:val="00853467"/>
    <w:rsid w:val="008534BB"/>
    <w:rsid w:val="00854724"/>
    <w:rsid w:val="0085499D"/>
    <w:rsid w:val="00854DF3"/>
    <w:rsid w:val="00854E19"/>
    <w:rsid w:val="008552F8"/>
    <w:rsid w:val="00855A7A"/>
    <w:rsid w:val="0085603B"/>
    <w:rsid w:val="0085695F"/>
    <w:rsid w:val="00856FDF"/>
    <w:rsid w:val="00857088"/>
    <w:rsid w:val="00857EDA"/>
    <w:rsid w:val="0086092D"/>
    <w:rsid w:val="00860D56"/>
    <w:rsid w:val="00860F03"/>
    <w:rsid w:val="008614DC"/>
    <w:rsid w:val="0086173C"/>
    <w:rsid w:val="00861817"/>
    <w:rsid w:val="00861EE6"/>
    <w:rsid w:val="00862EC4"/>
    <w:rsid w:val="0086335C"/>
    <w:rsid w:val="00863660"/>
    <w:rsid w:val="008637A3"/>
    <w:rsid w:val="008637D3"/>
    <w:rsid w:val="00863F1D"/>
    <w:rsid w:val="0086423D"/>
    <w:rsid w:val="00864B42"/>
    <w:rsid w:val="00864F12"/>
    <w:rsid w:val="008650A4"/>
    <w:rsid w:val="00865176"/>
    <w:rsid w:val="00865859"/>
    <w:rsid w:val="00865893"/>
    <w:rsid w:val="0086637C"/>
    <w:rsid w:val="00866793"/>
    <w:rsid w:val="00866799"/>
    <w:rsid w:val="00866E5A"/>
    <w:rsid w:val="00867C33"/>
    <w:rsid w:val="00867F60"/>
    <w:rsid w:val="00870552"/>
    <w:rsid w:val="00870C66"/>
    <w:rsid w:val="00870CF9"/>
    <w:rsid w:val="00870F76"/>
    <w:rsid w:val="008713D6"/>
    <w:rsid w:val="00872451"/>
    <w:rsid w:val="008726DD"/>
    <w:rsid w:val="008738FD"/>
    <w:rsid w:val="0087407F"/>
    <w:rsid w:val="008744A5"/>
    <w:rsid w:val="00874679"/>
    <w:rsid w:val="00874D41"/>
    <w:rsid w:val="0087520A"/>
    <w:rsid w:val="00875CAB"/>
    <w:rsid w:val="00875E50"/>
    <w:rsid w:val="00876382"/>
    <w:rsid w:val="008763B4"/>
    <w:rsid w:val="0087686E"/>
    <w:rsid w:val="0087796F"/>
    <w:rsid w:val="00877C77"/>
    <w:rsid w:val="00877E26"/>
    <w:rsid w:val="00880C08"/>
    <w:rsid w:val="00880F7F"/>
    <w:rsid w:val="008814D5"/>
    <w:rsid w:val="008819B6"/>
    <w:rsid w:val="00881B34"/>
    <w:rsid w:val="00881B85"/>
    <w:rsid w:val="00882606"/>
    <w:rsid w:val="00882D53"/>
    <w:rsid w:val="00882F05"/>
    <w:rsid w:val="0088336E"/>
    <w:rsid w:val="0088381A"/>
    <w:rsid w:val="008839E1"/>
    <w:rsid w:val="00883E28"/>
    <w:rsid w:val="008840C5"/>
    <w:rsid w:val="008856B2"/>
    <w:rsid w:val="00886333"/>
    <w:rsid w:val="008869A8"/>
    <w:rsid w:val="008875A1"/>
    <w:rsid w:val="00887E75"/>
    <w:rsid w:val="0089013F"/>
    <w:rsid w:val="00890197"/>
    <w:rsid w:val="008913BA"/>
    <w:rsid w:val="0089174F"/>
    <w:rsid w:val="00891EC7"/>
    <w:rsid w:val="008921F7"/>
    <w:rsid w:val="008924C0"/>
    <w:rsid w:val="00892F4C"/>
    <w:rsid w:val="00893202"/>
    <w:rsid w:val="00893E09"/>
    <w:rsid w:val="008949AF"/>
    <w:rsid w:val="00894EFD"/>
    <w:rsid w:val="008950C0"/>
    <w:rsid w:val="008959D7"/>
    <w:rsid w:val="00895B22"/>
    <w:rsid w:val="00895F18"/>
    <w:rsid w:val="00896796"/>
    <w:rsid w:val="00896EB9"/>
    <w:rsid w:val="008977BE"/>
    <w:rsid w:val="008977F7"/>
    <w:rsid w:val="00897835"/>
    <w:rsid w:val="00897E0E"/>
    <w:rsid w:val="008A0F55"/>
    <w:rsid w:val="008A123E"/>
    <w:rsid w:val="008A19E8"/>
    <w:rsid w:val="008A29A5"/>
    <w:rsid w:val="008A2F0D"/>
    <w:rsid w:val="008A3022"/>
    <w:rsid w:val="008A3520"/>
    <w:rsid w:val="008A3539"/>
    <w:rsid w:val="008A3750"/>
    <w:rsid w:val="008A4079"/>
    <w:rsid w:val="008A41AC"/>
    <w:rsid w:val="008A423A"/>
    <w:rsid w:val="008A495A"/>
    <w:rsid w:val="008A52C8"/>
    <w:rsid w:val="008A5501"/>
    <w:rsid w:val="008A6078"/>
    <w:rsid w:val="008A65EC"/>
    <w:rsid w:val="008A6DE3"/>
    <w:rsid w:val="008A6F99"/>
    <w:rsid w:val="008A7DB5"/>
    <w:rsid w:val="008A7F07"/>
    <w:rsid w:val="008A7F34"/>
    <w:rsid w:val="008B096C"/>
    <w:rsid w:val="008B19EE"/>
    <w:rsid w:val="008B1A41"/>
    <w:rsid w:val="008B1A46"/>
    <w:rsid w:val="008B1C50"/>
    <w:rsid w:val="008B1C6E"/>
    <w:rsid w:val="008B32BA"/>
    <w:rsid w:val="008B36A6"/>
    <w:rsid w:val="008B4787"/>
    <w:rsid w:val="008B4A26"/>
    <w:rsid w:val="008B50AA"/>
    <w:rsid w:val="008B5B07"/>
    <w:rsid w:val="008B5BBD"/>
    <w:rsid w:val="008B627D"/>
    <w:rsid w:val="008B6867"/>
    <w:rsid w:val="008B714D"/>
    <w:rsid w:val="008B78F4"/>
    <w:rsid w:val="008B7D1A"/>
    <w:rsid w:val="008C01B0"/>
    <w:rsid w:val="008C114F"/>
    <w:rsid w:val="008C1339"/>
    <w:rsid w:val="008C2553"/>
    <w:rsid w:val="008C27EE"/>
    <w:rsid w:val="008C3B4F"/>
    <w:rsid w:val="008C3B88"/>
    <w:rsid w:val="008C4239"/>
    <w:rsid w:val="008C4425"/>
    <w:rsid w:val="008C44D0"/>
    <w:rsid w:val="008C49D6"/>
    <w:rsid w:val="008C5077"/>
    <w:rsid w:val="008C50FD"/>
    <w:rsid w:val="008C5BBF"/>
    <w:rsid w:val="008C5E3F"/>
    <w:rsid w:val="008C5E8C"/>
    <w:rsid w:val="008C61E7"/>
    <w:rsid w:val="008C62A4"/>
    <w:rsid w:val="008C677B"/>
    <w:rsid w:val="008C6B1C"/>
    <w:rsid w:val="008C6E0F"/>
    <w:rsid w:val="008C6F9E"/>
    <w:rsid w:val="008C7068"/>
    <w:rsid w:val="008C72BC"/>
    <w:rsid w:val="008C7388"/>
    <w:rsid w:val="008C771D"/>
    <w:rsid w:val="008D0215"/>
    <w:rsid w:val="008D07FB"/>
    <w:rsid w:val="008D089B"/>
    <w:rsid w:val="008D08E2"/>
    <w:rsid w:val="008D097B"/>
    <w:rsid w:val="008D0A5B"/>
    <w:rsid w:val="008D0C7E"/>
    <w:rsid w:val="008D10C5"/>
    <w:rsid w:val="008D1119"/>
    <w:rsid w:val="008D11E0"/>
    <w:rsid w:val="008D1386"/>
    <w:rsid w:val="008D145B"/>
    <w:rsid w:val="008D20C9"/>
    <w:rsid w:val="008D28B9"/>
    <w:rsid w:val="008D3146"/>
    <w:rsid w:val="008D3172"/>
    <w:rsid w:val="008D3358"/>
    <w:rsid w:val="008D33E8"/>
    <w:rsid w:val="008D3AE7"/>
    <w:rsid w:val="008D4178"/>
    <w:rsid w:val="008D4263"/>
    <w:rsid w:val="008D43CB"/>
    <w:rsid w:val="008D4545"/>
    <w:rsid w:val="008D49BB"/>
    <w:rsid w:val="008D4FBA"/>
    <w:rsid w:val="008D5223"/>
    <w:rsid w:val="008D5783"/>
    <w:rsid w:val="008D5A0E"/>
    <w:rsid w:val="008D61C4"/>
    <w:rsid w:val="008D61F7"/>
    <w:rsid w:val="008D649F"/>
    <w:rsid w:val="008D6B50"/>
    <w:rsid w:val="008D6C0B"/>
    <w:rsid w:val="008D6DF7"/>
    <w:rsid w:val="008D70D1"/>
    <w:rsid w:val="008D775F"/>
    <w:rsid w:val="008E0071"/>
    <w:rsid w:val="008E07AA"/>
    <w:rsid w:val="008E0983"/>
    <w:rsid w:val="008E1312"/>
    <w:rsid w:val="008E14E1"/>
    <w:rsid w:val="008E17AA"/>
    <w:rsid w:val="008E192F"/>
    <w:rsid w:val="008E1DB4"/>
    <w:rsid w:val="008E2954"/>
    <w:rsid w:val="008E2AD9"/>
    <w:rsid w:val="008E31E5"/>
    <w:rsid w:val="008E3576"/>
    <w:rsid w:val="008E37C3"/>
    <w:rsid w:val="008E3AAC"/>
    <w:rsid w:val="008E413B"/>
    <w:rsid w:val="008E41CF"/>
    <w:rsid w:val="008E48D2"/>
    <w:rsid w:val="008E4A26"/>
    <w:rsid w:val="008E4A28"/>
    <w:rsid w:val="008E4DC1"/>
    <w:rsid w:val="008E524B"/>
    <w:rsid w:val="008E5DD6"/>
    <w:rsid w:val="008E5EFC"/>
    <w:rsid w:val="008E638B"/>
    <w:rsid w:val="008E654D"/>
    <w:rsid w:val="008E669D"/>
    <w:rsid w:val="008E66AD"/>
    <w:rsid w:val="008E68A7"/>
    <w:rsid w:val="008E77B3"/>
    <w:rsid w:val="008E7A19"/>
    <w:rsid w:val="008F0AB1"/>
    <w:rsid w:val="008F1349"/>
    <w:rsid w:val="008F1694"/>
    <w:rsid w:val="008F20F9"/>
    <w:rsid w:val="008F2611"/>
    <w:rsid w:val="008F26FC"/>
    <w:rsid w:val="008F2CD7"/>
    <w:rsid w:val="008F331C"/>
    <w:rsid w:val="008F3538"/>
    <w:rsid w:val="008F3B74"/>
    <w:rsid w:val="008F3C6F"/>
    <w:rsid w:val="008F4166"/>
    <w:rsid w:val="008F4393"/>
    <w:rsid w:val="008F4551"/>
    <w:rsid w:val="008F4BC0"/>
    <w:rsid w:val="008F5059"/>
    <w:rsid w:val="008F5965"/>
    <w:rsid w:val="008F5B7E"/>
    <w:rsid w:val="008F63AF"/>
    <w:rsid w:val="008F6AF2"/>
    <w:rsid w:val="008F6E86"/>
    <w:rsid w:val="008F6FF1"/>
    <w:rsid w:val="008F7012"/>
    <w:rsid w:val="008F774B"/>
    <w:rsid w:val="008F7D76"/>
    <w:rsid w:val="00900892"/>
    <w:rsid w:val="009008E5"/>
    <w:rsid w:val="00900966"/>
    <w:rsid w:val="0090132C"/>
    <w:rsid w:val="009016E5"/>
    <w:rsid w:val="00901CDC"/>
    <w:rsid w:val="0090224B"/>
    <w:rsid w:val="009026D9"/>
    <w:rsid w:val="0090281E"/>
    <w:rsid w:val="009028B4"/>
    <w:rsid w:val="00902BFE"/>
    <w:rsid w:val="00904CB4"/>
    <w:rsid w:val="00905F5E"/>
    <w:rsid w:val="00906893"/>
    <w:rsid w:val="00906C42"/>
    <w:rsid w:val="0090770E"/>
    <w:rsid w:val="00907B20"/>
    <w:rsid w:val="0091033E"/>
    <w:rsid w:val="00911205"/>
    <w:rsid w:val="00911293"/>
    <w:rsid w:val="00911E8A"/>
    <w:rsid w:val="0091268C"/>
    <w:rsid w:val="00912691"/>
    <w:rsid w:val="009128D6"/>
    <w:rsid w:val="00913369"/>
    <w:rsid w:val="00913426"/>
    <w:rsid w:val="009146CB"/>
    <w:rsid w:val="0091479D"/>
    <w:rsid w:val="00915574"/>
    <w:rsid w:val="0091580F"/>
    <w:rsid w:val="00915C34"/>
    <w:rsid w:val="00915F68"/>
    <w:rsid w:val="00915F7D"/>
    <w:rsid w:val="009166A1"/>
    <w:rsid w:val="009167E6"/>
    <w:rsid w:val="00916866"/>
    <w:rsid w:val="0091686D"/>
    <w:rsid w:val="00916B29"/>
    <w:rsid w:val="00916BF8"/>
    <w:rsid w:val="00916C94"/>
    <w:rsid w:val="00916E12"/>
    <w:rsid w:val="00917AC2"/>
    <w:rsid w:val="00917D13"/>
    <w:rsid w:val="00917F0D"/>
    <w:rsid w:val="00917F46"/>
    <w:rsid w:val="00920EF8"/>
    <w:rsid w:val="00921510"/>
    <w:rsid w:val="00921675"/>
    <w:rsid w:val="00922054"/>
    <w:rsid w:val="00922193"/>
    <w:rsid w:val="009228B2"/>
    <w:rsid w:val="009230EA"/>
    <w:rsid w:val="00923102"/>
    <w:rsid w:val="00923182"/>
    <w:rsid w:val="009231F3"/>
    <w:rsid w:val="00923471"/>
    <w:rsid w:val="0092361B"/>
    <w:rsid w:val="00923829"/>
    <w:rsid w:val="0092393E"/>
    <w:rsid w:val="00923BD8"/>
    <w:rsid w:val="0092459A"/>
    <w:rsid w:val="00924C7B"/>
    <w:rsid w:val="009257C0"/>
    <w:rsid w:val="009257EE"/>
    <w:rsid w:val="00925BB2"/>
    <w:rsid w:val="00925DF3"/>
    <w:rsid w:val="00926353"/>
    <w:rsid w:val="00926373"/>
    <w:rsid w:val="00930D9B"/>
    <w:rsid w:val="00930EA4"/>
    <w:rsid w:val="009310D7"/>
    <w:rsid w:val="0093155B"/>
    <w:rsid w:val="00931A1A"/>
    <w:rsid w:val="00931B72"/>
    <w:rsid w:val="00932039"/>
    <w:rsid w:val="0093219B"/>
    <w:rsid w:val="009321DA"/>
    <w:rsid w:val="00932222"/>
    <w:rsid w:val="00932C1C"/>
    <w:rsid w:val="0093365C"/>
    <w:rsid w:val="0093379E"/>
    <w:rsid w:val="00933D3C"/>
    <w:rsid w:val="00934A3C"/>
    <w:rsid w:val="00934E8A"/>
    <w:rsid w:val="0093565D"/>
    <w:rsid w:val="00936029"/>
    <w:rsid w:val="0093613B"/>
    <w:rsid w:val="00936C99"/>
    <w:rsid w:val="0093777E"/>
    <w:rsid w:val="00940703"/>
    <w:rsid w:val="0094116D"/>
    <w:rsid w:val="00941642"/>
    <w:rsid w:val="00941BA9"/>
    <w:rsid w:val="00941CAD"/>
    <w:rsid w:val="00941E84"/>
    <w:rsid w:val="00941F11"/>
    <w:rsid w:val="009428B1"/>
    <w:rsid w:val="00942977"/>
    <w:rsid w:val="00942E83"/>
    <w:rsid w:val="0094323D"/>
    <w:rsid w:val="0094369C"/>
    <w:rsid w:val="009439DF"/>
    <w:rsid w:val="00943FE1"/>
    <w:rsid w:val="00944112"/>
    <w:rsid w:val="00944674"/>
    <w:rsid w:val="00944C5E"/>
    <w:rsid w:val="00944DAF"/>
    <w:rsid w:val="00944EFB"/>
    <w:rsid w:val="009452F4"/>
    <w:rsid w:val="009467F3"/>
    <w:rsid w:val="009469C9"/>
    <w:rsid w:val="00947E65"/>
    <w:rsid w:val="009503E6"/>
    <w:rsid w:val="0095043C"/>
    <w:rsid w:val="00950525"/>
    <w:rsid w:val="00950B8B"/>
    <w:rsid w:val="009510C8"/>
    <w:rsid w:val="0095126B"/>
    <w:rsid w:val="009519E2"/>
    <w:rsid w:val="00951A8C"/>
    <w:rsid w:val="00951E8A"/>
    <w:rsid w:val="00952379"/>
    <w:rsid w:val="009525E2"/>
    <w:rsid w:val="0095280C"/>
    <w:rsid w:val="00952C41"/>
    <w:rsid w:val="00952F17"/>
    <w:rsid w:val="00952FE7"/>
    <w:rsid w:val="0095322E"/>
    <w:rsid w:val="009546FA"/>
    <w:rsid w:val="00955057"/>
    <w:rsid w:val="0095607D"/>
    <w:rsid w:val="0095632E"/>
    <w:rsid w:val="00956D5A"/>
    <w:rsid w:val="009575E9"/>
    <w:rsid w:val="009578A9"/>
    <w:rsid w:val="009601AA"/>
    <w:rsid w:val="00960802"/>
    <w:rsid w:val="00960C86"/>
    <w:rsid w:val="00961919"/>
    <w:rsid w:val="00961A43"/>
    <w:rsid w:val="00961F75"/>
    <w:rsid w:val="00962007"/>
    <w:rsid w:val="009621BE"/>
    <w:rsid w:val="00962996"/>
    <w:rsid w:val="009636EB"/>
    <w:rsid w:val="009651F5"/>
    <w:rsid w:val="00965981"/>
    <w:rsid w:val="00965E34"/>
    <w:rsid w:val="00966005"/>
    <w:rsid w:val="009665BC"/>
    <w:rsid w:val="00966666"/>
    <w:rsid w:val="00966AC4"/>
    <w:rsid w:val="00967743"/>
    <w:rsid w:val="00967807"/>
    <w:rsid w:val="00967C95"/>
    <w:rsid w:val="0097021A"/>
    <w:rsid w:val="009702EF"/>
    <w:rsid w:val="0097035C"/>
    <w:rsid w:val="009705D0"/>
    <w:rsid w:val="00970674"/>
    <w:rsid w:val="0097083E"/>
    <w:rsid w:val="00970C40"/>
    <w:rsid w:val="00971069"/>
    <w:rsid w:val="009712DE"/>
    <w:rsid w:val="009715A8"/>
    <w:rsid w:val="0097189F"/>
    <w:rsid w:val="00971B22"/>
    <w:rsid w:val="00971EEF"/>
    <w:rsid w:val="009720C1"/>
    <w:rsid w:val="00972A80"/>
    <w:rsid w:val="00972BC7"/>
    <w:rsid w:val="00972ED7"/>
    <w:rsid w:val="00973517"/>
    <w:rsid w:val="009736EF"/>
    <w:rsid w:val="00973B1C"/>
    <w:rsid w:val="00973D2C"/>
    <w:rsid w:val="00974123"/>
    <w:rsid w:val="00974161"/>
    <w:rsid w:val="00974632"/>
    <w:rsid w:val="00974E2D"/>
    <w:rsid w:val="00974F9A"/>
    <w:rsid w:val="00974FBA"/>
    <w:rsid w:val="00975F99"/>
    <w:rsid w:val="009768D7"/>
    <w:rsid w:val="009771E9"/>
    <w:rsid w:val="009773A9"/>
    <w:rsid w:val="00977C4A"/>
    <w:rsid w:val="00977DEF"/>
    <w:rsid w:val="00977EEB"/>
    <w:rsid w:val="00980E6A"/>
    <w:rsid w:val="00980EBF"/>
    <w:rsid w:val="00981252"/>
    <w:rsid w:val="00981A7F"/>
    <w:rsid w:val="00981CCD"/>
    <w:rsid w:val="00982124"/>
    <w:rsid w:val="0098254F"/>
    <w:rsid w:val="00982721"/>
    <w:rsid w:val="00982EF0"/>
    <w:rsid w:val="00984838"/>
    <w:rsid w:val="00984987"/>
    <w:rsid w:val="00984E06"/>
    <w:rsid w:val="00985CF4"/>
    <w:rsid w:val="0098658B"/>
    <w:rsid w:val="009867A1"/>
    <w:rsid w:val="00986D65"/>
    <w:rsid w:val="009878CA"/>
    <w:rsid w:val="00987AE2"/>
    <w:rsid w:val="00987B4D"/>
    <w:rsid w:val="00987BD7"/>
    <w:rsid w:val="00990924"/>
    <w:rsid w:val="00990DCD"/>
    <w:rsid w:val="00990EA1"/>
    <w:rsid w:val="009912C4"/>
    <w:rsid w:val="00991475"/>
    <w:rsid w:val="00993B4F"/>
    <w:rsid w:val="00993BD1"/>
    <w:rsid w:val="00993CA4"/>
    <w:rsid w:val="009942A9"/>
    <w:rsid w:val="009944BF"/>
    <w:rsid w:val="00994EBD"/>
    <w:rsid w:val="009954E7"/>
    <w:rsid w:val="00995708"/>
    <w:rsid w:val="00995A9C"/>
    <w:rsid w:val="0099657B"/>
    <w:rsid w:val="009966DB"/>
    <w:rsid w:val="009971E0"/>
    <w:rsid w:val="00997C94"/>
    <w:rsid w:val="009A02F2"/>
    <w:rsid w:val="009A041E"/>
    <w:rsid w:val="009A0579"/>
    <w:rsid w:val="009A05ED"/>
    <w:rsid w:val="009A095F"/>
    <w:rsid w:val="009A11F6"/>
    <w:rsid w:val="009A1408"/>
    <w:rsid w:val="009A20BD"/>
    <w:rsid w:val="009A27B7"/>
    <w:rsid w:val="009A294A"/>
    <w:rsid w:val="009A2A38"/>
    <w:rsid w:val="009A2D49"/>
    <w:rsid w:val="009A307C"/>
    <w:rsid w:val="009A36A3"/>
    <w:rsid w:val="009A385C"/>
    <w:rsid w:val="009A3D7C"/>
    <w:rsid w:val="009A42D2"/>
    <w:rsid w:val="009A437A"/>
    <w:rsid w:val="009A43A3"/>
    <w:rsid w:val="009A4A57"/>
    <w:rsid w:val="009A59D5"/>
    <w:rsid w:val="009A60EF"/>
    <w:rsid w:val="009A68AE"/>
    <w:rsid w:val="009A68DD"/>
    <w:rsid w:val="009A6ACD"/>
    <w:rsid w:val="009A6BBA"/>
    <w:rsid w:val="009A6E0C"/>
    <w:rsid w:val="009A7473"/>
    <w:rsid w:val="009A79F8"/>
    <w:rsid w:val="009A7A86"/>
    <w:rsid w:val="009A7B0B"/>
    <w:rsid w:val="009B0DB5"/>
    <w:rsid w:val="009B10B6"/>
    <w:rsid w:val="009B15DE"/>
    <w:rsid w:val="009B1861"/>
    <w:rsid w:val="009B19A2"/>
    <w:rsid w:val="009B1BB1"/>
    <w:rsid w:val="009B2352"/>
    <w:rsid w:val="009B273F"/>
    <w:rsid w:val="009B28CD"/>
    <w:rsid w:val="009B33A0"/>
    <w:rsid w:val="009B3B06"/>
    <w:rsid w:val="009B3E99"/>
    <w:rsid w:val="009B4376"/>
    <w:rsid w:val="009B48B2"/>
    <w:rsid w:val="009B53F3"/>
    <w:rsid w:val="009B5B13"/>
    <w:rsid w:val="009B5CD9"/>
    <w:rsid w:val="009B5EC7"/>
    <w:rsid w:val="009B64EE"/>
    <w:rsid w:val="009B689E"/>
    <w:rsid w:val="009B6B84"/>
    <w:rsid w:val="009B71BA"/>
    <w:rsid w:val="009B7427"/>
    <w:rsid w:val="009B78CE"/>
    <w:rsid w:val="009B7B9F"/>
    <w:rsid w:val="009B7F34"/>
    <w:rsid w:val="009C00B2"/>
    <w:rsid w:val="009C0BC1"/>
    <w:rsid w:val="009C0C40"/>
    <w:rsid w:val="009C0D66"/>
    <w:rsid w:val="009C2781"/>
    <w:rsid w:val="009C2EB1"/>
    <w:rsid w:val="009C2F53"/>
    <w:rsid w:val="009C30F1"/>
    <w:rsid w:val="009C31C0"/>
    <w:rsid w:val="009C37A8"/>
    <w:rsid w:val="009C3D86"/>
    <w:rsid w:val="009C3F90"/>
    <w:rsid w:val="009C42C6"/>
    <w:rsid w:val="009C4353"/>
    <w:rsid w:val="009C45F1"/>
    <w:rsid w:val="009C48DA"/>
    <w:rsid w:val="009C4BD0"/>
    <w:rsid w:val="009C4D62"/>
    <w:rsid w:val="009C5740"/>
    <w:rsid w:val="009C5802"/>
    <w:rsid w:val="009C5C01"/>
    <w:rsid w:val="009C5D4F"/>
    <w:rsid w:val="009C5DF0"/>
    <w:rsid w:val="009C5DF5"/>
    <w:rsid w:val="009C6728"/>
    <w:rsid w:val="009C6760"/>
    <w:rsid w:val="009C7616"/>
    <w:rsid w:val="009C78A3"/>
    <w:rsid w:val="009C7C7D"/>
    <w:rsid w:val="009C7CD2"/>
    <w:rsid w:val="009D0727"/>
    <w:rsid w:val="009D0752"/>
    <w:rsid w:val="009D0B43"/>
    <w:rsid w:val="009D0BC5"/>
    <w:rsid w:val="009D0F1D"/>
    <w:rsid w:val="009D10DB"/>
    <w:rsid w:val="009D1256"/>
    <w:rsid w:val="009D256A"/>
    <w:rsid w:val="009D2649"/>
    <w:rsid w:val="009D33B5"/>
    <w:rsid w:val="009D36B6"/>
    <w:rsid w:val="009D3A72"/>
    <w:rsid w:val="009D3D57"/>
    <w:rsid w:val="009D41B9"/>
    <w:rsid w:val="009D423A"/>
    <w:rsid w:val="009D4516"/>
    <w:rsid w:val="009D50F5"/>
    <w:rsid w:val="009D5380"/>
    <w:rsid w:val="009D6843"/>
    <w:rsid w:val="009D7074"/>
    <w:rsid w:val="009D708F"/>
    <w:rsid w:val="009D7391"/>
    <w:rsid w:val="009E081E"/>
    <w:rsid w:val="009E157A"/>
    <w:rsid w:val="009E18B5"/>
    <w:rsid w:val="009E1AA6"/>
    <w:rsid w:val="009E1EF8"/>
    <w:rsid w:val="009E259D"/>
    <w:rsid w:val="009E2642"/>
    <w:rsid w:val="009E2EA5"/>
    <w:rsid w:val="009E2FF2"/>
    <w:rsid w:val="009E3930"/>
    <w:rsid w:val="009E3DCA"/>
    <w:rsid w:val="009E4011"/>
    <w:rsid w:val="009E51E4"/>
    <w:rsid w:val="009E5BE4"/>
    <w:rsid w:val="009E64BB"/>
    <w:rsid w:val="009E69CD"/>
    <w:rsid w:val="009E6F5F"/>
    <w:rsid w:val="009E6F76"/>
    <w:rsid w:val="009E715C"/>
    <w:rsid w:val="009E7689"/>
    <w:rsid w:val="009E7E5E"/>
    <w:rsid w:val="009E7E93"/>
    <w:rsid w:val="009F0103"/>
    <w:rsid w:val="009F0DB7"/>
    <w:rsid w:val="009F1885"/>
    <w:rsid w:val="009F2097"/>
    <w:rsid w:val="009F2670"/>
    <w:rsid w:val="009F2F54"/>
    <w:rsid w:val="009F3EF5"/>
    <w:rsid w:val="009F442D"/>
    <w:rsid w:val="009F48AE"/>
    <w:rsid w:val="009F4CB3"/>
    <w:rsid w:val="009F4D47"/>
    <w:rsid w:val="009F51EE"/>
    <w:rsid w:val="009F5305"/>
    <w:rsid w:val="009F5952"/>
    <w:rsid w:val="009F5A15"/>
    <w:rsid w:val="009F5BD8"/>
    <w:rsid w:val="009F5EAE"/>
    <w:rsid w:val="009F6156"/>
    <w:rsid w:val="009F6B38"/>
    <w:rsid w:val="009F6EA8"/>
    <w:rsid w:val="009F7800"/>
    <w:rsid w:val="009F7C3C"/>
    <w:rsid w:val="009F7EA2"/>
    <w:rsid w:val="00A004A8"/>
    <w:rsid w:val="00A004B7"/>
    <w:rsid w:val="00A00A4A"/>
    <w:rsid w:val="00A00B43"/>
    <w:rsid w:val="00A0109B"/>
    <w:rsid w:val="00A01220"/>
    <w:rsid w:val="00A02742"/>
    <w:rsid w:val="00A028EC"/>
    <w:rsid w:val="00A02C8F"/>
    <w:rsid w:val="00A02DC3"/>
    <w:rsid w:val="00A035DE"/>
    <w:rsid w:val="00A037FF"/>
    <w:rsid w:val="00A0385D"/>
    <w:rsid w:val="00A04AAE"/>
    <w:rsid w:val="00A076A2"/>
    <w:rsid w:val="00A078CC"/>
    <w:rsid w:val="00A07955"/>
    <w:rsid w:val="00A07A80"/>
    <w:rsid w:val="00A1007E"/>
    <w:rsid w:val="00A1062E"/>
    <w:rsid w:val="00A106BE"/>
    <w:rsid w:val="00A10A63"/>
    <w:rsid w:val="00A10C40"/>
    <w:rsid w:val="00A112FA"/>
    <w:rsid w:val="00A11767"/>
    <w:rsid w:val="00A11ABE"/>
    <w:rsid w:val="00A123FC"/>
    <w:rsid w:val="00A131A7"/>
    <w:rsid w:val="00A13C49"/>
    <w:rsid w:val="00A145CF"/>
    <w:rsid w:val="00A1466E"/>
    <w:rsid w:val="00A14795"/>
    <w:rsid w:val="00A14DF7"/>
    <w:rsid w:val="00A14EAE"/>
    <w:rsid w:val="00A14F96"/>
    <w:rsid w:val="00A1511B"/>
    <w:rsid w:val="00A157E5"/>
    <w:rsid w:val="00A15B94"/>
    <w:rsid w:val="00A15CC5"/>
    <w:rsid w:val="00A16874"/>
    <w:rsid w:val="00A169F6"/>
    <w:rsid w:val="00A16E6E"/>
    <w:rsid w:val="00A1779A"/>
    <w:rsid w:val="00A1793A"/>
    <w:rsid w:val="00A20240"/>
    <w:rsid w:val="00A20BCB"/>
    <w:rsid w:val="00A210BC"/>
    <w:rsid w:val="00A211A1"/>
    <w:rsid w:val="00A21209"/>
    <w:rsid w:val="00A21304"/>
    <w:rsid w:val="00A223DC"/>
    <w:rsid w:val="00A2283B"/>
    <w:rsid w:val="00A22E7C"/>
    <w:rsid w:val="00A23927"/>
    <w:rsid w:val="00A23A14"/>
    <w:rsid w:val="00A23FF3"/>
    <w:rsid w:val="00A2416C"/>
    <w:rsid w:val="00A24A5D"/>
    <w:rsid w:val="00A256BB"/>
    <w:rsid w:val="00A260B4"/>
    <w:rsid w:val="00A260D1"/>
    <w:rsid w:val="00A2695A"/>
    <w:rsid w:val="00A26E83"/>
    <w:rsid w:val="00A2756C"/>
    <w:rsid w:val="00A27581"/>
    <w:rsid w:val="00A27686"/>
    <w:rsid w:val="00A27810"/>
    <w:rsid w:val="00A27888"/>
    <w:rsid w:val="00A27E31"/>
    <w:rsid w:val="00A27F3A"/>
    <w:rsid w:val="00A3036C"/>
    <w:rsid w:val="00A31052"/>
    <w:rsid w:val="00A319AB"/>
    <w:rsid w:val="00A31A0D"/>
    <w:rsid w:val="00A3238B"/>
    <w:rsid w:val="00A32739"/>
    <w:rsid w:val="00A33376"/>
    <w:rsid w:val="00A33C16"/>
    <w:rsid w:val="00A35229"/>
    <w:rsid w:val="00A3523C"/>
    <w:rsid w:val="00A354FB"/>
    <w:rsid w:val="00A3570C"/>
    <w:rsid w:val="00A36602"/>
    <w:rsid w:val="00A36BDE"/>
    <w:rsid w:val="00A36D3C"/>
    <w:rsid w:val="00A37394"/>
    <w:rsid w:val="00A37983"/>
    <w:rsid w:val="00A379C3"/>
    <w:rsid w:val="00A37C5B"/>
    <w:rsid w:val="00A37D85"/>
    <w:rsid w:val="00A409E3"/>
    <w:rsid w:val="00A40DD8"/>
    <w:rsid w:val="00A412A4"/>
    <w:rsid w:val="00A41368"/>
    <w:rsid w:val="00A417D0"/>
    <w:rsid w:val="00A41D39"/>
    <w:rsid w:val="00A4202C"/>
    <w:rsid w:val="00A420C1"/>
    <w:rsid w:val="00A43A03"/>
    <w:rsid w:val="00A4426A"/>
    <w:rsid w:val="00A4458E"/>
    <w:rsid w:val="00A4484C"/>
    <w:rsid w:val="00A44937"/>
    <w:rsid w:val="00A44AB7"/>
    <w:rsid w:val="00A45241"/>
    <w:rsid w:val="00A45590"/>
    <w:rsid w:val="00A45913"/>
    <w:rsid w:val="00A45AB6"/>
    <w:rsid w:val="00A45C98"/>
    <w:rsid w:val="00A468AF"/>
    <w:rsid w:val="00A46950"/>
    <w:rsid w:val="00A46A45"/>
    <w:rsid w:val="00A46F4C"/>
    <w:rsid w:val="00A50119"/>
    <w:rsid w:val="00A50429"/>
    <w:rsid w:val="00A5070D"/>
    <w:rsid w:val="00A50BDE"/>
    <w:rsid w:val="00A517C6"/>
    <w:rsid w:val="00A51A83"/>
    <w:rsid w:val="00A51BA1"/>
    <w:rsid w:val="00A51D04"/>
    <w:rsid w:val="00A521EC"/>
    <w:rsid w:val="00A5223B"/>
    <w:rsid w:val="00A52314"/>
    <w:rsid w:val="00A52379"/>
    <w:rsid w:val="00A52787"/>
    <w:rsid w:val="00A528D9"/>
    <w:rsid w:val="00A532C8"/>
    <w:rsid w:val="00A5330A"/>
    <w:rsid w:val="00A538E1"/>
    <w:rsid w:val="00A53D60"/>
    <w:rsid w:val="00A54880"/>
    <w:rsid w:val="00A54AB3"/>
    <w:rsid w:val="00A5542A"/>
    <w:rsid w:val="00A55E0B"/>
    <w:rsid w:val="00A55FE7"/>
    <w:rsid w:val="00A56117"/>
    <w:rsid w:val="00A561F7"/>
    <w:rsid w:val="00A562BD"/>
    <w:rsid w:val="00A563D7"/>
    <w:rsid w:val="00A5674D"/>
    <w:rsid w:val="00A56BE3"/>
    <w:rsid w:val="00A56C99"/>
    <w:rsid w:val="00A56F25"/>
    <w:rsid w:val="00A56F6E"/>
    <w:rsid w:val="00A57800"/>
    <w:rsid w:val="00A579C3"/>
    <w:rsid w:val="00A6066A"/>
    <w:rsid w:val="00A60B2D"/>
    <w:rsid w:val="00A612A2"/>
    <w:rsid w:val="00A6185D"/>
    <w:rsid w:val="00A61CF0"/>
    <w:rsid w:val="00A62170"/>
    <w:rsid w:val="00A625B4"/>
    <w:rsid w:val="00A628C1"/>
    <w:rsid w:val="00A62A44"/>
    <w:rsid w:val="00A62E60"/>
    <w:rsid w:val="00A63098"/>
    <w:rsid w:val="00A631ED"/>
    <w:rsid w:val="00A63433"/>
    <w:rsid w:val="00A64C9C"/>
    <w:rsid w:val="00A64F40"/>
    <w:rsid w:val="00A64FA2"/>
    <w:rsid w:val="00A64FBF"/>
    <w:rsid w:val="00A6571B"/>
    <w:rsid w:val="00A65F9F"/>
    <w:rsid w:val="00A668EB"/>
    <w:rsid w:val="00A66925"/>
    <w:rsid w:val="00A66C4E"/>
    <w:rsid w:val="00A66F78"/>
    <w:rsid w:val="00A67FC1"/>
    <w:rsid w:val="00A7009B"/>
    <w:rsid w:val="00A70932"/>
    <w:rsid w:val="00A70BCC"/>
    <w:rsid w:val="00A71048"/>
    <w:rsid w:val="00A7136C"/>
    <w:rsid w:val="00A7211F"/>
    <w:rsid w:val="00A72DB4"/>
    <w:rsid w:val="00A72F36"/>
    <w:rsid w:val="00A72F99"/>
    <w:rsid w:val="00A73D83"/>
    <w:rsid w:val="00A74230"/>
    <w:rsid w:val="00A74788"/>
    <w:rsid w:val="00A74AAB"/>
    <w:rsid w:val="00A74B94"/>
    <w:rsid w:val="00A74E5F"/>
    <w:rsid w:val="00A752B2"/>
    <w:rsid w:val="00A7582A"/>
    <w:rsid w:val="00A75A86"/>
    <w:rsid w:val="00A75E9D"/>
    <w:rsid w:val="00A76A76"/>
    <w:rsid w:val="00A76B07"/>
    <w:rsid w:val="00A76D22"/>
    <w:rsid w:val="00A76DBC"/>
    <w:rsid w:val="00A76DC2"/>
    <w:rsid w:val="00A773D0"/>
    <w:rsid w:val="00A8054D"/>
    <w:rsid w:val="00A80A59"/>
    <w:rsid w:val="00A80E27"/>
    <w:rsid w:val="00A811C4"/>
    <w:rsid w:val="00A8121C"/>
    <w:rsid w:val="00A813CB"/>
    <w:rsid w:val="00A813E5"/>
    <w:rsid w:val="00A816E6"/>
    <w:rsid w:val="00A81E96"/>
    <w:rsid w:val="00A81FC2"/>
    <w:rsid w:val="00A8207B"/>
    <w:rsid w:val="00A82942"/>
    <w:rsid w:val="00A8331B"/>
    <w:rsid w:val="00A834E8"/>
    <w:rsid w:val="00A83E2E"/>
    <w:rsid w:val="00A842ED"/>
    <w:rsid w:val="00A84527"/>
    <w:rsid w:val="00A85138"/>
    <w:rsid w:val="00A85177"/>
    <w:rsid w:val="00A85411"/>
    <w:rsid w:val="00A861CE"/>
    <w:rsid w:val="00A86471"/>
    <w:rsid w:val="00A867F2"/>
    <w:rsid w:val="00A8688A"/>
    <w:rsid w:val="00A868FC"/>
    <w:rsid w:val="00A86AFD"/>
    <w:rsid w:val="00A86BE1"/>
    <w:rsid w:val="00A86BE3"/>
    <w:rsid w:val="00A86CF5"/>
    <w:rsid w:val="00A86FE4"/>
    <w:rsid w:val="00A876DC"/>
    <w:rsid w:val="00A87735"/>
    <w:rsid w:val="00A879F8"/>
    <w:rsid w:val="00A87C08"/>
    <w:rsid w:val="00A900BD"/>
    <w:rsid w:val="00A90441"/>
    <w:rsid w:val="00A90FB1"/>
    <w:rsid w:val="00A9105F"/>
    <w:rsid w:val="00A91206"/>
    <w:rsid w:val="00A9129A"/>
    <w:rsid w:val="00A91985"/>
    <w:rsid w:val="00A91B3E"/>
    <w:rsid w:val="00A91C33"/>
    <w:rsid w:val="00A92324"/>
    <w:rsid w:val="00A929F3"/>
    <w:rsid w:val="00A92A3B"/>
    <w:rsid w:val="00A92CE9"/>
    <w:rsid w:val="00A9321C"/>
    <w:rsid w:val="00A937D9"/>
    <w:rsid w:val="00A93BEF"/>
    <w:rsid w:val="00A93D14"/>
    <w:rsid w:val="00A93ED9"/>
    <w:rsid w:val="00A93F01"/>
    <w:rsid w:val="00A9412C"/>
    <w:rsid w:val="00A94222"/>
    <w:rsid w:val="00A949FA"/>
    <w:rsid w:val="00A94AB6"/>
    <w:rsid w:val="00A94AC7"/>
    <w:rsid w:val="00A9515A"/>
    <w:rsid w:val="00A95271"/>
    <w:rsid w:val="00A95762"/>
    <w:rsid w:val="00A95D35"/>
    <w:rsid w:val="00A9625F"/>
    <w:rsid w:val="00A965D0"/>
    <w:rsid w:val="00A96C7C"/>
    <w:rsid w:val="00A97266"/>
    <w:rsid w:val="00A976D0"/>
    <w:rsid w:val="00AA03A0"/>
    <w:rsid w:val="00AA0FF7"/>
    <w:rsid w:val="00AA11CD"/>
    <w:rsid w:val="00AA21BD"/>
    <w:rsid w:val="00AA25C0"/>
    <w:rsid w:val="00AA27BA"/>
    <w:rsid w:val="00AA2AF1"/>
    <w:rsid w:val="00AA2B87"/>
    <w:rsid w:val="00AA3618"/>
    <w:rsid w:val="00AA4016"/>
    <w:rsid w:val="00AA45F7"/>
    <w:rsid w:val="00AA5820"/>
    <w:rsid w:val="00AA5BAF"/>
    <w:rsid w:val="00AA5DA0"/>
    <w:rsid w:val="00AA7981"/>
    <w:rsid w:val="00AA7B32"/>
    <w:rsid w:val="00AB04D0"/>
    <w:rsid w:val="00AB0757"/>
    <w:rsid w:val="00AB0F76"/>
    <w:rsid w:val="00AB198F"/>
    <w:rsid w:val="00AB1A59"/>
    <w:rsid w:val="00AB2134"/>
    <w:rsid w:val="00AB37AC"/>
    <w:rsid w:val="00AB4528"/>
    <w:rsid w:val="00AB47FD"/>
    <w:rsid w:val="00AB4FD6"/>
    <w:rsid w:val="00AB51B8"/>
    <w:rsid w:val="00AB541F"/>
    <w:rsid w:val="00AB5849"/>
    <w:rsid w:val="00AB6CE7"/>
    <w:rsid w:val="00AB6E23"/>
    <w:rsid w:val="00AB7B77"/>
    <w:rsid w:val="00AC028E"/>
    <w:rsid w:val="00AC06EA"/>
    <w:rsid w:val="00AC0CE4"/>
    <w:rsid w:val="00AC0DDF"/>
    <w:rsid w:val="00AC0F6F"/>
    <w:rsid w:val="00AC10A1"/>
    <w:rsid w:val="00AC136E"/>
    <w:rsid w:val="00AC1A42"/>
    <w:rsid w:val="00AC1EE6"/>
    <w:rsid w:val="00AC2518"/>
    <w:rsid w:val="00AC2881"/>
    <w:rsid w:val="00AC2DEA"/>
    <w:rsid w:val="00AC31AC"/>
    <w:rsid w:val="00AC31C0"/>
    <w:rsid w:val="00AC3533"/>
    <w:rsid w:val="00AC396D"/>
    <w:rsid w:val="00AC40DB"/>
    <w:rsid w:val="00AC4121"/>
    <w:rsid w:val="00AC433A"/>
    <w:rsid w:val="00AC444B"/>
    <w:rsid w:val="00AC46F9"/>
    <w:rsid w:val="00AC486E"/>
    <w:rsid w:val="00AC51AD"/>
    <w:rsid w:val="00AC54E6"/>
    <w:rsid w:val="00AC7035"/>
    <w:rsid w:val="00AC7177"/>
    <w:rsid w:val="00AC72F8"/>
    <w:rsid w:val="00AD03C3"/>
    <w:rsid w:val="00AD07ED"/>
    <w:rsid w:val="00AD08A0"/>
    <w:rsid w:val="00AD0E63"/>
    <w:rsid w:val="00AD104D"/>
    <w:rsid w:val="00AD10E2"/>
    <w:rsid w:val="00AD13B6"/>
    <w:rsid w:val="00AD1670"/>
    <w:rsid w:val="00AD1EB8"/>
    <w:rsid w:val="00AD2783"/>
    <w:rsid w:val="00AD2DB7"/>
    <w:rsid w:val="00AD3254"/>
    <w:rsid w:val="00AD3E60"/>
    <w:rsid w:val="00AD44DF"/>
    <w:rsid w:val="00AD48D0"/>
    <w:rsid w:val="00AD49EA"/>
    <w:rsid w:val="00AD4D3C"/>
    <w:rsid w:val="00AD501D"/>
    <w:rsid w:val="00AD50B1"/>
    <w:rsid w:val="00AD548B"/>
    <w:rsid w:val="00AD554E"/>
    <w:rsid w:val="00AD5DCC"/>
    <w:rsid w:val="00AD62C8"/>
    <w:rsid w:val="00AD67A3"/>
    <w:rsid w:val="00AD6B03"/>
    <w:rsid w:val="00AD7823"/>
    <w:rsid w:val="00AE0146"/>
    <w:rsid w:val="00AE0B08"/>
    <w:rsid w:val="00AE0B26"/>
    <w:rsid w:val="00AE0CE2"/>
    <w:rsid w:val="00AE17ED"/>
    <w:rsid w:val="00AE183B"/>
    <w:rsid w:val="00AE2032"/>
    <w:rsid w:val="00AE218E"/>
    <w:rsid w:val="00AE2B5A"/>
    <w:rsid w:val="00AE2DD7"/>
    <w:rsid w:val="00AE2EDB"/>
    <w:rsid w:val="00AE32DA"/>
    <w:rsid w:val="00AE4967"/>
    <w:rsid w:val="00AE50FB"/>
    <w:rsid w:val="00AE6AA9"/>
    <w:rsid w:val="00AE774A"/>
    <w:rsid w:val="00AE7758"/>
    <w:rsid w:val="00AE7DD3"/>
    <w:rsid w:val="00AE7E10"/>
    <w:rsid w:val="00AE7EAA"/>
    <w:rsid w:val="00AF0148"/>
    <w:rsid w:val="00AF06BE"/>
    <w:rsid w:val="00AF0EAB"/>
    <w:rsid w:val="00AF10E8"/>
    <w:rsid w:val="00AF1136"/>
    <w:rsid w:val="00AF1285"/>
    <w:rsid w:val="00AF1D46"/>
    <w:rsid w:val="00AF1EE1"/>
    <w:rsid w:val="00AF25A2"/>
    <w:rsid w:val="00AF2AC7"/>
    <w:rsid w:val="00AF2C1E"/>
    <w:rsid w:val="00AF2CBE"/>
    <w:rsid w:val="00AF2D35"/>
    <w:rsid w:val="00AF3794"/>
    <w:rsid w:val="00AF37A1"/>
    <w:rsid w:val="00AF383F"/>
    <w:rsid w:val="00AF3C31"/>
    <w:rsid w:val="00AF3F53"/>
    <w:rsid w:val="00AF4DC9"/>
    <w:rsid w:val="00AF5A9B"/>
    <w:rsid w:val="00AF6238"/>
    <w:rsid w:val="00AF6C28"/>
    <w:rsid w:val="00AF6D1F"/>
    <w:rsid w:val="00AF6D55"/>
    <w:rsid w:val="00AF7054"/>
    <w:rsid w:val="00AF7FAA"/>
    <w:rsid w:val="00B00050"/>
    <w:rsid w:val="00B00132"/>
    <w:rsid w:val="00B0092C"/>
    <w:rsid w:val="00B00AB4"/>
    <w:rsid w:val="00B00B6A"/>
    <w:rsid w:val="00B00DEB"/>
    <w:rsid w:val="00B01081"/>
    <w:rsid w:val="00B01568"/>
    <w:rsid w:val="00B01D85"/>
    <w:rsid w:val="00B028BE"/>
    <w:rsid w:val="00B02949"/>
    <w:rsid w:val="00B02CED"/>
    <w:rsid w:val="00B02E46"/>
    <w:rsid w:val="00B03574"/>
    <w:rsid w:val="00B03A19"/>
    <w:rsid w:val="00B03D2E"/>
    <w:rsid w:val="00B043D6"/>
    <w:rsid w:val="00B04690"/>
    <w:rsid w:val="00B04B0A"/>
    <w:rsid w:val="00B0541E"/>
    <w:rsid w:val="00B0575B"/>
    <w:rsid w:val="00B05938"/>
    <w:rsid w:val="00B05C4D"/>
    <w:rsid w:val="00B05E2E"/>
    <w:rsid w:val="00B06341"/>
    <w:rsid w:val="00B06B4B"/>
    <w:rsid w:val="00B06C2E"/>
    <w:rsid w:val="00B06D76"/>
    <w:rsid w:val="00B07270"/>
    <w:rsid w:val="00B079FB"/>
    <w:rsid w:val="00B11070"/>
    <w:rsid w:val="00B11649"/>
    <w:rsid w:val="00B11A5B"/>
    <w:rsid w:val="00B11DB0"/>
    <w:rsid w:val="00B12E4C"/>
    <w:rsid w:val="00B13393"/>
    <w:rsid w:val="00B13807"/>
    <w:rsid w:val="00B13857"/>
    <w:rsid w:val="00B138DA"/>
    <w:rsid w:val="00B13905"/>
    <w:rsid w:val="00B13A31"/>
    <w:rsid w:val="00B147A0"/>
    <w:rsid w:val="00B14AE4"/>
    <w:rsid w:val="00B14C07"/>
    <w:rsid w:val="00B154FE"/>
    <w:rsid w:val="00B173F7"/>
    <w:rsid w:val="00B1767D"/>
    <w:rsid w:val="00B1786C"/>
    <w:rsid w:val="00B179C3"/>
    <w:rsid w:val="00B17DCE"/>
    <w:rsid w:val="00B20015"/>
    <w:rsid w:val="00B201B3"/>
    <w:rsid w:val="00B202FF"/>
    <w:rsid w:val="00B20B7F"/>
    <w:rsid w:val="00B216CD"/>
    <w:rsid w:val="00B222B0"/>
    <w:rsid w:val="00B22422"/>
    <w:rsid w:val="00B22B17"/>
    <w:rsid w:val="00B2305A"/>
    <w:rsid w:val="00B2337F"/>
    <w:rsid w:val="00B23FA4"/>
    <w:rsid w:val="00B241E6"/>
    <w:rsid w:val="00B24208"/>
    <w:rsid w:val="00B2434E"/>
    <w:rsid w:val="00B243A3"/>
    <w:rsid w:val="00B252F2"/>
    <w:rsid w:val="00B25C86"/>
    <w:rsid w:val="00B25DCE"/>
    <w:rsid w:val="00B25EF4"/>
    <w:rsid w:val="00B25F4D"/>
    <w:rsid w:val="00B2659C"/>
    <w:rsid w:val="00B26A45"/>
    <w:rsid w:val="00B27562"/>
    <w:rsid w:val="00B275D4"/>
    <w:rsid w:val="00B27F9C"/>
    <w:rsid w:val="00B3008C"/>
    <w:rsid w:val="00B309EE"/>
    <w:rsid w:val="00B30F64"/>
    <w:rsid w:val="00B3118E"/>
    <w:rsid w:val="00B3119A"/>
    <w:rsid w:val="00B314CA"/>
    <w:rsid w:val="00B31CDE"/>
    <w:rsid w:val="00B32391"/>
    <w:rsid w:val="00B329BB"/>
    <w:rsid w:val="00B33486"/>
    <w:rsid w:val="00B33926"/>
    <w:rsid w:val="00B33DE3"/>
    <w:rsid w:val="00B34530"/>
    <w:rsid w:val="00B3459B"/>
    <w:rsid w:val="00B3467F"/>
    <w:rsid w:val="00B346EF"/>
    <w:rsid w:val="00B34A6C"/>
    <w:rsid w:val="00B34C14"/>
    <w:rsid w:val="00B34D35"/>
    <w:rsid w:val="00B35303"/>
    <w:rsid w:val="00B359B5"/>
    <w:rsid w:val="00B35C6E"/>
    <w:rsid w:val="00B35CB5"/>
    <w:rsid w:val="00B36359"/>
    <w:rsid w:val="00B36F7C"/>
    <w:rsid w:val="00B37302"/>
    <w:rsid w:val="00B374AA"/>
    <w:rsid w:val="00B37CFE"/>
    <w:rsid w:val="00B37F8A"/>
    <w:rsid w:val="00B400F9"/>
    <w:rsid w:val="00B40ABD"/>
    <w:rsid w:val="00B41630"/>
    <w:rsid w:val="00B41707"/>
    <w:rsid w:val="00B41B18"/>
    <w:rsid w:val="00B41D95"/>
    <w:rsid w:val="00B420C9"/>
    <w:rsid w:val="00B4249F"/>
    <w:rsid w:val="00B42686"/>
    <w:rsid w:val="00B43EE8"/>
    <w:rsid w:val="00B44793"/>
    <w:rsid w:val="00B448EF"/>
    <w:rsid w:val="00B44914"/>
    <w:rsid w:val="00B44D5D"/>
    <w:rsid w:val="00B450D5"/>
    <w:rsid w:val="00B457AA"/>
    <w:rsid w:val="00B45972"/>
    <w:rsid w:val="00B46012"/>
    <w:rsid w:val="00B464ED"/>
    <w:rsid w:val="00B46519"/>
    <w:rsid w:val="00B46E11"/>
    <w:rsid w:val="00B475E1"/>
    <w:rsid w:val="00B4772A"/>
    <w:rsid w:val="00B47CF0"/>
    <w:rsid w:val="00B47F6C"/>
    <w:rsid w:val="00B50040"/>
    <w:rsid w:val="00B50218"/>
    <w:rsid w:val="00B50FED"/>
    <w:rsid w:val="00B514B4"/>
    <w:rsid w:val="00B517E2"/>
    <w:rsid w:val="00B51862"/>
    <w:rsid w:val="00B51964"/>
    <w:rsid w:val="00B5198F"/>
    <w:rsid w:val="00B51ADE"/>
    <w:rsid w:val="00B521CC"/>
    <w:rsid w:val="00B526FB"/>
    <w:rsid w:val="00B52906"/>
    <w:rsid w:val="00B52D58"/>
    <w:rsid w:val="00B532F8"/>
    <w:rsid w:val="00B5351F"/>
    <w:rsid w:val="00B53C5B"/>
    <w:rsid w:val="00B54678"/>
    <w:rsid w:val="00B554F4"/>
    <w:rsid w:val="00B56280"/>
    <w:rsid w:val="00B56AB3"/>
    <w:rsid w:val="00B57042"/>
    <w:rsid w:val="00B57790"/>
    <w:rsid w:val="00B57970"/>
    <w:rsid w:val="00B57FD7"/>
    <w:rsid w:val="00B600B6"/>
    <w:rsid w:val="00B6061A"/>
    <w:rsid w:val="00B606F4"/>
    <w:rsid w:val="00B60B26"/>
    <w:rsid w:val="00B61B6F"/>
    <w:rsid w:val="00B61E3E"/>
    <w:rsid w:val="00B62063"/>
    <w:rsid w:val="00B623A1"/>
    <w:rsid w:val="00B625A6"/>
    <w:rsid w:val="00B629FF"/>
    <w:rsid w:val="00B62A2D"/>
    <w:rsid w:val="00B63E59"/>
    <w:rsid w:val="00B6470E"/>
    <w:rsid w:val="00B64A6D"/>
    <w:rsid w:val="00B64B1F"/>
    <w:rsid w:val="00B64D09"/>
    <w:rsid w:val="00B64D2C"/>
    <w:rsid w:val="00B65371"/>
    <w:rsid w:val="00B65471"/>
    <w:rsid w:val="00B65AFF"/>
    <w:rsid w:val="00B65D8D"/>
    <w:rsid w:val="00B6612C"/>
    <w:rsid w:val="00B66A12"/>
    <w:rsid w:val="00B66ECA"/>
    <w:rsid w:val="00B66F13"/>
    <w:rsid w:val="00B67D96"/>
    <w:rsid w:val="00B67E9C"/>
    <w:rsid w:val="00B700D3"/>
    <w:rsid w:val="00B70620"/>
    <w:rsid w:val="00B70BF6"/>
    <w:rsid w:val="00B70C17"/>
    <w:rsid w:val="00B71453"/>
    <w:rsid w:val="00B7150C"/>
    <w:rsid w:val="00B728DB"/>
    <w:rsid w:val="00B72E7F"/>
    <w:rsid w:val="00B731FE"/>
    <w:rsid w:val="00B735A1"/>
    <w:rsid w:val="00B73823"/>
    <w:rsid w:val="00B73C33"/>
    <w:rsid w:val="00B73C84"/>
    <w:rsid w:val="00B740F5"/>
    <w:rsid w:val="00B7437D"/>
    <w:rsid w:val="00B748A8"/>
    <w:rsid w:val="00B74959"/>
    <w:rsid w:val="00B7497C"/>
    <w:rsid w:val="00B751AA"/>
    <w:rsid w:val="00B7543B"/>
    <w:rsid w:val="00B759A2"/>
    <w:rsid w:val="00B76885"/>
    <w:rsid w:val="00B7698E"/>
    <w:rsid w:val="00B76A63"/>
    <w:rsid w:val="00B77474"/>
    <w:rsid w:val="00B77805"/>
    <w:rsid w:val="00B77D1F"/>
    <w:rsid w:val="00B80CB1"/>
    <w:rsid w:val="00B80F52"/>
    <w:rsid w:val="00B81515"/>
    <w:rsid w:val="00B8158B"/>
    <w:rsid w:val="00B81EF8"/>
    <w:rsid w:val="00B82869"/>
    <w:rsid w:val="00B8298D"/>
    <w:rsid w:val="00B82BF5"/>
    <w:rsid w:val="00B83495"/>
    <w:rsid w:val="00B8374F"/>
    <w:rsid w:val="00B83873"/>
    <w:rsid w:val="00B83EA2"/>
    <w:rsid w:val="00B848A6"/>
    <w:rsid w:val="00B84A9E"/>
    <w:rsid w:val="00B85D06"/>
    <w:rsid w:val="00B86124"/>
    <w:rsid w:val="00B861D9"/>
    <w:rsid w:val="00B86853"/>
    <w:rsid w:val="00B86B5B"/>
    <w:rsid w:val="00B87384"/>
    <w:rsid w:val="00B87B87"/>
    <w:rsid w:val="00B90463"/>
    <w:rsid w:val="00B905D6"/>
    <w:rsid w:val="00B918A6"/>
    <w:rsid w:val="00B91AEA"/>
    <w:rsid w:val="00B92185"/>
    <w:rsid w:val="00B9281E"/>
    <w:rsid w:val="00B92E16"/>
    <w:rsid w:val="00B92E65"/>
    <w:rsid w:val="00B93039"/>
    <w:rsid w:val="00B931FC"/>
    <w:rsid w:val="00B93751"/>
    <w:rsid w:val="00B9397D"/>
    <w:rsid w:val="00B9449A"/>
    <w:rsid w:val="00B944E8"/>
    <w:rsid w:val="00B948FC"/>
    <w:rsid w:val="00B94AB0"/>
    <w:rsid w:val="00B9597F"/>
    <w:rsid w:val="00B95C84"/>
    <w:rsid w:val="00B96444"/>
    <w:rsid w:val="00B96923"/>
    <w:rsid w:val="00B969E9"/>
    <w:rsid w:val="00B96FD3"/>
    <w:rsid w:val="00B9700F"/>
    <w:rsid w:val="00B9729F"/>
    <w:rsid w:val="00B975C5"/>
    <w:rsid w:val="00B97938"/>
    <w:rsid w:val="00BA01E1"/>
    <w:rsid w:val="00BA214F"/>
    <w:rsid w:val="00BA27FF"/>
    <w:rsid w:val="00BA2EC1"/>
    <w:rsid w:val="00BA318B"/>
    <w:rsid w:val="00BA34AB"/>
    <w:rsid w:val="00BA3907"/>
    <w:rsid w:val="00BA3C42"/>
    <w:rsid w:val="00BA3CD5"/>
    <w:rsid w:val="00BA3DC3"/>
    <w:rsid w:val="00BA3F6C"/>
    <w:rsid w:val="00BA4837"/>
    <w:rsid w:val="00BA4856"/>
    <w:rsid w:val="00BA5E9E"/>
    <w:rsid w:val="00BA612E"/>
    <w:rsid w:val="00BA67B7"/>
    <w:rsid w:val="00BA73A5"/>
    <w:rsid w:val="00BA745C"/>
    <w:rsid w:val="00BB020F"/>
    <w:rsid w:val="00BB03AC"/>
    <w:rsid w:val="00BB16C6"/>
    <w:rsid w:val="00BB1775"/>
    <w:rsid w:val="00BB1DBD"/>
    <w:rsid w:val="00BB1FFD"/>
    <w:rsid w:val="00BB201E"/>
    <w:rsid w:val="00BB2E17"/>
    <w:rsid w:val="00BB30D3"/>
    <w:rsid w:val="00BB33B7"/>
    <w:rsid w:val="00BB426B"/>
    <w:rsid w:val="00BB444B"/>
    <w:rsid w:val="00BB547F"/>
    <w:rsid w:val="00BB5C1D"/>
    <w:rsid w:val="00BB5E17"/>
    <w:rsid w:val="00BB61E4"/>
    <w:rsid w:val="00BB6AF5"/>
    <w:rsid w:val="00BB6FF8"/>
    <w:rsid w:val="00BB75CC"/>
    <w:rsid w:val="00BC0934"/>
    <w:rsid w:val="00BC0C6C"/>
    <w:rsid w:val="00BC1160"/>
    <w:rsid w:val="00BC1A8F"/>
    <w:rsid w:val="00BC1EA9"/>
    <w:rsid w:val="00BC1FF5"/>
    <w:rsid w:val="00BC2030"/>
    <w:rsid w:val="00BC2272"/>
    <w:rsid w:val="00BC23F3"/>
    <w:rsid w:val="00BC2537"/>
    <w:rsid w:val="00BC2A33"/>
    <w:rsid w:val="00BC2CC2"/>
    <w:rsid w:val="00BC3D0F"/>
    <w:rsid w:val="00BC3EF3"/>
    <w:rsid w:val="00BC4C09"/>
    <w:rsid w:val="00BC506A"/>
    <w:rsid w:val="00BC506B"/>
    <w:rsid w:val="00BC52AB"/>
    <w:rsid w:val="00BC5370"/>
    <w:rsid w:val="00BC56ED"/>
    <w:rsid w:val="00BC58AD"/>
    <w:rsid w:val="00BC5E7C"/>
    <w:rsid w:val="00BC6277"/>
    <w:rsid w:val="00BC6879"/>
    <w:rsid w:val="00BC6BB3"/>
    <w:rsid w:val="00BC72D4"/>
    <w:rsid w:val="00BC73A6"/>
    <w:rsid w:val="00BC7FF8"/>
    <w:rsid w:val="00BD0171"/>
    <w:rsid w:val="00BD1365"/>
    <w:rsid w:val="00BD166E"/>
    <w:rsid w:val="00BD1749"/>
    <w:rsid w:val="00BD1A11"/>
    <w:rsid w:val="00BD1A67"/>
    <w:rsid w:val="00BD1BC7"/>
    <w:rsid w:val="00BD1EBA"/>
    <w:rsid w:val="00BD20D3"/>
    <w:rsid w:val="00BD28CA"/>
    <w:rsid w:val="00BD341D"/>
    <w:rsid w:val="00BD3CDA"/>
    <w:rsid w:val="00BD3D73"/>
    <w:rsid w:val="00BD426E"/>
    <w:rsid w:val="00BD4426"/>
    <w:rsid w:val="00BD4927"/>
    <w:rsid w:val="00BD4AE4"/>
    <w:rsid w:val="00BD526B"/>
    <w:rsid w:val="00BD5299"/>
    <w:rsid w:val="00BD545F"/>
    <w:rsid w:val="00BD5506"/>
    <w:rsid w:val="00BD58EA"/>
    <w:rsid w:val="00BD5B6C"/>
    <w:rsid w:val="00BD6C58"/>
    <w:rsid w:val="00BD6D05"/>
    <w:rsid w:val="00BD6F0F"/>
    <w:rsid w:val="00BD7030"/>
    <w:rsid w:val="00BD76D5"/>
    <w:rsid w:val="00BD79A6"/>
    <w:rsid w:val="00BD7F44"/>
    <w:rsid w:val="00BE01D9"/>
    <w:rsid w:val="00BE02AD"/>
    <w:rsid w:val="00BE056F"/>
    <w:rsid w:val="00BE1D41"/>
    <w:rsid w:val="00BE2920"/>
    <w:rsid w:val="00BE2B98"/>
    <w:rsid w:val="00BE2BC7"/>
    <w:rsid w:val="00BE2D22"/>
    <w:rsid w:val="00BE2F56"/>
    <w:rsid w:val="00BE3542"/>
    <w:rsid w:val="00BE355E"/>
    <w:rsid w:val="00BE3B27"/>
    <w:rsid w:val="00BE417E"/>
    <w:rsid w:val="00BE458D"/>
    <w:rsid w:val="00BE4A02"/>
    <w:rsid w:val="00BE4B87"/>
    <w:rsid w:val="00BE5804"/>
    <w:rsid w:val="00BE5D49"/>
    <w:rsid w:val="00BE667F"/>
    <w:rsid w:val="00BE6979"/>
    <w:rsid w:val="00BE6D5E"/>
    <w:rsid w:val="00BE6E91"/>
    <w:rsid w:val="00BE78D9"/>
    <w:rsid w:val="00BE7FB6"/>
    <w:rsid w:val="00BF011C"/>
    <w:rsid w:val="00BF02BC"/>
    <w:rsid w:val="00BF0561"/>
    <w:rsid w:val="00BF12C1"/>
    <w:rsid w:val="00BF14F6"/>
    <w:rsid w:val="00BF181B"/>
    <w:rsid w:val="00BF1AD5"/>
    <w:rsid w:val="00BF1B86"/>
    <w:rsid w:val="00BF2AA4"/>
    <w:rsid w:val="00BF3142"/>
    <w:rsid w:val="00BF3615"/>
    <w:rsid w:val="00BF3750"/>
    <w:rsid w:val="00BF3AC7"/>
    <w:rsid w:val="00BF4958"/>
    <w:rsid w:val="00BF4B3D"/>
    <w:rsid w:val="00BF50FB"/>
    <w:rsid w:val="00BF52C0"/>
    <w:rsid w:val="00BF54D4"/>
    <w:rsid w:val="00BF58C6"/>
    <w:rsid w:val="00BF59CE"/>
    <w:rsid w:val="00BF5AE7"/>
    <w:rsid w:val="00BF5D24"/>
    <w:rsid w:val="00BF5E8F"/>
    <w:rsid w:val="00BF6679"/>
    <w:rsid w:val="00BF6BE3"/>
    <w:rsid w:val="00BF7442"/>
    <w:rsid w:val="00BF7474"/>
    <w:rsid w:val="00BF797B"/>
    <w:rsid w:val="00BF7D57"/>
    <w:rsid w:val="00C00439"/>
    <w:rsid w:val="00C004D4"/>
    <w:rsid w:val="00C00B68"/>
    <w:rsid w:val="00C00FD5"/>
    <w:rsid w:val="00C011C4"/>
    <w:rsid w:val="00C018EB"/>
    <w:rsid w:val="00C019D6"/>
    <w:rsid w:val="00C0215F"/>
    <w:rsid w:val="00C029D0"/>
    <w:rsid w:val="00C02F5E"/>
    <w:rsid w:val="00C03A7A"/>
    <w:rsid w:val="00C03D98"/>
    <w:rsid w:val="00C045F8"/>
    <w:rsid w:val="00C04912"/>
    <w:rsid w:val="00C04FB7"/>
    <w:rsid w:val="00C052E4"/>
    <w:rsid w:val="00C05BB3"/>
    <w:rsid w:val="00C05D9F"/>
    <w:rsid w:val="00C06F12"/>
    <w:rsid w:val="00C07AEC"/>
    <w:rsid w:val="00C1021A"/>
    <w:rsid w:val="00C10940"/>
    <w:rsid w:val="00C10B81"/>
    <w:rsid w:val="00C11025"/>
    <w:rsid w:val="00C1116A"/>
    <w:rsid w:val="00C11355"/>
    <w:rsid w:val="00C12BE0"/>
    <w:rsid w:val="00C132C5"/>
    <w:rsid w:val="00C1334F"/>
    <w:rsid w:val="00C13671"/>
    <w:rsid w:val="00C14CBA"/>
    <w:rsid w:val="00C14F18"/>
    <w:rsid w:val="00C15469"/>
    <w:rsid w:val="00C154F5"/>
    <w:rsid w:val="00C15D03"/>
    <w:rsid w:val="00C15ED2"/>
    <w:rsid w:val="00C16249"/>
    <w:rsid w:val="00C16997"/>
    <w:rsid w:val="00C16A46"/>
    <w:rsid w:val="00C16BDF"/>
    <w:rsid w:val="00C1739B"/>
    <w:rsid w:val="00C17508"/>
    <w:rsid w:val="00C17FD0"/>
    <w:rsid w:val="00C20618"/>
    <w:rsid w:val="00C206B5"/>
    <w:rsid w:val="00C20BC2"/>
    <w:rsid w:val="00C20DA7"/>
    <w:rsid w:val="00C21235"/>
    <w:rsid w:val="00C2145A"/>
    <w:rsid w:val="00C21E10"/>
    <w:rsid w:val="00C22181"/>
    <w:rsid w:val="00C221BB"/>
    <w:rsid w:val="00C2253E"/>
    <w:rsid w:val="00C225C5"/>
    <w:rsid w:val="00C2286C"/>
    <w:rsid w:val="00C22C37"/>
    <w:rsid w:val="00C22C82"/>
    <w:rsid w:val="00C22CBA"/>
    <w:rsid w:val="00C22DCB"/>
    <w:rsid w:val="00C23005"/>
    <w:rsid w:val="00C23016"/>
    <w:rsid w:val="00C2387C"/>
    <w:rsid w:val="00C243EF"/>
    <w:rsid w:val="00C245D8"/>
    <w:rsid w:val="00C24A86"/>
    <w:rsid w:val="00C257F0"/>
    <w:rsid w:val="00C258FF"/>
    <w:rsid w:val="00C25A70"/>
    <w:rsid w:val="00C25A7B"/>
    <w:rsid w:val="00C25E06"/>
    <w:rsid w:val="00C26112"/>
    <w:rsid w:val="00C265E8"/>
    <w:rsid w:val="00C26629"/>
    <w:rsid w:val="00C268DE"/>
    <w:rsid w:val="00C26A0F"/>
    <w:rsid w:val="00C26A92"/>
    <w:rsid w:val="00C26E89"/>
    <w:rsid w:val="00C27013"/>
    <w:rsid w:val="00C2771F"/>
    <w:rsid w:val="00C27776"/>
    <w:rsid w:val="00C3097B"/>
    <w:rsid w:val="00C30B94"/>
    <w:rsid w:val="00C30CC3"/>
    <w:rsid w:val="00C31463"/>
    <w:rsid w:val="00C314E5"/>
    <w:rsid w:val="00C314F0"/>
    <w:rsid w:val="00C31646"/>
    <w:rsid w:val="00C31982"/>
    <w:rsid w:val="00C319D5"/>
    <w:rsid w:val="00C31A15"/>
    <w:rsid w:val="00C31CA7"/>
    <w:rsid w:val="00C31CE7"/>
    <w:rsid w:val="00C31DDB"/>
    <w:rsid w:val="00C3211A"/>
    <w:rsid w:val="00C321DD"/>
    <w:rsid w:val="00C3226F"/>
    <w:rsid w:val="00C323F3"/>
    <w:rsid w:val="00C32EAF"/>
    <w:rsid w:val="00C33597"/>
    <w:rsid w:val="00C338D6"/>
    <w:rsid w:val="00C3395E"/>
    <w:rsid w:val="00C33C91"/>
    <w:rsid w:val="00C34004"/>
    <w:rsid w:val="00C342C8"/>
    <w:rsid w:val="00C34F01"/>
    <w:rsid w:val="00C3525D"/>
    <w:rsid w:val="00C357E9"/>
    <w:rsid w:val="00C364C9"/>
    <w:rsid w:val="00C36552"/>
    <w:rsid w:val="00C37085"/>
    <w:rsid w:val="00C37DCD"/>
    <w:rsid w:val="00C4046E"/>
    <w:rsid w:val="00C40690"/>
    <w:rsid w:val="00C408C0"/>
    <w:rsid w:val="00C409F7"/>
    <w:rsid w:val="00C40E17"/>
    <w:rsid w:val="00C4192D"/>
    <w:rsid w:val="00C42604"/>
    <w:rsid w:val="00C42C04"/>
    <w:rsid w:val="00C42ECC"/>
    <w:rsid w:val="00C43087"/>
    <w:rsid w:val="00C4338A"/>
    <w:rsid w:val="00C4388F"/>
    <w:rsid w:val="00C438B6"/>
    <w:rsid w:val="00C44178"/>
    <w:rsid w:val="00C441EA"/>
    <w:rsid w:val="00C45179"/>
    <w:rsid w:val="00C45435"/>
    <w:rsid w:val="00C45BA1"/>
    <w:rsid w:val="00C45C37"/>
    <w:rsid w:val="00C45FEE"/>
    <w:rsid w:val="00C46110"/>
    <w:rsid w:val="00C46610"/>
    <w:rsid w:val="00C46659"/>
    <w:rsid w:val="00C467A5"/>
    <w:rsid w:val="00C46EC7"/>
    <w:rsid w:val="00C47165"/>
    <w:rsid w:val="00C472F1"/>
    <w:rsid w:val="00C477D4"/>
    <w:rsid w:val="00C4782B"/>
    <w:rsid w:val="00C47FD1"/>
    <w:rsid w:val="00C511DE"/>
    <w:rsid w:val="00C51A72"/>
    <w:rsid w:val="00C524A9"/>
    <w:rsid w:val="00C52907"/>
    <w:rsid w:val="00C52CDF"/>
    <w:rsid w:val="00C52E8E"/>
    <w:rsid w:val="00C54252"/>
    <w:rsid w:val="00C5432A"/>
    <w:rsid w:val="00C5626B"/>
    <w:rsid w:val="00C563EC"/>
    <w:rsid w:val="00C5651E"/>
    <w:rsid w:val="00C5682A"/>
    <w:rsid w:val="00C56ED8"/>
    <w:rsid w:val="00C56F79"/>
    <w:rsid w:val="00C57FDE"/>
    <w:rsid w:val="00C601D0"/>
    <w:rsid w:val="00C6022F"/>
    <w:rsid w:val="00C60424"/>
    <w:rsid w:val="00C6078E"/>
    <w:rsid w:val="00C60A82"/>
    <w:rsid w:val="00C612E4"/>
    <w:rsid w:val="00C613EB"/>
    <w:rsid w:val="00C613F0"/>
    <w:rsid w:val="00C61446"/>
    <w:rsid w:val="00C61FB3"/>
    <w:rsid w:val="00C620C7"/>
    <w:rsid w:val="00C623D8"/>
    <w:rsid w:val="00C6245C"/>
    <w:rsid w:val="00C634E0"/>
    <w:rsid w:val="00C635A0"/>
    <w:rsid w:val="00C635C0"/>
    <w:rsid w:val="00C63AF4"/>
    <w:rsid w:val="00C63B55"/>
    <w:rsid w:val="00C6410D"/>
    <w:rsid w:val="00C648CF"/>
    <w:rsid w:val="00C649CE"/>
    <w:rsid w:val="00C64F11"/>
    <w:rsid w:val="00C651E5"/>
    <w:rsid w:val="00C657E2"/>
    <w:rsid w:val="00C65FED"/>
    <w:rsid w:val="00C66076"/>
    <w:rsid w:val="00C66568"/>
    <w:rsid w:val="00C66AAD"/>
    <w:rsid w:val="00C66DAF"/>
    <w:rsid w:val="00C66DD2"/>
    <w:rsid w:val="00C66E0C"/>
    <w:rsid w:val="00C6767D"/>
    <w:rsid w:val="00C67D78"/>
    <w:rsid w:val="00C67E4E"/>
    <w:rsid w:val="00C704CC"/>
    <w:rsid w:val="00C70708"/>
    <w:rsid w:val="00C717D4"/>
    <w:rsid w:val="00C71F1D"/>
    <w:rsid w:val="00C71F7D"/>
    <w:rsid w:val="00C72A0D"/>
    <w:rsid w:val="00C72A42"/>
    <w:rsid w:val="00C72B54"/>
    <w:rsid w:val="00C7373C"/>
    <w:rsid w:val="00C73758"/>
    <w:rsid w:val="00C73C6A"/>
    <w:rsid w:val="00C74351"/>
    <w:rsid w:val="00C74707"/>
    <w:rsid w:val="00C7533B"/>
    <w:rsid w:val="00C755F3"/>
    <w:rsid w:val="00C7565E"/>
    <w:rsid w:val="00C7585F"/>
    <w:rsid w:val="00C75997"/>
    <w:rsid w:val="00C75F54"/>
    <w:rsid w:val="00C76781"/>
    <w:rsid w:val="00C76D21"/>
    <w:rsid w:val="00C76DFA"/>
    <w:rsid w:val="00C77165"/>
    <w:rsid w:val="00C77192"/>
    <w:rsid w:val="00C774C6"/>
    <w:rsid w:val="00C7754C"/>
    <w:rsid w:val="00C779CF"/>
    <w:rsid w:val="00C77B5E"/>
    <w:rsid w:val="00C77C70"/>
    <w:rsid w:val="00C80284"/>
    <w:rsid w:val="00C8066B"/>
    <w:rsid w:val="00C8072B"/>
    <w:rsid w:val="00C80E0B"/>
    <w:rsid w:val="00C81143"/>
    <w:rsid w:val="00C8129F"/>
    <w:rsid w:val="00C81503"/>
    <w:rsid w:val="00C81639"/>
    <w:rsid w:val="00C816BF"/>
    <w:rsid w:val="00C81CA3"/>
    <w:rsid w:val="00C81D06"/>
    <w:rsid w:val="00C81DDA"/>
    <w:rsid w:val="00C8227A"/>
    <w:rsid w:val="00C8336D"/>
    <w:rsid w:val="00C8336F"/>
    <w:rsid w:val="00C83680"/>
    <w:rsid w:val="00C83890"/>
    <w:rsid w:val="00C83A03"/>
    <w:rsid w:val="00C83F1E"/>
    <w:rsid w:val="00C841D5"/>
    <w:rsid w:val="00C846B3"/>
    <w:rsid w:val="00C84973"/>
    <w:rsid w:val="00C849EB"/>
    <w:rsid w:val="00C84A8B"/>
    <w:rsid w:val="00C84E98"/>
    <w:rsid w:val="00C85284"/>
    <w:rsid w:val="00C8555F"/>
    <w:rsid w:val="00C8638D"/>
    <w:rsid w:val="00C86625"/>
    <w:rsid w:val="00C86BDC"/>
    <w:rsid w:val="00C87054"/>
    <w:rsid w:val="00C875BA"/>
    <w:rsid w:val="00C87AB0"/>
    <w:rsid w:val="00C87CA3"/>
    <w:rsid w:val="00C905F5"/>
    <w:rsid w:val="00C907F2"/>
    <w:rsid w:val="00C908F0"/>
    <w:rsid w:val="00C911D4"/>
    <w:rsid w:val="00C9123B"/>
    <w:rsid w:val="00C91D3D"/>
    <w:rsid w:val="00C92F98"/>
    <w:rsid w:val="00C9319D"/>
    <w:rsid w:val="00C93832"/>
    <w:rsid w:val="00C93EFB"/>
    <w:rsid w:val="00C94724"/>
    <w:rsid w:val="00C94C16"/>
    <w:rsid w:val="00C95081"/>
    <w:rsid w:val="00C951BC"/>
    <w:rsid w:val="00C95965"/>
    <w:rsid w:val="00C960E3"/>
    <w:rsid w:val="00C9632A"/>
    <w:rsid w:val="00C9668C"/>
    <w:rsid w:val="00C9698F"/>
    <w:rsid w:val="00C96BFF"/>
    <w:rsid w:val="00C96E35"/>
    <w:rsid w:val="00C97391"/>
    <w:rsid w:val="00C974D1"/>
    <w:rsid w:val="00CA0208"/>
    <w:rsid w:val="00CA0362"/>
    <w:rsid w:val="00CA07A1"/>
    <w:rsid w:val="00CA1320"/>
    <w:rsid w:val="00CA1571"/>
    <w:rsid w:val="00CA18BF"/>
    <w:rsid w:val="00CA1ACB"/>
    <w:rsid w:val="00CA1B0D"/>
    <w:rsid w:val="00CA2683"/>
    <w:rsid w:val="00CA28BE"/>
    <w:rsid w:val="00CA3FEC"/>
    <w:rsid w:val="00CA49FA"/>
    <w:rsid w:val="00CA5131"/>
    <w:rsid w:val="00CA55FB"/>
    <w:rsid w:val="00CA68F3"/>
    <w:rsid w:val="00CA6A67"/>
    <w:rsid w:val="00CA72DB"/>
    <w:rsid w:val="00CA7310"/>
    <w:rsid w:val="00CA7454"/>
    <w:rsid w:val="00CA746D"/>
    <w:rsid w:val="00CA7C7C"/>
    <w:rsid w:val="00CB0097"/>
    <w:rsid w:val="00CB0569"/>
    <w:rsid w:val="00CB068F"/>
    <w:rsid w:val="00CB087B"/>
    <w:rsid w:val="00CB0A23"/>
    <w:rsid w:val="00CB1211"/>
    <w:rsid w:val="00CB133D"/>
    <w:rsid w:val="00CB1626"/>
    <w:rsid w:val="00CB1CBF"/>
    <w:rsid w:val="00CB2728"/>
    <w:rsid w:val="00CB2C24"/>
    <w:rsid w:val="00CB328E"/>
    <w:rsid w:val="00CB347E"/>
    <w:rsid w:val="00CB3BC3"/>
    <w:rsid w:val="00CB40B2"/>
    <w:rsid w:val="00CB4120"/>
    <w:rsid w:val="00CB4571"/>
    <w:rsid w:val="00CB4889"/>
    <w:rsid w:val="00CB4A1B"/>
    <w:rsid w:val="00CB4DA8"/>
    <w:rsid w:val="00CB512E"/>
    <w:rsid w:val="00CB5530"/>
    <w:rsid w:val="00CB5FE2"/>
    <w:rsid w:val="00CB640B"/>
    <w:rsid w:val="00CB66D7"/>
    <w:rsid w:val="00CB6C27"/>
    <w:rsid w:val="00CB7CCB"/>
    <w:rsid w:val="00CC04FB"/>
    <w:rsid w:val="00CC0915"/>
    <w:rsid w:val="00CC13DC"/>
    <w:rsid w:val="00CC1596"/>
    <w:rsid w:val="00CC15BB"/>
    <w:rsid w:val="00CC191B"/>
    <w:rsid w:val="00CC1D7A"/>
    <w:rsid w:val="00CC2CA6"/>
    <w:rsid w:val="00CC2DC0"/>
    <w:rsid w:val="00CC3384"/>
    <w:rsid w:val="00CC36B1"/>
    <w:rsid w:val="00CC3B24"/>
    <w:rsid w:val="00CC3BC4"/>
    <w:rsid w:val="00CC3CEB"/>
    <w:rsid w:val="00CC3ED4"/>
    <w:rsid w:val="00CC42A5"/>
    <w:rsid w:val="00CC46A4"/>
    <w:rsid w:val="00CC5113"/>
    <w:rsid w:val="00CC56F1"/>
    <w:rsid w:val="00CC5847"/>
    <w:rsid w:val="00CC6307"/>
    <w:rsid w:val="00CC6351"/>
    <w:rsid w:val="00CC643C"/>
    <w:rsid w:val="00CC6712"/>
    <w:rsid w:val="00CC6F76"/>
    <w:rsid w:val="00CC7375"/>
    <w:rsid w:val="00CD039F"/>
    <w:rsid w:val="00CD05E5"/>
    <w:rsid w:val="00CD08A2"/>
    <w:rsid w:val="00CD1ACA"/>
    <w:rsid w:val="00CD1C60"/>
    <w:rsid w:val="00CD1CF1"/>
    <w:rsid w:val="00CD2444"/>
    <w:rsid w:val="00CD2D7B"/>
    <w:rsid w:val="00CD35E8"/>
    <w:rsid w:val="00CD3C57"/>
    <w:rsid w:val="00CD4807"/>
    <w:rsid w:val="00CD4BAA"/>
    <w:rsid w:val="00CD5013"/>
    <w:rsid w:val="00CD54B0"/>
    <w:rsid w:val="00CD5A5F"/>
    <w:rsid w:val="00CD5C81"/>
    <w:rsid w:val="00CD5F6A"/>
    <w:rsid w:val="00CD62DD"/>
    <w:rsid w:val="00CD64C2"/>
    <w:rsid w:val="00CD696F"/>
    <w:rsid w:val="00CD6B4A"/>
    <w:rsid w:val="00CD7090"/>
    <w:rsid w:val="00CD7112"/>
    <w:rsid w:val="00CD73A6"/>
    <w:rsid w:val="00CD76B1"/>
    <w:rsid w:val="00CD7B64"/>
    <w:rsid w:val="00CD7D96"/>
    <w:rsid w:val="00CE047B"/>
    <w:rsid w:val="00CE0C4C"/>
    <w:rsid w:val="00CE1EF2"/>
    <w:rsid w:val="00CE2022"/>
    <w:rsid w:val="00CE34CE"/>
    <w:rsid w:val="00CE3582"/>
    <w:rsid w:val="00CE3971"/>
    <w:rsid w:val="00CE39D9"/>
    <w:rsid w:val="00CE3CAD"/>
    <w:rsid w:val="00CE3D18"/>
    <w:rsid w:val="00CE3FBE"/>
    <w:rsid w:val="00CE407C"/>
    <w:rsid w:val="00CE428E"/>
    <w:rsid w:val="00CE4460"/>
    <w:rsid w:val="00CE476C"/>
    <w:rsid w:val="00CE4E0F"/>
    <w:rsid w:val="00CE517E"/>
    <w:rsid w:val="00CE62A7"/>
    <w:rsid w:val="00CE656C"/>
    <w:rsid w:val="00CE65CA"/>
    <w:rsid w:val="00CE6AB6"/>
    <w:rsid w:val="00CE6F97"/>
    <w:rsid w:val="00CE6F99"/>
    <w:rsid w:val="00CE7066"/>
    <w:rsid w:val="00CE7FB3"/>
    <w:rsid w:val="00CF0027"/>
    <w:rsid w:val="00CF03F5"/>
    <w:rsid w:val="00CF154A"/>
    <w:rsid w:val="00CF19E5"/>
    <w:rsid w:val="00CF2987"/>
    <w:rsid w:val="00CF3068"/>
    <w:rsid w:val="00CF358B"/>
    <w:rsid w:val="00CF3697"/>
    <w:rsid w:val="00CF37BF"/>
    <w:rsid w:val="00CF45A3"/>
    <w:rsid w:val="00CF4BF9"/>
    <w:rsid w:val="00CF4EED"/>
    <w:rsid w:val="00CF5442"/>
    <w:rsid w:val="00CF6747"/>
    <w:rsid w:val="00CF6F93"/>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EF9"/>
    <w:rsid w:val="00D03435"/>
    <w:rsid w:val="00D04839"/>
    <w:rsid w:val="00D0513B"/>
    <w:rsid w:val="00D05407"/>
    <w:rsid w:val="00D05A74"/>
    <w:rsid w:val="00D05BA5"/>
    <w:rsid w:val="00D05CB5"/>
    <w:rsid w:val="00D06006"/>
    <w:rsid w:val="00D060B6"/>
    <w:rsid w:val="00D061C1"/>
    <w:rsid w:val="00D06B4D"/>
    <w:rsid w:val="00D071EF"/>
    <w:rsid w:val="00D073AD"/>
    <w:rsid w:val="00D078A3"/>
    <w:rsid w:val="00D07AA2"/>
    <w:rsid w:val="00D100E1"/>
    <w:rsid w:val="00D1097A"/>
    <w:rsid w:val="00D10AF8"/>
    <w:rsid w:val="00D10C2C"/>
    <w:rsid w:val="00D10E2C"/>
    <w:rsid w:val="00D10EE1"/>
    <w:rsid w:val="00D10FE8"/>
    <w:rsid w:val="00D11513"/>
    <w:rsid w:val="00D11BA2"/>
    <w:rsid w:val="00D12068"/>
    <w:rsid w:val="00D128CE"/>
    <w:rsid w:val="00D12A3D"/>
    <w:rsid w:val="00D131F1"/>
    <w:rsid w:val="00D133DC"/>
    <w:rsid w:val="00D136A3"/>
    <w:rsid w:val="00D13A5B"/>
    <w:rsid w:val="00D144E4"/>
    <w:rsid w:val="00D1466E"/>
    <w:rsid w:val="00D14CF4"/>
    <w:rsid w:val="00D1559B"/>
    <w:rsid w:val="00D15F49"/>
    <w:rsid w:val="00D15F52"/>
    <w:rsid w:val="00D161F4"/>
    <w:rsid w:val="00D16568"/>
    <w:rsid w:val="00D1682E"/>
    <w:rsid w:val="00D1696E"/>
    <w:rsid w:val="00D16B26"/>
    <w:rsid w:val="00D170D1"/>
    <w:rsid w:val="00D176EB"/>
    <w:rsid w:val="00D2022E"/>
    <w:rsid w:val="00D20840"/>
    <w:rsid w:val="00D20B61"/>
    <w:rsid w:val="00D21118"/>
    <w:rsid w:val="00D216CC"/>
    <w:rsid w:val="00D21978"/>
    <w:rsid w:val="00D22BA1"/>
    <w:rsid w:val="00D22FF1"/>
    <w:rsid w:val="00D23054"/>
    <w:rsid w:val="00D23262"/>
    <w:rsid w:val="00D233A0"/>
    <w:rsid w:val="00D24FE4"/>
    <w:rsid w:val="00D254A9"/>
    <w:rsid w:val="00D2583A"/>
    <w:rsid w:val="00D260D0"/>
    <w:rsid w:val="00D262CF"/>
    <w:rsid w:val="00D263FE"/>
    <w:rsid w:val="00D266F8"/>
    <w:rsid w:val="00D26A21"/>
    <w:rsid w:val="00D26B22"/>
    <w:rsid w:val="00D26FF4"/>
    <w:rsid w:val="00D2749A"/>
    <w:rsid w:val="00D274FE"/>
    <w:rsid w:val="00D2776C"/>
    <w:rsid w:val="00D278F9"/>
    <w:rsid w:val="00D27AE9"/>
    <w:rsid w:val="00D3062F"/>
    <w:rsid w:val="00D30706"/>
    <w:rsid w:val="00D30BD7"/>
    <w:rsid w:val="00D30C50"/>
    <w:rsid w:val="00D32D3D"/>
    <w:rsid w:val="00D32EFF"/>
    <w:rsid w:val="00D330F5"/>
    <w:rsid w:val="00D331F0"/>
    <w:rsid w:val="00D33338"/>
    <w:rsid w:val="00D3360F"/>
    <w:rsid w:val="00D33F7E"/>
    <w:rsid w:val="00D34319"/>
    <w:rsid w:val="00D3546D"/>
    <w:rsid w:val="00D355A7"/>
    <w:rsid w:val="00D3588A"/>
    <w:rsid w:val="00D36648"/>
    <w:rsid w:val="00D366D2"/>
    <w:rsid w:val="00D367D3"/>
    <w:rsid w:val="00D36EB6"/>
    <w:rsid w:val="00D37122"/>
    <w:rsid w:val="00D374E7"/>
    <w:rsid w:val="00D37A89"/>
    <w:rsid w:val="00D37CDD"/>
    <w:rsid w:val="00D4014E"/>
    <w:rsid w:val="00D40D87"/>
    <w:rsid w:val="00D40E28"/>
    <w:rsid w:val="00D40F7B"/>
    <w:rsid w:val="00D4120B"/>
    <w:rsid w:val="00D412CB"/>
    <w:rsid w:val="00D41DD5"/>
    <w:rsid w:val="00D4267B"/>
    <w:rsid w:val="00D42C7D"/>
    <w:rsid w:val="00D42D0B"/>
    <w:rsid w:val="00D42D95"/>
    <w:rsid w:val="00D4326E"/>
    <w:rsid w:val="00D43367"/>
    <w:rsid w:val="00D43B3C"/>
    <w:rsid w:val="00D43BAD"/>
    <w:rsid w:val="00D43E43"/>
    <w:rsid w:val="00D44295"/>
    <w:rsid w:val="00D444C8"/>
    <w:rsid w:val="00D4489A"/>
    <w:rsid w:val="00D448C5"/>
    <w:rsid w:val="00D452C9"/>
    <w:rsid w:val="00D45726"/>
    <w:rsid w:val="00D45918"/>
    <w:rsid w:val="00D45E81"/>
    <w:rsid w:val="00D462A4"/>
    <w:rsid w:val="00D462C5"/>
    <w:rsid w:val="00D46996"/>
    <w:rsid w:val="00D478CF"/>
    <w:rsid w:val="00D47C7A"/>
    <w:rsid w:val="00D47CC7"/>
    <w:rsid w:val="00D47E4A"/>
    <w:rsid w:val="00D47E7E"/>
    <w:rsid w:val="00D47F9E"/>
    <w:rsid w:val="00D501A9"/>
    <w:rsid w:val="00D509BE"/>
    <w:rsid w:val="00D50B88"/>
    <w:rsid w:val="00D50E14"/>
    <w:rsid w:val="00D5138D"/>
    <w:rsid w:val="00D516FB"/>
    <w:rsid w:val="00D51BBD"/>
    <w:rsid w:val="00D51E76"/>
    <w:rsid w:val="00D51F04"/>
    <w:rsid w:val="00D52821"/>
    <w:rsid w:val="00D53166"/>
    <w:rsid w:val="00D53723"/>
    <w:rsid w:val="00D5380B"/>
    <w:rsid w:val="00D53A86"/>
    <w:rsid w:val="00D53C3E"/>
    <w:rsid w:val="00D53E84"/>
    <w:rsid w:val="00D5489E"/>
    <w:rsid w:val="00D560FE"/>
    <w:rsid w:val="00D56219"/>
    <w:rsid w:val="00D564EF"/>
    <w:rsid w:val="00D56C05"/>
    <w:rsid w:val="00D5711A"/>
    <w:rsid w:val="00D6002F"/>
    <w:rsid w:val="00D601CC"/>
    <w:rsid w:val="00D60478"/>
    <w:rsid w:val="00D60BF5"/>
    <w:rsid w:val="00D60C05"/>
    <w:rsid w:val="00D61075"/>
    <w:rsid w:val="00D61DF6"/>
    <w:rsid w:val="00D62494"/>
    <w:rsid w:val="00D625D9"/>
    <w:rsid w:val="00D62725"/>
    <w:rsid w:val="00D63990"/>
    <w:rsid w:val="00D63C78"/>
    <w:rsid w:val="00D63E58"/>
    <w:rsid w:val="00D65088"/>
    <w:rsid w:val="00D65162"/>
    <w:rsid w:val="00D6529B"/>
    <w:rsid w:val="00D65E3B"/>
    <w:rsid w:val="00D66388"/>
    <w:rsid w:val="00D67535"/>
    <w:rsid w:val="00D67D1B"/>
    <w:rsid w:val="00D67F92"/>
    <w:rsid w:val="00D704EB"/>
    <w:rsid w:val="00D71524"/>
    <w:rsid w:val="00D715D5"/>
    <w:rsid w:val="00D71883"/>
    <w:rsid w:val="00D71B1A"/>
    <w:rsid w:val="00D71FA2"/>
    <w:rsid w:val="00D71FD8"/>
    <w:rsid w:val="00D71FE7"/>
    <w:rsid w:val="00D7232E"/>
    <w:rsid w:val="00D7278C"/>
    <w:rsid w:val="00D72BD1"/>
    <w:rsid w:val="00D72BFF"/>
    <w:rsid w:val="00D7313A"/>
    <w:rsid w:val="00D734D4"/>
    <w:rsid w:val="00D73587"/>
    <w:rsid w:val="00D73F1F"/>
    <w:rsid w:val="00D7402E"/>
    <w:rsid w:val="00D74084"/>
    <w:rsid w:val="00D7552F"/>
    <w:rsid w:val="00D75A28"/>
    <w:rsid w:val="00D75C9D"/>
    <w:rsid w:val="00D75F40"/>
    <w:rsid w:val="00D76394"/>
    <w:rsid w:val="00D76464"/>
    <w:rsid w:val="00D76F4D"/>
    <w:rsid w:val="00D77709"/>
    <w:rsid w:val="00D77758"/>
    <w:rsid w:val="00D77A87"/>
    <w:rsid w:val="00D77B81"/>
    <w:rsid w:val="00D80044"/>
    <w:rsid w:val="00D8143E"/>
    <w:rsid w:val="00D81A42"/>
    <w:rsid w:val="00D82230"/>
    <w:rsid w:val="00D82F99"/>
    <w:rsid w:val="00D83332"/>
    <w:rsid w:val="00D833D2"/>
    <w:rsid w:val="00D836C0"/>
    <w:rsid w:val="00D83C4E"/>
    <w:rsid w:val="00D84235"/>
    <w:rsid w:val="00D84277"/>
    <w:rsid w:val="00D8436C"/>
    <w:rsid w:val="00D84558"/>
    <w:rsid w:val="00D84B19"/>
    <w:rsid w:val="00D850B5"/>
    <w:rsid w:val="00D8549E"/>
    <w:rsid w:val="00D857FE"/>
    <w:rsid w:val="00D85913"/>
    <w:rsid w:val="00D85E3A"/>
    <w:rsid w:val="00D86A99"/>
    <w:rsid w:val="00D872C7"/>
    <w:rsid w:val="00D87424"/>
    <w:rsid w:val="00D879F2"/>
    <w:rsid w:val="00D901B1"/>
    <w:rsid w:val="00D9082D"/>
    <w:rsid w:val="00D91165"/>
    <w:rsid w:val="00D92147"/>
    <w:rsid w:val="00D92253"/>
    <w:rsid w:val="00D931E9"/>
    <w:rsid w:val="00D93486"/>
    <w:rsid w:val="00D93F9C"/>
    <w:rsid w:val="00D9457B"/>
    <w:rsid w:val="00D94647"/>
    <w:rsid w:val="00D94A72"/>
    <w:rsid w:val="00D95214"/>
    <w:rsid w:val="00D9523D"/>
    <w:rsid w:val="00D95839"/>
    <w:rsid w:val="00D95AF2"/>
    <w:rsid w:val="00D95B5B"/>
    <w:rsid w:val="00D96115"/>
    <w:rsid w:val="00D9630E"/>
    <w:rsid w:val="00DA03C3"/>
    <w:rsid w:val="00DA0D31"/>
    <w:rsid w:val="00DA11E1"/>
    <w:rsid w:val="00DA162E"/>
    <w:rsid w:val="00DA1796"/>
    <w:rsid w:val="00DA206A"/>
    <w:rsid w:val="00DA2553"/>
    <w:rsid w:val="00DA2AFB"/>
    <w:rsid w:val="00DA2E6F"/>
    <w:rsid w:val="00DA314C"/>
    <w:rsid w:val="00DA3408"/>
    <w:rsid w:val="00DA35AA"/>
    <w:rsid w:val="00DA39D0"/>
    <w:rsid w:val="00DA3E22"/>
    <w:rsid w:val="00DA41FE"/>
    <w:rsid w:val="00DA45F3"/>
    <w:rsid w:val="00DA4799"/>
    <w:rsid w:val="00DA4852"/>
    <w:rsid w:val="00DA497D"/>
    <w:rsid w:val="00DA4BD9"/>
    <w:rsid w:val="00DA4E3F"/>
    <w:rsid w:val="00DA53D2"/>
    <w:rsid w:val="00DA569B"/>
    <w:rsid w:val="00DA618D"/>
    <w:rsid w:val="00DA6201"/>
    <w:rsid w:val="00DA62BA"/>
    <w:rsid w:val="00DA684D"/>
    <w:rsid w:val="00DA6913"/>
    <w:rsid w:val="00DA6F9E"/>
    <w:rsid w:val="00DA7D1E"/>
    <w:rsid w:val="00DA7DBD"/>
    <w:rsid w:val="00DB047C"/>
    <w:rsid w:val="00DB05BA"/>
    <w:rsid w:val="00DB0993"/>
    <w:rsid w:val="00DB15F7"/>
    <w:rsid w:val="00DB1A16"/>
    <w:rsid w:val="00DB1BD1"/>
    <w:rsid w:val="00DB1D87"/>
    <w:rsid w:val="00DB1E21"/>
    <w:rsid w:val="00DB1F50"/>
    <w:rsid w:val="00DB2322"/>
    <w:rsid w:val="00DB2648"/>
    <w:rsid w:val="00DB2E81"/>
    <w:rsid w:val="00DB316E"/>
    <w:rsid w:val="00DB41FA"/>
    <w:rsid w:val="00DB4F03"/>
    <w:rsid w:val="00DB56A1"/>
    <w:rsid w:val="00DB591F"/>
    <w:rsid w:val="00DB5B9D"/>
    <w:rsid w:val="00DB5C79"/>
    <w:rsid w:val="00DB5EA9"/>
    <w:rsid w:val="00DB64F0"/>
    <w:rsid w:val="00DB6DA0"/>
    <w:rsid w:val="00DB6EE9"/>
    <w:rsid w:val="00DB7A5A"/>
    <w:rsid w:val="00DB7BD3"/>
    <w:rsid w:val="00DB7E5D"/>
    <w:rsid w:val="00DC0026"/>
    <w:rsid w:val="00DC14EF"/>
    <w:rsid w:val="00DC17FD"/>
    <w:rsid w:val="00DC182F"/>
    <w:rsid w:val="00DC2117"/>
    <w:rsid w:val="00DC293E"/>
    <w:rsid w:val="00DC3096"/>
    <w:rsid w:val="00DC315D"/>
    <w:rsid w:val="00DC31F3"/>
    <w:rsid w:val="00DC3970"/>
    <w:rsid w:val="00DC44B5"/>
    <w:rsid w:val="00DC4DC5"/>
    <w:rsid w:val="00DC5211"/>
    <w:rsid w:val="00DC543A"/>
    <w:rsid w:val="00DC54B3"/>
    <w:rsid w:val="00DC5D2B"/>
    <w:rsid w:val="00DC6F48"/>
    <w:rsid w:val="00DC710B"/>
    <w:rsid w:val="00DC7347"/>
    <w:rsid w:val="00DC7473"/>
    <w:rsid w:val="00DC7657"/>
    <w:rsid w:val="00DC78D0"/>
    <w:rsid w:val="00DC7F80"/>
    <w:rsid w:val="00DD0604"/>
    <w:rsid w:val="00DD0675"/>
    <w:rsid w:val="00DD1321"/>
    <w:rsid w:val="00DD1402"/>
    <w:rsid w:val="00DD15FF"/>
    <w:rsid w:val="00DD1E27"/>
    <w:rsid w:val="00DD25CC"/>
    <w:rsid w:val="00DD26A2"/>
    <w:rsid w:val="00DD2F90"/>
    <w:rsid w:val="00DD307B"/>
    <w:rsid w:val="00DD37E4"/>
    <w:rsid w:val="00DD41DF"/>
    <w:rsid w:val="00DD429B"/>
    <w:rsid w:val="00DD44DA"/>
    <w:rsid w:val="00DD45AF"/>
    <w:rsid w:val="00DD4603"/>
    <w:rsid w:val="00DD4BD5"/>
    <w:rsid w:val="00DD4C6D"/>
    <w:rsid w:val="00DD4D4D"/>
    <w:rsid w:val="00DD5EB3"/>
    <w:rsid w:val="00DD620A"/>
    <w:rsid w:val="00DD6C76"/>
    <w:rsid w:val="00DD6E45"/>
    <w:rsid w:val="00DD6F10"/>
    <w:rsid w:val="00DD7831"/>
    <w:rsid w:val="00DD7E0D"/>
    <w:rsid w:val="00DD7E74"/>
    <w:rsid w:val="00DE0813"/>
    <w:rsid w:val="00DE090D"/>
    <w:rsid w:val="00DE265A"/>
    <w:rsid w:val="00DE2C81"/>
    <w:rsid w:val="00DE2E99"/>
    <w:rsid w:val="00DE3101"/>
    <w:rsid w:val="00DE35E3"/>
    <w:rsid w:val="00DE3D37"/>
    <w:rsid w:val="00DE413D"/>
    <w:rsid w:val="00DE494D"/>
    <w:rsid w:val="00DE49E4"/>
    <w:rsid w:val="00DE4D60"/>
    <w:rsid w:val="00DE56EC"/>
    <w:rsid w:val="00DE57E3"/>
    <w:rsid w:val="00DE59CD"/>
    <w:rsid w:val="00DE60B6"/>
    <w:rsid w:val="00DE66B8"/>
    <w:rsid w:val="00DE66BA"/>
    <w:rsid w:val="00DE68A2"/>
    <w:rsid w:val="00DE6E15"/>
    <w:rsid w:val="00DE7230"/>
    <w:rsid w:val="00DE79E5"/>
    <w:rsid w:val="00DE7DD6"/>
    <w:rsid w:val="00DF0359"/>
    <w:rsid w:val="00DF0715"/>
    <w:rsid w:val="00DF0E86"/>
    <w:rsid w:val="00DF10E3"/>
    <w:rsid w:val="00DF197F"/>
    <w:rsid w:val="00DF1BCB"/>
    <w:rsid w:val="00DF224E"/>
    <w:rsid w:val="00DF24DB"/>
    <w:rsid w:val="00DF2AB1"/>
    <w:rsid w:val="00DF2F9A"/>
    <w:rsid w:val="00DF351B"/>
    <w:rsid w:val="00DF372F"/>
    <w:rsid w:val="00DF40DC"/>
    <w:rsid w:val="00DF42FC"/>
    <w:rsid w:val="00DF47EA"/>
    <w:rsid w:val="00DF4C15"/>
    <w:rsid w:val="00DF69BC"/>
    <w:rsid w:val="00DF6B91"/>
    <w:rsid w:val="00DF6FF3"/>
    <w:rsid w:val="00DF7038"/>
    <w:rsid w:val="00DF792A"/>
    <w:rsid w:val="00DF79C0"/>
    <w:rsid w:val="00DF7F84"/>
    <w:rsid w:val="00E00099"/>
    <w:rsid w:val="00E00882"/>
    <w:rsid w:val="00E0107F"/>
    <w:rsid w:val="00E01839"/>
    <w:rsid w:val="00E01B31"/>
    <w:rsid w:val="00E01B7D"/>
    <w:rsid w:val="00E01C60"/>
    <w:rsid w:val="00E02678"/>
    <w:rsid w:val="00E029F3"/>
    <w:rsid w:val="00E02A30"/>
    <w:rsid w:val="00E02C14"/>
    <w:rsid w:val="00E02F71"/>
    <w:rsid w:val="00E037BC"/>
    <w:rsid w:val="00E041BB"/>
    <w:rsid w:val="00E04554"/>
    <w:rsid w:val="00E045F0"/>
    <w:rsid w:val="00E046A1"/>
    <w:rsid w:val="00E04867"/>
    <w:rsid w:val="00E04AD0"/>
    <w:rsid w:val="00E04B64"/>
    <w:rsid w:val="00E0514E"/>
    <w:rsid w:val="00E0585B"/>
    <w:rsid w:val="00E0657F"/>
    <w:rsid w:val="00E06DC2"/>
    <w:rsid w:val="00E072AE"/>
    <w:rsid w:val="00E07748"/>
    <w:rsid w:val="00E07856"/>
    <w:rsid w:val="00E07D20"/>
    <w:rsid w:val="00E07D88"/>
    <w:rsid w:val="00E07E74"/>
    <w:rsid w:val="00E07F25"/>
    <w:rsid w:val="00E10145"/>
    <w:rsid w:val="00E1036D"/>
    <w:rsid w:val="00E1073E"/>
    <w:rsid w:val="00E1224B"/>
    <w:rsid w:val="00E1231C"/>
    <w:rsid w:val="00E12765"/>
    <w:rsid w:val="00E12A4F"/>
    <w:rsid w:val="00E12B09"/>
    <w:rsid w:val="00E12DD9"/>
    <w:rsid w:val="00E12E96"/>
    <w:rsid w:val="00E1328B"/>
    <w:rsid w:val="00E13391"/>
    <w:rsid w:val="00E1358E"/>
    <w:rsid w:val="00E13C09"/>
    <w:rsid w:val="00E13F35"/>
    <w:rsid w:val="00E1407B"/>
    <w:rsid w:val="00E141EE"/>
    <w:rsid w:val="00E14C8A"/>
    <w:rsid w:val="00E14D64"/>
    <w:rsid w:val="00E153E4"/>
    <w:rsid w:val="00E15518"/>
    <w:rsid w:val="00E15574"/>
    <w:rsid w:val="00E1589F"/>
    <w:rsid w:val="00E159AD"/>
    <w:rsid w:val="00E15AE6"/>
    <w:rsid w:val="00E160F7"/>
    <w:rsid w:val="00E163C2"/>
    <w:rsid w:val="00E16D5A"/>
    <w:rsid w:val="00E170A5"/>
    <w:rsid w:val="00E17973"/>
    <w:rsid w:val="00E17CBF"/>
    <w:rsid w:val="00E17FF7"/>
    <w:rsid w:val="00E202E8"/>
    <w:rsid w:val="00E203A2"/>
    <w:rsid w:val="00E208DA"/>
    <w:rsid w:val="00E2097B"/>
    <w:rsid w:val="00E20AFD"/>
    <w:rsid w:val="00E20B29"/>
    <w:rsid w:val="00E212AF"/>
    <w:rsid w:val="00E2172C"/>
    <w:rsid w:val="00E233FC"/>
    <w:rsid w:val="00E23B32"/>
    <w:rsid w:val="00E24BC9"/>
    <w:rsid w:val="00E24C02"/>
    <w:rsid w:val="00E257A7"/>
    <w:rsid w:val="00E25831"/>
    <w:rsid w:val="00E25ECB"/>
    <w:rsid w:val="00E26099"/>
    <w:rsid w:val="00E26F44"/>
    <w:rsid w:val="00E2706F"/>
    <w:rsid w:val="00E27224"/>
    <w:rsid w:val="00E275B7"/>
    <w:rsid w:val="00E27904"/>
    <w:rsid w:val="00E27B0A"/>
    <w:rsid w:val="00E300C5"/>
    <w:rsid w:val="00E30DE4"/>
    <w:rsid w:val="00E31659"/>
    <w:rsid w:val="00E3198C"/>
    <w:rsid w:val="00E31BF6"/>
    <w:rsid w:val="00E329ED"/>
    <w:rsid w:val="00E32B7E"/>
    <w:rsid w:val="00E32CEC"/>
    <w:rsid w:val="00E32F4A"/>
    <w:rsid w:val="00E333F2"/>
    <w:rsid w:val="00E34815"/>
    <w:rsid w:val="00E34E88"/>
    <w:rsid w:val="00E350E3"/>
    <w:rsid w:val="00E35B7F"/>
    <w:rsid w:val="00E35E04"/>
    <w:rsid w:val="00E36067"/>
    <w:rsid w:val="00E36860"/>
    <w:rsid w:val="00E36B6F"/>
    <w:rsid w:val="00E3734A"/>
    <w:rsid w:val="00E37861"/>
    <w:rsid w:val="00E405C6"/>
    <w:rsid w:val="00E4085D"/>
    <w:rsid w:val="00E40B67"/>
    <w:rsid w:val="00E413F6"/>
    <w:rsid w:val="00E413FE"/>
    <w:rsid w:val="00E418B7"/>
    <w:rsid w:val="00E42B39"/>
    <w:rsid w:val="00E43578"/>
    <w:rsid w:val="00E43721"/>
    <w:rsid w:val="00E439C5"/>
    <w:rsid w:val="00E43C64"/>
    <w:rsid w:val="00E44294"/>
    <w:rsid w:val="00E446E8"/>
    <w:rsid w:val="00E448A7"/>
    <w:rsid w:val="00E44FF4"/>
    <w:rsid w:val="00E451A1"/>
    <w:rsid w:val="00E45E77"/>
    <w:rsid w:val="00E4618B"/>
    <w:rsid w:val="00E4647D"/>
    <w:rsid w:val="00E46BF0"/>
    <w:rsid w:val="00E46C29"/>
    <w:rsid w:val="00E4738C"/>
    <w:rsid w:val="00E47667"/>
    <w:rsid w:val="00E476A8"/>
    <w:rsid w:val="00E47A3D"/>
    <w:rsid w:val="00E47AD7"/>
    <w:rsid w:val="00E47B54"/>
    <w:rsid w:val="00E47B65"/>
    <w:rsid w:val="00E5000A"/>
    <w:rsid w:val="00E50153"/>
    <w:rsid w:val="00E508E4"/>
    <w:rsid w:val="00E50A5A"/>
    <w:rsid w:val="00E50AF6"/>
    <w:rsid w:val="00E50CDD"/>
    <w:rsid w:val="00E514EC"/>
    <w:rsid w:val="00E51DB1"/>
    <w:rsid w:val="00E52094"/>
    <w:rsid w:val="00E52D0F"/>
    <w:rsid w:val="00E52F3E"/>
    <w:rsid w:val="00E53175"/>
    <w:rsid w:val="00E53A63"/>
    <w:rsid w:val="00E541F5"/>
    <w:rsid w:val="00E545FF"/>
    <w:rsid w:val="00E549A6"/>
    <w:rsid w:val="00E553D6"/>
    <w:rsid w:val="00E5590D"/>
    <w:rsid w:val="00E56DD7"/>
    <w:rsid w:val="00E5701B"/>
    <w:rsid w:val="00E6064A"/>
    <w:rsid w:val="00E607C8"/>
    <w:rsid w:val="00E60A9D"/>
    <w:rsid w:val="00E615B4"/>
    <w:rsid w:val="00E61D9C"/>
    <w:rsid w:val="00E61EC1"/>
    <w:rsid w:val="00E624FE"/>
    <w:rsid w:val="00E62E7F"/>
    <w:rsid w:val="00E62F8C"/>
    <w:rsid w:val="00E633DA"/>
    <w:rsid w:val="00E642D2"/>
    <w:rsid w:val="00E643E3"/>
    <w:rsid w:val="00E656D6"/>
    <w:rsid w:val="00E65793"/>
    <w:rsid w:val="00E65845"/>
    <w:rsid w:val="00E6586E"/>
    <w:rsid w:val="00E65CC1"/>
    <w:rsid w:val="00E6632E"/>
    <w:rsid w:val="00E66410"/>
    <w:rsid w:val="00E668CC"/>
    <w:rsid w:val="00E66B00"/>
    <w:rsid w:val="00E6742F"/>
    <w:rsid w:val="00E67865"/>
    <w:rsid w:val="00E67F96"/>
    <w:rsid w:val="00E702C6"/>
    <w:rsid w:val="00E703BB"/>
    <w:rsid w:val="00E705D7"/>
    <w:rsid w:val="00E70600"/>
    <w:rsid w:val="00E70BC2"/>
    <w:rsid w:val="00E713EC"/>
    <w:rsid w:val="00E716AF"/>
    <w:rsid w:val="00E71D55"/>
    <w:rsid w:val="00E7212B"/>
    <w:rsid w:val="00E7218A"/>
    <w:rsid w:val="00E72735"/>
    <w:rsid w:val="00E72ADE"/>
    <w:rsid w:val="00E72B22"/>
    <w:rsid w:val="00E72C03"/>
    <w:rsid w:val="00E72FA8"/>
    <w:rsid w:val="00E7336C"/>
    <w:rsid w:val="00E733E5"/>
    <w:rsid w:val="00E7357F"/>
    <w:rsid w:val="00E73CB7"/>
    <w:rsid w:val="00E73EBF"/>
    <w:rsid w:val="00E74005"/>
    <w:rsid w:val="00E746DE"/>
    <w:rsid w:val="00E74991"/>
    <w:rsid w:val="00E74C4B"/>
    <w:rsid w:val="00E750CF"/>
    <w:rsid w:val="00E7568C"/>
    <w:rsid w:val="00E76417"/>
    <w:rsid w:val="00E7680E"/>
    <w:rsid w:val="00E76B69"/>
    <w:rsid w:val="00E76D1D"/>
    <w:rsid w:val="00E76E60"/>
    <w:rsid w:val="00E77130"/>
    <w:rsid w:val="00E7738B"/>
    <w:rsid w:val="00E77910"/>
    <w:rsid w:val="00E77A97"/>
    <w:rsid w:val="00E77ABC"/>
    <w:rsid w:val="00E77DC0"/>
    <w:rsid w:val="00E80CDC"/>
    <w:rsid w:val="00E81F20"/>
    <w:rsid w:val="00E822AC"/>
    <w:rsid w:val="00E823CB"/>
    <w:rsid w:val="00E824E1"/>
    <w:rsid w:val="00E82532"/>
    <w:rsid w:val="00E82795"/>
    <w:rsid w:val="00E830D8"/>
    <w:rsid w:val="00E8362F"/>
    <w:rsid w:val="00E837D8"/>
    <w:rsid w:val="00E83913"/>
    <w:rsid w:val="00E83ED8"/>
    <w:rsid w:val="00E83F53"/>
    <w:rsid w:val="00E84C31"/>
    <w:rsid w:val="00E84C41"/>
    <w:rsid w:val="00E84D9C"/>
    <w:rsid w:val="00E84DB8"/>
    <w:rsid w:val="00E8642F"/>
    <w:rsid w:val="00E8666A"/>
    <w:rsid w:val="00E8704E"/>
    <w:rsid w:val="00E8789C"/>
    <w:rsid w:val="00E87D26"/>
    <w:rsid w:val="00E90290"/>
    <w:rsid w:val="00E90E2A"/>
    <w:rsid w:val="00E91596"/>
    <w:rsid w:val="00E916D0"/>
    <w:rsid w:val="00E91767"/>
    <w:rsid w:val="00E92142"/>
    <w:rsid w:val="00E93355"/>
    <w:rsid w:val="00E93D66"/>
    <w:rsid w:val="00E94279"/>
    <w:rsid w:val="00E943DE"/>
    <w:rsid w:val="00E949A4"/>
    <w:rsid w:val="00E94A55"/>
    <w:rsid w:val="00E94C27"/>
    <w:rsid w:val="00E94EA5"/>
    <w:rsid w:val="00E957D0"/>
    <w:rsid w:val="00E95B0D"/>
    <w:rsid w:val="00E95B66"/>
    <w:rsid w:val="00E95D2E"/>
    <w:rsid w:val="00E95D9E"/>
    <w:rsid w:val="00E96CB4"/>
    <w:rsid w:val="00E96D15"/>
    <w:rsid w:val="00E97204"/>
    <w:rsid w:val="00E97935"/>
    <w:rsid w:val="00EA041A"/>
    <w:rsid w:val="00EA08CF"/>
    <w:rsid w:val="00EA0CF2"/>
    <w:rsid w:val="00EA1019"/>
    <w:rsid w:val="00EA17AA"/>
    <w:rsid w:val="00EA18BF"/>
    <w:rsid w:val="00EA258F"/>
    <w:rsid w:val="00EA2B25"/>
    <w:rsid w:val="00EA2C32"/>
    <w:rsid w:val="00EA2CBF"/>
    <w:rsid w:val="00EA3383"/>
    <w:rsid w:val="00EA3C7B"/>
    <w:rsid w:val="00EA4111"/>
    <w:rsid w:val="00EA5C8B"/>
    <w:rsid w:val="00EA6BBC"/>
    <w:rsid w:val="00EA6C13"/>
    <w:rsid w:val="00EA7137"/>
    <w:rsid w:val="00EA7D8C"/>
    <w:rsid w:val="00EB0C63"/>
    <w:rsid w:val="00EB0E4B"/>
    <w:rsid w:val="00EB0E9C"/>
    <w:rsid w:val="00EB0FE5"/>
    <w:rsid w:val="00EB1127"/>
    <w:rsid w:val="00EB1366"/>
    <w:rsid w:val="00EB1593"/>
    <w:rsid w:val="00EB16FF"/>
    <w:rsid w:val="00EB1AD0"/>
    <w:rsid w:val="00EB1E1B"/>
    <w:rsid w:val="00EB1E71"/>
    <w:rsid w:val="00EB23BE"/>
    <w:rsid w:val="00EB26CD"/>
    <w:rsid w:val="00EB31E0"/>
    <w:rsid w:val="00EB3237"/>
    <w:rsid w:val="00EB4664"/>
    <w:rsid w:val="00EB4751"/>
    <w:rsid w:val="00EB5196"/>
    <w:rsid w:val="00EB59F1"/>
    <w:rsid w:val="00EB5AF0"/>
    <w:rsid w:val="00EB5FBD"/>
    <w:rsid w:val="00EB62DB"/>
    <w:rsid w:val="00EB6312"/>
    <w:rsid w:val="00EB637A"/>
    <w:rsid w:val="00EB67A5"/>
    <w:rsid w:val="00EB6A32"/>
    <w:rsid w:val="00EB6E20"/>
    <w:rsid w:val="00EB7315"/>
    <w:rsid w:val="00EB7732"/>
    <w:rsid w:val="00EB7A0D"/>
    <w:rsid w:val="00EC016B"/>
    <w:rsid w:val="00EC02DB"/>
    <w:rsid w:val="00EC03EF"/>
    <w:rsid w:val="00EC0AF3"/>
    <w:rsid w:val="00EC0AF6"/>
    <w:rsid w:val="00EC0E17"/>
    <w:rsid w:val="00EC0FE7"/>
    <w:rsid w:val="00EC1199"/>
    <w:rsid w:val="00EC180E"/>
    <w:rsid w:val="00EC3BD0"/>
    <w:rsid w:val="00EC4197"/>
    <w:rsid w:val="00EC4377"/>
    <w:rsid w:val="00EC4B7F"/>
    <w:rsid w:val="00EC4E44"/>
    <w:rsid w:val="00EC5261"/>
    <w:rsid w:val="00EC53F8"/>
    <w:rsid w:val="00EC540A"/>
    <w:rsid w:val="00EC5443"/>
    <w:rsid w:val="00EC5914"/>
    <w:rsid w:val="00EC6852"/>
    <w:rsid w:val="00EC6925"/>
    <w:rsid w:val="00EC6ABB"/>
    <w:rsid w:val="00EC6D46"/>
    <w:rsid w:val="00EC6E68"/>
    <w:rsid w:val="00EC703F"/>
    <w:rsid w:val="00EC7124"/>
    <w:rsid w:val="00EC76EA"/>
    <w:rsid w:val="00EC7869"/>
    <w:rsid w:val="00EC7B4A"/>
    <w:rsid w:val="00EC7DBE"/>
    <w:rsid w:val="00ED0127"/>
    <w:rsid w:val="00ED04D3"/>
    <w:rsid w:val="00ED0FC1"/>
    <w:rsid w:val="00ED16C1"/>
    <w:rsid w:val="00ED1DBE"/>
    <w:rsid w:val="00ED27F8"/>
    <w:rsid w:val="00ED33D0"/>
    <w:rsid w:val="00ED38AB"/>
    <w:rsid w:val="00ED3D96"/>
    <w:rsid w:val="00ED4541"/>
    <w:rsid w:val="00ED4602"/>
    <w:rsid w:val="00ED47B2"/>
    <w:rsid w:val="00ED499D"/>
    <w:rsid w:val="00ED4ACF"/>
    <w:rsid w:val="00ED4E51"/>
    <w:rsid w:val="00ED5599"/>
    <w:rsid w:val="00ED57BE"/>
    <w:rsid w:val="00ED5919"/>
    <w:rsid w:val="00ED5C73"/>
    <w:rsid w:val="00ED6370"/>
    <w:rsid w:val="00ED69E3"/>
    <w:rsid w:val="00ED6CC8"/>
    <w:rsid w:val="00ED6D86"/>
    <w:rsid w:val="00ED7588"/>
    <w:rsid w:val="00ED7EB0"/>
    <w:rsid w:val="00EE0C9A"/>
    <w:rsid w:val="00EE0CE9"/>
    <w:rsid w:val="00EE24C5"/>
    <w:rsid w:val="00EE2C67"/>
    <w:rsid w:val="00EE334A"/>
    <w:rsid w:val="00EE3B22"/>
    <w:rsid w:val="00EE4145"/>
    <w:rsid w:val="00EE4B99"/>
    <w:rsid w:val="00EE5217"/>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34A"/>
    <w:rsid w:val="00EF293B"/>
    <w:rsid w:val="00EF2FC1"/>
    <w:rsid w:val="00EF31FA"/>
    <w:rsid w:val="00EF3862"/>
    <w:rsid w:val="00EF4098"/>
    <w:rsid w:val="00EF441C"/>
    <w:rsid w:val="00EF51C9"/>
    <w:rsid w:val="00EF5731"/>
    <w:rsid w:val="00EF5AFB"/>
    <w:rsid w:val="00EF6517"/>
    <w:rsid w:val="00EF6812"/>
    <w:rsid w:val="00EF7A12"/>
    <w:rsid w:val="00EF7EDD"/>
    <w:rsid w:val="00EF7F4F"/>
    <w:rsid w:val="00F00266"/>
    <w:rsid w:val="00F00E40"/>
    <w:rsid w:val="00F0102B"/>
    <w:rsid w:val="00F01241"/>
    <w:rsid w:val="00F01799"/>
    <w:rsid w:val="00F01A9E"/>
    <w:rsid w:val="00F01F28"/>
    <w:rsid w:val="00F01FA8"/>
    <w:rsid w:val="00F02568"/>
    <w:rsid w:val="00F030DD"/>
    <w:rsid w:val="00F031F7"/>
    <w:rsid w:val="00F036B1"/>
    <w:rsid w:val="00F03C55"/>
    <w:rsid w:val="00F03C87"/>
    <w:rsid w:val="00F03FAB"/>
    <w:rsid w:val="00F043A2"/>
    <w:rsid w:val="00F07244"/>
    <w:rsid w:val="00F07648"/>
    <w:rsid w:val="00F07F90"/>
    <w:rsid w:val="00F10094"/>
    <w:rsid w:val="00F104B7"/>
    <w:rsid w:val="00F10584"/>
    <w:rsid w:val="00F1126D"/>
    <w:rsid w:val="00F115BA"/>
    <w:rsid w:val="00F11684"/>
    <w:rsid w:val="00F11A43"/>
    <w:rsid w:val="00F1235E"/>
    <w:rsid w:val="00F1297F"/>
    <w:rsid w:val="00F129EC"/>
    <w:rsid w:val="00F13552"/>
    <w:rsid w:val="00F13654"/>
    <w:rsid w:val="00F1372D"/>
    <w:rsid w:val="00F13F58"/>
    <w:rsid w:val="00F1400F"/>
    <w:rsid w:val="00F14CED"/>
    <w:rsid w:val="00F153C3"/>
    <w:rsid w:val="00F15DD0"/>
    <w:rsid w:val="00F162BD"/>
    <w:rsid w:val="00F16483"/>
    <w:rsid w:val="00F17406"/>
    <w:rsid w:val="00F20DE0"/>
    <w:rsid w:val="00F210FC"/>
    <w:rsid w:val="00F21B2A"/>
    <w:rsid w:val="00F2200D"/>
    <w:rsid w:val="00F2225B"/>
    <w:rsid w:val="00F22667"/>
    <w:rsid w:val="00F22869"/>
    <w:rsid w:val="00F228BC"/>
    <w:rsid w:val="00F22973"/>
    <w:rsid w:val="00F22D9D"/>
    <w:rsid w:val="00F23087"/>
    <w:rsid w:val="00F23978"/>
    <w:rsid w:val="00F240A9"/>
    <w:rsid w:val="00F24C63"/>
    <w:rsid w:val="00F25264"/>
    <w:rsid w:val="00F253EF"/>
    <w:rsid w:val="00F25E5D"/>
    <w:rsid w:val="00F26C46"/>
    <w:rsid w:val="00F26D5C"/>
    <w:rsid w:val="00F26E74"/>
    <w:rsid w:val="00F26F94"/>
    <w:rsid w:val="00F2741C"/>
    <w:rsid w:val="00F27680"/>
    <w:rsid w:val="00F27CE6"/>
    <w:rsid w:val="00F30844"/>
    <w:rsid w:val="00F30BF7"/>
    <w:rsid w:val="00F311ED"/>
    <w:rsid w:val="00F3136A"/>
    <w:rsid w:val="00F3192E"/>
    <w:rsid w:val="00F32497"/>
    <w:rsid w:val="00F324A8"/>
    <w:rsid w:val="00F336B1"/>
    <w:rsid w:val="00F33CEA"/>
    <w:rsid w:val="00F33FBC"/>
    <w:rsid w:val="00F34624"/>
    <w:rsid w:val="00F349AE"/>
    <w:rsid w:val="00F34BB6"/>
    <w:rsid w:val="00F34DF3"/>
    <w:rsid w:val="00F3555C"/>
    <w:rsid w:val="00F358A1"/>
    <w:rsid w:val="00F35B2D"/>
    <w:rsid w:val="00F3606B"/>
    <w:rsid w:val="00F3620A"/>
    <w:rsid w:val="00F36566"/>
    <w:rsid w:val="00F368B3"/>
    <w:rsid w:val="00F37A62"/>
    <w:rsid w:val="00F37CA8"/>
    <w:rsid w:val="00F37F73"/>
    <w:rsid w:val="00F4015E"/>
    <w:rsid w:val="00F402C3"/>
    <w:rsid w:val="00F414F6"/>
    <w:rsid w:val="00F41858"/>
    <w:rsid w:val="00F418ED"/>
    <w:rsid w:val="00F41B8C"/>
    <w:rsid w:val="00F41DE1"/>
    <w:rsid w:val="00F4221A"/>
    <w:rsid w:val="00F42380"/>
    <w:rsid w:val="00F424A4"/>
    <w:rsid w:val="00F42773"/>
    <w:rsid w:val="00F428BF"/>
    <w:rsid w:val="00F42C7B"/>
    <w:rsid w:val="00F42E99"/>
    <w:rsid w:val="00F430FC"/>
    <w:rsid w:val="00F43119"/>
    <w:rsid w:val="00F438E4"/>
    <w:rsid w:val="00F439AE"/>
    <w:rsid w:val="00F440F7"/>
    <w:rsid w:val="00F4430F"/>
    <w:rsid w:val="00F44E47"/>
    <w:rsid w:val="00F45AE4"/>
    <w:rsid w:val="00F45F2D"/>
    <w:rsid w:val="00F46688"/>
    <w:rsid w:val="00F4690F"/>
    <w:rsid w:val="00F46A2C"/>
    <w:rsid w:val="00F46DC8"/>
    <w:rsid w:val="00F46DCC"/>
    <w:rsid w:val="00F4734E"/>
    <w:rsid w:val="00F47E8A"/>
    <w:rsid w:val="00F47F6A"/>
    <w:rsid w:val="00F5011D"/>
    <w:rsid w:val="00F501B6"/>
    <w:rsid w:val="00F5035A"/>
    <w:rsid w:val="00F503A7"/>
    <w:rsid w:val="00F505D6"/>
    <w:rsid w:val="00F50CD8"/>
    <w:rsid w:val="00F50E84"/>
    <w:rsid w:val="00F51003"/>
    <w:rsid w:val="00F5137A"/>
    <w:rsid w:val="00F51E53"/>
    <w:rsid w:val="00F52122"/>
    <w:rsid w:val="00F52A48"/>
    <w:rsid w:val="00F52DB5"/>
    <w:rsid w:val="00F53119"/>
    <w:rsid w:val="00F5314E"/>
    <w:rsid w:val="00F532C6"/>
    <w:rsid w:val="00F53D13"/>
    <w:rsid w:val="00F54D87"/>
    <w:rsid w:val="00F54FCD"/>
    <w:rsid w:val="00F550E1"/>
    <w:rsid w:val="00F55168"/>
    <w:rsid w:val="00F55818"/>
    <w:rsid w:val="00F56044"/>
    <w:rsid w:val="00F575C6"/>
    <w:rsid w:val="00F57C76"/>
    <w:rsid w:val="00F57D94"/>
    <w:rsid w:val="00F602B0"/>
    <w:rsid w:val="00F6036E"/>
    <w:rsid w:val="00F60758"/>
    <w:rsid w:val="00F608AB"/>
    <w:rsid w:val="00F60E5C"/>
    <w:rsid w:val="00F612EC"/>
    <w:rsid w:val="00F616A3"/>
    <w:rsid w:val="00F61B87"/>
    <w:rsid w:val="00F61FD3"/>
    <w:rsid w:val="00F62242"/>
    <w:rsid w:val="00F627F9"/>
    <w:rsid w:val="00F62B9B"/>
    <w:rsid w:val="00F62BB0"/>
    <w:rsid w:val="00F62ED1"/>
    <w:rsid w:val="00F6393E"/>
    <w:rsid w:val="00F63AFE"/>
    <w:rsid w:val="00F6400F"/>
    <w:rsid w:val="00F642ED"/>
    <w:rsid w:val="00F645EB"/>
    <w:rsid w:val="00F649A3"/>
    <w:rsid w:val="00F6525C"/>
    <w:rsid w:val="00F65BDA"/>
    <w:rsid w:val="00F661F5"/>
    <w:rsid w:val="00F666F0"/>
    <w:rsid w:val="00F66E89"/>
    <w:rsid w:val="00F674C6"/>
    <w:rsid w:val="00F67505"/>
    <w:rsid w:val="00F675EB"/>
    <w:rsid w:val="00F677D9"/>
    <w:rsid w:val="00F707CA"/>
    <w:rsid w:val="00F70B91"/>
    <w:rsid w:val="00F71692"/>
    <w:rsid w:val="00F717DB"/>
    <w:rsid w:val="00F72609"/>
    <w:rsid w:val="00F727EA"/>
    <w:rsid w:val="00F72EC3"/>
    <w:rsid w:val="00F731E3"/>
    <w:rsid w:val="00F7360E"/>
    <w:rsid w:val="00F73BCD"/>
    <w:rsid w:val="00F741DC"/>
    <w:rsid w:val="00F74591"/>
    <w:rsid w:val="00F747C4"/>
    <w:rsid w:val="00F74FC5"/>
    <w:rsid w:val="00F74FF3"/>
    <w:rsid w:val="00F7529F"/>
    <w:rsid w:val="00F7561C"/>
    <w:rsid w:val="00F75806"/>
    <w:rsid w:val="00F75C52"/>
    <w:rsid w:val="00F7635A"/>
    <w:rsid w:val="00F765DA"/>
    <w:rsid w:val="00F76B96"/>
    <w:rsid w:val="00F773EE"/>
    <w:rsid w:val="00F77495"/>
    <w:rsid w:val="00F774F1"/>
    <w:rsid w:val="00F80BE5"/>
    <w:rsid w:val="00F80C71"/>
    <w:rsid w:val="00F80E70"/>
    <w:rsid w:val="00F81A1A"/>
    <w:rsid w:val="00F82605"/>
    <w:rsid w:val="00F82A13"/>
    <w:rsid w:val="00F83136"/>
    <w:rsid w:val="00F831C4"/>
    <w:rsid w:val="00F83D3E"/>
    <w:rsid w:val="00F83E4F"/>
    <w:rsid w:val="00F8426F"/>
    <w:rsid w:val="00F84336"/>
    <w:rsid w:val="00F84370"/>
    <w:rsid w:val="00F8460C"/>
    <w:rsid w:val="00F84AC9"/>
    <w:rsid w:val="00F84D55"/>
    <w:rsid w:val="00F85ABE"/>
    <w:rsid w:val="00F85C28"/>
    <w:rsid w:val="00F85F6E"/>
    <w:rsid w:val="00F85F99"/>
    <w:rsid w:val="00F863A5"/>
    <w:rsid w:val="00F86D39"/>
    <w:rsid w:val="00F86FF0"/>
    <w:rsid w:val="00F87193"/>
    <w:rsid w:val="00F873DC"/>
    <w:rsid w:val="00F875D6"/>
    <w:rsid w:val="00F87E45"/>
    <w:rsid w:val="00F90433"/>
    <w:rsid w:val="00F90537"/>
    <w:rsid w:val="00F905B5"/>
    <w:rsid w:val="00F90ADB"/>
    <w:rsid w:val="00F90AEE"/>
    <w:rsid w:val="00F9200C"/>
    <w:rsid w:val="00F9253D"/>
    <w:rsid w:val="00F9285D"/>
    <w:rsid w:val="00F92D61"/>
    <w:rsid w:val="00F93FA5"/>
    <w:rsid w:val="00F944D8"/>
    <w:rsid w:val="00F94BC5"/>
    <w:rsid w:val="00F959CC"/>
    <w:rsid w:val="00F95C2B"/>
    <w:rsid w:val="00F96614"/>
    <w:rsid w:val="00F96635"/>
    <w:rsid w:val="00F97155"/>
    <w:rsid w:val="00F97691"/>
    <w:rsid w:val="00FA07DC"/>
    <w:rsid w:val="00FA0FB0"/>
    <w:rsid w:val="00FA2444"/>
    <w:rsid w:val="00FA271B"/>
    <w:rsid w:val="00FA2722"/>
    <w:rsid w:val="00FA2807"/>
    <w:rsid w:val="00FA2B88"/>
    <w:rsid w:val="00FA3427"/>
    <w:rsid w:val="00FA37FE"/>
    <w:rsid w:val="00FA4429"/>
    <w:rsid w:val="00FA4A5B"/>
    <w:rsid w:val="00FA4E81"/>
    <w:rsid w:val="00FA5003"/>
    <w:rsid w:val="00FA5209"/>
    <w:rsid w:val="00FA5729"/>
    <w:rsid w:val="00FA5B51"/>
    <w:rsid w:val="00FA5B85"/>
    <w:rsid w:val="00FA5D32"/>
    <w:rsid w:val="00FA5DE5"/>
    <w:rsid w:val="00FA5FAB"/>
    <w:rsid w:val="00FA6661"/>
    <w:rsid w:val="00FA6823"/>
    <w:rsid w:val="00FA6866"/>
    <w:rsid w:val="00FA6D6C"/>
    <w:rsid w:val="00FA6F05"/>
    <w:rsid w:val="00FA707C"/>
    <w:rsid w:val="00FA795C"/>
    <w:rsid w:val="00FB0EF1"/>
    <w:rsid w:val="00FB0FAC"/>
    <w:rsid w:val="00FB1208"/>
    <w:rsid w:val="00FB14D3"/>
    <w:rsid w:val="00FB1693"/>
    <w:rsid w:val="00FB1723"/>
    <w:rsid w:val="00FB1B3B"/>
    <w:rsid w:val="00FB21BE"/>
    <w:rsid w:val="00FB30AA"/>
    <w:rsid w:val="00FB3974"/>
    <w:rsid w:val="00FB3D0B"/>
    <w:rsid w:val="00FB3EBA"/>
    <w:rsid w:val="00FB4CDC"/>
    <w:rsid w:val="00FB4DA6"/>
    <w:rsid w:val="00FB50C0"/>
    <w:rsid w:val="00FB513C"/>
    <w:rsid w:val="00FB52CB"/>
    <w:rsid w:val="00FB5483"/>
    <w:rsid w:val="00FB55D1"/>
    <w:rsid w:val="00FB55E9"/>
    <w:rsid w:val="00FB590C"/>
    <w:rsid w:val="00FB6C3A"/>
    <w:rsid w:val="00FB7BB2"/>
    <w:rsid w:val="00FC04A1"/>
    <w:rsid w:val="00FC0978"/>
    <w:rsid w:val="00FC0CED"/>
    <w:rsid w:val="00FC1222"/>
    <w:rsid w:val="00FC1FF3"/>
    <w:rsid w:val="00FC2E99"/>
    <w:rsid w:val="00FC307E"/>
    <w:rsid w:val="00FC3621"/>
    <w:rsid w:val="00FC3831"/>
    <w:rsid w:val="00FC3ECB"/>
    <w:rsid w:val="00FC4AC2"/>
    <w:rsid w:val="00FC54B2"/>
    <w:rsid w:val="00FC5A4E"/>
    <w:rsid w:val="00FC5DF9"/>
    <w:rsid w:val="00FC5FC6"/>
    <w:rsid w:val="00FC6195"/>
    <w:rsid w:val="00FC65F2"/>
    <w:rsid w:val="00FC6BD6"/>
    <w:rsid w:val="00FC6F65"/>
    <w:rsid w:val="00FC735C"/>
    <w:rsid w:val="00FC76EE"/>
    <w:rsid w:val="00FC78EE"/>
    <w:rsid w:val="00FC7A8F"/>
    <w:rsid w:val="00FC7FC4"/>
    <w:rsid w:val="00FD0371"/>
    <w:rsid w:val="00FD051B"/>
    <w:rsid w:val="00FD08D7"/>
    <w:rsid w:val="00FD0A42"/>
    <w:rsid w:val="00FD0C0E"/>
    <w:rsid w:val="00FD16F3"/>
    <w:rsid w:val="00FD19AE"/>
    <w:rsid w:val="00FD1D77"/>
    <w:rsid w:val="00FD2320"/>
    <w:rsid w:val="00FD28D5"/>
    <w:rsid w:val="00FD3086"/>
    <w:rsid w:val="00FD34EF"/>
    <w:rsid w:val="00FD3BBE"/>
    <w:rsid w:val="00FD3ECD"/>
    <w:rsid w:val="00FD42C9"/>
    <w:rsid w:val="00FD458B"/>
    <w:rsid w:val="00FD46A1"/>
    <w:rsid w:val="00FD47CA"/>
    <w:rsid w:val="00FD4C8B"/>
    <w:rsid w:val="00FD56A4"/>
    <w:rsid w:val="00FD58C2"/>
    <w:rsid w:val="00FD71FA"/>
    <w:rsid w:val="00FD767E"/>
    <w:rsid w:val="00FD7A4E"/>
    <w:rsid w:val="00FD7E54"/>
    <w:rsid w:val="00FD7F1D"/>
    <w:rsid w:val="00FE0131"/>
    <w:rsid w:val="00FE0D9F"/>
    <w:rsid w:val="00FE1433"/>
    <w:rsid w:val="00FE1A13"/>
    <w:rsid w:val="00FE1C57"/>
    <w:rsid w:val="00FE1D3E"/>
    <w:rsid w:val="00FE2F65"/>
    <w:rsid w:val="00FE2FBF"/>
    <w:rsid w:val="00FE3A48"/>
    <w:rsid w:val="00FE41C2"/>
    <w:rsid w:val="00FE43BD"/>
    <w:rsid w:val="00FE4555"/>
    <w:rsid w:val="00FE4B1F"/>
    <w:rsid w:val="00FE52B7"/>
    <w:rsid w:val="00FE52D6"/>
    <w:rsid w:val="00FE5E3A"/>
    <w:rsid w:val="00FE5F27"/>
    <w:rsid w:val="00FE68C5"/>
    <w:rsid w:val="00FE6BFF"/>
    <w:rsid w:val="00FE6C0D"/>
    <w:rsid w:val="00FE6C20"/>
    <w:rsid w:val="00FE6E85"/>
    <w:rsid w:val="00FE6FF4"/>
    <w:rsid w:val="00FE7030"/>
    <w:rsid w:val="00FE70B7"/>
    <w:rsid w:val="00FE74F2"/>
    <w:rsid w:val="00FE7737"/>
    <w:rsid w:val="00FE79C5"/>
    <w:rsid w:val="00FE7AA0"/>
    <w:rsid w:val="00FE7F54"/>
    <w:rsid w:val="00FF0991"/>
    <w:rsid w:val="00FF0D9E"/>
    <w:rsid w:val="00FF0E9F"/>
    <w:rsid w:val="00FF1158"/>
    <w:rsid w:val="00FF12CB"/>
    <w:rsid w:val="00FF1430"/>
    <w:rsid w:val="00FF18ED"/>
    <w:rsid w:val="00FF2289"/>
    <w:rsid w:val="00FF25B7"/>
    <w:rsid w:val="00FF2937"/>
    <w:rsid w:val="00FF2A07"/>
    <w:rsid w:val="00FF2AFD"/>
    <w:rsid w:val="00FF2B50"/>
    <w:rsid w:val="00FF2E8B"/>
    <w:rsid w:val="00FF3075"/>
    <w:rsid w:val="00FF3621"/>
    <w:rsid w:val="00FF3A50"/>
    <w:rsid w:val="00FF4A30"/>
    <w:rsid w:val="00FF5B07"/>
    <w:rsid w:val="00FF61C3"/>
    <w:rsid w:val="00FF716B"/>
    <w:rsid w:val="00FF75E7"/>
    <w:rsid w:val="00FF77FF"/>
    <w:rsid w:val="00FF7808"/>
    <w:rsid w:val="00FF7C0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83C6"/>
  <w15:docId w15:val="{8B6B7C5A-0AD0-4092-B7FC-298D9414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4F2"/>
    <w:pPr>
      <w:spacing w:before="120"/>
      <w:jc w:val="both"/>
    </w:pPr>
    <w:rPr>
      <w:rFonts w:ascii="Times New Roman" w:hAnsi="Times New Roman"/>
      <w:sz w:val="22"/>
      <w:lang w:val="en-GB"/>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524A39"/>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uiPriority w:val="99"/>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uiPriority w:val="99"/>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uiPriority w:val="99"/>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qFormat/>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uiPriority w:val="99"/>
    <w:rsid w:val="003937A5"/>
    <w:rPr>
      <w:rFonts w:ascii="Cambria" w:eastAsia="Times New Roman" w:hAnsi="Cambria" w:cs="Times New Roman"/>
    </w:rPr>
  </w:style>
  <w:style w:type="character" w:customStyle="1" w:styleId="Heading8Char">
    <w:name w:val="Heading 8 Char"/>
    <w:basedOn w:val="DefaultParagraphFont"/>
    <w:link w:val="Heading8"/>
    <w:uiPriority w:val="99"/>
    <w:rsid w:val="003937A5"/>
    <w:rPr>
      <w:rFonts w:ascii="Cambria" w:eastAsia="Times New Roman" w:hAnsi="Cambria" w:cs="Times New Roman"/>
      <w:i/>
      <w:iCs/>
    </w:rPr>
  </w:style>
  <w:style w:type="character" w:customStyle="1" w:styleId="Heading9Char">
    <w:name w:val="Heading 9 Char"/>
    <w:basedOn w:val="DefaultParagraphFont"/>
    <w:link w:val="Heading9"/>
    <w:uiPriority w:val="99"/>
    <w:rsid w:val="003937A5"/>
    <w:rPr>
      <w:rFonts w:ascii="Calibri" w:eastAsia="Times New Roman" w:hAnsi="Calibri" w:cs="Times New Roman"/>
      <w:sz w:val="22"/>
      <w:szCs w:val="22"/>
    </w:rPr>
  </w:style>
  <w:style w:type="paragraph" w:styleId="Header">
    <w:name w:val="header"/>
    <w:basedOn w:val="Normal"/>
    <w:link w:val="HeaderChar"/>
    <w:uiPriority w:val="99"/>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uiPriority w:val="99"/>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uiPriority w:val="99"/>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uiPriority w:val="99"/>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uiPriority w:val="99"/>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5F421E"/>
    <w:pPr>
      <w:tabs>
        <w:tab w:val="left" w:pos="529"/>
        <w:tab w:val="right" w:leader="dot" w:pos="9639"/>
      </w:tabs>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A91985"/>
    <w:pPr>
      <w:tabs>
        <w:tab w:val="left" w:pos="916"/>
        <w:tab w:val="right" w:leader="dot" w:pos="9622"/>
      </w:tabs>
      <w:spacing w:before="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rsid w:val="003937A5"/>
    <w:rPr>
      <w:sz w:val="16"/>
      <w:szCs w:val="16"/>
    </w:rPr>
  </w:style>
  <w:style w:type="paragraph" w:styleId="CommentText">
    <w:name w:val="annotation text"/>
    <w:basedOn w:val="Normal"/>
    <w:link w:val="CommentTextChar"/>
    <w:uiPriority w:val="99"/>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3937A5"/>
    <w:rPr>
      <w:b/>
      <w:bCs/>
    </w:rPr>
  </w:style>
  <w:style w:type="character" w:customStyle="1" w:styleId="CommentSubjectChar">
    <w:name w:val="Comment Subject Char"/>
    <w:basedOn w:val="CommentTextChar"/>
    <w:link w:val="CommentSubject"/>
    <w:uiPriority w:val="99"/>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uiPriority w:val="99"/>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uiPriority w:val="99"/>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uiPriority w:val="99"/>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uiPriority w:val="99"/>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uiPriority w:val="99"/>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uiPriority w:val="99"/>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uiPriority w:val="99"/>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uiPriority w:val="99"/>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uiPriority w:val="99"/>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uiPriority w:val="99"/>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uiPriority w:val="99"/>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uiPriority w:val="99"/>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uiPriority w:val="99"/>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uiPriority w:val="99"/>
    <w:rsid w:val="003937A5"/>
    <w:rPr>
      <w:rFonts w:ascii="Cambria" w:eastAsia="Times New Roman" w:hAnsi="Cambria" w:cs="Times New Roman"/>
      <w:sz w:val="22"/>
    </w:rPr>
  </w:style>
  <w:style w:type="paragraph" w:styleId="EndnoteText">
    <w:name w:val="endnote text"/>
    <w:basedOn w:val="Normal"/>
    <w:link w:val="EndnoteTextChar"/>
    <w:uiPriority w:val="99"/>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uiPriority w:val="99"/>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uiPriority w:val="34"/>
    <w:qFormat/>
    <w:rsid w:val="003937A5"/>
    <w:pPr>
      <w:spacing w:before="0" w:after="200" w:line="276" w:lineRule="auto"/>
      <w:ind w:left="720"/>
      <w:contextualSpacing/>
      <w:jc w:val="left"/>
    </w:pPr>
    <w:rPr>
      <w:rFonts w:ascii="Calibri" w:eastAsia="Calibri" w:hAnsi="Calibri" w:cs="Times New Roman"/>
      <w:szCs w:val="22"/>
    </w:rPr>
  </w:style>
  <w:style w:type="paragraph" w:styleId="Caption">
    <w:name w:val="caption"/>
    <w:basedOn w:val="Normal"/>
    <w:next w:val="Normal"/>
    <w:uiPriority w:val="99"/>
    <w:unhideWhenUsed/>
    <w:qFormat/>
    <w:rsid w:val="00EE7692"/>
    <w:pPr>
      <w:spacing w:before="60" w:after="60"/>
    </w:pPr>
    <w:rPr>
      <w:rFonts w:eastAsia="Times New Roman" w:cs="Times New Roman"/>
      <w:bCs/>
      <w:i/>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styleId="ListBullet">
    <w:name w:val="List Bullet"/>
    <w:basedOn w:val="Normal"/>
    <w:uiPriority w:val="99"/>
    <w:unhideWhenUsed/>
    <w:rsid w:val="00E24BC9"/>
    <w:pPr>
      <w:numPr>
        <w:numId w:val="2"/>
      </w:numPr>
      <w:contextualSpacing/>
    </w:pPr>
  </w:style>
  <w:style w:type="paragraph" w:styleId="DocumentMap">
    <w:name w:val="Document Map"/>
    <w:basedOn w:val="Normal"/>
    <w:link w:val="DocumentMapChar"/>
    <w:uiPriority w:val="99"/>
    <w:semiHidden/>
    <w:unhideWhenUsed/>
    <w:rsid w:val="00B948FC"/>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uiPriority w:val="99"/>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pPr>
      <w:spacing w:before="0"/>
      <w:jc w:val="left"/>
    </w:pPr>
    <w:rPr>
      <w:rFonts w:ascii="Calibri" w:eastAsiaTheme="minorHAnsi" w:hAnsi="Calibri"/>
      <w:szCs w:val="21"/>
      <w:lang w:val="en-AU"/>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uiPriority w:val="99"/>
    <w:rsid w:val="005065CE"/>
    <w:pPr>
      <w:keepNext/>
      <w:numPr>
        <w:numId w:val="4"/>
      </w:numPr>
      <w:pBdr>
        <w:bottom w:val="single" w:sz="4" w:space="1" w:color="auto"/>
      </w:pBdr>
      <w:spacing w:before="200" w:line="280" w:lineRule="atLeast"/>
      <w:jc w:val="left"/>
      <w:outlineLvl w:val="0"/>
    </w:pPr>
    <w:rPr>
      <w:rFonts w:ascii="Arial" w:eastAsia="Times New Roman" w:hAnsi="Arial" w:cs="Arial"/>
      <w:b/>
      <w:lang w:val="en-AU"/>
    </w:rPr>
  </w:style>
  <w:style w:type="numbering" w:styleId="111111">
    <w:name w:val="Outline List 2"/>
    <w:aliases w:val="1 / 1.1"/>
    <w:basedOn w:val="NoList"/>
    <w:rsid w:val="005065CE"/>
    <w:pPr>
      <w:numPr>
        <w:numId w:val="3"/>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uiPriority w:val="99"/>
    <w:rsid w:val="00040FC9"/>
    <w:pPr>
      <w:spacing w:before="60" w:after="60"/>
      <w:jc w:val="left"/>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uiPriority w:val="99"/>
    <w:rsid w:val="00B85D06"/>
    <w:pPr>
      <w:spacing w:before="0"/>
      <w:jc w:val="left"/>
    </w:pPr>
    <w:rPr>
      <w:rFonts w:ascii="Times" w:eastAsiaTheme="minorHAnsi" w:hAnsi="Times" w:cs="Times New Roman"/>
      <w:sz w:val="15"/>
      <w:szCs w:val="15"/>
      <w:lang w:eastAsia="en-GB"/>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 w:type="character" w:styleId="UnresolvedMention">
    <w:name w:val="Unresolved Mention"/>
    <w:basedOn w:val="DefaultParagraphFont"/>
    <w:uiPriority w:val="99"/>
    <w:semiHidden/>
    <w:unhideWhenUsed/>
    <w:rsid w:val="005C596D"/>
    <w:rPr>
      <w:color w:val="605E5C"/>
      <w:shd w:val="clear" w:color="auto" w:fill="E1DFDD"/>
    </w:rPr>
  </w:style>
  <w:style w:type="paragraph" w:customStyle="1" w:styleId="msonormal0">
    <w:name w:val="msonormal"/>
    <w:basedOn w:val="Normal"/>
    <w:uiPriority w:val="99"/>
    <w:rsid w:val="00B67E9C"/>
    <w:pPr>
      <w:spacing w:before="100" w:beforeAutospacing="1" w:after="100" w:afterAutospacing="1"/>
      <w:jc w:val="left"/>
    </w:pPr>
    <w:rPr>
      <w:rFonts w:eastAsia="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733896683">
      <w:bodyDiv w:val="1"/>
      <w:marLeft w:val="0"/>
      <w:marRight w:val="0"/>
      <w:marTop w:val="0"/>
      <w:marBottom w:val="0"/>
      <w:divBdr>
        <w:top w:val="none" w:sz="0" w:space="0" w:color="auto"/>
        <w:left w:val="none" w:sz="0" w:space="0" w:color="auto"/>
        <w:bottom w:val="none" w:sz="0" w:space="0" w:color="auto"/>
        <w:right w:val="none" w:sz="0" w:space="0" w:color="auto"/>
      </w:divBdr>
    </w:div>
    <w:div w:id="803543463">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517844864">
      <w:bodyDiv w:val="1"/>
      <w:marLeft w:val="0"/>
      <w:marRight w:val="0"/>
      <w:marTop w:val="0"/>
      <w:marBottom w:val="0"/>
      <w:divBdr>
        <w:top w:val="none" w:sz="0" w:space="0" w:color="auto"/>
        <w:left w:val="none" w:sz="0" w:space="0" w:color="auto"/>
        <w:bottom w:val="none" w:sz="0" w:space="0" w:color="auto"/>
        <w:right w:val="none" w:sz="0" w:space="0" w:color="auto"/>
      </w:divBdr>
    </w:div>
    <w:div w:id="1600329255">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environment.gov.au/atmosphere/ozone/legislation/index.html"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atmosphere/ozone/legislation/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E4FAE94-6DAE-4CB0-8EF7-085B658E3780}">
  <ds:schemaRefs>
    <ds:schemaRef ds:uri="http://schemas.openxmlformats.org/officeDocument/2006/bibliography"/>
  </ds:schemaRefs>
</ds:datastoreItem>
</file>

<file path=customXml/itemProps2.xml><?xml version="1.0" encoding="utf-8"?>
<ds:datastoreItem xmlns:ds="http://schemas.openxmlformats.org/officeDocument/2006/customXml" ds:itemID="{40930821-C22D-440E-ABDC-ED31F66B11B4}"/>
</file>

<file path=customXml/itemProps3.xml><?xml version="1.0" encoding="utf-8"?>
<ds:datastoreItem xmlns:ds="http://schemas.openxmlformats.org/officeDocument/2006/customXml" ds:itemID="{0196E8B2-7311-443A-9928-E6F3305B4861}"/>
</file>

<file path=customXml/itemProps4.xml><?xml version="1.0" encoding="utf-8"?>
<ds:datastoreItem xmlns:ds="http://schemas.openxmlformats.org/officeDocument/2006/customXml" ds:itemID="{D6E82D7F-4E6F-428C-9331-3A8BCF8FB188}"/>
</file>

<file path=docProps/app.xml><?xml version="1.0" encoding="utf-8"?>
<Properties xmlns="http://schemas.openxmlformats.org/officeDocument/2006/extended-properties" xmlns:vt="http://schemas.openxmlformats.org/officeDocument/2006/docPropsVTypes">
  <Template>Normal.dotm</Template>
  <TotalTime>0</TotalTime>
  <Pages>54</Pages>
  <Words>17486</Words>
  <Characters>99675</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Cold Hard Facts 2020 Appendix A: Methodology - Taxonomy, data and assumptions</vt:lpstr>
    </vt:vector>
  </TitlesOfParts>
  <Company/>
  <LinksUpToDate>false</LinksUpToDate>
  <CharactersWithSpaces>116928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2020 Appendix A: Methodology - Taxonomy, data and assumptions</dc:title>
  <dc:subject/>
  <dc:creator>Expert Group</dc:creator>
  <cp:keywords/>
  <dc:description/>
  <cp:revision>2</cp:revision>
  <dcterms:created xsi:type="dcterms:W3CDTF">2021-05-10T05:03:00Z</dcterms:created>
  <dcterms:modified xsi:type="dcterms:W3CDTF">2021-05-10T05:03:00Z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