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5D84" w14:textId="77777777" w:rsidR="007C1516" w:rsidRDefault="007C1516" w:rsidP="00D42FF6">
      <w:pPr>
        <w:pStyle w:val="Heading3"/>
        <w:tabs>
          <w:tab w:val="left" w:pos="4253"/>
          <w:tab w:val="left" w:pos="5387"/>
        </w:tabs>
        <w:spacing w:after="80"/>
        <w:ind w:right="-1"/>
        <w:rPr>
          <w:rFonts w:ascii="Calibri" w:hAnsi="Calibri" w:cs="Calibri"/>
          <w:b w:val="0"/>
          <w:bCs w:val="0"/>
          <w:sz w:val="52"/>
          <w:szCs w:val="52"/>
        </w:rPr>
      </w:pPr>
      <w:r w:rsidRPr="003310E2">
        <w:rPr>
          <w:noProof/>
        </w:rPr>
        <w:pict w14:anchorId="61BAC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196.5pt;height:59.25pt;visibility:visible">
            <v:imagedata r:id="rId12" o:title=""/>
          </v:shape>
        </w:pict>
      </w:r>
    </w:p>
    <w:p w14:paraId="148F44A8" w14:textId="77777777" w:rsidR="007C1516" w:rsidRPr="007C1516" w:rsidRDefault="0091443A" w:rsidP="00D42FF6">
      <w:pPr>
        <w:pStyle w:val="Heading3"/>
        <w:tabs>
          <w:tab w:val="left" w:pos="4253"/>
          <w:tab w:val="left" w:pos="5387"/>
        </w:tabs>
        <w:spacing w:before="240" w:after="80"/>
        <w:ind w:right="-1"/>
        <w:rPr>
          <w:rFonts w:ascii="Calibri" w:hAnsi="Calibri" w:cs="Calibri"/>
          <w:b w:val="0"/>
          <w:bCs w:val="0"/>
          <w:sz w:val="52"/>
          <w:szCs w:val="52"/>
        </w:rPr>
      </w:pPr>
      <w:r>
        <w:rPr>
          <w:rFonts w:ascii="Calibri" w:hAnsi="Calibri" w:cs="Calibri"/>
          <w:b w:val="0"/>
          <w:bCs w:val="0"/>
          <w:sz w:val="52"/>
          <w:szCs w:val="52"/>
        </w:rPr>
        <w:t>Commonwealth</w:t>
      </w:r>
      <w:r w:rsidR="007C1516" w:rsidRPr="007C1516">
        <w:rPr>
          <w:rFonts w:ascii="Calibri" w:hAnsi="Calibri" w:cs="Calibri"/>
          <w:b w:val="0"/>
          <w:bCs w:val="0"/>
          <w:sz w:val="52"/>
          <w:szCs w:val="52"/>
        </w:rPr>
        <w:t xml:space="preserve"> Heritage List</w:t>
      </w:r>
    </w:p>
    <w:p w14:paraId="5749A13E" w14:textId="77777777" w:rsidR="007C1516" w:rsidRPr="007C1516" w:rsidRDefault="007C1516" w:rsidP="00D42FF6">
      <w:pPr>
        <w:pStyle w:val="Heading3"/>
        <w:shd w:val="clear" w:color="auto" w:fill="7B7B7B"/>
        <w:tabs>
          <w:tab w:val="left" w:pos="4253"/>
          <w:tab w:val="left" w:pos="5387"/>
        </w:tabs>
        <w:spacing w:after="80"/>
        <w:ind w:right="-1"/>
        <w:rPr>
          <w:rFonts w:ascii="Calibri" w:hAnsi="Calibri" w:cs="Calibri"/>
          <w:b w:val="0"/>
          <w:bCs w:val="0"/>
          <w:color w:val="FFFFFF"/>
          <w:sz w:val="52"/>
          <w:szCs w:val="52"/>
        </w:rPr>
      </w:pPr>
      <w:r w:rsidRPr="007C1516">
        <w:rPr>
          <w:rFonts w:ascii="Calibri" w:hAnsi="Calibri" w:cs="Calibri"/>
          <w:b w:val="0"/>
          <w:bCs w:val="0"/>
          <w:color w:val="FFFFFF"/>
          <w:sz w:val="52"/>
          <w:szCs w:val="52"/>
        </w:rPr>
        <w:t xml:space="preserve">2022-23 Call for Nominations </w:t>
      </w:r>
    </w:p>
    <w:p w14:paraId="3EBBBAEA" w14:textId="77777777" w:rsidR="007C1516" w:rsidRPr="00854357" w:rsidRDefault="007C1516" w:rsidP="00D42FF6">
      <w:pPr>
        <w:tabs>
          <w:tab w:val="left" w:pos="4253"/>
          <w:tab w:val="left" w:pos="5387"/>
        </w:tabs>
        <w:ind w:right="-1"/>
        <w:rPr>
          <w:lang w:val="en-US"/>
        </w:rPr>
      </w:pPr>
    </w:p>
    <w:p w14:paraId="42FE725B" w14:textId="77777777" w:rsidR="007C1516" w:rsidRDefault="007C1516" w:rsidP="00D42FF6">
      <w:pPr>
        <w:pStyle w:val="Heading3"/>
        <w:tabs>
          <w:tab w:val="left" w:pos="4253"/>
          <w:tab w:val="left" w:pos="5387"/>
        </w:tabs>
        <w:spacing w:before="720" w:after="80"/>
        <w:ind w:right="-1"/>
        <w:rPr>
          <w:rFonts w:ascii="Calibri" w:hAnsi="Calibri" w:cs="Calibri"/>
          <w:sz w:val="28"/>
        </w:rPr>
      </w:pPr>
      <w:r w:rsidRPr="007C1516">
        <w:rPr>
          <w:rFonts w:ascii="Calibri" w:hAnsi="Calibri" w:cs="Calibri"/>
          <w:sz w:val="28"/>
        </w:rPr>
        <w:t xml:space="preserve">NOMINATION </w:t>
      </w:r>
      <w:r>
        <w:rPr>
          <w:rFonts w:ascii="Calibri" w:hAnsi="Calibri" w:cs="Calibri"/>
          <w:sz w:val="28"/>
        </w:rPr>
        <w:t>GUIDE</w:t>
      </w:r>
    </w:p>
    <w:p w14:paraId="3675F49C" w14:textId="77777777" w:rsidR="007C1516" w:rsidRPr="007C1516" w:rsidRDefault="007C1516" w:rsidP="00D42FF6">
      <w:pPr>
        <w:tabs>
          <w:tab w:val="left" w:pos="4253"/>
          <w:tab w:val="left" w:pos="5387"/>
        </w:tabs>
        <w:ind w:right="-1"/>
        <w:rPr>
          <w:lang w:val="en-US"/>
        </w:rPr>
      </w:pPr>
    </w:p>
    <w:p w14:paraId="6635DF8F" w14:textId="77777777" w:rsidR="001661C4" w:rsidRPr="0041543E" w:rsidRDefault="00AF2EA7" w:rsidP="00D42FF6">
      <w:pPr>
        <w:tabs>
          <w:tab w:val="left" w:pos="4253"/>
          <w:tab w:val="left" w:pos="5387"/>
          <w:tab w:val="left" w:pos="5760"/>
        </w:tabs>
        <w:spacing w:after="120" w:line="288" w:lineRule="auto"/>
        <w:ind w:right="-1"/>
        <w:rPr>
          <w:rFonts w:ascii="Calibri" w:hAnsi="Calibri" w:cs="Calibri"/>
          <w:b/>
          <w:sz w:val="22"/>
          <w:szCs w:val="22"/>
        </w:rPr>
      </w:pPr>
      <w:r w:rsidRPr="0041543E">
        <w:rPr>
          <w:rFonts w:ascii="Calibri" w:hAnsi="Calibri" w:cs="Calibri"/>
          <w:sz w:val="22"/>
          <w:szCs w:val="22"/>
        </w:rPr>
        <w:t>This guide</w:t>
      </w:r>
      <w:r w:rsidR="002443EC" w:rsidRPr="0041543E">
        <w:rPr>
          <w:rFonts w:ascii="Calibri" w:hAnsi="Calibri" w:cs="Calibri"/>
          <w:sz w:val="22"/>
          <w:szCs w:val="22"/>
        </w:rPr>
        <w:t xml:space="preserve"> will help you complete the </w:t>
      </w:r>
      <w:r w:rsidR="00E01735">
        <w:rPr>
          <w:rFonts w:ascii="Calibri" w:hAnsi="Calibri" w:cs="Calibri"/>
          <w:sz w:val="22"/>
          <w:szCs w:val="22"/>
        </w:rPr>
        <w:t>Commonwealth</w:t>
      </w:r>
      <w:r w:rsidRPr="0041543E">
        <w:rPr>
          <w:rFonts w:ascii="Calibri" w:hAnsi="Calibri" w:cs="Calibri"/>
          <w:sz w:val="22"/>
          <w:szCs w:val="22"/>
        </w:rPr>
        <w:t xml:space="preserve"> Heritage List nomination </w:t>
      </w:r>
      <w:r w:rsidR="002443EC" w:rsidRPr="0041543E">
        <w:rPr>
          <w:rFonts w:ascii="Calibri" w:hAnsi="Calibri" w:cs="Calibri"/>
          <w:sz w:val="22"/>
          <w:szCs w:val="22"/>
        </w:rPr>
        <w:t>form.</w:t>
      </w:r>
      <w:r w:rsidR="0004286B" w:rsidRPr="0041543E">
        <w:rPr>
          <w:rFonts w:ascii="Calibri" w:hAnsi="Calibri" w:cs="Calibri"/>
          <w:sz w:val="22"/>
          <w:szCs w:val="22"/>
        </w:rPr>
        <w:t xml:space="preserve"> Before starting a nomination, consider the </w:t>
      </w:r>
      <w:r w:rsidR="007A10A5" w:rsidRPr="0041543E">
        <w:rPr>
          <w:rFonts w:ascii="Calibri" w:hAnsi="Calibri" w:cs="Calibri"/>
          <w:sz w:val="22"/>
          <w:szCs w:val="22"/>
        </w:rPr>
        <w:t>questions</w:t>
      </w:r>
      <w:r w:rsidR="0004286B" w:rsidRPr="0041543E">
        <w:rPr>
          <w:rFonts w:ascii="Calibri" w:hAnsi="Calibri" w:cs="Calibri"/>
          <w:sz w:val="22"/>
          <w:szCs w:val="22"/>
        </w:rPr>
        <w:t xml:space="preserve"> below.</w:t>
      </w:r>
    </w:p>
    <w:p w14:paraId="3BCE5774" w14:textId="77777777" w:rsidR="002443EC" w:rsidRPr="0041543E" w:rsidRDefault="00E30336" w:rsidP="0041543E">
      <w:pPr>
        <w:pStyle w:val="Heading3"/>
        <w:shd w:val="clear" w:color="auto" w:fill="FFFFFF"/>
        <w:tabs>
          <w:tab w:val="left" w:pos="4253"/>
          <w:tab w:val="left" w:pos="5387"/>
        </w:tabs>
        <w:spacing w:after="80"/>
        <w:ind w:right="-1"/>
        <w:jc w:val="left"/>
        <w:rPr>
          <w:rFonts w:ascii="Calibri" w:hAnsi="Calibri" w:cs="Calibri"/>
          <w:sz w:val="24"/>
        </w:rPr>
      </w:pPr>
      <w:r w:rsidRPr="0041543E">
        <w:rPr>
          <w:rFonts w:ascii="Calibri" w:hAnsi="Calibri" w:cs="Calibri"/>
          <w:sz w:val="24"/>
        </w:rPr>
        <w:t xml:space="preserve">Is the </w:t>
      </w:r>
      <w:r w:rsidR="0091443A">
        <w:rPr>
          <w:rFonts w:ascii="Calibri" w:hAnsi="Calibri" w:cs="Calibri"/>
          <w:sz w:val="24"/>
        </w:rPr>
        <w:t>Commonwealth</w:t>
      </w:r>
      <w:r w:rsidR="002E145C" w:rsidRPr="0041543E">
        <w:rPr>
          <w:rFonts w:ascii="Calibri" w:hAnsi="Calibri" w:cs="Calibri"/>
          <w:sz w:val="24"/>
        </w:rPr>
        <w:t xml:space="preserve"> Heritage List</w:t>
      </w:r>
      <w:r w:rsidRPr="0041543E">
        <w:rPr>
          <w:rFonts w:ascii="Calibri" w:hAnsi="Calibri" w:cs="Calibri"/>
          <w:sz w:val="24"/>
        </w:rPr>
        <w:t xml:space="preserve"> the right list for your place</w:t>
      </w:r>
      <w:r w:rsidR="005A0984" w:rsidRPr="0041543E">
        <w:rPr>
          <w:rFonts w:ascii="Calibri" w:hAnsi="Calibri" w:cs="Calibri"/>
          <w:sz w:val="24"/>
        </w:rPr>
        <w:t>?</w:t>
      </w:r>
    </w:p>
    <w:p w14:paraId="75FDC332" w14:textId="77777777" w:rsidR="00E01735" w:rsidRPr="00E01735" w:rsidRDefault="00E01735" w:rsidP="00E01735">
      <w:pPr>
        <w:tabs>
          <w:tab w:val="left" w:pos="4253"/>
          <w:tab w:val="left" w:pos="5387"/>
          <w:tab w:val="left" w:pos="5760"/>
        </w:tabs>
        <w:spacing w:after="120" w:line="288" w:lineRule="auto"/>
        <w:ind w:right="-1"/>
        <w:rPr>
          <w:rFonts w:ascii="Calibri" w:hAnsi="Calibri" w:cs="Calibri"/>
          <w:bCs/>
          <w:sz w:val="22"/>
          <w:szCs w:val="22"/>
        </w:rPr>
      </w:pPr>
      <w:r w:rsidRPr="00E01735">
        <w:rPr>
          <w:rFonts w:ascii="Calibri" w:hAnsi="Calibri" w:cs="Calibri"/>
          <w:sz w:val="22"/>
          <w:szCs w:val="22"/>
        </w:rPr>
        <w:t>There</w:t>
      </w:r>
      <w:r w:rsidRPr="00E01735">
        <w:rPr>
          <w:rFonts w:ascii="Calibri" w:hAnsi="Calibri" w:cs="Calibri"/>
          <w:bCs/>
          <w:sz w:val="22"/>
          <w:szCs w:val="22"/>
        </w:rPr>
        <w:t xml:space="preserve"> are a number heritage lists in Australia which impose varying levels of protection and responsibilities for managers: the World Heritage List, National Heritage List, Commonwealth Heritage List, State and Territory Heritage lists, Local Government Environment Plans or heritage lists, and non-statutory lists like those maintained by the National Trusts of Australia.</w:t>
      </w:r>
    </w:p>
    <w:p w14:paraId="23364F00" w14:textId="77777777" w:rsidR="00E01735" w:rsidRPr="00E01735" w:rsidRDefault="00E01735" w:rsidP="00E01735">
      <w:pPr>
        <w:tabs>
          <w:tab w:val="left" w:pos="4253"/>
          <w:tab w:val="left" w:pos="5387"/>
          <w:tab w:val="left" w:pos="5760"/>
        </w:tabs>
        <w:spacing w:after="120" w:line="288" w:lineRule="auto"/>
        <w:ind w:right="-1"/>
        <w:rPr>
          <w:rFonts w:ascii="Calibri" w:hAnsi="Calibri" w:cs="Calibri"/>
          <w:bCs/>
          <w:sz w:val="22"/>
          <w:szCs w:val="22"/>
        </w:rPr>
      </w:pPr>
      <w:r w:rsidRPr="00E01735">
        <w:rPr>
          <w:rFonts w:ascii="Calibri" w:hAnsi="Calibri" w:cs="Calibri"/>
          <w:sz w:val="22"/>
          <w:szCs w:val="22"/>
        </w:rPr>
        <w:t>The</w:t>
      </w:r>
      <w:r w:rsidRPr="00E01735">
        <w:rPr>
          <w:rFonts w:ascii="Calibri" w:hAnsi="Calibri" w:cs="Calibri"/>
          <w:bCs/>
          <w:sz w:val="22"/>
          <w:szCs w:val="22"/>
        </w:rPr>
        <w:t xml:space="preserve"> Commonwealth Heritage List is a list of Indigenous, </w:t>
      </w:r>
      <w:proofErr w:type="gramStart"/>
      <w:r w:rsidRPr="00E01735">
        <w:rPr>
          <w:rFonts w:ascii="Calibri" w:hAnsi="Calibri" w:cs="Calibri"/>
          <w:bCs/>
          <w:sz w:val="22"/>
          <w:szCs w:val="22"/>
        </w:rPr>
        <w:t>historic</w:t>
      </w:r>
      <w:proofErr w:type="gramEnd"/>
      <w:r w:rsidRPr="00E01735">
        <w:rPr>
          <w:rFonts w:ascii="Calibri" w:hAnsi="Calibri" w:cs="Calibri"/>
          <w:bCs/>
          <w:sz w:val="22"/>
          <w:szCs w:val="22"/>
        </w:rPr>
        <w:t xml:space="preserve"> and natural heritage places owned or controlled by the Australian Government. For the Minister for the Environment to include a place in the Commonwealth Heritage List, the place must be entirely within a Commonwealth area or, if outside Australia, owned or leased by the Commonwealth or a Commonwealth agency. </w:t>
      </w:r>
    </w:p>
    <w:p w14:paraId="758173F6" w14:textId="77777777" w:rsidR="00A23F6B" w:rsidRPr="0041543E" w:rsidRDefault="00A23F6B" w:rsidP="001A1D02">
      <w:pPr>
        <w:pStyle w:val="ListBullet"/>
        <w:numPr>
          <w:ilvl w:val="0"/>
          <w:numId w:val="12"/>
        </w:numPr>
        <w:tabs>
          <w:tab w:val="left" w:pos="426"/>
        </w:tabs>
        <w:spacing w:before="120" w:after="120" w:line="288" w:lineRule="auto"/>
        <w:ind w:left="426" w:right="-1" w:hanging="426"/>
        <w:rPr>
          <w:rStyle w:val="Hyperlink"/>
          <w:rFonts w:ascii="Calibri" w:hAnsi="Calibri" w:cs="Calibri"/>
          <w:color w:val="auto"/>
          <w:sz w:val="22"/>
          <w:szCs w:val="22"/>
          <w:u w:val="none"/>
        </w:rPr>
      </w:pPr>
      <w:r w:rsidRPr="0041543E">
        <w:rPr>
          <w:rFonts w:ascii="Calibri" w:hAnsi="Calibri" w:cs="Calibri"/>
          <w:sz w:val="22"/>
          <w:szCs w:val="22"/>
        </w:rPr>
        <w:t xml:space="preserve">Is the place already in the </w:t>
      </w:r>
      <w:r w:rsidR="00055ACA">
        <w:rPr>
          <w:rFonts w:ascii="Calibri" w:hAnsi="Calibri" w:cs="Calibri"/>
          <w:sz w:val="22"/>
          <w:szCs w:val="22"/>
        </w:rPr>
        <w:t>Commonwealth</w:t>
      </w:r>
      <w:r w:rsidR="00385F7D" w:rsidRPr="0041543E">
        <w:rPr>
          <w:rFonts w:ascii="Calibri" w:hAnsi="Calibri" w:cs="Calibri"/>
          <w:sz w:val="22"/>
          <w:szCs w:val="22"/>
        </w:rPr>
        <w:t xml:space="preserve"> Heritage List or within a </w:t>
      </w:r>
      <w:r w:rsidR="00250D46" w:rsidRPr="0041543E">
        <w:rPr>
          <w:rFonts w:ascii="Calibri" w:hAnsi="Calibri" w:cs="Calibri"/>
          <w:bCs/>
          <w:sz w:val="22"/>
          <w:szCs w:val="22"/>
        </w:rPr>
        <w:t xml:space="preserve">listed area? </w:t>
      </w:r>
      <w:r w:rsidR="00DE4CAA" w:rsidRPr="0041543E">
        <w:rPr>
          <w:rFonts w:ascii="Calibri" w:hAnsi="Calibri" w:cs="Calibri"/>
          <w:bCs/>
          <w:sz w:val="22"/>
          <w:szCs w:val="22"/>
        </w:rPr>
        <w:t xml:space="preserve">Check listed places at </w:t>
      </w:r>
      <w:r w:rsidR="00055ACA" w:rsidRPr="00055ACA">
        <w:rPr>
          <w:rStyle w:val="Hyperlink"/>
          <w:rFonts w:ascii="Calibri" w:hAnsi="Calibri" w:cs="Calibri"/>
          <w:sz w:val="22"/>
          <w:szCs w:val="22"/>
        </w:rPr>
        <w:t>www.awe.gov.au/parks-heritage/heritage/places/commonwealth-heritage-list</w:t>
      </w:r>
      <w:r w:rsidR="00055ACA">
        <w:rPr>
          <w:rStyle w:val="Hyperlink"/>
          <w:rFonts w:ascii="Calibri" w:hAnsi="Calibri" w:cs="Calibri"/>
          <w:sz w:val="22"/>
          <w:szCs w:val="22"/>
        </w:rPr>
        <w:t>.</w:t>
      </w:r>
    </w:p>
    <w:p w14:paraId="024A90B8" w14:textId="77777777" w:rsidR="00DC7876" w:rsidRPr="0041543E" w:rsidRDefault="00385F7D" w:rsidP="00D42FF6">
      <w:pPr>
        <w:pStyle w:val="ListBullet"/>
        <w:numPr>
          <w:ilvl w:val="0"/>
          <w:numId w:val="12"/>
        </w:numPr>
        <w:tabs>
          <w:tab w:val="left" w:pos="426"/>
        </w:tabs>
        <w:spacing w:before="120" w:after="120" w:line="288" w:lineRule="auto"/>
        <w:ind w:left="426" w:right="-1" w:hanging="426"/>
        <w:rPr>
          <w:rFonts w:ascii="Calibri" w:hAnsi="Calibri" w:cs="Calibri"/>
          <w:sz w:val="22"/>
          <w:szCs w:val="22"/>
        </w:rPr>
      </w:pPr>
      <w:r w:rsidRPr="0041543E">
        <w:rPr>
          <w:rFonts w:ascii="Calibri" w:hAnsi="Calibri" w:cs="Calibri"/>
          <w:sz w:val="22"/>
          <w:szCs w:val="22"/>
        </w:rPr>
        <w:t xml:space="preserve">Is the place already under assessment for potential inclusion in the </w:t>
      </w:r>
      <w:r w:rsidR="005A29F9">
        <w:rPr>
          <w:rFonts w:ascii="Calibri" w:hAnsi="Calibri" w:cs="Calibri"/>
          <w:sz w:val="22"/>
          <w:szCs w:val="22"/>
        </w:rPr>
        <w:t>Commonwealth</w:t>
      </w:r>
      <w:r w:rsidRPr="0041543E">
        <w:rPr>
          <w:rFonts w:ascii="Calibri" w:hAnsi="Calibri" w:cs="Calibri"/>
          <w:sz w:val="22"/>
          <w:szCs w:val="22"/>
        </w:rPr>
        <w:t xml:space="preserve"> Heritage List</w:t>
      </w:r>
      <w:r w:rsidR="00250D46" w:rsidRPr="0041543E">
        <w:rPr>
          <w:rFonts w:ascii="Calibri" w:hAnsi="Calibri" w:cs="Calibri"/>
          <w:sz w:val="22"/>
          <w:szCs w:val="22"/>
        </w:rPr>
        <w:t xml:space="preserve">? </w:t>
      </w:r>
      <w:r w:rsidR="00034FC6" w:rsidRPr="0041543E">
        <w:rPr>
          <w:rFonts w:ascii="Calibri" w:hAnsi="Calibri" w:cs="Calibri"/>
          <w:sz w:val="22"/>
          <w:szCs w:val="22"/>
        </w:rPr>
        <w:t xml:space="preserve">Check places on the Finalised Priority Assessment List (FPAL) at </w:t>
      </w:r>
      <w:r w:rsidR="009C56B6" w:rsidRPr="0041543E">
        <w:rPr>
          <w:rStyle w:val="Hyperlink"/>
          <w:rFonts w:ascii="Calibri" w:hAnsi="Calibri" w:cs="Calibri"/>
          <w:sz w:val="22"/>
          <w:szCs w:val="22"/>
        </w:rPr>
        <w:t>www.</w:t>
      </w:r>
      <w:hyperlink r:id="rId13" w:history="1">
        <w:r w:rsidR="00034FC6" w:rsidRPr="00724BD5">
          <w:rPr>
            <w:rStyle w:val="Hyperlink"/>
            <w:rFonts w:ascii="Calibri" w:hAnsi="Calibri" w:cs="Calibri"/>
            <w:sz w:val="22"/>
            <w:szCs w:val="22"/>
          </w:rPr>
          <w:t>awe.gov.au/parks-heritage/heritage/places/priority-assessment</w:t>
        </w:r>
      </w:hyperlink>
      <w:r w:rsidR="00034FC6">
        <w:rPr>
          <w:rFonts w:ascii="Calibri" w:hAnsi="Calibri" w:cs="Calibri"/>
          <w:sz w:val="22"/>
          <w:szCs w:val="22"/>
        </w:rPr>
        <w:t>.</w:t>
      </w:r>
    </w:p>
    <w:p w14:paraId="019E8923" w14:textId="77777777" w:rsidR="001A1D02" w:rsidRPr="0041543E" w:rsidRDefault="00A45D54" w:rsidP="0041543E">
      <w:pPr>
        <w:pStyle w:val="ListBullet"/>
        <w:numPr>
          <w:ilvl w:val="0"/>
          <w:numId w:val="12"/>
        </w:numPr>
        <w:tabs>
          <w:tab w:val="left" w:pos="426"/>
        </w:tabs>
        <w:spacing w:before="120" w:after="120" w:line="288" w:lineRule="auto"/>
        <w:ind w:left="426" w:right="-1" w:hanging="426"/>
        <w:rPr>
          <w:rFonts w:ascii="Calibri" w:hAnsi="Calibri" w:cs="Calibri"/>
          <w:sz w:val="22"/>
          <w:szCs w:val="22"/>
        </w:rPr>
      </w:pPr>
      <w:r w:rsidRPr="0041543E">
        <w:rPr>
          <w:rFonts w:ascii="Calibri" w:hAnsi="Calibri" w:cs="Calibri"/>
          <w:sz w:val="22"/>
          <w:szCs w:val="22"/>
        </w:rPr>
        <w:t>H</w:t>
      </w:r>
      <w:r w:rsidR="00272749" w:rsidRPr="0041543E">
        <w:rPr>
          <w:rFonts w:ascii="Calibri" w:hAnsi="Calibri" w:cs="Calibri"/>
          <w:sz w:val="22"/>
          <w:szCs w:val="22"/>
        </w:rPr>
        <w:t xml:space="preserve">as the place been assessed and found not to have </w:t>
      </w:r>
      <w:r w:rsidR="00055ACA">
        <w:rPr>
          <w:rFonts w:ascii="Calibri" w:hAnsi="Calibri" w:cs="Calibri"/>
          <w:sz w:val="22"/>
          <w:szCs w:val="22"/>
        </w:rPr>
        <w:t>Commonwealth</w:t>
      </w:r>
      <w:r w:rsidR="00272749" w:rsidRPr="0041543E">
        <w:rPr>
          <w:rFonts w:ascii="Calibri" w:hAnsi="Calibri" w:cs="Calibri"/>
          <w:sz w:val="22"/>
          <w:szCs w:val="22"/>
        </w:rPr>
        <w:t xml:space="preserve"> Heritage values? </w:t>
      </w:r>
      <w:r w:rsidR="00B3420C" w:rsidRPr="0041543E">
        <w:rPr>
          <w:rFonts w:ascii="Calibri" w:hAnsi="Calibri" w:cs="Calibri"/>
          <w:sz w:val="22"/>
          <w:szCs w:val="22"/>
        </w:rPr>
        <w:t>S</w:t>
      </w:r>
      <w:r w:rsidR="00272749" w:rsidRPr="0041543E">
        <w:rPr>
          <w:rFonts w:ascii="Calibri" w:hAnsi="Calibri" w:cs="Calibri"/>
          <w:sz w:val="22"/>
          <w:szCs w:val="22"/>
        </w:rPr>
        <w:t>earch for "</w:t>
      </w:r>
      <w:r w:rsidR="00055ACA">
        <w:rPr>
          <w:rFonts w:ascii="Calibri" w:hAnsi="Calibri" w:cs="Calibri"/>
          <w:sz w:val="22"/>
          <w:szCs w:val="22"/>
        </w:rPr>
        <w:t>Commonwealth</w:t>
      </w:r>
      <w:r w:rsidR="00272749" w:rsidRPr="0041543E">
        <w:rPr>
          <w:rFonts w:ascii="Calibri" w:hAnsi="Calibri" w:cs="Calibri"/>
          <w:sz w:val="22"/>
          <w:szCs w:val="22"/>
        </w:rPr>
        <w:t xml:space="preserve"> Heritage List" "Place not included in the </w:t>
      </w:r>
      <w:r w:rsidR="00055ACA">
        <w:rPr>
          <w:rFonts w:ascii="Calibri" w:hAnsi="Calibri" w:cs="Calibri"/>
          <w:sz w:val="22"/>
          <w:szCs w:val="22"/>
        </w:rPr>
        <w:t>C</w:t>
      </w:r>
      <w:r w:rsidR="00272749" w:rsidRPr="0041543E">
        <w:rPr>
          <w:rFonts w:ascii="Calibri" w:hAnsi="Calibri" w:cs="Calibri"/>
          <w:sz w:val="22"/>
          <w:szCs w:val="22"/>
        </w:rPr>
        <w:t>HL"</w:t>
      </w:r>
      <w:r w:rsidR="009C56B6" w:rsidRPr="0041543E">
        <w:rPr>
          <w:rFonts w:ascii="Calibri" w:hAnsi="Calibri" w:cs="Calibri"/>
          <w:sz w:val="22"/>
          <w:szCs w:val="22"/>
        </w:rPr>
        <w:t xml:space="preserve"> in the Australian Heritage Database at</w:t>
      </w:r>
      <w:r w:rsidR="00272749" w:rsidRPr="0041543E">
        <w:rPr>
          <w:rFonts w:ascii="Calibri" w:hAnsi="Calibri" w:cs="Calibri"/>
          <w:sz w:val="22"/>
          <w:szCs w:val="22"/>
        </w:rPr>
        <w:t xml:space="preserve"> </w:t>
      </w:r>
      <w:hyperlink w:history="1">
        <w:r w:rsidR="009C56B6" w:rsidRPr="00724BD5">
          <w:rPr>
            <w:rStyle w:val="Hyperlink"/>
            <w:rFonts w:ascii="Calibri" w:hAnsi="Calibri" w:cs="Calibri"/>
            <w:sz w:val="22"/>
            <w:szCs w:val="22"/>
          </w:rPr>
          <w:t xml:space="preserve"> www.awe.gov.au/parks-heritage/heritage/publications/australian-heritage-database</w:t>
        </w:r>
      </w:hyperlink>
      <w:r w:rsidR="009C56B6">
        <w:rPr>
          <w:rFonts w:ascii="Calibri" w:hAnsi="Calibri" w:cs="Calibri"/>
          <w:sz w:val="22"/>
          <w:szCs w:val="22"/>
        </w:rPr>
        <w:t xml:space="preserve"> </w:t>
      </w:r>
    </w:p>
    <w:p w14:paraId="39FFB03A" w14:textId="77777777" w:rsidR="00D77E01" w:rsidRPr="003631D3" w:rsidRDefault="00A106FA" w:rsidP="0041543E">
      <w:pPr>
        <w:pStyle w:val="ListBullet"/>
        <w:numPr>
          <w:ilvl w:val="0"/>
          <w:numId w:val="12"/>
        </w:numPr>
        <w:tabs>
          <w:tab w:val="left" w:pos="426"/>
        </w:tabs>
        <w:spacing w:before="120" w:after="120" w:line="288" w:lineRule="auto"/>
        <w:ind w:left="426" w:right="-1" w:hanging="426"/>
        <w:rPr>
          <w:rFonts w:ascii="Calibri" w:hAnsi="Calibri" w:cs="Calibri"/>
          <w:sz w:val="22"/>
          <w:szCs w:val="22"/>
        </w:rPr>
      </w:pPr>
      <w:r w:rsidRPr="003631D3">
        <w:rPr>
          <w:rFonts w:ascii="Calibri" w:hAnsi="Calibri" w:cs="Calibri"/>
          <w:sz w:val="22"/>
          <w:szCs w:val="22"/>
        </w:rPr>
        <w:t>Have you consulted and obtained written support of Indigenous people who have rights and interests in the place</w:t>
      </w:r>
      <w:r w:rsidR="00EB5030" w:rsidRPr="003631D3">
        <w:rPr>
          <w:rFonts w:ascii="Calibri" w:hAnsi="Calibri" w:cs="Calibri"/>
          <w:sz w:val="22"/>
          <w:szCs w:val="22"/>
        </w:rPr>
        <w:t>?</w:t>
      </w:r>
      <w:r w:rsidRPr="003631D3">
        <w:rPr>
          <w:rFonts w:ascii="Calibri" w:hAnsi="Calibri" w:cs="Calibri"/>
          <w:sz w:val="22"/>
          <w:szCs w:val="22"/>
        </w:rPr>
        <w:t xml:space="preserve"> Contact </w:t>
      </w:r>
      <w:r w:rsidR="00EB5030" w:rsidRPr="003631D3">
        <w:rPr>
          <w:rFonts w:ascii="Calibri" w:hAnsi="Calibri" w:cs="Calibri"/>
          <w:sz w:val="22"/>
          <w:szCs w:val="22"/>
        </w:rPr>
        <w:t>your local</w:t>
      </w:r>
      <w:r w:rsidRPr="003631D3">
        <w:rPr>
          <w:rFonts w:ascii="Calibri" w:hAnsi="Calibri" w:cs="Calibri"/>
          <w:sz w:val="22"/>
          <w:szCs w:val="22"/>
        </w:rPr>
        <w:t xml:space="preserve"> Native Title Representative Body or local Aboriginal Land Council. </w:t>
      </w:r>
      <w:r w:rsidR="00062B6E" w:rsidRPr="003631D3">
        <w:rPr>
          <w:rFonts w:ascii="Calibri" w:hAnsi="Calibri" w:cs="Calibri"/>
          <w:sz w:val="22"/>
          <w:szCs w:val="22"/>
        </w:rPr>
        <w:t xml:space="preserve">The Australian Heritage Council and the Department place a high value on the engagement of </w:t>
      </w:r>
      <w:r w:rsidR="00C62D5A" w:rsidRPr="003631D3">
        <w:rPr>
          <w:rFonts w:ascii="Calibri" w:hAnsi="Calibri" w:cs="Calibri"/>
          <w:sz w:val="22"/>
          <w:szCs w:val="22"/>
        </w:rPr>
        <w:t>T</w:t>
      </w:r>
      <w:r w:rsidR="00062B6E" w:rsidRPr="003631D3">
        <w:rPr>
          <w:rFonts w:ascii="Calibri" w:hAnsi="Calibri" w:cs="Calibri"/>
          <w:sz w:val="22"/>
          <w:szCs w:val="22"/>
        </w:rPr>
        <w:t xml:space="preserve">raditional </w:t>
      </w:r>
      <w:r w:rsidR="00C62D5A" w:rsidRPr="003631D3">
        <w:rPr>
          <w:rFonts w:ascii="Calibri" w:hAnsi="Calibri" w:cs="Calibri"/>
          <w:sz w:val="22"/>
          <w:szCs w:val="22"/>
        </w:rPr>
        <w:t>O</w:t>
      </w:r>
      <w:r w:rsidR="00062B6E" w:rsidRPr="003631D3">
        <w:rPr>
          <w:rFonts w:ascii="Calibri" w:hAnsi="Calibri" w:cs="Calibri"/>
          <w:sz w:val="22"/>
          <w:szCs w:val="22"/>
        </w:rPr>
        <w:t xml:space="preserve">wners, </w:t>
      </w:r>
      <w:r w:rsidR="00C62D5A" w:rsidRPr="003631D3">
        <w:rPr>
          <w:rFonts w:ascii="Calibri" w:hAnsi="Calibri" w:cs="Calibri"/>
          <w:sz w:val="22"/>
          <w:szCs w:val="22"/>
        </w:rPr>
        <w:t>C</w:t>
      </w:r>
      <w:r w:rsidR="00062B6E" w:rsidRPr="003631D3">
        <w:rPr>
          <w:rFonts w:ascii="Calibri" w:hAnsi="Calibri" w:cs="Calibri"/>
          <w:sz w:val="22"/>
          <w:szCs w:val="22"/>
        </w:rPr>
        <w:t>ustodians and Aboriginal</w:t>
      </w:r>
      <w:r w:rsidR="00064A30" w:rsidRPr="003631D3">
        <w:rPr>
          <w:rFonts w:ascii="Calibri" w:hAnsi="Calibri" w:cs="Calibri"/>
          <w:sz w:val="22"/>
          <w:szCs w:val="22"/>
        </w:rPr>
        <w:t xml:space="preserve"> and/or Torres St</w:t>
      </w:r>
      <w:r w:rsidR="00C62D5A" w:rsidRPr="003631D3">
        <w:rPr>
          <w:rFonts w:ascii="Calibri" w:hAnsi="Calibri" w:cs="Calibri"/>
          <w:sz w:val="22"/>
          <w:szCs w:val="22"/>
        </w:rPr>
        <w:t>r</w:t>
      </w:r>
      <w:r w:rsidR="00064A30" w:rsidRPr="003631D3">
        <w:rPr>
          <w:rFonts w:ascii="Calibri" w:hAnsi="Calibri" w:cs="Calibri"/>
          <w:sz w:val="22"/>
          <w:szCs w:val="22"/>
        </w:rPr>
        <w:t>ait Islander</w:t>
      </w:r>
      <w:r w:rsidR="00062B6E" w:rsidRPr="003631D3">
        <w:rPr>
          <w:rFonts w:ascii="Calibri" w:hAnsi="Calibri" w:cs="Calibri"/>
          <w:sz w:val="22"/>
          <w:szCs w:val="22"/>
        </w:rPr>
        <w:t xml:space="preserve"> people with rights or interests in </w:t>
      </w:r>
      <w:r w:rsidR="005A29F9" w:rsidRPr="003631D3">
        <w:rPr>
          <w:rFonts w:ascii="Calibri" w:hAnsi="Calibri" w:cs="Calibri"/>
          <w:sz w:val="22"/>
          <w:szCs w:val="22"/>
        </w:rPr>
        <w:t xml:space="preserve">Commonwealth </w:t>
      </w:r>
      <w:r w:rsidR="00062B6E" w:rsidRPr="003631D3">
        <w:rPr>
          <w:rFonts w:ascii="Calibri" w:hAnsi="Calibri" w:cs="Calibri"/>
          <w:sz w:val="22"/>
          <w:szCs w:val="22"/>
        </w:rPr>
        <w:t>Heritage listing.</w:t>
      </w:r>
    </w:p>
    <w:p w14:paraId="21186780" w14:textId="77777777" w:rsidR="00973ECD" w:rsidRPr="0041543E" w:rsidRDefault="00973ECD" w:rsidP="00D42FF6">
      <w:pPr>
        <w:pStyle w:val="ListBullet"/>
        <w:numPr>
          <w:ilvl w:val="0"/>
          <w:numId w:val="0"/>
        </w:numPr>
        <w:tabs>
          <w:tab w:val="left" w:pos="4253"/>
          <w:tab w:val="left" w:pos="5387"/>
        </w:tabs>
        <w:spacing w:after="120" w:line="288" w:lineRule="auto"/>
        <w:ind w:right="-1"/>
        <w:rPr>
          <w:rFonts w:ascii="Calibri" w:hAnsi="Calibri" w:cs="Calibri"/>
          <w:bCs/>
          <w:sz w:val="22"/>
          <w:szCs w:val="22"/>
        </w:rPr>
      </w:pPr>
    </w:p>
    <w:p w14:paraId="40475658" w14:textId="77777777" w:rsidR="001661C4" w:rsidRPr="0041543E" w:rsidRDefault="001661C4" w:rsidP="0041543E">
      <w:pPr>
        <w:pStyle w:val="Heading6"/>
        <w:shd w:val="clear" w:color="auto" w:fill="D9D9D9"/>
        <w:tabs>
          <w:tab w:val="left" w:pos="4253"/>
          <w:tab w:val="left" w:pos="5387"/>
          <w:tab w:val="left" w:pos="8789"/>
        </w:tabs>
        <w:spacing w:after="120" w:line="288" w:lineRule="auto"/>
        <w:ind w:left="0" w:right="-1"/>
        <w:rPr>
          <w:rFonts w:ascii="Calibri" w:hAnsi="Calibri" w:cs="Calibri"/>
          <w:sz w:val="24"/>
        </w:rPr>
      </w:pPr>
      <w:r w:rsidRPr="0041543E">
        <w:rPr>
          <w:rFonts w:ascii="Calibri" w:hAnsi="Calibri" w:cs="Calibri"/>
          <w:sz w:val="24"/>
        </w:rPr>
        <w:t xml:space="preserve">Supporting </w:t>
      </w:r>
      <w:r w:rsidR="00FA0675" w:rsidRPr="00FA0675">
        <w:rPr>
          <w:rFonts w:ascii="Calibri" w:hAnsi="Calibri" w:cs="Calibri"/>
          <w:sz w:val="24"/>
        </w:rPr>
        <w:t>documentation</w:t>
      </w:r>
    </w:p>
    <w:p w14:paraId="0BC83454" w14:textId="77777777" w:rsidR="001661C4" w:rsidRPr="0041543E" w:rsidRDefault="001661C4" w:rsidP="00E01735">
      <w:pPr>
        <w:tabs>
          <w:tab w:val="left" w:pos="4253"/>
          <w:tab w:val="left" w:pos="5387"/>
          <w:tab w:val="left" w:pos="5760"/>
        </w:tabs>
        <w:spacing w:after="120" w:line="288" w:lineRule="auto"/>
        <w:ind w:right="-1"/>
        <w:rPr>
          <w:rFonts w:ascii="Calibri" w:hAnsi="Calibri" w:cs="Calibri"/>
          <w:sz w:val="22"/>
          <w:szCs w:val="22"/>
        </w:rPr>
      </w:pPr>
      <w:r w:rsidRPr="00E01735">
        <w:rPr>
          <w:rFonts w:ascii="Calibri" w:hAnsi="Calibri" w:cs="Calibri"/>
          <w:sz w:val="22"/>
          <w:szCs w:val="22"/>
        </w:rPr>
        <w:t>Attach</w:t>
      </w:r>
      <w:r w:rsidRPr="0041543E">
        <w:rPr>
          <w:rFonts w:ascii="Calibri" w:hAnsi="Calibri" w:cs="Calibri"/>
          <w:bCs/>
          <w:sz w:val="22"/>
          <w:szCs w:val="22"/>
        </w:rPr>
        <w:t xml:space="preserve"> additional pages if there is insufficient space on the form. When adding extra materials, such as maps, clearly mark the questions they apply to. Nominations and supporting material will not be returned, so you may prefer to send copies rather than originals.</w:t>
      </w:r>
      <w:r w:rsidRPr="0041543E">
        <w:rPr>
          <w:rFonts w:ascii="Calibri" w:hAnsi="Calibri" w:cs="Calibri"/>
          <w:sz w:val="22"/>
          <w:szCs w:val="22"/>
        </w:rPr>
        <w:t xml:space="preserve"> </w:t>
      </w:r>
    </w:p>
    <w:p w14:paraId="1A8C4380" w14:textId="77777777" w:rsidR="00A45D54" w:rsidRPr="00FA0675" w:rsidRDefault="00A45D54" w:rsidP="0041543E">
      <w:pPr>
        <w:pStyle w:val="Heading6"/>
        <w:shd w:val="clear" w:color="auto" w:fill="D9D9D9"/>
        <w:tabs>
          <w:tab w:val="left" w:pos="4253"/>
          <w:tab w:val="left" w:pos="5387"/>
          <w:tab w:val="left" w:pos="8789"/>
        </w:tabs>
        <w:spacing w:after="120" w:line="288" w:lineRule="auto"/>
        <w:ind w:left="0" w:right="-1"/>
        <w:rPr>
          <w:rFonts w:ascii="Calibri" w:hAnsi="Calibri" w:cs="Calibri"/>
          <w:sz w:val="24"/>
        </w:rPr>
      </w:pPr>
      <w:r w:rsidRPr="00FA0675">
        <w:rPr>
          <w:rFonts w:ascii="Calibri" w:hAnsi="Calibri" w:cs="Calibri"/>
          <w:sz w:val="24"/>
        </w:rPr>
        <w:lastRenderedPageBreak/>
        <w:t xml:space="preserve">Further </w:t>
      </w:r>
      <w:r w:rsidR="007A10A5" w:rsidRPr="00FA0675">
        <w:rPr>
          <w:rFonts w:ascii="Calibri" w:hAnsi="Calibri" w:cs="Calibri"/>
          <w:sz w:val="24"/>
        </w:rPr>
        <w:t>i</w:t>
      </w:r>
      <w:r w:rsidRPr="00FA0675">
        <w:rPr>
          <w:rFonts w:ascii="Calibri" w:hAnsi="Calibri" w:cs="Calibri"/>
          <w:sz w:val="24"/>
        </w:rPr>
        <w:t>nformation</w:t>
      </w:r>
    </w:p>
    <w:p w14:paraId="120635D5" w14:textId="77777777" w:rsidR="001A1D02" w:rsidRPr="0041543E" w:rsidRDefault="0058147B" w:rsidP="001A1D02">
      <w:pPr>
        <w:pStyle w:val="ListBullet"/>
        <w:numPr>
          <w:ilvl w:val="0"/>
          <w:numId w:val="12"/>
        </w:numPr>
        <w:tabs>
          <w:tab w:val="left" w:pos="426"/>
        </w:tabs>
        <w:spacing w:before="120" w:after="120" w:line="288" w:lineRule="auto"/>
        <w:ind w:left="426" w:right="-1" w:hanging="426"/>
        <w:rPr>
          <w:rStyle w:val="Hyperlink"/>
          <w:rFonts w:ascii="Calibri" w:hAnsi="Calibri" w:cs="Calibri"/>
          <w:bCs/>
          <w:color w:val="auto"/>
          <w:sz w:val="22"/>
          <w:szCs w:val="22"/>
          <w:u w:val="none"/>
        </w:rPr>
      </w:pPr>
      <w:r w:rsidRPr="0041543E">
        <w:rPr>
          <w:rFonts w:ascii="Calibri" w:hAnsi="Calibri" w:cs="Calibri"/>
          <w:sz w:val="22"/>
          <w:szCs w:val="22"/>
        </w:rPr>
        <w:t>State and</w:t>
      </w:r>
      <w:r w:rsidR="00A45D54" w:rsidRPr="0041543E">
        <w:rPr>
          <w:rFonts w:ascii="Calibri" w:hAnsi="Calibri" w:cs="Calibri"/>
          <w:sz w:val="22"/>
          <w:szCs w:val="22"/>
        </w:rPr>
        <w:t xml:space="preserve"> Territory heritage agencies: </w:t>
      </w:r>
      <w:r w:rsidR="006E2817" w:rsidRPr="006E2817">
        <w:rPr>
          <w:rStyle w:val="Hyperlink"/>
          <w:rFonts w:ascii="Calibri" w:hAnsi="Calibri" w:cs="Calibri"/>
          <w:sz w:val="22"/>
          <w:szCs w:val="22"/>
        </w:rPr>
        <w:t>www.awe.gov.au/parks-heritage/heritage/organisations</w:t>
      </w:r>
    </w:p>
    <w:p w14:paraId="134BE5ED" w14:textId="77777777" w:rsidR="00771F15" w:rsidRPr="0041543E" w:rsidRDefault="00A45D54" w:rsidP="001A1D02">
      <w:pPr>
        <w:pStyle w:val="ListBullet"/>
        <w:numPr>
          <w:ilvl w:val="0"/>
          <w:numId w:val="12"/>
        </w:numPr>
        <w:tabs>
          <w:tab w:val="left" w:pos="426"/>
        </w:tabs>
        <w:spacing w:before="120" w:after="120" w:line="288" w:lineRule="auto"/>
        <w:ind w:left="426" w:right="-1" w:hanging="426"/>
        <w:rPr>
          <w:rFonts w:ascii="Calibri" w:hAnsi="Calibri" w:cs="Calibri"/>
          <w:bCs/>
          <w:sz w:val="22"/>
          <w:szCs w:val="22"/>
        </w:rPr>
      </w:pPr>
      <w:r w:rsidRPr="0041543E">
        <w:rPr>
          <w:rFonts w:ascii="Calibri" w:hAnsi="Calibri" w:cs="Calibri"/>
          <w:bCs/>
          <w:sz w:val="22"/>
          <w:szCs w:val="22"/>
        </w:rPr>
        <w:t>Nomination process</w:t>
      </w:r>
      <w:r w:rsidRPr="0041543E">
        <w:rPr>
          <w:rFonts w:ascii="Calibri" w:hAnsi="Calibri" w:cs="Calibri"/>
          <w:sz w:val="22"/>
          <w:szCs w:val="22"/>
        </w:rPr>
        <w:t xml:space="preserve">: </w:t>
      </w:r>
      <w:hyperlink r:id="rId14" w:history="1">
        <w:r w:rsidR="006E2817" w:rsidRPr="00724BD5">
          <w:rPr>
            <w:rStyle w:val="Hyperlink"/>
            <w:rFonts w:ascii="Calibri" w:hAnsi="Calibri" w:cs="Calibri"/>
            <w:sz w:val="22"/>
            <w:szCs w:val="22"/>
          </w:rPr>
          <w:t>www.awe.gov.au/parks-heritage/heritage/places/nominating-heritage-place</w:t>
        </w:r>
      </w:hyperlink>
      <w:r w:rsidR="006E2817">
        <w:rPr>
          <w:rFonts w:ascii="Calibri" w:hAnsi="Calibri" w:cs="Calibri"/>
          <w:sz w:val="22"/>
          <w:szCs w:val="22"/>
        </w:rPr>
        <w:t xml:space="preserve"> </w:t>
      </w:r>
    </w:p>
    <w:p w14:paraId="61C07BC1" w14:textId="77777777" w:rsidR="00771F15" w:rsidRPr="0041543E" w:rsidRDefault="00771F15" w:rsidP="001A1D02">
      <w:pPr>
        <w:pStyle w:val="ListBullet"/>
        <w:numPr>
          <w:ilvl w:val="0"/>
          <w:numId w:val="12"/>
        </w:numPr>
        <w:tabs>
          <w:tab w:val="left" w:pos="426"/>
        </w:tabs>
        <w:spacing w:before="120" w:after="120" w:line="288" w:lineRule="auto"/>
        <w:ind w:left="426" w:right="-1" w:hanging="426"/>
        <w:rPr>
          <w:rFonts w:ascii="Calibri" w:hAnsi="Calibri" w:cs="Calibri"/>
          <w:sz w:val="22"/>
          <w:szCs w:val="22"/>
        </w:rPr>
      </w:pPr>
      <w:r w:rsidRPr="0041543E">
        <w:rPr>
          <w:rFonts w:ascii="Calibri" w:hAnsi="Calibri" w:cs="Calibri"/>
          <w:sz w:val="22"/>
          <w:szCs w:val="22"/>
        </w:rPr>
        <w:t xml:space="preserve">Native title holders and claimants can be contacted via the </w:t>
      </w:r>
      <w:r w:rsidR="00C62D5A" w:rsidRPr="0041543E">
        <w:rPr>
          <w:rFonts w:ascii="Calibri" w:hAnsi="Calibri" w:cs="Calibri"/>
          <w:sz w:val="22"/>
          <w:szCs w:val="22"/>
        </w:rPr>
        <w:t>R</w:t>
      </w:r>
      <w:r w:rsidRPr="0041543E">
        <w:rPr>
          <w:rFonts w:ascii="Calibri" w:hAnsi="Calibri" w:cs="Calibri"/>
          <w:sz w:val="22"/>
          <w:szCs w:val="22"/>
        </w:rPr>
        <w:t xml:space="preserve">epresentative </w:t>
      </w:r>
      <w:r w:rsidR="00C62D5A" w:rsidRPr="0041543E">
        <w:rPr>
          <w:rFonts w:ascii="Calibri" w:hAnsi="Calibri" w:cs="Calibri"/>
          <w:sz w:val="22"/>
          <w:szCs w:val="22"/>
        </w:rPr>
        <w:t>N</w:t>
      </w:r>
      <w:r w:rsidRPr="0041543E">
        <w:rPr>
          <w:rFonts w:ascii="Calibri" w:hAnsi="Calibri" w:cs="Calibri"/>
          <w:sz w:val="22"/>
          <w:szCs w:val="22"/>
        </w:rPr>
        <w:t xml:space="preserve">ative </w:t>
      </w:r>
      <w:r w:rsidR="00C62D5A" w:rsidRPr="0041543E">
        <w:rPr>
          <w:rFonts w:ascii="Calibri" w:hAnsi="Calibri" w:cs="Calibri"/>
          <w:sz w:val="22"/>
          <w:szCs w:val="22"/>
        </w:rPr>
        <w:t>T</w:t>
      </w:r>
      <w:r w:rsidRPr="0041543E">
        <w:rPr>
          <w:rFonts w:ascii="Calibri" w:hAnsi="Calibri" w:cs="Calibri"/>
          <w:sz w:val="22"/>
          <w:szCs w:val="22"/>
        </w:rPr>
        <w:t xml:space="preserve">itle </w:t>
      </w:r>
      <w:r w:rsidR="00C62D5A" w:rsidRPr="0041543E">
        <w:rPr>
          <w:rFonts w:ascii="Calibri" w:hAnsi="Calibri" w:cs="Calibri"/>
          <w:sz w:val="22"/>
          <w:szCs w:val="22"/>
        </w:rPr>
        <w:t>B</w:t>
      </w:r>
      <w:r w:rsidRPr="0041543E">
        <w:rPr>
          <w:rFonts w:ascii="Calibri" w:hAnsi="Calibri" w:cs="Calibri"/>
          <w:sz w:val="22"/>
          <w:szCs w:val="22"/>
        </w:rPr>
        <w:t xml:space="preserve">ody, such as a </w:t>
      </w:r>
      <w:r w:rsidR="00C62D5A" w:rsidRPr="0041543E">
        <w:rPr>
          <w:rFonts w:ascii="Calibri" w:hAnsi="Calibri" w:cs="Calibri"/>
          <w:sz w:val="22"/>
          <w:szCs w:val="22"/>
        </w:rPr>
        <w:t>L</w:t>
      </w:r>
      <w:r w:rsidRPr="0041543E">
        <w:rPr>
          <w:rFonts w:ascii="Calibri" w:hAnsi="Calibri" w:cs="Calibri"/>
          <w:sz w:val="22"/>
          <w:szCs w:val="22"/>
        </w:rPr>
        <w:t xml:space="preserve">and </w:t>
      </w:r>
      <w:r w:rsidR="00C62D5A" w:rsidRPr="0041543E">
        <w:rPr>
          <w:rFonts w:ascii="Calibri" w:hAnsi="Calibri" w:cs="Calibri"/>
          <w:sz w:val="22"/>
          <w:szCs w:val="22"/>
        </w:rPr>
        <w:t>C</w:t>
      </w:r>
      <w:r w:rsidRPr="0041543E">
        <w:rPr>
          <w:rFonts w:ascii="Calibri" w:hAnsi="Calibri" w:cs="Calibri"/>
          <w:sz w:val="22"/>
          <w:szCs w:val="22"/>
        </w:rPr>
        <w:t xml:space="preserve">ouncil or </w:t>
      </w:r>
      <w:r w:rsidR="00C62D5A" w:rsidRPr="0041543E">
        <w:rPr>
          <w:rFonts w:ascii="Calibri" w:hAnsi="Calibri" w:cs="Calibri"/>
          <w:sz w:val="22"/>
          <w:szCs w:val="22"/>
        </w:rPr>
        <w:t>S</w:t>
      </w:r>
      <w:r w:rsidRPr="0041543E">
        <w:rPr>
          <w:rFonts w:ascii="Calibri" w:hAnsi="Calibri" w:cs="Calibri"/>
          <w:sz w:val="22"/>
          <w:szCs w:val="22"/>
        </w:rPr>
        <w:t xml:space="preserve">ervice </w:t>
      </w:r>
      <w:r w:rsidR="00C62D5A" w:rsidRPr="0041543E">
        <w:rPr>
          <w:rFonts w:ascii="Calibri" w:hAnsi="Calibri" w:cs="Calibri"/>
          <w:sz w:val="22"/>
          <w:szCs w:val="22"/>
        </w:rPr>
        <w:t>P</w:t>
      </w:r>
      <w:r w:rsidRPr="0041543E">
        <w:rPr>
          <w:rFonts w:ascii="Calibri" w:hAnsi="Calibri" w:cs="Calibri"/>
          <w:sz w:val="22"/>
          <w:szCs w:val="22"/>
        </w:rPr>
        <w:t>rovider</w:t>
      </w:r>
      <w:r w:rsidR="0047108C" w:rsidRPr="0041543E">
        <w:rPr>
          <w:rFonts w:ascii="Calibri" w:hAnsi="Calibri" w:cs="Calibri"/>
          <w:sz w:val="22"/>
          <w:szCs w:val="22"/>
        </w:rPr>
        <w:t xml:space="preserve"> </w:t>
      </w:r>
      <w:hyperlink r:id="rId15" w:history="1">
        <w:r w:rsidR="005276D6" w:rsidRPr="0041543E">
          <w:rPr>
            <w:rStyle w:val="Hyperlink"/>
            <w:rFonts w:ascii="Calibri" w:hAnsi="Calibri" w:cs="Calibri"/>
            <w:sz w:val="22"/>
            <w:szCs w:val="22"/>
          </w:rPr>
          <w:t>https://nativet</w:t>
        </w:r>
        <w:r w:rsidR="005276D6" w:rsidRPr="0041543E">
          <w:rPr>
            <w:rStyle w:val="Hyperlink"/>
            <w:rFonts w:ascii="Calibri" w:hAnsi="Calibri" w:cs="Calibri"/>
            <w:sz w:val="22"/>
            <w:szCs w:val="22"/>
          </w:rPr>
          <w:t>i</w:t>
        </w:r>
        <w:r w:rsidR="005276D6" w:rsidRPr="0041543E">
          <w:rPr>
            <w:rStyle w:val="Hyperlink"/>
            <w:rFonts w:ascii="Calibri" w:hAnsi="Calibri" w:cs="Calibri"/>
            <w:sz w:val="22"/>
            <w:szCs w:val="22"/>
          </w:rPr>
          <w:t>tle.</w:t>
        </w:r>
        <w:r w:rsidR="005276D6" w:rsidRPr="0041543E">
          <w:rPr>
            <w:rStyle w:val="Hyperlink"/>
            <w:rFonts w:ascii="Calibri" w:hAnsi="Calibri" w:cs="Calibri"/>
            <w:sz w:val="22"/>
            <w:szCs w:val="22"/>
          </w:rPr>
          <w:t>o</w:t>
        </w:r>
        <w:r w:rsidR="005276D6" w:rsidRPr="0041543E">
          <w:rPr>
            <w:rStyle w:val="Hyperlink"/>
            <w:rFonts w:ascii="Calibri" w:hAnsi="Calibri" w:cs="Calibri"/>
            <w:sz w:val="22"/>
            <w:szCs w:val="22"/>
          </w:rPr>
          <w:t>rg.au/find/pbc</w:t>
        </w:r>
      </w:hyperlink>
    </w:p>
    <w:p w14:paraId="30587FF8" w14:textId="77777777" w:rsidR="00771F15" w:rsidRPr="0041543E" w:rsidRDefault="00771F15" w:rsidP="001A1D02">
      <w:pPr>
        <w:pStyle w:val="ListBullet"/>
        <w:numPr>
          <w:ilvl w:val="0"/>
          <w:numId w:val="12"/>
        </w:numPr>
        <w:tabs>
          <w:tab w:val="left" w:pos="426"/>
        </w:tabs>
        <w:spacing w:before="120" w:after="120" w:line="288" w:lineRule="auto"/>
        <w:ind w:left="426" w:right="-1" w:hanging="426"/>
        <w:rPr>
          <w:rFonts w:ascii="Calibri" w:hAnsi="Calibri" w:cs="Calibri"/>
          <w:sz w:val="22"/>
          <w:szCs w:val="22"/>
        </w:rPr>
      </w:pPr>
      <w:r w:rsidRPr="0041543E">
        <w:rPr>
          <w:rFonts w:ascii="Calibri" w:hAnsi="Calibri" w:cs="Calibri"/>
          <w:sz w:val="22"/>
          <w:szCs w:val="22"/>
        </w:rPr>
        <w:t xml:space="preserve">State land rights regimes across Australia and the statutory land ownership system under the </w:t>
      </w:r>
      <w:r w:rsidRPr="0041543E">
        <w:rPr>
          <w:rFonts w:ascii="Calibri" w:hAnsi="Calibri" w:cs="Calibri"/>
          <w:i/>
          <w:iCs/>
          <w:sz w:val="22"/>
          <w:szCs w:val="22"/>
        </w:rPr>
        <w:t>Aboriginal Land Rights (Northern Territory) Act 1976</w:t>
      </w:r>
      <w:r w:rsidR="006E2817" w:rsidRPr="0041543E">
        <w:rPr>
          <w:rFonts w:ascii="Calibri" w:hAnsi="Calibri" w:cs="Calibri"/>
          <w:i/>
          <w:iCs/>
          <w:sz w:val="22"/>
          <w:szCs w:val="22"/>
        </w:rPr>
        <w:t xml:space="preserve"> </w:t>
      </w:r>
      <w:hyperlink r:id="rId16" w:history="1">
        <w:r w:rsidR="006E2817" w:rsidRPr="00724BD5">
          <w:rPr>
            <w:rStyle w:val="Hyperlink"/>
            <w:rFonts w:ascii="Calibri" w:hAnsi="Calibri" w:cs="Calibri"/>
            <w:i/>
            <w:iCs/>
            <w:sz w:val="22"/>
            <w:szCs w:val="22"/>
          </w:rPr>
          <w:t>www.legislation.gov.au/Details/C2016C00111</w:t>
        </w:r>
      </w:hyperlink>
      <w:r w:rsidR="006E2817">
        <w:rPr>
          <w:rFonts w:ascii="Calibri" w:hAnsi="Calibri" w:cs="Calibri"/>
          <w:i/>
          <w:iCs/>
          <w:sz w:val="22"/>
          <w:szCs w:val="22"/>
        </w:rPr>
        <w:t xml:space="preserve">. </w:t>
      </w:r>
    </w:p>
    <w:p w14:paraId="4E32134D" w14:textId="77777777" w:rsidR="00AD0095" w:rsidRPr="002B7548" w:rsidRDefault="00AD0095" w:rsidP="001A1D02">
      <w:pPr>
        <w:pStyle w:val="ListBullet"/>
        <w:numPr>
          <w:ilvl w:val="0"/>
          <w:numId w:val="12"/>
        </w:numPr>
        <w:tabs>
          <w:tab w:val="left" w:pos="426"/>
        </w:tabs>
        <w:spacing w:before="120" w:after="120" w:line="288" w:lineRule="auto"/>
        <w:ind w:left="426" w:right="-1" w:hanging="426"/>
        <w:rPr>
          <w:rFonts w:ascii="Calibri" w:hAnsi="Calibri" w:cs="Calibri"/>
          <w:color w:val="000000"/>
          <w:sz w:val="22"/>
          <w:szCs w:val="22"/>
          <w:lang w:eastAsia="en-AU"/>
        </w:rPr>
      </w:pPr>
      <w:r w:rsidRPr="0041543E">
        <w:rPr>
          <w:rFonts w:ascii="Calibri" w:hAnsi="Calibri" w:cs="Calibri"/>
          <w:i/>
          <w:sz w:val="22"/>
          <w:szCs w:val="22"/>
        </w:rPr>
        <w:t>Engage early – guidance for proponents on best practice Indigenous engagement for environmental assessments under the Environment Protection and Biodiversity Conservation Act 1999 (EPBC Act)</w:t>
      </w:r>
      <w:r w:rsidR="00771F15" w:rsidRPr="0041543E">
        <w:rPr>
          <w:rFonts w:ascii="Calibri" w:hAnsi="Calibri" w:cs="Calibri"/>
          <w:sz w:val="22"/>
          <w:szCs w:val="22"/>
        </w:rPr>
        <w:t>: a guide to respecting Indigenous heritage places and values</w:t>
      </w:r>
      <w:r w:rsidR="009305C2" w:rsidRPr="0041543E">
        <w:rPr>
          <w:rFonts w:ascii="Calibri" w:hAnsi="Calibri" w:cs="Calibri"/>
          <w:sz w:val="22"/>
          <w:szCs w:val="22"/>
          <w:lang w:val="en"/>
        </w:rPr>
        <w:t xml:space="preserve">  </w:t>
      </w:r>
      <w:hyperlink r:id="rId17" w:history="1">
        <w:r w:rsidR="006E2817" w:rsidRPr="002B7548">
          <w:rPr>
            <w:rStyle w:val="Hyperlink"/>
            <w:rFonts w:ascii="Calibri" w:hAnsi="Calibri" w:cs="Calibri"/>
            <w:sz w:val="22"/>
            <w:szCs w:val="22"/>
            <w:lang w:val="en"/>
          </w:rPr>
          <w:t>www.awe.gov.au/sites/default/files/documents/engage-early-indigenous-engagement-guidelines.pdf</w:t>
        </w:r>
      </w:hyperlink>
      <w:r w:rsidR="006E2817" w:rsidRPr="002B7548">
        <w:rPr>
          <w:rFonts w:ascii="Calibri" w:hAnsi="Calibri" w:cs="Calibri"/>
          <w:sz w:val="22"/>
          <w:szCs w:val="22"/>
          <w:lang w:val="en"/>
        </w:rPr>
        <w:t xml:space="preserve">. </w:t>
      </w:r>
    </w:p>
    <w:p w14:paraId="721B5260" w14:textId="77777777" w:rsidR="00A62EB7" w:rsidRPr="002B7548" w:rsidRDefault="00A62EB7" w:rsidP="001A1D02">
      <w:pPr>
        <w:pStyle w:val="ListBullet"/>
        <w:numPr>
          <w:ilvl w:val="0"/>
          <w:numId w:val="12"/>
        </w:numPr>
        <w:tabs>
          <w:tab w:val="left" w:pos="426"/>
        </w:tabs>
        <w:spacing w:before="120" w:after="120" w:line="288" w:lineRule="auto"/>
        <w:ind w:left="426" w:right="-1" w:hanging="426"/>
        <w:rPr>
          <w:rFonts w:ascii="Calibri" w:hAnsi="Calibri" w:cs="Calibri"/>
          <w:sz w:val="22"/>
          <w:szCs w:val="22"/>
        </w:rPr>
      </w:pPr>
      <w:r w:rsidRPr="002B7548">
        <w:rPr>
          <w:rFonts w:ascii="Calibri" w:hAnsi="Calibri" w:cs="Calibri"/>
          <w:i/>
          <w:iCs/>
          <w:sz w:val="22"/>
          <w:szCs w:val="22"/>
        </w:rPr>
        <w:t>Dhawura Ngilan: a vision for Aboriginal and Torres Strait Islander heritage in Australia</w:t>
      </w:r>
      <w:r w:rsidRPr="002B7548">
        <w:rPr>
          <w:rFonts w:ascii="Calibri" w:hAnsi="Calibri" w:cs="Calibri"/>
          <w:sz w:val="22"/>
          <w:szCs w:val="22"/>
        </w:rPr>
        <w:t xml:space="preserve"> and the </w:t>
      </w:r>
      <w:r w:rsidRPr="002B7548">
        <w:rPr>
          <w:rFonts w:ascii="Calibri" w:hAnsi="Calibri" w:cs="Calibri"/>
          <w:i/>
          <w:iCs/>
          <w:sz w:val="22"/>
          <w:szCs w:val="22"/>
        </w:rPr>
        <w:t>Best Practice Standards in Indigenous cultural heritage management and legislation</w:t>
      </w:r>
      <w:r w:rsidRPr="002B7548">
        <w:rPr>
          <w:rFonts w:ascii="Calibri" w:hAnsi="Calibri" w:cs="Calibri"/>
          <w:sz w:val="22"/>
          <w:szCs w:val="22"/>
        </w:rPr>
        <w:t xml:space="preserve">: </w:t>
      </w:r>
      <w:hyperlink r:id="rId18" w:history="1">
        <w:r w:rsidR="006E2817" w:rsidRPr="002B7548">
          <w:rPr>
            <w:rStyle w:val="Hyperlink"/>
            <w:rFonts w:ascii="Calibri" w:hAnsi="Calibri" w:cs="Calibri"/>
            <w:sz w:val="22"/>
            <w:szCs w:val="22"/>
          </w:rPr>
          <w:t>www.awe.gov.au/parks-heritage/heritage/publications/dhawura-ngilan-vision-atsi-heritage</w:t>
        </w:r>
      </w:hyperlink>
      <w:r w:rsidR="00055ACA" w:rsidRPr="002B7548">
        <w:rPr>
          <w:rFonts w:ascii="Calibri" w:hAnsi="Calibri" w:cs="Calibri"/>
          <w:sz w:val="22"/>
          <w:szCs w:val="22"/>
        </w:rPr>
        <w:t>.</w:t>
      </w:r>
    </w:p>
    <w:p w14:paraId="1D34322D" w14:textId="77777777" w:rsidR="00055ACA" w:rsidRPr="002B7548" w:rsidRDefault="00055ACA" w:rsidP="00055ACA">
      <w:pPr>
        <w:pStyle w:val="ListBullet"/>
        <w:numPr>
          <w:ilvl w:val="0"/>
          <w:numId w:val="12"/>
        </w:numPr>
        <w:tabs>
          <w:tab w:val="left" w:pos="426"/>
        </w:tabs>
        <w:spacing w:before="120" w:after="120" w:line="288" w:lineRule="auto"/>
        <w:ind w:left="426" w:right="-1" w:hanging="426"/>
        <w:rPr>
          <w:rFonts w:ascii="Calibri" w:hAnsi="Calibri" w:cs="Calibri"/>
          <w:sz w:val="22"/>
          <w:szCs w:val="22"/>
        </w:rPr>
      </w:pPr>
      <w:r w:rsidRPr="002B7548">
        <w:rPr>
          <w:rFonts w:ascii="Calibri" w:hAnsi="Calibri" w:cs="Calibri"/>
          <w:i/>
          <w:iCs/>
          <w:sz w:val="22"/>
          <w:szCs w:val="22"/>
        </w:rPr>
        <w:t xml:space="preserve">Working together: </w:t>
      </w:r>
      <w:bookmarkStart w:id="0" w:name="_Hlk57628239"/>
      <w:r w:rsidRPr="002B7548">
        <w:rPr>
          <w:rFonts w:ascii="Calibri" w:hAnsi="Calibri" w:cs="Calibri"/>
          <w:i/>
          <w:iCs/>
          <w:sz w:val="22"/>
          <w:szCs w:val="22"/>
        </w:rPr>
        <w:t>Managing</w:t>
      </w:r>
      <w:bookmarkEnd w:id="0"/>
      <w:r w:rsidRPr="002B7548">
        <w:rPr>
          <w:rFonts w:ascii="Calibri" w:hAnsi="Calibri" w:cs="Calibri"/>
          <w:i/>
          <w:iCs/>
          <w:sz w:val="22"/>
          <w:szCs w:val="22"/>
        </w:rPr>
        <w:t xml:space="preserve"> Commonwealth Heritage Places </w:t>
      </w:r>
      <w:hyperlink r:id="rId19" w:history="1">
        <w:r w:rsidRPr="002B7548">
          <w:rPr>
            <w:rStyle w:val="Hyperlink"/>
            <w:rFonts w:ascii="Calibri" w:hAnsi="Calibri" w:cs="Calibri"/>
            <w:sz w:val="22"/>
            <w:szCs w:val="22"/>
          </w:rPr>
          <w:t>www.awe.gov.au/parks-heritage/heritage/publications/working-together-managing-commonwealth-heritage-places</w:t>
        </w:r>
      </w:hyperlink>
      <w:r w:rsidRPr="002B7548">
        <w:rPr>
          <w:rFonts w:ascii="Calibri" w:hAnsi="Calibri" w:cs="Calibri"/>
          <w:sz w:val="22"/>
          <w:szCs w:val="22"/>
        </w:rPr>
        <w:t xml:space="preserve">. </w:t>
      </w:r>
    </w:p>
    <w:p w14:paraId="7675A137" w14:textId="77777777" w:rsidR="00055ACA" w:rsidRPr="0041543E" w:rsidRDefault="00055ACA" w:rsidP="00055ACA">
      <w:pPr>
        <w:pStyle w:val="ListBullet"/>
        <w:numPr>
          <w:ilvl w:val="0"/>
          <w:numId w:val="0"/>
        </w:numPr>
        <w:tabs>
          <w:tab w:val="left" w:pos="426"/>
        </w:tabs>
        <w:spacing w:before="120" w:after="120" w:line="288" w:lineRule="auto"/>
        <w:ind w:right="-1"/>
        <w:rPr>
          <w:rFonts w:ascii="Calibri" w:hAnsi="Calibri" w:cs="Calibri"/>
          <w:sz w:val="22"/>
          <w:szCs w:val="22"/>
        </w:rPr>
      </w:pPr>
    </w:p>
    <w:p w14:paraId="19B6B604" w14:textId="77777777" w:rsidR="00EB5030" w:rsidRPr="0041543E" w:rsidRDefault="00EB5030" w:rsidP="00D42FF6">
      <w:pPr>
        <w:pStyle w:val="ListBullet"/>
        <w:numPr>
          <w:ilvl w:val="0"/>
          <w:numId w:val="0"/>
        </w:numPr>
        <w:tabs>
          <w:tab w:val="left" w:pos="4253"/>
          <w:tab w:val="left" w:pos="5387"/>
        </w:tabs>
        <w:spacing w:after="120" w:line="288" w:lineRule="auto"/>
        <w:ind w:right="-1"/>
        <w:rPr>
          <w:rFonts w:ascii="Calibri" w:hAnsi="Calibri" w:cs="Calibri"/>
          <w:sz w:val="22"/>
          <w:szCs w:val="22"/>
        </w:rPr>
      </w:pPr>
    </w:p>
    <w:p w14:paraId="117174D3" w14:textId="77777777" w:rsidR="00EA22F0" w:rsidRPr="0041543E" w:rsidRDefault="009448F9" w:rsidP="00D42FF6">
      <w:pPr>
        <w:pStyle w:val="ListBullet"/>
        <w:numPr>
          <w:ilvl w:val="0"/>
          <w:numId w:val="0"/>
        </w:numPr>
        <w:tabs>
          <w:tab w:val="left" w:pos="4253"/>
          <w:tab w:val="left" w:pos="5387"/>
        </w:tabs>
        <w:spacing w:after="120" w:line="288" w:lineRule="auto"/>
        <w:ind w:right="-1"/>
        <w:rPr>
          <w:rFonts w:ascii="Calibri" w:hAnsi="Calibri" w:cs="Calibri"/>
          <w:sz w:val="22"/>
          <w:szCs w:val="22"/>
        </w:rPr>
      </w:pPr>
      <w:r w:rsidRPr="0041543E">
        <w:rPr>
          <w:rFonts w:ascii="Calibri" w:hAnsi="Calibri" w:cs="Calibri"/>
          <w:bCs/>
          <w:sz w:val="22"/>
          <w:szCs w:val="22"/>
        </w:rPr>
        <w:br w:type="page"/>
      </w:r>
    </w:p>
    <w:p w14:paraId="489B6D10" w14:textId="77777777" w:rsidR="006B2C70" w:rsidRPr="00FA0675" w:rsidRDefault="006B2C70" w:rsidP="0041543E">
      <w:pPr>
        <w:pStyle w:val="Heading6"/>
        <w:shd w:val="clear" w:color="auto" w:fill="D9D9D9"/>
        <w:tabs>
          <w:tab w:val="left" w:pos="4253"/>
          <w:tab w:val="left" w:pos="5387"/>
          <w:tab w:val="left" w:pos="8789"/>
        </w:tabs>
        <w:spacing w:after="120" w:line="288" w:lineRule="auto"/>
        <w:ind w:left="0" w:right="-1"/>
        <w:rPr>
          <w:rFonts w:ascii="Calibri" w:hAnsi="Calibri" w:cs="Calibri"/>
          <w:sz w:val="24"/>
        </w:rPr>
      </w:pPr>
      <w:r w:rsidRPr="00FA0675">
        <w:rPr>
          <w:rFonts w:ascii="Calibri" w:hAnsi="Calibri" w:cs="Calibri"/>
          <w:sz w:val="24"/>
        </w:rPr>
        <w:t>Sample answers</w:t>
      </w:r>
    </w:p>
    <w:p w14:paraId="0DB3D150" w14:textId="77777777" w:rsidR="00996BC2" w:rsidRPr="0041543E" w:rsidRDefault="006E77CF" w:rsidP="00E01735">
      <w:pPr>
        <w:tabs>
          <w:tab w:val="left" w:pos="4253"/>
          <w:tab w:val="left" w:pos="5387"/>
          <w:tab w:val="left" w:pos="5760"/>
        </w:tabs>
        <w:spacing w:after="120" w:line="288" w:lineRule="auto"/>
        <w:ind w:right="-1"/>
        <w:rPr>
          <w:rFonts w:ascii="Calibri" w:hAnsi="Calibri" w:cs="Calibri"/>
          <w:bCs/>
          <w:sz w:val="22"/>
          <w:szCs w:val="22"/>
        </w:rPr>
      </w:pPr>
      <w:r w:rsidRPr="00E01735">
        <w:rPr>
          <w:rFonts w:ascii="Calibri" w:hAnsi="Calibri" w:cs="Calibri"/>
          <w:sz w:val="22"/>
          <w:szCs w:val="22"/>
        </w:rPr>
        <w:t>E</w:t>
      </w:r>
      <w:r w:rsidR="00996BC2" w:rsidRPr="00E01735">
        <w:rPr>
          <w:rFonts w:ascii="Calibri" w:hAnsi="Calibri" w:cs="Calibri"/>
          <w:sz w:val="22"/>
          <w:szCs w:val="22"/>
        </w:rPr>
        <w:t>xample</w:t>
      </w:r>
      <w:r w:rsidRPr="00E01735">
        <w:rPr>
          <w:rFonts w:ascii="Calibri" w:hAnsi="Calibri" w:cs="Calibri"/>
          <w:sz w:val="22"/>
          <w:szCs w:val="22"/>
        </w:rPr>
        <w:t>s</w:t>
      </w:r>
      <w:r w:rsidR="00996BC2" w:rsidRPr="0041543E">
        <w:rPr>
          <w:rFonts w:ascii="Calibri" w:hAnsi="Calibri" w:cs="Calibri"/>
          <w:bCs/>
          <w:sz w:val="22"/>
          <w:szCs w:val="22"/>
        </w:rPr>
        <w:t xml:space="preserve"> of </w:t>
      </w:r>
      <w:r w:rsidR="00C84080" w:rsidRPr="0041543E">
        <w:rPr>
          <w:rFonts w:ascii="Calibri" w:hAnsi="Calibri" w:cs="Calibri"/>
          <w:bCs/>
          <w:sz w:val="22"/>
          <w:szCs w:val="22"/>
        </w:rPr>
        <w:t xml:space="preserve">the type of </w:t>
      </w:r>
      <w:r w:rsidR="00916ECF" w:rsidRPr="0041543E">
        <w:rPr>
          <w:rFonts w:ascii="Calibri" w:hAnsi="Calibri" w:cs="Calibri"/>
          <w:bCs/>
          <w:sz w:val="22"/>
          <w:szCs w:val="22"/>
        </w:rPr>
        <w:t>information and</w:t>
      </w:r>
      <w:r w:rsidR="0099618C" w:rsidRPr="0041543E">
        <w:rPr>
          <w:rFonts w:ascii="Calibri" w:hAnsi="Calibri" w:cs="Calibri"/>
          <w:bCs/>
          <w:sz w:val="22"/>
          <w:szCs w:val="22"/>
        </w:rPr>
        <w:t xml:space="preserve"> </w:t>
      </w:r>
      <w:r w:rsidR="00996BC2" w:rsidRPr="0041543E">
        <w:rPr>
          <w:rFonts w:ascii="Calibri" w:hAnsi="Calibri" w:cs="Calibri"/>
          <w:bCs/>
          <w:sz w:val="22"/>
          <w:szCs w:val="22"/>
        </w:rPr>
        <w:t>leve</w:t>
      </w:r>
      <w:r w:rsidR="0060668F" w:rsidRPr="0041543E">
        <w:rPr>
          <w:rFonts w:ascii="Calibri" w:hAnsi="Calibri" w:cs="Calibri"/>
          <w:bCs/>
          <w:sz w:val="22"/>
          <w:szCs w:val="22"/>
        </w:rPr>
        <w:t>l of detail</w:t>
      </w:r>
      <w:r w:rsidR="00996BC2" w:rsidRPr="0041543E">
        <w:rPr>
          <w:rFonts w:ascii="Calibri" w:hAnsi="Calibri" w:cs="Calibri"/>
          <w:bCs/>
          <w:sz w:val="22"/>
          <w:szCs w:val="22"/>
        </w:rPr>
        <w:t xml:space="preserve"> </w:t>
      </w:r>
      <w:r w:rsidR="0099618C" w:rsidRPr="0041543E">
        <w:rPr>
          <w:rFonts w:ascii="Calibri" w:hAnsi="Calibri" w:cs="Calibri"/>
          <w:bCs/>
          <w:sz w:val="22"/>
          <w:szCs w:val="22"/>
        </w:rPr>
        <w:t xml:space="preserve">is </w:t>
      </w:r>
      <w:r w:rsidR="0060668F" w:rsidRPr="0041543E">
        <w:rPr>
          <w:rFonts w:ascii="Calibri" w:hAnsi="Calibri" w:cs="Calibri"/>
          <w:bCs/>
          <w:sz w:val="22"/>
          <w:szCs w:val="22"/>
        </w:rPr>
        <w:t xml:space="preserve">provided </w:t>
      </w:r>
      <w:r w:rsidR="006C0707" w:rsidRPr="0041543E">
        <w:rPr>
          <w:rFonts w:ascii="Calibri" w:hAnsi="Calibri" w:cs="Calibri"/>
          <w:bCs/>
          <w:sz w:val="22"/>
          <w:szCs w:val="22"/>
        </w:rPr>
        <w:t xml:space="preserve">below </w:t>
      </w:r>
      <w:r w:rsidR="0060668F" w:rsidRPr="0041543E">
        <w:rPr>
          <w:rFonts w:ascii="Calibri" w:hAnsi="Calibri" w:cs="Calibri"/>
          <w:bCs/>
          <w:sz w:val="22"/>
          <w:szCs w:val="22"/>
        </w:rPr>
        <w:t xml:space="preserve">for </w:t>
      </w:r>
      <w:r w:rsidR="00996BC2" w:rsidRPr="0041543E">
        <w:rPr>
          <w:rFonts w:ascii="Calibri" w:hAnsi="Calibri" w:cs="Calibri"/>
          <w:bCs/>
          <w:sz w:val="22"/>
          <w:szCs w:val="22"/>
        </w:rPr>
        <w:t>question</w:t>
      </w:r>
      <w:r w:rsidR="00C34C2D" w:rsidRPr="0041543E">
        <w:rPr>
          <w:rFonts w:ascii="Calibri" w:hAnsi="Calibri" w:cs="Calibri"/>
          <w:bCs/>
          <w:sz w:val="22"/>
          <w:szCs w:val="22"/>
        </w:rPr>
        <w:t xml:space="preserve">s </w:t>
      </w:r>
      <w:r w:rsidR="00EA22F0" w:rsidRPr="0041543E">
        <w:rPr>
          <w:rFonts w:ascii="Calibri" w:hAnsi="Calibri" w:cs="Calibri"/>
          <w:bCs/>
          <w:sz w:val="22"/>
          <w:szCs w:val="22"/>
        </w:rPr>
        <w:t>1</w:t>
      </w:r>
      <w:r w:rsidR="004335F7" w:rsidRPr="0041543E">
        <w:rPr>
          <w:rFonts w:ascii="Calibri" w:hAnsi="Calibri" w:cs="Calibri"/>
          <w:bCs/>
          <w:sz w:val="22"/>
          <w:szCs w:val="22"/>
        </w:rPr>
        <w:t>1</w:t>
      </w:r>
      <w:r w:rsidR="00EA22F0" w:rsidRPr="0041543E">
        <w:rPr>
          <w:rFonts w:ascii="Calibri" w:hAnsi="Calibri" w:cs="Calibri"/>
          <w:bCs/>
          <w:sz w:val="22"/>
          <w:szCs w:val="22"/>
        </w:rPr>
        <w:t xml:space="preserve"> </w:t>
      </w:r>
      <w:r w:rsidR="00C34C2D" w:rsidRPr="0041543E">
        <w:rPr>
          <w:rFonts w:ascii="Calibri" w:hAnsi="Calibri" w:cs="Calibri"/>
          <w:bCs/>
          <w:sz w:val="22"/>
          <w:szCs w:val="22"/>
        </w:rPr>
        <w:t xml:space="preserve">and </w:t>
      </w:r>
      <w:r w:rsidR="00EA22F0" w:rsidRPr="0041543E">
        <w:rPr>
          <w:rFonts w:ascii="Calibri" w:hAnsi="Calibri" w:cs="Calibri"/>
          <w:bCs/>
          <w:sz w:val="22"/>
          <w:szCs w:val="22"/>
        </w:rPr>
        <w:t>1</w:t>
      </w:r>
      <w:r w:rsidR="004335F7" w:rsidRPr="0041543E">
        <w:rPr>
          <w:rFonts w:ascii="Calibri" w:hAnsi="Calibri" w:cs="Calibri"/>
          <w:bCs/>
          <w:sz w:val="22"/>
          <w:szCs w:val="22"/>
        </w:rPr>
        <w:t>2</w:t>
      </w:r>
      <w:r w:rsidR="00EA22F0" w:rsidRPr="0041543E">
        <w:rPr>
          <w:rFonts w:ascii="Calibri" w:hAnsi="Calibri" w:cs="Calibri"/>
          <w:bCs/>
          <w:sz w:val="22"/>
          <w:szCs w:val="22"/>
        </w:rPr>
        <w:t xml:space="preserve"> </w:t>
      </w:r>
      <w:r w:rsidR="00713FEE" w:rsidRPr="0041543E">
        <w:rPr>
          <w:rFonts w:ascii="Calibri" w:hAnsi="Calibri" w:cs="Calibri"/>
          <w:bCs/>
          <w:sz w:val="22"/>
          <w:szCs w:val="22"/>
        </w:rPr>
        <w:t>of the application form</w:t>
      </w:r>
      <w:r w:rsidR="00C34C2D" w:rsidRPr="0041543E">
        <w:rPr>
          <w:rFonts w:ascii="Calibri" w:hAnsi="Calibri" w:cs="Calibri"/>
          <w:bCs/>
          <w:sz w:val="22"/>
          <w:szCs w:val="22"/>
        </w:rPr>
        <w:t xml:space="preserve">. </w:t>
      </w:r>
      <w:r w:rsidR="00962BC9" w:rsidRPr="0041543E">
        <w:rPr>
          <w:rFonts w:ascii="Calibri" w:hAnsi="Calibri" w:cs="Calibri"/>
          <w:bCs/>
          <w:sz w:val="22"/>
          <w:szCs w:val="22"/>
        </w:rPr>
        <w:t>The</w:t>
      </w:r>
      <w:r w:rsidR="003C48DC" w:rsidRPr="0041543E">
        <w:rPr>
          <w:rFonts w:ascii="Calibri" w:hAnsi="Calibri" w:cs="Calibri"/>
          <w:bCs/>
          <w:sz w:val="22"/>
          <w:szCs w:val="22"/>
        </w:rPr>
        <w:t xml:space="preserve">se are examples only </w:t>
      </w:r>
      <w:r w:rsidR="003C48DC" w:rsidRPr="0041543E">
        <w:rPr>
          <w:rFonts w:ascii="Calibri" w:hAnsi="Calibri" w:cs="Calibri"/>
          <w:bCs/>
          <w:sz w:val="22"/>
          <w:szCs w:val="22"/>
        </w:rPr>
        <w:sym w:font="Symbol" w:char="F02D"/>
      </w:r>
      <w:r w:rsidR="003C48DC" w:rsidRPr="0041543E">
        <w:rPr>
          <w:rFonts w:ascii="Calibri" w:hAnsi="Calibri" w:cs="Calibri"/>
          <w:bCs/>
          <w:sz w:val="22"/>
          <w:szCs w:val="22"/>
        </w:rPr>
        <w:t xml:space="preserve"> not </w:t>
      </w:r>
      <w:r w:rsidR="00962BC9" w:rsidRPr="0041543E">
        <w:rPr>
          <w:rFonts w:ascii="Calibri" w:hAnsi="Calibri" w:cs="Calibri"/>
          <w:bCs/>
          <w:sz w:val="22"/>
          <w:szCs w:val="22"/>
        </w:rPr>
        <w:t xml:space="preserve">all places with a particular attribute will be entered in the </w:t>
      </w:r>
      <w:r w:rsidR="00DB708E">
        <w:rPr>
          <w:rFonts w:ascii="Calibri" w:hAnsi="Calibri" w:cs="Calibri"/>
          <w:bCs/>
          <w:sz w:val="22"/>
          <w:szCs w:val="22"/>
        </w:rPr>
        <w:t xml:space="preserve">Commonwealth </w:t>
      </w:r>
      <w:r w:rsidR="00962BC9" w:rsidRPr="0041543E">
        <w:rPr>
          <w:rFonts w:ascii="Calibri" w:hAnsi="Calibri" w:cs="Calibri"/>
          <w:bCs/>
          <w:sz w:val="22"/>
          <w:szCs w:val="22"/>
        </w:rPr>
        <w:t>Heritage List</w:t>
      </w:r>
      <w:r w:rsidR="006C0707" w:rsidRPr="0041543E">
        <w:rPr>
          <w:rFonts w:ascii="Calibri" w:hAnsi="Calibri" w:cs="Calibri"/>
          <w:bCs/>
          <w:sz w:val="22"/>
          <w:szCs w:val="22"/>
        </w:rPr>
        <w:t>.</w:t>
      </w:r>
    </w:p>
    <w:p w14:paraId="46719D04" w14:textId="77777777" w:rsidR="00DA682C" w:rsidRDefault="005D2BFC" w:rsidP="006B2C70">
      <w:pPr>
        <w:pStyle w:val="BlockText"/>
        <w:tabs>
          <w:tab w:val="left" w:pos="4253"/>
          <w:tab w:val="left" w:pos="5387"/>
          <w:tab w:val="left" w:pos="9072"/>
        </w:tabs>
        <w:spacing w:before="240" w:after="120" w:line="264" w:lineRule="auto"/>
        <w:ind w:left="0" w:right="-1"/>
        <w:rPr>
          <w:rFonts w:ascii="Calibri" w:hAnsi="Calibri" w:cs="Calibri"/>
          <w:b/>
          <w:bCs/>
          <w:sz w:val="22"/>
          <w:szCs w:val="22"/>
        </w:rPr>
      </w:pPr>
      <w:r w:rsidRPr="0041543E">
        <w:rPr>
          <w:rFonts w:ascii="Calibri" w:hAnsi="Calibri" w:cs="Calibri"/>
          <w:b/>
          <w:bCs/>
          <w:sz w:val="22"/>
          <w:szCs w:val="22"/>
        </w:rPr>
        <w:t>Q</w:t>
      </w:r>
      <w:r w:rsidR="00131EB4" w:rsidRPr="0041543E">
        <w:rPr>
          <w:rFonts w:ascii="Calibri" w:hAnsi="Calibri" w:cs="Calibri"/>
          <w:b/>
          <w:bCs/>
          <w:sz w:val="22"/>
          <w:szCs w:val="22"/>
        </w:rPr>
        <w:t xml:space="preserve">uestion </w:t>
      </w:r>
      <w:r w:rsidRPr="0041543E">
        <w:rPr>
          <w:rFonts w:ascii="Calibri" w:hAnsi="Calibri" w:cs="Calibri"/>
          <w:b/>
          <w:bCs/>
          <w:sz w:val="22"/>
          <w:szCs w:val="22"/>
        </w:rPr>
        <w:t>1</w:t>
      </w:r>
      <w:r w:rsidR="004335F7" w:rsidRPr="0041543E">
        <w:rPr>
          <w:rFonts w:ascii="Calibri" w:hAnsi="Calibri" w:cs="Calibri"/>
          <w:b/>
          <w:bCs/>
          <w:sz w:val="22"/>
          <w:szCs w:val="22"/>
        </w:rPr>
        <w:t>1</w:t>
      </w:r>
      <w:r w:rsidR="002443EC" w:rsidRPr="0041543E">
        <w:rPr>
          <w:rFonts w:ascii="Calibri" w:hAnsi="Calibri" w:cs="Calibri"/>
          <w:b/>
          <w:bCs/>
          <w:sz w:val="22"/>
          <w:szCs w:val="22"/>
        </w:rPr>
        <w:t xml:space="preserve">.  </w:t>
      </w:r>
      <w:r w:rsidR="000F791E" w:rsidRPr="0041543E">
        <w:rPr>
          <w:rFonts w:ascii="Calibri" w:hAnsi="Calibri" w:cs="Calibri"/>
          <w:b/>
          <w:bCs/>
          <w:sz w:val="22"/>
          <w:szCs w:val="22"/>
        </w:rPr>
        <w:t xml:space="preserve">Why is this place of significance </w:t>
      </w:r>
      <w:r w:rsidR="00DB708E">
        <w:rPr>
          <w:rFonts w:ascii="Calibri" w:hAnsi="Calibri" w:cs="Calibri"/>
          <w:b/>
          <w:bCs/>
          <w:sz w:val="22"/>
          <w:szCs w:val="22"/>
        </w:rPr>
        <w:t>heritage value</w:t>
      </w:r>
      <w:r w:rsidR="002443EC" w:rsidRPr="0041543E">
        <w:rPr>
          <w:rFonts w:ascii="Calibri" w:hAnsi="Calibri" w:cs="Calibri"/>
          <w:b/>
          <w:bCs/>
          <w:sz w:val="22"/>
          <w:szCs w:val="22"/>
        </w:rPr>
        <w:t>?</w:t>
      </w:r>
      <w:r w:rsidR="00DA682C" w:rsidRPr="0041543E">
        <w:rPr>
          <w:rFonts w:ascii="Calibri" w:hAnsi="Calibri" w:cs="Calibri"/>
          <w:b/>
          <w:bCs/>
          <w:sz w:val="22"/>
          <w:szCs w:val="22"/>
        </w:rPr>
        <w:t xml:space="preserve"> </w:t>
      </w:r>
    </w:p>
    <w:p w14:paraId="0FA169B7" w14:textId="77777777" w:rsidR="00DB708E" w:rsidRPr="00181FDE" w:rsidRDefault="00DB708E" w:rsidP="00DB708E">
      <w:pPr>
        <w:tabs>
          <w:tab w:val="left" w:pos="4253"/>
          <w:tab w:val="left" w:pos="5387"/>
          <w:tab w:val="left" w:pos="8931"/>
        </w:tabs>
        <w:spacing w:after="120"/>
        <w:ind w:right="-1"/>
        <w:rPr>
          <w:rFonts w:ascii="Verdana" w:hAnsi="Verdana" w:cs="Arial"/>
          <w:bCs/>
          <w:sz w:val="18"/>
          <w:szCs w:val="18"/>
          <w:u w:val="single"/>
        </w:rPr>
      </w:pPr>
      <w:r w:rsidRPr="00181FDE">
        <w:rPr>
          <w:rFonts w:ascii="Verdana" w:hAnsi="Verdana" w:cs="Arial"/>
          <w:bCs/>
          <w:sz w:val="18"/>
          <w:szCs w:val="18"/>
          <w:u w:val="single"/>
        </w:rPr>
        <w:t xml:space="preserve">Extract from the </w:t>
      </w:r>
      <w:hyperlink r:id="rId20" w:history="1">
        <w:r w:rsidRPr="00181FDE">
          <w:rPr>
            <w:rStyle w:val="Hyperlink"/>
            <w:rFonts w:ascii="Verdana" w:hAnsi="Verdana" w:cs="Arial"/>
            <w:bCs/>
            <w:sz w:val="18"/>
            <w:szCs w:val="18"/>
          </w:rPr>
          <w:t>Royal A</w:t>
        </w:r>
        <w:r w:rsidRPr="00181FDE">
          <w:rPr>
            <w:rStyle w:val="Hyperlink"/>
            <w:rFonts w:ascii="Verdana" w:hAnsi="Verdana" w:cs="Arial"/>
            <w:bCs/>
            <w:sz w:val="18"/>
            <w:szCs w:val="18"/>
          </w:rPr>
          <w:t>u</w:t>
        </w:r>
        <w:r w:rsidRPr="00181FDE">
          <w:rPr>
            <w:rStyle w:val="Hyperlink"/>
            <w:rFonts w:ascii="Verdana" w:hAnsi="Verdana" w:cs="Arial"/>
            <w:bCs/>
            <w:sz w:val="18"/>
            <w:szCs w:val="18"/>
          </w:rPr>
          <w:t>stralian Mint</w:t>
        </w:r>
      </w:hyperlink>
      <w:r>
        <w:rPr>
          <w:rFonts w:ascii="Verdana" w:hAnsi="Verdana" w:cs="Arial"/>
          <w:bCs/>
          <w:sz w:val="18"/>
          <w:szCs w:val="18"/>
          <w:u w:val="single"/>
        </w:rPr>
        <w:t>,</w:t>
      </w:r>
      <w:r w:rsidRPr="00181FDE">
        <w:rPr>
          <w:rFonts w:ascii="Verdana" w:hAnsi="Verdana" w:cs="Arial"/>
          <w:bCs/>
          <w:sz w:val="18"/>
          <w:szCs w:val="18"/>
          <w:u w:val="single"/>
        </w:rPr>
        <w:t xml:space="preserve"> Commonwealth Heritage Listing: </w:t>
      </w:r>
    </w:p>
    <w:p w14:paraId="3E613AFE" w14:textId="77777777" w:rsidR="00DB708E" w:rsidRPr="00DB708E" w:rsidRDefault="00DB708E" w:rsidP="00DB708E">
      <w:pPr>
        <w:tabs>
          <w:tab w:val="left" w:pos="4253"/>
          <w:tab w:val="left" w:pos="5387"/>
          <w:tab w:val="left" w:pos="8931"/>
        </w:tabs>
        <w:spacing w:after="120" w:line="288" w:lineRule="auto"/>
        <w:ind w:right="-1"/>
        <w:rPr>
          <w:rFonts w:ascii="Calibri" w:hAnsi="Calibri" w:cs="Calibri"/>
          <w:bCs/>
          <w:sz w:val="22"/>
          <w:szCs w:val="22"/>
        </w:rPr>
      </w:pPr>
      <w:r w:rsidRPr="00DB708E">
        <w:rPr>
          <w:rFonts w:ascii="Calibri" w:hAnsi="Calibri" w:cs="Calibri"/>
          <w:bCs/>
          <w:sz w:val="22"/>
          <w:szCs w:val="22"/>
        </w:rPr>
        <w:t xml:space="preserve">The Royal Australian Mint in Canberra is significant as Australia's sole production facility of circulating coinage and the only Australian Mint to be established independently of the London Royal Mint. Historically, the Royal Australian Mint played a crucial role in Australia's conversion to decimal currency on 14 February 1966 by producing vast quantities of new dollars and cents to replace the imperial denominations of pounds, </w:t>
      </w:r>
      <w:proofErr w:type="gramStart"/>
      <w:r w:rsidRPr="00DB708E">
        <w:rPr>
          <w:rFonts w:ascii="Calibri" w:hAnsi="Calibri" w:cs="Calibri"/>
          <w:bCs/>
          <w:sz w:val="22"/>
          <w:szCs w:val="22"/>
        </w:rPr>
        <w:t>shillings</w:t>
      </w:r>
      <w:proofErr w:type="gramEnd"/>
      <w:r w:rsidRPr="00DB708E">
        <w:rPr>
          <w:rFonts w:ascii="Calibri" w:hAnsi="Calibri" w:cs="Calibri"/>
          <w:bCs/>
          <w:sz w:val="22"/>
          <w:szCs w:val="22"/>
        </w:rPr>
        <w:t xml:space="preserve"> and pence. This conversion was not only an important monetary step, but also contributed to the development of a distinct Australian identity following the ending of the British Empire, highlighted by the contemporary controversy over the original proposed name of the new coinage, "Royals". The Royal Australian Mint is constructed in the 'stripped classical' architectural style which demonstrates its important public institutional role beyond its functional purpose as a factory. Today, the Royal Australian Mint has a special association with coin collectors/numismatists as the place where commemorative coins are produced, reflecting a worldwide passion and the role that coinage has played in human culture for more than two millennia.</w:t>
      </w:r>
    </w:p>
    <w:p w14:paraId="3320EDE1" w14:textId="77777777" w:rsidR="00DA682C" w:rsidRPr="0041543E" w:rsidRDefault="005D2BFC" w:rsidP="006B2C70">
      <w:pPr>
        <w:tabs>
          <w:tab w:val="left" w:pos="4253"/>
          <w:tab w:val="left" w:pos="5387"/>
          <w:tab w:val="left" w:pos="9072"/>
        </w:tabs>
        <w:spacing w:before="360" w:after="120" w:line="264" w:lineRule="auto"/>
        <w:ind w:right="-1"/>
        <w:rPr>
          <w:rFonts w:ascii="Calibri" w:hAnsi="Calibri" w:cs="Calibri"/>
          <w:b/>
          <w:bCs/>
          <w:sz w:val="22"/>
          <w:szCs w:val="22"/>
        </w:rPr>
      </w:pPr>
      <w:r w:rsidRPr="0041543E">
        <w:rPr>
          <w:rFonts w:ascii="Calibri" w:hAnsi="Calibri" w:cs="Calibri"/>
          <w:b/>
          <w:bCs/>
          <w:sz w:val="22"/>
          <w:szCs w:val="22"/>
        </w:rPr>
        <w:t>Q</w:t>
      </w:r>
      <w:r w:rsidR="00131EB4" w:rsidRPr="0041543E">
        <w:rPr>
          <w:rFonts w:ascii="Calibri" w:hAnsi="Calibri" w:cs="Calibri"/>
          <w:b/>
          <w:bCs/>
          <w:sz w:val="22"/>
          <w:szCs w:val="22"/>
        </w:rPr>
        <w:t xml:space="preserve">uestion </w:t>
      </w:r>
      <w:r w:rsidRPr="0041543E">
        <w:rPr>
          <w:rFonts w:ascii="Calibri" w:hAnsi="Calibri" w:cs="Calibri"/>
          <w:b/>
          <w:bCs/>
          <w:sz w:val="22"/>
          <w:szCs w:val="22"/>
        </w:rPr>
        <w:t>1</w:t>
      </w:r>
      <w:r w:rsidR="004335F7" w:rsidRPr="0041543E">
        <w:rPr>
          <w:rFonts w:ascii="Calibri" w:hAnsi="Calibri" w:cs="Calibri"/>
          <w:b/>
          <w:bCs/>
          <w:sz w:val="22"/>
          <w:szCs w:val="22"/>
        </w:rPr>
        <w:t>2</w:t>
      </w:r>
      <w:r w:rsidR="002443EC" w:rsidRPr="0041543E">
        <w:rPr>
          <w:rFonts w:ascii="Calibri" w:hAnsi="Calibri" w:cs="Calibri"/>
          <w:b/>
          <w:bCs/>
          <w:sz w:val="22"/>
          <w:szCs w:val="22"/>
        </w:rPr>
        <w:t xml:space="preserve">.  Which criteria does </w:t>
      </w:r>
      <w:r w:rsidR="006937CF" w:rsidRPr="0041543E">
        <w:rPr>
          <w:rFonts w:ascii="Calibri" w:hAnsi="Calibri" w:cs="Calibri"/>
          <w:b/>
          <w:bCs/>
          <w:sz w:val="22"/>
          <w:szCs w:val="22"/>
        </w:rPr>
        <w:t xml:space="preserve">the place </w:t>
      </w:r>
      <w:r w:rsidR="002443EC" w:rsidRPr="0041543E">
        <w:rPr>
          <w:rFonts w:ascii="Calibri" w:hAnsi="Calibri" w:cs="Calibri"/>
          <w:b/>
          <w:bCs/>
          <w:sz w:val="22"/>
          <w:szCs w:val="22"/>
        </w:rPr>
        <w:t>meet?</w:t>
      </w:r>
      <w:r w:rsidR="00DA682C" w:rsidRPr="0041543E">
        <w:rPr>
          <w:rFonts w:ascii="Calibri" w:hAnsi="Calibri" w:cs="Calibri"/>
          <w:b/>
          <w:bCs/>
          <w:sz w:val="22"/>
          <w:szCs w:val="22"/>
        </w:rPr>
        <w:t xml:space="preserve"> </w:t>
      </w:r>
    </w:p>
    <w:p w14:paraId="11528EC8" w14:textId="77777777" w:rsidR="000306E4" w:rsidRPr="0041543E" w:rsidRDefault="001E0B7A" w:rsidP="00E01735">
      <w:pPr>
        <w:tabs>
          <w:tab w:val="left" w:pos="4253"/>
          <w:tab w:val="left" w:pos="5387"/>
          <w:tab w:val="left" w:pos="5760"/>
        </w:tabs>
        <w:spacing w:after="120" w:line="288" w:lineRule="auto"/>
        <w:ind w:right="-1"/>
        <w:rPr>
          <w:rFonts w:ascii="Calibri" w:hAnsi="Calibri" w:cs="Calibri"/>
          <w:bCs/>
          <w:sz w:val="22"/>
          <w:szCs w:val="22"/>
        </w:rPr>
      </w:pPr>
      <w:r w:rsidRPr="00E01735">
        <w:rPr>
          <w:rFonts w:ascii="Calibri" w:hAnsi="Calibri" w:cs="Calibri"/>
          <w:sz w:val="22"/>
          <w:szCs w:val="22"/>
        </w:rPr>
        <w:t>There</w:t>
      </w:r>
      <w:r w:rsidRPr="0041543E">
        <w:rPr>
          <w:rFonts w:ascii="Calibri" w:hAnsi="Calibri" w:cs="Calibri"/>
          <w:bCs/>
          <w:sz w:val="22"/>
          <w:szCs w:val="22"/>
        </w:rPr>
        <w:t xml:space="preserve"> are nine </w:t>
      </w:r>
      <w:r w:rsidR="005A29F9">
        <w:rPr>
          <w:rFonts w:ascii="Calibri" w:hAnsi="Calibri" w:cs="Calibri"/>
          <w:bCs/>
          <w:sz w:val="22"/>
          <w:szCs w:val="22"/>
        </w:rPr>
        <w:t>commonwealth</w:t>
      </w:r>
      <w:r w:rsidRPr="0041543E">
        <w:rPr>
          <w:rFonts w:ascii="Calibri" w:hAnsi="Calibri" w:cs="Calibri"/>
          <w:bCs/>
          <w:sz w:val="22"/>
          <w:szCs w:val="22"/>
        </w:rPr>
        <w:t xml:space="preserve"> heritage criteria</w:t>
      </w:r>
      <w:r w:rsidR="002443EC" w:rsidRPr="0041543E">
        <w:rPr>
          <w:rFonts w:ascii="Calibri" w:hAnsi="Calibri" w:cs="Calibri"/>
          <w:bCs/>
          <w:sz w:val="22"/>
          <w:szCs w:val="22"/>
        </w:rPr>
        <w:t xml:space="preserve">. </w:t>
      </w:r>
      <w:r w:rsidR="000306E4" w:rsidRPr="0041543E">
        <w:rPr>
          <w:rFonts w:ascii="Calibri" w:hAnsi="Calibri" w:cs="Calibri"/>
          <w:bCs/>
          <w:sz w:val="22"/>
          <w:szCs w:val="22"/>
        </w:rPr>
        <w:t xml:space="preserve">Some places may meet multiple criteria. However, it is only necessary for a place to meet one criterion to be considered for the </w:t>
      </w:r>
      <w:r w:rsidR="005A29F9">
        <w:rPr>
          <w:rFonts w:ascii="Calibri" w:hAnsi="Calibri" w:cs="Calibri"/>
          <w:bCs/>
          <w:sz w:val="22"/>
          <w:szCs w:val="22"/>
        </w:rPr>
        <w:t>Commonwealth</w:t>
      </w:r>
      <w:r w:rsidR="005A29F9" w:rsidRPr="0041543E">
        <w:rPr>
          <w:rFonts w:ascii="Calibri" w:hAnsi="Calibri" w:cs="Calibri"/>
          <w:bCs/>
          <w:sz w:val="22"/>
          <w:szCs w:val="22"/>
        </w:rPr>
        <w:t xml:space="preserve"> </w:t>
      </w:r>
      <w:r w:rsidR="000306E4" w:rsidRPr="0041543E">
        <w:rPr>
          <w:rFonts w:ascii="Calibri" w:hAnsi="Calibri" w:cs="Calibri"/>
          <w:bCs/>
          <w:sz w:val="22"/>
          <w:szCs w:val="22"/>
        </w:rPr>
        <w:t>Heritage List.</w:t>
      </w:r>
    </w:p>
    <w:p w14:paraId="273C516B" w14:textId="77777777" w:rsidR="002443EC" w:rsidRPr="0041543E" w:rsidRDefault="000306E4" w:rsidP="00D42FF6">
      <w:pPr>
        <w:tabs>
          <w:tab w:val="left" w:pos="4253"/>
          <w:tab w:val="left" w:pos="5387"/>
          <w:tab w:val="left" w:pos="9072"/>
        </w:tabs>
        <w:spacing w:after="120" w:line="264" w:lineRule="auto"/>
        <w:ind w:right="-1"/>
        <w:rPr>
          <w:rFonts w:ascii="Calibri" w:hAnsi="Calibri" w:cs="Calibri"/>
          <w:bCs/>
          <w:sz w:val="22"/>
          <w:szCs w:val="22"/>
        </w:rPr>
      </w:pPr>
      <w:r w:rsidRPr="0041543E">
        <w:rPr>
          <w:rFonts w:ascii="Calibri" w:hAnsi="Calibri" w:cs="Calibri"/>
          <w:bCs/>
          <w:sz w:val="22"/>
          <w:szCs w:val="22"/>
        </w:rPr>
        <w:t>The nine criteria</w:t>
      </w:r>
      <w:r w:rsidR="00013140" w:rsidRPr="0041543E">
        <w:rPr>
          <w:rFonts w:ascii="Calibri" w:hAnsi="Calibri" w:cs="Calibri"/>
          <w:bCs/>
          <w:sz w:val="22"/>
          <w:szCs w:val="22"/>
        </w:rPr>
        <w:t xml:space="preserve"> are</w:t>
      </w:r>
      <w:r w:rsidR="002443EC" w:rsidRPr="0041543E">
        <w:rPr>
          <w:rFonts w:ascii="Calibri" w:hAnsi="Calibri" w:cs="Calibri"/>
          <w:bCs/>
          <w:sz w:val="22"/>
          <w:szCs w:val="22"/>
        </w:rPr>
        <w:t>:</w:t>
      </w:r>
    </w:p>
    <w:p w14:paraId="500C49A4" w14:textId="77777777" w:rsidR="002443EC" w:rsidRPr="0041543E" w:rsidRDefault="008F6F66"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t>T</w:t>
      </w:r>
      <w:r w:rsidR="002443EC" w:rsidRPr="0041543E">
        <w:rPr>
          <w:rFonts w:ascii="Calibri" w:hAnsi="Calibri" w:cs="Calibri"/>
          <w:b/>
          <w:bCs/>
          <w:sz w:val="22"/>
          <w:szCs w:val="22"/>
        </w:rPr>
        <w:t xml:space="preserve">he place has </w:t>
      </w:r>
      <w:r w:rsidR="00DB708E">
        <w:rPr>
          <w:rFonts w:ascii="Calibri" w:hAnsi="Calibri" w:cs="Calibri"/>
          <w:b/>
          <w:bCs/>
          <w:sz w:val="22"/>
          <w:szCs w:val="22"/>
        </w:rPr>
        <w:t>significant</w:t>
      </w:r>
      <w:r w:rsidR="002443EC" w:rsidRPr="0041543E">
        <w:rPr>
          <w:rFonts w:ascii="Calibri" w:hAnsi="Calibri" w:cs="Calibri"/>
          <w:b/>
          <w:bCs/>
          <w:sz w:val="22"/>
          <w:szCs w:val="22"/>
        </w:rPr>
        <w:t xml:space="preserve"> heritage value because of the place’s</w:t>
      </w:r>
      <w:r w:rsidR="002443EC" w:rsidRPr="0041543E">
        <w:rPr>
          <w:rFonts w:ascii="Calibri" w:hAnsi="Calibri" w:cs="Calibri"/>
          <w:sz w:val="22"/>
          <w:szCs w:val="22"/>
        </w:rPr>
        <w:t xml:space="preserve"> </w:t>
      </w:r>
      <w:r w:rsidR="002443EC" w:rsidRPr="0041543E">
        <w:rPr>
          <w:rFonts w:ascii="Calibri" w:hAnsi="Calibri" w:cs="Calibri"/>
          <w:b/>
          <w:bCs/>
          <w:sz w:val="22"/>
          <w:szCs w:val="22"/>
        </w:rPr>
        <w:t>importance in the course, or pattern, of Australia’s natural or cultural history</w:t>
      </w:r>
      <w:r w:rsidRPr="0041543E">
        <w:rPr>
          <w:rFonts w:ascii="Calibri" w:hAnsi="Calibri" w:cs="Calibri"/>
          <w:b/>
          <w:bCs/>
          <w:sz w:val="22"/>
          <w:szCs w:val="22"/>
        </w:rPr>
        <w:t>.</w:t>
      </w:r>
    </w:p>
    <w:p w14:paraId="0271F545" w14:textId="77777777" w:rsidR="005A29F9" w:rsidRPr="00181FDE" w:rsidRDefault="005A29F9" w:rsidP="005A29F9">
      <w:pPr>
        <w:tabs>
          <w:tab w:val="left" w:pos="4253"/>
          <w:tab w:val="left" w:pos="5387"/>
          <w:tab w:val="left" w:pos="8931"/>
        </w:tabs>
        <w:spacing w:after="120" w:line="288" w:lineRule="auto"/>
        <w:ind w:right="-1"/>
        <w:rPr>
          <w:rFonts w:ascii="Verdana" w:hAnsi="Verdana" w:cs="Arial"/>
          <w:bCs/>
          <w:sz w:val="18"/>
          <w:szCs w:val="18"/>
          <w:u w:val="single"/>
        </w:rPr>
      </w:pPr>
      <w:r w:rsidRPr="005A29F9">
        <w:rPr>
          <w:rFonts w:ascii="Calibri" w:hAnsi="Calibri" w:cs="Calibri"/>
          <w:bCs/>
          <w:sz w:val="22"/>
          <w:szCs w:val="22"/>
          <w:u w:val="single"/>
        </w:rPr>
        <w:t>Extract</w:t>
      </w:r>
      <w:r w:rsidRPr="00181FDE">
        <w:rPr>
          <w:rFonts w:ascii="Verdana" w:hAnsi="Verdana" w:cs="Arial"/>
          <w:bCs/>
          <w:sz w:val="18"/>
          <w:szCs w:val="18"/>
          <w:u w:val="single"/>
        </w:rPr>
        <w:t xml:space="preserve"> from </w:t>
      </w:r>
      <w:hyperlink r:id="rId21" w:history="1">
        <w:r w:rsidRPr="00181FDE">
          <w:rPr>
            <w:rStyle w:val="Hyperlink"/>
            <w:rFonts w:ascii="Verdana" w:hAnsi="Verdana" w:cs="Arial"/>
            <w:bCs/>
            <w:sz w:val="18"/>
            <w:szCs w:val="18"/>
          </w:rPr>
          <w:t>Adelaide General Post Office</w:t>
        </w:r>
      </w:hyperlink>
      <w:r>
        <w:rPr>
          <w:rFonts w:ascii="Verdana" w:hAnsi="Verdana" w:cs="Arial"/>
          <w:bCs/>
          <w:sz w:val="18"/>
          <w:szCs w:val="18"/>
          <w:u w:val="single"/>
        </w:rPr>
        <w:t>,</w:t>
      </w:r>
      <w:r w:rsidRPr="00181FDE">
        <w:rPr>
          <w:rFonts w:ascii="Verdana" w:hAnsi="Verdana" w:cs="Arial"/>
          <w:bCs/>
          <w:sz w:val="18"/>
          <w:szCs w:val="18"/>
          <w:u w:val="single"/>
        </w:rPr>
        <w:t xml:space="preserve"> Commonwealth Heritage Listing: </w:t>
      </w:r>
    </w:p>
    <w:p w14:paraId="68DAFFA0" w14:textId="77777777" w:rsidR="005A29F9" w:rsidRPr="005A29F9" w:rsidRDefault="005A29F9" w:rsidP="005A29F9">
      <w:pPr>
        <w:tabs>
          <w:tab w:val="left" w:pos="4253"/>
          <w:tab w:val="left" w:pos="5387"/>
          <w:tab w:val="left" w:pos="8931"/>
        </w:tabs>
        <w:spacing w:after="120" w:line="288" w:lineRule="auto"/>
        <w:ind w:right="-1"/>
        <w:rPr>
          <w:rFonts w:ascii="Calibri" w:hAnsi="Calibri" w:cs="Calibri"/>
          <w:bCs/>
          <w:sz w:val="22"/>
          <w:szCs w:val="22"/>
        </w:rPr>
      </w:pPr>
      <w:r w:rsidRPr="005A29F9">
        <w:rPr>
          <w:rFonts w:ascii="Calibri" w:hAnsi="Calibri" w:cs="Calibri"/>
          <w:bCs/>
          <w:sz w:val="22"/>
          <w:szCs w:val="22"/>
        </w:rPr>
        <w:t>The Adelaide General Post Office, built in 1867-1872 and extended in 1891-1892, is significant as one of South Australia's most important public buildings.</w:t>
      </w:r>
    </w:p>
    <w:p w14:paraId="348D99BC" w14:textId="77777777" w:rsidR="005A29F9" w:rsidRPr="005A29F9" w:rsidRDefault="005A29F9" w:rsidP="005A29F9">
      <w:pPr>
        <w:tabs>
          <w:tab w:val="left" w:pos="4253"/>
          <w:tab w:val="left" w:pos="5387"/>
          <w:tab w:val="left" w:pos="8931"/>
        </w:tabs>
        <w:spacing w:after="120" w:line="288" w:lineRule="auto"/>
        <w:ind w:right="-1"/>
        <w:rPr>
          <w:rFonts w:ascii="Calibri" w:hAnsi="Calibri" w:cs="Calibri"/>
          <w:bCs/>
          <w:sz w:val="22"/>
          <w:szCs w:val="22"/>
        </w:rPr>
      </w:pPr>
      <w:r w:rsidRPr="005A29F9">
        <w:rPr>
          <w:rFonts w:ascii="Calibri" w:hAnsi="Calibri" w:cs="Calibri"/>
          <w:bCs/>
          <w:sz w:val="22"/>
          <w:szCs w:val="22"/>
        </w:rPr>
        <w:t xml:space="preserve">Adelaide GPO forms an important part of Adelaide’s central civic and administrative precinct, playing a critical role since 1872 in the delivery and development of postal services in Adelaide. </w:t>
      </w:r>
    </w:p>
    <w:p w14:paraId="374F8E66" w14:textId="77777777" w:rsidR="005A29F9" w:rsidRPr="005A29F9" w:rsidRDefault="005A29F9" w:rsidP="005A29F9">
      <w:pPr>
        <w:tabs>
          <w:tab w:val="left" w:pos="4253"/>
          <w:tab w:val="left" w:pos="5387"/>
          <w:tab w:val="left" w:pos="8931"/>
        </w:tabs>
        <w:spacing w:after="120" w:line="288" w:lineRule="auto"/>
        <w:ind w:right="-1"/>
        <w:rPr>
          <w:rFonts w:ascii="Calibri" w:hAnsi="Calibri" w:cs="Calibri"/>
          <w:bCs/>
          <w:sz w:val="22"/>
          <w:szCs w:val="22"/>
        </w:rPr>
      </w:pPr>
      <w:r w:rsidRPr="005A29F9">
        <w:rPr>
          <w:rFonts w:ascii="Calibri" w:hAnsi="Calibri" w:cs="Calibri"/>
          <w:bCs/>
          <w:sz w:val="22"/>
          <w:szCs w:val="22"/>
        </w:rPr>
        <w:t xml:space="preserve">With its substantial dual frontage to King William and Franklin streets and landmark tower, the GPO has a well-established relationship with the nearby Adelaide Town Hall, former Bank of South Australia, Supreme Court and Victoria Square.  </w:t>
      </w:r>
      <w:proofErr w:type="gramStart"/>
      <w:r w:rsidRPr="005A29F9">
        <w:rPr>
          <w:rFonts w:ascii="Calibri" w:hAnsi="Calibri" w:cs="Calibri"/>
          <w:bCs/>
          <w:sz w:val="22"/>
          <w:szCs w:val="22"/>
        </w:rPr>
        <w:t>The building, and broader precinct,</w:t>
      </w:r>
      <w:proofErr w:type="gramEnd"/>
      <w:r w:rsidRPr="005A29F9">
        <w:rPr>
          <w:rFonts w:ascii="Calibri" w:hAnsi="Calibri" w:cs="Calibri"/>
          <w:bCs/>
          <w:sz w:val="22"/>
          <w:szCs w:val="22"/>
        </w:rPr>
        <w:t xml:space="preserve"> are well-known images and are often used to demonstrate the historical nature and prosperity of the city.</w:t>
      </w:r>
    </w:p>
    <w:p w14:paraId="0216B560" w14:textId="77777777" w:rsidR="005A29F9" w:rsidRPr="005A29F9" w:rsidRDefault="005A29F9" w:rsidP="005A29F9">
      <w:pPr>
        <w:tabs>
          <w:tab w:val="left" w:pos="4253"/>
          <w:tab w:val="left" w:pos="5387"/>
          <w:tab w:val="left" w:pos="8931"/>
        </w:tabs>
        <w:spacing w:after="120" w:line="288" w:lineRule="auto"/>
        <w:ind w:right="-1"/>
        <w:rPr>
          <w:rFonts w:ascii="Calibri" w:hAnsi="Calibri" w:cs="Calibri"/>
          <w:bCs/>
          <w:sz w:val="22"/>
          <w:szCs w:val="22"/>
        </w:rPr>
      </w:pPr>
      <w:r w:rsidRPr="005A29F9">
        <w:rPr>
          <w:rFonts w:ascii="Calibri" w:hAnsi="Calibri" w:cs="Calibri"/>
          <w:bCs/>
          <w:sz w:val="22"/>
          <w:szCs w:val="22"/>
        </w:rPr>
        <w:t>The GPO was the most expensive building constructed to that time by the Colonial Government in South Australia. This emphasises its importance to the colony and the city of Adelaide, further underscored by the involvement of the Duke of Edinburgh in laying the foundation stone.</w:t>
      </w:r>
    </w:p>
    <w:p w14:paraId="3C38E0F1" w14:textId="77777777" w:rsidR="005A29F9" w:rsidRPr="005A29F9" w:rsidRDefault="005A29F9" w:rsidP="005A29F9">
      <w:pPr>
        <w:tabs>
          <w:tab w:val="left" w:pos="4253"/>
          <w:tab w:val="left" w:pos="5387"/>
          <w:tab w:val="left" w:pos="8931"/>
        </w:tabs>
        <w:spacing w:after="120" w:line="288" w:lineRule="auto"/>
        <w:ind w:right="-1"/>
        <w:rPr>
          <w:rFonts w:ascii="Calibri" w:hAnsi="Calibri" w:cs="Calibri"/>
          <w:bCs/>
          <w:sz w:val="22"/>
          <w:szCs w:val="22"/>
        </w:rPr>
      </w:pPr>
      <w:r w:rsidRPr="005A29F9">
        <w:rPr>
          <w:rFonts w:ascii="Calibri" w:hAnsi="Calibri" w:cs="Calibri"/>
          <w:bCs/>
          <w:sz w:val="22"/>
          <w:szCs w:val="22"/>
        </w:rPr>
        <w:t xml:space="preserve">The Adelaide GPO also received the first international telegraph message in Australia in October 1872 via the overland telegraph line, completed between Darwin and Adelaide in August 1872; the Darwin </w:t>
      </w:r>
      <w:r w:rsidRPr="005A29F9">
        <w:rPr>
          <w:rFonts w:ascii="Calibri" w:hAnsi="Calibri" w:cs="Calibri"/>
          <w:bCs/>
          <w:sz w:val="22"/>
          <w:szCs w:val="22"/>
        </w:rPr>
        <w:lastRenderedPageBreak/>
        <w:t>end of the line connected with the undersea cable from Indonesia. This technological leap made communication with the rest of the world possible in hours rather than weeks.</w:t>
      </w:r>
    </w:p>
    <w:p w14:paraId="6D1A58D0" w14:textId="77777777" w:rsidR="008121E3" w:rsidRPr="0041543E" w:rsidRDefault="008F6F66"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t>T</w:t>
      </w:r>
      <w:r w:rsidR="002443EC" w:rsidRPr="0041543E">
        <w:rPr>
          <w:rFonts w:ascii="Calibri" w:hAnsi="Calibri" w:cs="Calibri"/>
          <w:b/>
          <w:bCs/>
          <w:sz w:val="22"/>
          <w:szCs w:val="22"/>
        </w:rPr>
        <w:t xml:space="preserve">he place has </w:t>
      </w:r>
      <w:r w:rsidR="00DB708E">
        <w:rPr>
          <w:rFonts w:ascii="Calibri" w:hAnsi="Calibri" w:cs="Calibri"/>
          <w:b/>
          <w:bCs/>
          <w:sz w:val="22"/>
          <w:szCs w:val="22"/>
        </w:rPr>
        <w:t>significant</w:t>
      </w:r>
      <w:r w:rsidR="002443EC" w:rsidRPr="0041543E">
        <w:rPr>
          <w:rFonts w:ascii="Calibri" w:hAnsi="Calibri" w:cs="Calibri"/>
          <w:b/>
          <w:bCs/>
          <w:sz w:val="22"/>
          <w:szCs w:val="22"/>
        </w:rPr>
        <w:t xml:space="preserve"> heritage value because of the place’s possession of uncommon, </w:t>
      </w:r>
      <w:proofErr w:type="gramStart"/>
      <w:r w:rsidR="002443EC" w:rsidRPr="0041543E">
        <w:rPr>
          <w:rFonts w:ascii="Calibri" w:hAnsi="Calibri" w:cs="Calibri"/>
          <w:b/>
          <w:bCs/>
          <w:sz w:val="22"/>
          <w:szCs w:val="22"/>
        </w:rPr>
        <w:t>rare</w:t>
      </w:r>
      <w:proofErr w:type="gramEnd"/>
      <w:r w:rsidR="002443EC" w:rsidRPr="0041543E">
        <w:rPr>
          <w:rFonts w:ascii="Calibri" w:hAnsi="Calibri" w:cs="Calibri"/>
          <w:b/>
          <w:bCs/>
          <w:sz w:val="22"/>
          <w:szCs w:val="22"/>
        </w:rPr>
        <w:t xml:space="preserve"> or endangered aspects of Australia’s natural or cultural history</w:t>
      </w:r>
      <w:r w:rsidRPr="0041543E">
        <w:rPr>
          <w:rFonts w:ascii="Calibri" w:hAnsi="Calibri" w:cs="Calibri"/>
          <w:b/>
          <w:bCs/>
          <w:sz w:val="22"/>
          <w:szCs w:val="22"/>
        </w:rPr>
        <w:t>.</w:t>
      </w:r>
    </w:p>
    <w:p w14:paraId="26CE1D8C" w14:textId="77777777" w:rsidR="00DB708E" w:rsidRPr="00181FDE" w:rsidRDefault="00DB708E" w:rsidP="00DB708E">
      <w:pPr>
        <w:tabs>
          <w:tab w:val="left" w:pos="4253"/>
          <w:tab w:val="left" w:pos="5387"/>
          <w:tab w:val="left" w:pos="8931"/>
        </w:tabs>
        <w:spacing w:after="120" w:line="288" w:lineRule="auto"/>
        <w:ind w:right="-1"/>
        <w:rPr>
          <w:rFonts w:ascii="Verdana" w:hAnsi="Verdana" w:cs="Arial"/>
          <w:bCs/>
          <w:sz w:val="18"/>
          <w:szCs w:val="18"/>
          <w:u w:val="single"/>
        </w:rPr>
      </w:pPr>
      <w:r w:rsidRPr="00DB708E">
        <w:rPr>
          <w:rFonts w:ascii="Calibri" w:hAnsi="Calibri" w:cs="Calibri"/>
          <w:bCs/>
          <w:sz w:val="22"/>
          <w:szCs w:val="22"/>
          <w:u w:val="single"/>
        </w:rPr>
        <w:t>Extract</w:t>
      </w:r>
      <w:r w:rsidRPr="00181FDE">
        <w:rPr>
          <w:rFonts w:ascii="Verdana" w:hAnsi="Verdana" w:cs="Arial"/>
          <w:bCs/>
          <w:sz w:val="18"/>
          <w:szCs w:val="18"/>
          <w:u w:val="single"/>
        </w:rPr>
        <w:t xml:space="preserve"> from the </w:t>
      </w:r>
      <w:hyperlink r:id="rId22" w:history="1">
        <w:r w:rsidRPr="00181FDE">
          <w:rPr>
            <w:rStyle w:val="Hyperlink"/>
            <w:rFonts w:ascii="Verdana" w:hAnsi="Verdana" w:cs="Arial"/>
            <w:bCs/>
            <w:sz w:val="18"/>
            <w:szCs w:val="18"/>
          </w:rPr>
          <w:t>Orchard Hills Cumberland Plain Woodland</w:t>
        </w:r>
      </w:hyperlink>
      <w:r>
        <w:rPr>
          <w:rFonts w:ascii="Verdana" w:hAnsi="Verdana" w:cs="Arial"/>
          <w:bCs/>
          <w:sz w:val="18"/>
          <w:szCs w:val="18"/>
          <w:u w:val="single"/>
        </w:rPr>
        <w:t>,</w:t>
      </w:r>
      <w:r w:rsidRPr="00181FDE">
        <w:rPr>
          <w:rFonts w:ascii="Verdana" w:hAnsi="Verdana" w:cs="Arial"/>
          <w:bCs/>
          <w:sz w:val="18"/>
          <w:szCs w:val="18"/>
          <w:u w:val="single"/>
        </w:rPr>
        <w:t xml:space="preserve"> Commonwealth Heritage Listing:</w:t>
      </w:r>
    </w:p>
    <w:p w14:paraId="4C50529C" w14:textId="77777777" w:rsidR="00DB708E" w:rsidRPr="00DB708E" w:rsidRDefault="00DB708E" w:rsidP="00DB708E">
      <w:pPr>
        <w:tabs>
          <w:tab w:val="left" w:pos="4253"/>
          <w:tab w:val="left" w:pos="5387"/>
          <w:tab w:val="left" w:pos="8931"/>
        </w:tabs>
        <w:spacing w:after="120" w:line="288" w:lineRule="auto"/>
        <w:ind w:right="-1"/>
        <w:rPr>
          <w:rFonts w:ascii="Calibri" w:hAnsi="Calibri" w:cs="Calibri"/>
          <w:bCs/>
          <w:sz w:val="22"/>
          <w:szCs w:val="22"/>
        </w:rPr>
      </w:pPr>
      <w:r w:rsidRPr="00DB708E">
        <w:rPr>
          <w:rFonts w:ascii="Calibri" w:hAnsi="Calibri" w:cs="Calibri"/>
          <w:bCs/>
          <w:sz w:val="22"/>
          <w:szCs w:val="22"/>
        </w:rPr>
        <w:t>Orchard Hills is almost entirely vegetated with remnants and regenerating areas of Cumberland Plain Woodland and Sydney Coastal River Flat Forest. (NSW NPWS 2000). Cumberland Plain Woodland is regarded as an endangered ecological community at both state and Commonwealth level. Sydney Coastal River Flat Forest is regarded as an endangered ecological community at state level that is poorly represented in reserves. Orchard Hills is regarded as a core biodiversity area for conservation of Grey Box Woodland (Cumberland Plain Woodland) and River Flat Forest (NSW NPWS 1997).</w:t>
      </w:r>
    </w:p>
    <w:p w14:paraId="407E00D7" w14:textId="77777777" w:rsidR="00DB708E" w:rsidRPr="00DB708E" w:rsidRDefault="00DB708E" w:rsidP="00DB708E">
      <w:pPr>
        <w:tabs>
          <w:tab w:val="left" w:pos="4253"/>
          <w:tab w:val="left" w:pos="5387"/>
          <w:tab w:val="left" w:pos="8931"/>
        </w:tabs>
        <w:spacing w:after="120" w:line="288" w:lineRule="auto"/>
        <w:ind w:right="-1"/>
        <w:rPr>
          <w:rFonts w:ascii="Calibri" w:hAnsi="Calibri" w:cs="Calibri"/>
          <w:bCs/>
          <w:sz w:val="22"/>
          <w:szCs w:val="22"/>
        </w:rPr>
      </w:pPr>
      <w:r w:rsidRPr="00DB708E">
        <w:rPr>
          <w:rFonts w:ascii="Calibri" w:hAnsi="Calibri" w:cs="Calibri"/>
          <w:bCs/>
          <w:sz w:val="22"/>
          <w:szCs w:val="22"/>
        </w:rPr>
        <w:t>The bush thickknee (Burhinus grallarius), which is listed as endangered in NSW and has been recorded from Orchard Hills is regarded as a species of the greatest conservation concern in the Cumberland region (NSW NPWS 1997).</w:t>
      </w:r>
    </w:p>
    <w:p w14:paraId="3CF30D99" w14:textId="77777777" w:rsidR="00DB708E" w:rsidRPr="00DB708E" w:rsidRDefault="00DB708E" w:rsidP="00DB708E">
      <w:pPr>
        <w:tabs>
          <w:tab w:val="left" w:pos="4253"/>
          <w:tab w:val="left" w:pos="5387"/>
          <w:tab w:val="left" w:pos="8931"/>
        </w:tabs>
        <w:spacing w:after="120" w:line="288" w:lineRule="auto"/>
        <w:ind w:right="-1"/>
        <w:rPr>
          <w:rFonts w:ascii="Calibri" w:hAnsi="Calibri" w:cs="Calibri"/>
          <w:bCs/>
          <w:sz w:val="22"/>
          <w:szCs w:val="22"/>
        </w:rPr>
      </w:pPr>
      <w:r w:rsidRPr="00DB708E">
        <w:rPr>
          <w:rFonts w:ascii="Calibri" w:hAnsi="Calibri" w:cs="Calibri"/>
          <w:bCs/>
          <w:sz w:val="22"/>
          <w:szCs w:val="22"/>
        </w:rPr>
        <w:t xml:space="preserve">Orchard Hills has one plant listed as vulnerable in NSW, prickly spider-flower (Grevillea juniperina). Six other plant species are found in the place which are regarded as being of regional conservation significance (NSW NPWS 1997). These are spreading bush-pea (Pultenaea microphylla), fuzzweed (Vittadinia pustulata), </w:t>
      </w:r>
      <w:proofErr w:type="gramStart"/>
      <w:r w:rsidRPr="00DB708E">
        <w:rPr>
          <w:rFonts w:ascii="Calibri" w:hAnsi="Calibri" w:cs="Calibri"/>
          <w:bCs/>
          <w:sz w:val="22"/>
          <w:szCs w:val="22"/>
        </w:rPr>
        <w:t>water-milfoil</w:t>
      </w:r>
      <w:proofErr w:type="gramEnd"/>
      <w:r w:rsidRPr="00DB708E">
        <w:rPr>
          <w:rFonts w:ascii="Calibri" w:hAnsi="Calibri" w:cs="Calibri"/>
          <w:bCs/>
          <w:sz w:val="22"/>
          <w:szCs w:val="22"/>
        </w:rPr>
        <w:t xml:space="preserve"> (Myriophyllum simulans), dwarf skull-cap (Scutellaria humilis), early nancy (Wurmbea biglandulosa) and the grass (Panicum obseptum). An additional 32 plant species are found at Orchard Hills which are regarded as inadequately conserved in western Sydney (NSW NPWS 1997). </w:t>
      </w:r>
    </w:p>
    <w:p w14:paraId="535D8A16" w14:textId="77777777" w:rsidR="00DB708E" w:rsidRPr="00DB708E" w:rsidRDefault="00DB708E" w:rsidP="00DB708E">
      <w:pPr>
        <w:tabs>
          <w:tab w:val="left" w:pos="4253"/>
          <w:tab w:val="left" w:pos="5387"/>
          <w:tab w:val="left" w:pos="8931"/>
        </w:tabs>
        <w:spacing w:after="120" w:line="288" w:lineRule="auto"/>
        <w:ind w:right="-1"/>
        <w:rPr>
          <w:rFonts w:ascii="Calibri" w:hAnsi="Calibri" w:cs="Calibri"/>
          <w:bCs/>
          <w:sz w:val="22"/>
          <w:szCs w:val="22"/>
        </w:rPr>
      </w:pPr>
      <w:r w:rsidRPr="00DB708E">
        <w:rPr>
          <w:rFonts w:ascii="Calibri" w:hAnsi="Calibri" w:cs="Calibri"/>
          <w:bCs/>
          <w:sz w:val="22"/>
          <w:szCs w:val="22"/>
        </w:rPr>
        <w:t>The tributaries of Blaxland Creek are regarded as having regional conservation significance for invertebrate species dependant on low levels of agricultural and urban development (NSW NPWS 1997).</w:t>
      </w:r>
    </w:p>
    <w:p w14:paraId="46875039" w14:textId="77777777" w:rsidR="00624714" w:rsidRDefault="00D72354"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t>T</w:t>
      </w:r>
      <w:r w:rsidR="00624714" w:rsidRPr="0041543E">
        <w:rPr>
          <w:rFonts w:ascii="Calibri" w:hAnsi="Calibri" w:cs="Calibri"/>
          <w:b/>
          <w:bCs/>
          <w:sz w:val="22"/>
          <w:szCs w:val="22"/>
        </w:rPr>
        <w:t xml:space="preserve">he place has </w:t>
      </w:r>
      <w:r w:rsidR="00DB708E" w:rsidRPr="00181FDE">
        <w:rPr>
          <w:rFonts w:ascii="Verdana" w:hAnsi="Verdana" w:cs="Arial"/>
          <w:b/>
          <w:bCs/>
          <w:sz w:val="18"/>
          <w:szCs w:val="18"/>
        </w:rPr>
        <w:t xml:space="preserve">significant heritage value because </w:t>
      </w:r>
      <w:r w:rsidR="00624714" w:rsidRPr="0041543E">
        <w:rPr>
          <w:rFonts w:ascii="Calibri" w:hAnsi="Calibri" w:cs="Calibri"/>
          <w:b/>
          <w:bCs/>
          <w:sz w:val="22"/>
          <w:szCs w:val="22"/>
        </w:rPr>
        <w:t>of the place’s potential to yield information that will contribute to an understanding of Australia’s natural or cultural history</w:t>
      </w:r>
      <w:r w:rsidRPr="0041543E">
        <w:rPr>
          <w:rFonts w:ascii="Calibri" w:hAnsi="Calibri" w:cs="Calibri"/>
          <w:b/>
          <w:bCs/>
          <w:sz w:val="22"/>
          <w:szCs w:val="22"/>
        </w:rPr>
        <w:t>.</w:t>
      </w:r>
    </w:p>
    <w:p w14:paraId="501D7991" w14:textId="77777777" w:rsidR="00DB708E" w:rsidRPr="00181FDE" w:rsidRDefault="00DB708E" w:rsidP="003E4480">
      <w:pPr>
        <w:tabs>
          <w:tab w:val="left" w:pos="4253"/>
          <w:tab w:val="left" w:pos="5387"/>
          <w:tab w:val="left" w:pos="8931"/>
        </w:tabs>
        <w:spacing w:after="120"/>
        <w:ind w:right="-1"/>
        <w:rPr>
          <w:rFonts w:ascii="Verdana" w:hAnsi="Verdana" w:cs="Arial"/>
          <w:bCs/>
          <w:sz w:val="18"/>
          <w:szCs w:val="18"/>
          <w:u w:val="single"/>
        </w:rPr>
      </w:pPr>
      <w:r w:rsidRPr="00181FDE">
        <w:rPr>
          <w:rFonts w:ascii="Verdana" w:hAnsi="Verdana" w:cs="Arial"/>
          <w:bCs/>
          <w:sz w:val="18"/>
          <w:szCs w:val="18"/>
          <w:u w:val="single"/>
        </w:rPr>
        <w:t xml:space="preserve">Extract from the </w:t>
      </w:r>
      <w:hyperlink r:id="rId23" w:history="1">
        <w:r w:rsidRPr="00181FDE">
          <w:rPr>
            <w:rStyle w:val="Hyperlink"/>
            <w:rFonts w:ascii="Verdana" w:hAnsi="Verdana" w:cs="Arial"/>
            <w:bCs/>
            <w:sz w:val="18"/>
            <w:szCs w:val="18"/>
          </w:rPr>
          <w:t>Brisbane General Post Office</w:t>
        </w:r>
      </w:hyperlink>
      <w:r>
        <w:rPr>
          <w:rFonts w:ascii="Verdana" w:hAnsi="Verdana" w:cs="Arial"/>
          <w:bCs/>
          <w:sz w:val="18"/>
          <w:szCs w:val="18"/>
          <w:u w:val="single"/>
        </w:rPr>
        <w:t>,</w:t>
      </w:r>
      <w:r w:rsidRPr="00181FDE">
        <w:rPr>
          <w:rFonts w:ascii="Verdana" w:hAnsi="Verdana" w:cs="Arial"/>
          <w:bCs/>
          <w:sz w:val="18"/>
          <w:szCs w:val="18"/>
          <w:u w:val="single"/>
        </w:rPr>
        <w:t xml:space="preserve"> Commonwealth Heritage Listing:</w:t>
      </w:r>
    </w:p>
    <w:p w14:paraId="15CD87DF" w14:textId="77777777" w:rsidR="00DB708E" w:rsidRPr="003E4480" w:rsidRDefault="00DB708E" w:rsidP="00DB708E">
      <w:pPr>
        <w:spacing w:after="120" w:line="288" w:lineRule="auto"/>
        <w:rPr>
          <w:rFonts w:ascii="Calibri" w:hAnsi="Calibri" w:cs="Calibri"/>
          <w:bCs/>
          <w:sz w:val="22"/>
          <w:szCs w:val="22"/>
        </w:rPr>
      </w:pPr>
      <w:r w:rsidRPr="003E4480">
        <w:rPr>
          <w:rFonts w:ascii="Calibri" w:hAnsi="Calibri" w:cs="Calibri"/>
          <w:bCs/>
          <w:sz w:val="22"/>
          <w:szCs w:val="22"/>
        </w:rPr>
        <w:t>The Brisbane GPO site contains a potential archaeological resource which may explain aspects of the Female Factory/Police Court complex dating from 1828, demolished in 1876. Although disturbance of part of the site may have occurred during the 1870s construction of the GPO complex, any remains relating to this phase of occupation of the site are of sufficient age to be of importance in explaining Brisbane’s early history. Map overlays suggest that archaeological features relating to the 1828 Female Factory include a well, a kitchen, part of the outer boundary wall, and the single storey building which originally housed the female convicts.</w:t>
      </w:r>
    </w:p>
    <w:p w14:paraId="08E22179" w14:textId="77777777" w:rsidR="002443EC" w:rsidRPr="0041543E" w:rsidRDefault="00D72354"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t>T</w:t>
      </w:r>
      <w:r w:rsidR="002443EC" w:rsidRPr="0041543E">
        <w:rPr>
          <w:rFonts w:ascii="Calibri" w:hAnsi="Calibri" w:cs="Calibri"/>
          <w:b/>
          <w:bCs/>
          <w:sz w:val="22"/>
          <w:szCs w:val="22"/>
        </w:rPr>
        <w:t xml:space="preserve">he place has </w:t>
      </w:r>
      <w:r w:rsidR="00DB708E" w:rsidRPr="00181FDE">
        <w:rPr>
          <w:rFonts w:ascii="Verdana" w:hAnsi="Verdana" w:cs="Arial"/>
          <w:b/>
          <w:bCs/>
          <w:sz w:val="18"/>
          <w:szCs w:val="18"/>
        </w:rPr>
        <w:t xml:space="preserve">significant heritage value because </w:t>
      </w:r>
      <w:r w:rsidR="002443EC" w:rsidRPr="0041543E">
        <w:rPr>
          <w:rFonts w:ascii="Calibri" w:hAnsi="Calibri" w:cs="Calibri"/>
          <w:b/>
          <w:bCs/>
          <w:sz w:val="22"/>
          <w:szCs w:val="22"/>
        </w:rPr>
        <w:t>of the place’s importance in demonstrating the principal characteristics of:</w:t>
      </w:r>
    </w:p>
    <w:p w14:paraId="662ADFEB" w14:textId="77777777" w:rsidR="002443EC" w:rsidRPr="0041543E" w:rsidRDefault="002443EC" w:rsidP="002967D4">
      <w:pPr>
        <w:numPr>
          <w:ilvl w:val="0"/>
          <w:numId w:val="2"/>
        </w:numPr>
        <w:tabs>
          <w:tab w:val="num" w:pos="567"/>
          <w:tab w:val="num" w:pos="851"/>
          <w:tab w:val="left" w:pos="4253"/>
          <w:tab w:val="left" w:pos="5387"/>
        </w:tabs>
        <w:spacing w:after="120"/>
        <w:ind w:left="0" w:right="-1" w:firstLine="567"/>
        <w:rPr>
          <w:rFonts w:ascii="Calibri" w:hAnsi="Calibri" w:cs="Calibri"/>
          <w:b/>
          <w:bCs/>
          <w:sz w:val="22"/>
          <w:szCs w:val="22"/>
        </w:rPr>
      </w:pPr>
      <w:r w:rsidRPr="0041543E">
        <w:rPr>
          <w:rFonts w:ascii="Calibri" w:hAnsi="Calibri" w:cs="Calibri"/>
          <w:b/>
          <w:bCs/>
          <w:sz w:val="22"/>
          <w:szCs w:val="22"/>
        </w:rPr>
        <w:t>a class of Australia’s natural or cultural places, or</w:t>
      </w:r>
    </w:p>
    <w:p w14:paraId="15DD26B8" w14:textId="77777777" w:rsidR="002443EC" w:rsidRDefault="002443EC" w:rsidP="002967D4">
      <w:pPr>
        <w:numPr>
          <w:ilvl w:val="0"/>
          <w:numId w:val="2"/>
        </w:numPr>
        <w:tabs>
          <w:tab w:val="num" w:pos="567"/>
          <w:tab w:val="num" w:pos="851"/>
          <w:tab w:val="left" w:pos="4253"/>
          <w:tab w:val="left" w:pos="5387"/>
        </w:tabs>
        <w:spacing w:after="120"/>
        <w:ind w:left="0" w:right="-1" w:firstLine="567"/>
        <w:rPr>
          <w:rFonts w:ascii="Calibri" w:hAnsi="Calibri" w:cs="Calibri"/>
          <w:b/>
          <w:bCs/>
          <w:sz w:val="22"/>
          <w:szCs w:val="22"/>
        </w:rPr>
      </w:pPr>
      <w:r w:rsidRPr="0041543E">
        <w:rPr>
          <w:rFonts w:ascii="Calibri" w:hAnsi="Calibri" w:cs="Calibri"/>
          <w:b/>
          <w:bCs/>
          <w:sz w:val="22"/>
          <w:szCs w:val="22"/>
        </w:rPr>
        <w:t>a class of Australia’s natural or cultural environments</w:t>
      </w:r>
      <w:r w:rsidR="00D72354" w:rsidRPr="0041543E">
        <w:rPr>
          <w:rFonts w:ascii="Calibri" w:hAnsi="Calibri" w:cs="Calibri"/>
          <w:b/>
          <w:bCs/>
          <w:sz w:val="22"/>
          <w:szCs w:val="22"/>
        </w:rPr>
        <w:t>.</w:t>
      </w:r>
    </w:p>
    <w:p w14:paraId="60232D58" w14:textId="77777777" w:rsidR="00DB708E" w:rsidRPr="00F913A8" w:rsidRDefault="00DB708E" w:rsidP="003E4480">
      <w:pPr>
        <w:tabs>
          <w:tab w:val="left" w:pos="4253"/>
          <w:tab w:val="left" w:pos="5387"/>
          <w:tab w:val="left" w:pos="8931"/>
        </w:tabs>
        <w:spacing w:after="120"/>
        <w:ind w:right="-1"/>
        <w:rPr>
          <w:rFonts w:ascii="Trebuchet MS" w:hAnsi="Trebuchet MS" w:cs="Arial"/>
          <w:bCs/>
          <w:u w:val="single"/>
        </w:rPr>
      </w:pPr>
      <w:r w:rsidRPr="00DB708E">
        <w:rPr>
          <w:rFonts w:ascii="Verdana" w:hAnsi="Verdana" w:cs="Arial"/>
          <w:bCs/>
          <w:sz w:val="18"/>
          <w:szCs w:val="18"/>
          <w:u w:val="single"/>
        </w:rPr>
        <w:t>Extract</w:t>
      </w:r>
      <w:r w:rsidRPr="00F913A8">
        <w:rPr>
          <w:rFonts w:ascii="Trebuchet MS" w:hAnsi="Trebuchet MS" w:cs="Arial"/>
          <w:bCs/>
          <w:u w:val="single"/>
        </w:rPr>
        <w:t xml:space="preserve"> from the </w:t>
      </w:r>
      <w:hyperlink r:id="rId24" w:history="1">
        <w:r w:rsidRPr="000B35C9">
          <w:rPr>
            <w:rStyle w:val="Hyperlink"/>
            <w:rFonts w:ascii="Trebuchet MS" w:hAnsi="Trebuchet MS" w:cs="Arial"/>
            <w:bCs/>
          </w:rPr>
          <w:t>Old Parliament House and Curtilage</w:t>
        </w:r>
      </w:hyperlink>
      <w:r w:rsidRPr="00F913A8">
        <w:rPr>
          <w:rFonts w:ascii="Trebuchet MS" w:hAnsi="Trebuchet MS" w:cs="Arial"/>
          <w:bCs/>
          <w:u w:val="single"/>
        </w:rPr>
        <w:t>, Commonwealth Heritage Listing:</w:t>
      </w:r>
    </w:p>
    <w:p w14:paraId="408F7444" w14:textId="77777777" w:rsidR="00DB708E" w:rsidRPr="003E4480" w:rsidRDefault="00DB708E" w:rsidP="00DB708E">
      <w:pPr>
        <w:spacing w:after="120" w:line="288" w:lineRule="auto"/>
        <w:rPr>
          <w:rFonts w:ascii="Calibri" w:hAnsi="Calibri" w:cs="Calibri"/>
          <w:bCs/>
          <w:sz w:val="22"/>
          <w:szCs w:val="22"/>
        </w:rPr>
      </w:pPr>
      <w:r w:rsidRPr="003E4480">
        <w:rPr>
          <w:rFonts w:ascii="Calibri" w:hAnsi="Calibri" w:cs="Calibri"/>
          <w:bCs/>
          <w:sz w:val="22"/>
          <w:szCs w:val="22"/>
        </w:rPr>
        <w:t xml:space="preserve">The Old Parliament House is an important landmark in Canberra, Australia's national capital. It is part of the significant cultural landscape of the Parliamentary Triangle, partly reflecting Griffin's design which placed the Government Group of buildings in this corner of the Triangle. This scheme represents in </w:t>
      </w:r>
      <w:r w:rsidRPr="003E4480">
        <w:rPr>
          <w:rFonts w:ascii="Calibri" w:hAnsi="Calibri" w:cs="Calibri"/>
          <w:bCs/>
          <w:sz w:val="22"/>
          <w:szCs w:val="22"/>
        </w:rPr>
        <w:lastRenderedPageBreak/>
        <w:t xml:space="preserve">physical form on the ground the conception of the principal components of parliamentary government - the legislative, </w:t>
      </w:r>
      <w:proofErr w:type="gramStart"/>
      <w:r w:rsidRPr="003E4480">
        <w:rPr>
          <w:rFonts w:ascii="Calibri" w:hAnsi="Calibri" w:cs="Calibri"/>
          <w:bCs/>
          <w:sz w:val="22"/>
          <w:szCs w:val="22"/>
        </w:rPr>
        <w:t>executive</w:t>
      </w:r>
      <w:proofErr w:type="gramEnd"/>
      <w:r w:rsidRPr="003E4480">
        <w:rPr>
          <w:rFonts w:ascii="Calibri" w:hAnsi="Calibri" w:cs="Calibri"/>
          <w:bCs/>
          <w:sz w:val="22"/>
          <w:szCs w:val="22"/>
        </w:rPr>
        <w:t xml:space="preserve"> and judicial - the strict separation of these components and the hierarchical relationship between them. Old Parliament House is highly significant as an integral part of this scheme and, standing near the apex of the Triangle, symbolises the primacy of parliament or the legislature over the other two components.</w:t>
      </w:r>
    </w:p>
    <w:p w14:paraId="5A6C32BD" w14:textId="77777777" w:rsidR="00DB708E" w:rsidRPr="003E4480" w:rsidRDefault="00DB708E" w:rsidP="00DB708E">
      <w:pPr>
        <w:spacing w:after="120" w:line="288" w:lineRule="auto"/>
        <w:rPr>
          <w:rFonts w:ascii="Calibri" w:hAnsi="Calibri" w:cs="Calibri"/>
          <w:bCs/>
          <w:sz w:val="22"/>
          <w:szCs w:val="22"/>
        </w:rPr>
      </w:pPr>
      <w:r w:rsidRPr="003E4480">
        <w:rPr>
          <w:rFonts w:ascii="Calibri" w:hAnsi="Calibri" w:cs="Calibri"/>
          <w:bCs/>
          <w:sz w:val="22"/>
          <w:szCs w:val="22"/>
        </w:rPr>
        <w:t xml:space="preserve">The building also occupies a prominent and strategic location at the southern end of the main Land Axis of Griffin's city </w:t>
      </w:r>
      <w:proofErr w:type="gramStart"/>
      <w:r w:rsidRPr="003E4480">
        <w:rPr>
          <w:rFonts w:ascii="Calibri" w:hAnsi="Calibri" w:cs="Calibri"/>
          <w:bCs/>
          <w:sz w:val="22"/>
          <w:szCs w:val="22"/>
        </w:rPr>
        <w:t>design, and</w:t>
      </w:r>
      <w:proofErr w:type="gramEnd"/>
      <w:r w:rsidRPr="003E4480">
        <w:rPr>
          <w:rFonts w:ascii="Calibri" w:hAnsi="Calibri" w:cs="Calibri"/>
          <w:bCs/>
          <w:sz w:val="22"/>
          <w:szCs w:val="22"/>
        </w:rPr>
        <w:t xml:space="preserve"> contributes to the planned aesthetic qualities of the Parliamentary Triangle. The axis is arguably the pivotal feature of the design. The Old Parliament House is one of four buildings sited on the axis. The other buildings being the Australian War Memorial, Anzac </w:t>
      </w:r>
      <w:proofErr w:type="gramStart"/>
      <w:r w:rsidRPr="003E4480">
        <w:rPr>
          <w:rFonts w:ascii="Calibri" w:hAnsi="Calibri" w:cs="Calibri"/>
          <w:bCs/>
          <w:sz w:val="22"/>
          <w:szCs w:val="22"/>
        </w:rPr>
        <w:t>Hall</w:t>
      </w:r>
      <w:proofErr w:type="gramEnd"/>
      <w:r w:rsidRPr="003E4480">
        <w:rPr>
          <w:rFonts w:ascii="Calibri" w:hAnsi="Calibri" w:cs="Calibri"/>
          <w:bCs/>
          <w:sz w:val="22"/>
          <w:szCs w:val="22"/>
        </w:rPr>
        <w:t xml:space="preserve"> and the current Parliament House. Accordingly, the Old Parliament House makes a major contribution as a viewpoint towards the Australian War Memorial which, together with the reverse view, are some of the most important views in the planned city. Its landmark status was recognised and enhanced by the design and siting of New Parliament House which integrated the building as part of the terminal feature of the North South vista along the Land Axis. </w:t>
      </w:r>
    </w:p>
    <w:p w14:paraId="03E354EE" w14:textId="77777777" w:rsidR="00DB708E" w:rsidRPr="003E4480" w:rsidRDefault="00DB708E" w:rsidP="00DB708E">
      <w:pPr>
        <w:spacing w:after="120" w:line="288" w:lineRule="auto"/>
        <w:rPr>
          <w:rFonts w:ascii="Calibri" w:hAnsi="Calibri" w:cs="Calibri"/>
          <w:bCs/>
          <w:sz w:val="22"/>
          <w:szCs w:val="22"/>
        </w:rPr>
      </w:pPr>
      <w:r w:rsidRPr="003E4480">
        <w:rPr>
          <w:rFonts w:ascii="Calibri" w:hAnsi="Calibri" w:cs="Calibri"/>
          <w:bCs/>
          <w:sz w:val="22"/>
          <w:szCs w:val="22"/>
        </w:rPr>
        <w:t>The success of the building in fulfilling this landmark role is due in part to its stark white colour and symmetry, its privileged siting on the Land Axis and the open landscaping between the building and the lake. The role of the Old Parliament House as a national icon is reinforced by its central location in the nation's capital.  Its stark white colour and symmetry, its siting on the Land Axis, its visual relationship with Parliament House in the north-south vista, and the open landscape between the building and the lake.</w:t>
      </w:r>
    </w:p>
    <w:p w14:paraId="433DE0E3" w14:textId="77777777" w:rsidR="002443EC" w:rsidRDefault="00D72354"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t>T</w:t>
      </w:r>
      <w:r w:rsidR="002443EC" w:rsidRPr="0041543E">
        <w:rPr>
          <w:rFonts w:ascii="Calibri" w:hAnsi="Calibri" w:cs="Calibri"/>
          <w:b/>
          <w:bCs/>
          <w:sz w:val="22"/>
          <w:szCs w:val="22"/>
        </w:rPr>
        <w:t xml:space="preserve">he place has </w:t>
      </w:r>
      <w:r w:rsidR="00DB708E" w:rsidRPr="00181FDE">
        <w:rPr>
          <w:rFonts w:ascii="Verdana" w:hAnsi="Verdana" w:cs="Arial"/>
          <w:b/>
          <w:bCs/>
          <w:sz w:val="18"/>
          <w:szCs w:val="18"/>
        </w:rPr>
        <w:t xml:space="preserve">significant heritage value because </w:t>
      </w:r>
      <w:r w:rsidR="002443EC" w:rsidRPr="0041543E">
        <w:rPr>
          <w:rFonts w:ascii="Calibri" w:hAnsi="Calibri" w:cs="Calibri"/>
          <w:b/>
          <w:bCs/>
          <w:sz w:val="22"/>
          <w:szCs w:val="22"/>
        </w:rPr>
        <w:t xml:space="preserve">of the place’s importance in exhibiting </w:t>
      </w:r>
      <w:proofErr w:type="gramStart"/>
      <w:r w:rsidR="002443EC" w:rsidRPr="0041543E">
        <w:rPr>
          <w:rFonts w:ascii="Calibri" w:hAnsi="Calibri" w:cs="Calibri"/>
          <w:b/>
          <w:bCs/>
          <w:sz w:val="22"/>
          <w:szCs w:val="22"/>
        </w:rPr>
        <w:t>particular aesthetic</w:t>
      </w:r>
      <w:proofErr w:type="gramEnd"/>
      <w:r w:rsidR="002443EC" w:rsidRPr="0041543E">
        <w:rPr>
          <w:rFonts w:ascii="Calibri" w:hAnsi="Calibri" w:cs="Calibri"/>
          <w:b/>
          <w:bCs/>
          <w:sz w:val="22"/>
          <w:szCs w:val="22"/>
        </w:rPr>
        <w:t xml:space="preserve"> characteristics valued by a community or cultural group</w:t>
      </w:r>
      <w:r w:rsidRPr="0041543E">
        <w:rPr>
          <w:rFonts w:ascii="Calibri" w:hAnsi="Calibri" w:cs="Calibri"/>
          <w:b/>
          <w:bCs/>
          <w:sz w:val="22"/>
          <w:szCs w:val="22"/>
        </w:rPr>
        <w:t>.</w:t>
      </w:r>
    </w:p>
    <w:p w14:paraId="37E947AC" w14:textId="77777777" w:rsidR="00DB708E" w:rsidRDefault="00DB708E" w:rsidP="003E4480">
      <w:pPr>
        <w:tabs>
          <w:tab w:val="left" w:pos="4253"/>
          <w:tab w:val="left" w:pos="5387"/>
          <w:tab w:val="left" w:pos="8931"/>
        </w:tabs>
        <w:spacing w:after="120"/>
        <w:ind w:right="-1"/>
        <w:rPr>
          <w:rFonts w:ascii="Trebuchet MS" w:hAnsi="Trebuchet MS" w:cs="Arial"/>
          <w:bCs/>
          <w:u w:val="single"/>
        </w:rPr>
      </w:pPr>
      <w:r w:rsidRPr="005014A7">
        <w:rPr>
          <w:rFonts w:ascii="Verdana" w:hAnsi="Verdana" w:cs="Arial"/>
          <w:bCs/>
          <w:sz w:val="18"/>
          <w:szCs w:val="18"/>
          <w:u w:val="single"/>
        </w:rPr>
        <w:t xml:space="preserve">Extract from the </w:t>
      </w:r>
      <w:hyperlink r:id="rId25" w:history="1">
        <w:r w:rsidRPr="005014A7">
          <w:rPr>
            <w:rStyle w:val="Hyperlink"/>
            <w:rFonts w:ascii="Verdana" w:hAnsi="Verdana" w:cs="Arial"/>
            <w:bCs/>
            <w:sz w:val="18"/>
            <w:szCs w:val="18"/>
          </w:rPr>
          <w:t>Australian Maritime College</w:t>
        </w:r>
        <w:r w:rsidR="005014A7" w:rsidRPr="005014A7">
          <w:rPr>
            <w:u w:val="single"/>
          </w:rPr>
          <w:t>,</w:t>
        </w:r>
        <w:r w:rsidRPr="005014A7">
          <w:rPr>
            <w:u w:val="single"/>
          </w:rPr>
          <w:t xml:space="preserve"> </w:t>
        </w:r>
        <w:r w:rsidRPr="005014A7">
          <w:rPr>
            <w:rFonts w:ascii="Verdana" w:hAnsi="Verdana" w:cs="Arial"/>
            <w:bCs/>
            <w:sz w:val="18"/>
            <w:szCs w:val="18"/>
            <w:u w:val="single"/>
          </w:rPr>
          <w:t>Commonwealth</w:t>
        </w:r>
        <w:r w:rsidRPr="005014A7">
          <w:rPr>
            <w:rStyle w:val="Hyperlink"/>
            <w:rFonts w:ascii="Verdana" w:hAnsi="Verdana" w:cs="Arial"/>
            <w:bCs/>
            <w:sz w:val="18"/>
            <w:szCs w:val="18"/>
          </w:rPr>
          <w:t xml:space="preserve"> </w:t>
        </w:r>
      </w:hyperlink>
      <w:r w:rsidRPr="00181FDE">
        <w:rPr>
          <w:rFonts w:ascii="Verdana" w:hAnsi="Verdana" w:cs="Arial"/>
          <w:bCs/>
          <w:sz w:val="18"/>
          <w:szCs w:val="18"/>
          <w:u w:val="single"/>
        </w:rPr>
        <w:t>Heritage Listing</w:t>
      </w:r>
      <w:r w:rsidRPr="004F110C">
        <w:rPr>
          <w:rFonts w:ascii="Trebuchet MS" w:hAnsi="Trebuchet MS" w:cs="Arial"/>
          <w:bCs/>
          <w:u w:val="single"/>
        </w:rPr>
        <w:t>:</w:t>
      </w:r>
    </w:p>
    <w:p w14:paraId="0B6F57D8" w14:textId="77777777" w:rsidR="00DB708E" w:rsidRPr="003E4480" w:rsidRDefault="00DB708E" w:rsidP="00DB708E">
      <w:pPr>
        <w:spacing w:after="120" w:line="288" w:lineRule="auto"/>
        <w:rPr>
          <w:rFonts w:ascii="Calibri" w:hAnsi="Calibri" w:cs="Calibri"/>
          <w:bCs/>
          <w:sz w:val="22"/>
          <w:szCs w:val="22"/>
        </w:rPr>
      </w:pPr>
      <w:r w:rsidRPr="003E4480">
        <w:rPr>
          <w:rFonts w:ascii="Calibri" w:hAnsi="Calibri" w:cs="Calibri"/>
          <w:bCs/>
          <w:sz w:val="22"/>
          <w:szCs w:val="22"/>
        </w:rPr>
        <w:t xml:space="preserve">The Newnham Estate, in particular the placement of Newnham Hall and the Riverside Cottage and Riverside Cottage Avenue, and the alignment of boundaries and plantings, are visually linked to the Tamar River. The pastoral landscape, </w:t>
      </w:r>
      <w:proofErr w:type="gramStart"/>
      <w:r w:rsidRPr="003E4480">
        <w:rPr>
          <w:rFonts w:ascii="Calibri" w:hAnsi="Calibri" w:cs="Calibri"/>
          <w:bCs/>
          <w:sz w:val="22"/>
          <w:szCs w:val="22"/>
        </w:rPr>
        <w:t>views</w:t>
      </w:r>
      <w:proofErr w:type="gramEnd"/>
      <w:r w:rsidRPr="003E4480">
        <w:rPr>
          <w:rFonts w:ascii="Calibri" w:hAnsi="Calibri" w:cs="Calibri"/>
          <w:bCs/>
          <w:sz w:val="22"/>
          <w:szCs w:val="22"/>
        </w:rPr>
        <w:t xml:space="preserve"> and open spaces, are of enduring value and aesthetic significance. </w:t>
      </w:r>
    </w:p>
    <w:p w14:paraId="4989C273" w14:textId="77777777" w:rsidR="00DB708E" w:rsidRPr="003E4480" w:rsidRDefault="00DB708E" w:rsidP="00DB708E">
      <w:pPr>
        <w:spacing w:after="120" w:line="288" w:lineRule="auto"/>
        <w:rPr>
          <w:rFonts w:ascii="Calibri" w:hAnsi="Calibri" w:cs="Calibri"/>
          <w:bCs/>
          <w:sz w:val="22"/>
          <w:szCs w:val="22"/>
        </w:rPr>
      </w:pPr>
      <w:r w:rsidRPr="003E4480">
        <w:rPr>
          <w:rFonts w:ascii="Calibri" w:hAnsi="Calibri" w:cs="Calibri"/>
          <w:bCs/>
          <w:sz w:val="22"/>
          <w:szCs w:val="22"/>
        </w:rPr>
        <w:t xml:space="preserve">The proportions and siting of the Newnham Hall reflect the original intention that the estate be viewed and approached from the Tamar River. Other significant views from Newnham Hall and adjacent areas extend over a landfall to the Tamar River and to the landscape beyond. </w:t>
      </w:r>
    </w:p>
    <w:p w14:paraId="44F58C78" w14:textId="77777777" w:rsidR="00DB708E" w:rsidRPr="003E4480" w:rsidRDefault="00DB708E" w:rsidP="00DB708E">
      <w:pPr>
        <w:spacing w:after="120" w:line="288" w:lineRule="auto"/>
        <w:rPr>
          <w:rFonts w:ascii="Calibri" w:hAnsi="Calibri" w:cs="Calibri"/>
          <w:bCs/>
          <w:sz w:val="22"/>
          <w:szCs w:val="22"/>
        </w:rPr>
      </w:pPr>
      <w:r w:rsidRPr="003E4480">
        <w:rPr>
          <w:rFonts w:ascii="Calibri" w:hAnsi="Calibri" w:cs="Calibri"/>
          <w:bCs/>
          <w:sz w:val="22"/>
          <w:szCs w:val="22"/>
        </w:rPr>
        <w:t xml:space="preserve">Internal views within and between historical elements of the Newnham Estate are aesthetically significant and reinforce the spatial relationships between architectural and landscape elements. </w:t>
      </w:r>
    </w:p>
    <w:p w14:paraId="1B1AB781" w14:textId="77777777" w:rsidR="005A29F9" w:rsidRDefault="00DB708E" w:rsidP="00DB708E">
      <w:pPr>
        <w:spacing w:after="120" w:line="288" w:lineRule="auto"/>
        <w:rPr>
          <w:rFonts w:ascii="Calibri" w:hAnsi="Calibri" w:cs="Calibri"/>
          <w:bCs/>
          <w:sz w:val="22"/>
          <w:szCs w:val="22"/>
        </w:rPr>
      </w:pPr>
      <w:r w:rsidRPr="003E4480">
        <w:rPr>
          <w:rFonts w:ascii="Calibri" w:hAnsi="Calibri" w:cs="Calibri"/>
          <w:bCs/>
          <w:sz w:val="22"/>
          <w:szCs w:val="22"/>
        </w:rPr>
        <w:t xml:space="preserve">The heritage precincts of Newnham Hall demonstrate the aesthetic and technical improvements made to a colonial estate in the 1840s and 50s including the construction of the riverside front to the Hall complete with a rich interior decoration to the principal rooms; the sweeping entrance driveway; the landscaped gardens; the provision of a compact but picturesque Riverside Cottage and The Early Cottage or Lodge (demolished); and the functionally designed stableyard and associated yards and equipment designed on the central axis of the Hall. The aesthetic characteristics of the individual buildings, plus their location relative to one another and the Tamar River, the pastoral landscape, views (particularly of the Hall from the river) plus open spaces. </w:t>
      </w:r>
    </w:p>
    <w:p w14:paraId="6AFE9685" w14:textId="77777777" w:rsidR="00DB708E" w:rsidRPr="003E4480" w:rsidRDefault="00DB708E" w:rsidP="005A29F9"/>
    <w:p w14:paraId="43E1512C" w14:textId="77777777" w:rsidR="002443EC" w:rsidRDefault="00D72354"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lastRenderedPageBreak/>
        <w:t>T</w:t>
      </w:r>
      <w:r w:rsidR="002443EC" w:rsidRPr="0041543E">
        <w:rPr>
          <w:rFonts w:ascii="Calibri" w:hAnsi="Calibri" w:cs="Calibri"/>
          <w:b/>
          <w:bCs/>
          <w:sz w:val="22"/>
          <w:szCs w:val="22"/>
        </w:rPr>
        <w:t xml:space="preserve">he place has </w:t>
      </w:r>
      <w:r w:rsidR="00DB708E" w:rsidRPr="00181FDE">
        <w:rPr>
          <w:rFonts w:ascii="Verdana" w:hAnsi="Verdana" w:cs="Arial"/>
          <w:b/>
          <w:bCs/>
          <w:sz w:val="18"/>
          <w:szCs w:val="18"/>
        </w:rPr>
        <w:t xml:space="preserve">significant heritage value because </w:t>
      </w:r>
      <w:r w:rsidR="002443EC" w:rsidRPr="0041543E">
        <w:rPr>
          <w:rFonts w:ascii="Calibri" w:hAnsi="Calibri" w:cs="Calibri"/>
          <w:b/>
          <w:bCs/>
          <w:sz w:val="22"/>
          <w:szCs w:val="22"/>
        </w:rPr>
        <w:t>of the place’s importance in demonstrating a high degree of creative or technical achievement at a particular period</w:t>
      </w:r>
      <w:r w:rsidRPr="0041543E">
        <w:rPr>
          <w:rFonts w:ascii="Calibri" w:hAnsi="Calibri" w:cs="Calibri"/>
          <w:b/>
          <w:bCs/>
          <w:sz w:val="22"/>
          <w:szCs w:val="22"/>
        </w:rPr>
        <w:t>.</w:t>
      </w:r>
    </w:p>
    <w:p w14:paraId="35F3CB58" w14:textId="77777777" w:rsidR="00DB708E" w:rsidRPr="00181FDE" w:rsidRDefault="00DB708E" w:rsidP="003E4480">
      <w:pPr>
        <w:tabs>
          <w:tab w:val="left" w:pos="4253"/>
          <w:tab w:val="left" w:pos="5387"/>
          <w:tab w:val="left" w:pos="8931"/>
        </w:tabs>
        <w:spacing w:after="120"/>
        <w:ind w:right="-1"/>
        <w:rPr>
          <w:rFonts w:ascii="Verdana" w:hAnsi="Verdana" w:cs="Arial"/>
          <w:bCs/>
          <w:sz w:val="18"/>
          <w:szCs w:val="18"/>
          <w:u w:val="single"/>
        </w:rPr>
      </w:pPr>
      <w:r w:rsidRPr="00181FDE">
        <w:rPr>
          <w:rFonts w:ascii="Verdana" w:hAnsi="Verdana" w:cs="Arial"/>
          <w:bCs/>
          <w:sz w:val="18"/>
          <w:szCs w:val="18"/>
          <w:u w:val="single"/>
        </w:rPr>
        <w:t xml:space="preserve">Extract from the </w:t>
      </w:r>
      <w:hyperlink r:id="rId26" w:history="1">
        <w:r w:rsidRPr="00181FDE">
          <w:rPr>
            <w:rStyle w:val="Hyperlink"/>
            <w:rFonts w:ascii="Verdana" w:hAnsi="Verdana" w:cs="Arial"/>
            <w:bCs/>
            <w:sz w:val="18"/>
            <w:szCs w:val="18"/>
          </w:rPr>
          <w:t>Sydney Air Traffic Control Tower</w:t>
        </w:r>
      </w:hyperlink>
      <w:r>
        <w:rPr>
          <w:rFonts w:ascii="Verdana" w:hAnsi="Verdana" w:cs="Arial"/>
          <w:bCs/>
          <w:sz w:val="18"/>
          <w:szCs w:val="18"/>
          <w:u w:val="single"/>
        </w:rPr>
        <w:t>,</w:t>
      </w:r>
      <w:r w:rsidRPr="00181FDE">
        <w:rPr>
          <w:rFonts w:ascii="Verdana" w:hAnsi="Verdana" w:cs="Arial"/>
          <w:bCs/>
          <w:sz w:val="18"/>
          <w:szCs w:val="18"/>
          <w:u w:val="single"/>
        </w:rPr>
        <w:t xml:space="preserve"> Commonwealth Heritage Listing:</w:t>
      </w:r>
    </w:p>
    <w:p w14:paraId="64CCB7F2" w14:textId="77777777" w:rsidR="00DB708E" w:rsidRPr="003E4480" w:rsidRDefault="00DB708E" w:rsidP="00DB708E">
      <w:pPr>
        <w:spacing w:after="120" w:line="288" w:lineRule="auto"/>
        <w:rPr>
          <w:rFonts w:ascii="Calibri" w:hAnsi="Calibri" w:cs="Calibri"/>
          <w:bCs/>
          <w:sz w:val="22"/>
          <w:szCs w:val="22"/>
        </w:rPr>
      </w:pPr>
      <w:r w:rsidRPr="003E4480">
        <w:rPr>
          <w:rFonts w:ascii="Calibri" w:hAnsi="Calibri" w:cs="Calibri"/>
          <w:bCs/>
          <w:sz w:val="22"/>
          <w:szCs w:val="22"/>
        </w:rPr>
        <w:t xml:space="preserve">Sydney Air Traffic Control tower embodies </w:t>
      </w:r>
      <w:proofErr w:type="gramStart"/>
      <w:r w:rsidRPr="003E4480">
        <w:rPr>
          <w:rFonts w:ascii="Calibri" w:hAnsi="Calibri" w:cs="Calibri"/>
          <w:bCs/>
          <w:sz w:val="22"/>
          <w:szCs w:val="22"/>
        </w:rPr>
        <w:t>a number of</w:t>
      </w:r>
      <w:proofErr w:type="gramEnd"/>
      <w:r w:rsidRPr="003E4480">
        <w:rPr>
          <w:rFonts w:ascii="Calibri" w:hAnsi="Calibri" w:cs="Calibri"/>
          <w:bCs/>
          <w:sz w:val="22"/>
          <w:szCs w:val="22"/>
        </w:rPr>
        <w:t xml:space="preserve"> new ideas, both architectural and technical. It is the only cable-stayed control tower in Australia, and one of very few internationally. The cabin roof, carried on a single central column, was another Australian ‘first’ – the central column avoids interruption to sightlines by external columns. It was the first Australian tower with a circular cabin, and first to be fitted with a peripheral console, an established format internationally and the preferred future form in Australia. The requirement for unimpeded sightlines over the expanded airport dictated the use of peripheral consoles, which in turn informed the requirement for a central column to support the cabin roof. These design features, practically resolved at Sydney 5 Air Traffic Control tower, were requirements of the brief.</w:t>
      </w:r>
    </w:p>
    <w:p w14:paraId="1CB9BBF9" w14:textId="77777777" w:rsidR="00DB708E" w:rsidRPr="003E4480" w:rsidRDefault="00DB708E" w:rsidP="00DB708E">
      <w:pPr>
        <w:spacing w:after="120" w:line="288" w:lineRule="auto"/>
        <w:rPr>
          <w:rFonts w:ascii="Calibri" w:hAnsi="Calibri" w:cs="Calibri"/>
          <w:bCs/>
          <w:sz w:val="22"/>
          <w:szCs w:val="22"/>
        </w:rPr>
      </w:pPr>
      <w:r w:rsidRPr="003E4480">
        <w:rPr>
          <w:rFonts w:ascii="Calibri" w:hAnsi="Calibri" w:cs="Calibri"/>
          <w:bCs/>
          <w:sz w:val="22"/>
          <w:szCs w:val="22"/>
        </w:rPr>
        <w:t xml:space="preserve">Sydney 5 was also the first tower in Australia to employ computer screen-based technology for its control consoles, derived from the ‘fly-by-wire’ concept used in modern aircraft. The touch-screen consoles give controllers ready access to radar, </w:t>
      </w:r>
      <w:proofErr w:type="gramStart"/>
      <w:r w:rsidRPr="003E4480">
        <w:rPr>
          <w:rFonts w:ascii="Calibri" w:hAnsi="Calibri" w:cs="Calibri"/>
          <w:bCs/>
          <w:sz w:val="22"/>
          <w:szCs w:val="22"/>
        </w:rPr>
        <w:t>communication</w:t>
      </w:r>
      <w:proofErr w:type="gramEnd"/>
      <w:r w:rsidRPr="003E4480">
        <w:rPr>
          <w:rFonts w:ascii="Calibri" w:hAnsi="Calibri" w:cs="Calibri"/>
          <w:bCs/>
          <w:sz w:val="22"/>
          <w:szCs w:val="22"/>
        </w:rPr>
        <w:t xml:space="preserve"> and meteorological data displays. The use of touch-screen technology is consistent with on-going international developments in air traffic management. However, it is the formal appearance of Sydney 5 ATC tower that </w:t>
      </w:r>
      <w:proofErr w:type="gramStart"/>
      <w:r w:rsidRPr="003E4480">
        <w:rPr>
          <w:rFonts w:ascii="Calibri" w:hAnsi="Calibri" w:cs="Calibri"/>
          <w:bCs/>
          <w:sz w:val="22"/>
          <w:szCs w:val="22"/>
        </w:rPr>
        <w:t>is considered to be</w:t>
      </w:r>
      <w:proofErr w:type="gramEnd"/>
      <w:r w:rsidRPr="003E4480">
        <w:rPr>
          <w:rFonts w:ascii="Calibri" w:hAnsi="Calibri" w:cs="Calibri"/>
          <w:bCs/>
          <w:sz w:val="22"/>
          <w:szCs w:val="22"/>
        </w:rPr>
        <w:t xml:space="preserve"> of greatest interest.</w:t>
      </w:r>
    </w:p>
    <w:p w14:paraId="1C6CF901" w14:textId="77777777" w:rsidR="00DB708E" w:rsidRPr="003E4480" w:rsidRDefault="00DB708E" w:rsidP="00DB708E">
      <w:pPr>
        <w:spacing w:after="120" w:line="288" w:lineRule="auto"/>
        <w:rPr>
          <w:rFonts w:ascii="Calibri" w:hAnsi="Calibri" w:cs="Calibri"/>
          <w:bCs/>
          <w:sz w:val="22"/>
          <w:szCs w:val="22"/>
        </w:rPr>
      </w:pPr>
      <w:r w:rsidRPr="003E4480">
        <w:rPr>
          <w:rFonts w:ascii="Calibri" w:hAnsi="Calibri" w:cs="Calibri"/>
          <w:bCs/>
          <w:sz w:val="22"/>
          <w:szCs w:val="22"/>
        </w:rPr>
        <w:t xml:space="preserve">The external expression of the tower was an innovative and highly creative interpretation of the standard brief for control towers, adapting conventional control tower forms to explore the potential presented by its prominent site. An assured and resolved design by a prominent award-winning architect, Sydney 5 ATC tower stands as the first (and to date, the only) control tower in Australia consciously designed as a </w:t>
      </w:r>
      <w:proofErr w:type="gramStart"/>
      <w:r w:rsidRPr="003E4480">
        <w:rPr>
          <w:rFonts w:ascii="Calibri" w:hAnsi="Calibri" w:cs="Calibri"/>
          <w:bCs/>
          <w:sz w:val="22"/>
          <w:szCs w:val="22"/>
        </w:rPr>
        <w:t>landmark, and</w:t>
      </w:r>
      <w:proofErr w:type="gramEnd"/>
      <w:r w:rsidRPr="003E4480">
        <w:rPr>
          <w:rFonts w:ascii="Calibri" w:hAnsi="Calibri" w:cs="Calibri"/>
          <w:bCs/>
          <w:sz w:val="22"/>
          <w:szCs w:val="22"/>
        </w:rPr>
        <w:t xml:space="preserve"> displaying such distinctive and flamboyant architectural qualities. Its predecessors in the Australian context were either utilitarian structures based on standardised models (1950s-1980s</w:t>
      </w:r>
      <w:proofErr w:type="gramStart"/>
      <w:r w:rsidRPr="003E4480">
        <w:rPr>
          <w:rFonts w:ascii="Calibri" w:hAnsi="Calibri" w:cs="Calibri"/>
          <w:bCs/>
          <w:sz w:val="22"/>
          <w:szCs w:val="22"/>
        </w:rPr>
        <w:t>), or</w:t>
      </w:r>
      <w:proofErr w:type="gramEnd"/>
      <w:r w:rsidRPr="003E4480">
        <w:rPr>
          <w:rFonts w:ascii="Calibri" w:hAnsi="Calibri" w:cs="Calibri"/>
          <w:bCs/>
          <w:sz w:val="22"/>
          <w:szCs w:val="22"/>
        </w:rPr>
        <w:t xml:space="preserve"> imposing but comparatively restrained forms comprised of slender concrete columns surmounted by amenities/services with cabins above (late-1960s to present). By way of comparison, the towers at Perth Airport (commissioned 1986) and Brisbane Airport (1988) are taller but far more restrained architecturally; both are facetted concrete columns flaring at c. 45m to accommodate amenities/services and control cabins.</w:t>
      </w:r>
    </w:p>
    <w:p w14:paraId="1B996206" w14:textId="77777777" w:rsidR="00DB708E" w:rsidRPr="003E4480" w:rsidRDefault="00DB708E" w:rsidP="00DB708E">
      <w:pPr>
        <w:spacing w:after="120" w:line="288" w:lineRule="auto"/>
        <w:rPr>
          <w:rFonts w:ascii="Calibri" w:hAnsi="Calibri" w:cs="Calibri"/>
          <w:bCs/>
          <w:sz w:val="22"/>
          <w:szCs w:val="22"/>
        </w:rPr>
      </w:pPr>
      <w:r w:rsidRPr="003E4480">
        <w:rPr>
          <w:rFonts w:ascii="Calibri" w:hAnsi="Calibri" w:cs="Calibri"/>
          <w:bCs/>
          <w:sz w:val="22"/>
          <w:szCs w:val="22"/>
        </w:rPr>
        <w:t xml:space="preserve">Australian towers built </w:t>
      </w:r>
      <w:proofErr w:type="gramStart"/>
      <w:r w:rsidRPr="003E4480">
        <w:rPr>
          <w:rFonts w:ascii="Calibri" w:hAnsi="Calibri" w:cs="Calibri"/>
          <w:bCs/>
          <w:sz w:val="22"/>
          <w:szCs w:val="22"/>
        </w:rPr>
        <w:t>subsequent to</w:t>
      </w:r>
      <w:proofErr w:type="gramEnd"/>
      <w:r w:rsidRPr="003E4480">
        <w:rPr>
          <w:rFonts w:ascii="Calibri" w:hAnsi="Calibri" w:cs="Calibri"/>
          <w:bCs/>
          <w:sz w:val="22"/>
          <w:szCs w:val="22"/>
        </w:rPr>
        <w:t xml:space="preserve"> Sydney 5 (commissioned in 1996) have been variations on the column-and-pod model, while a number of towers built overseas since Sydney 5 have been designed as civic markers.</w:t>
      </w:r>
    </w:p>
    <w:p w14:paraId="66523EAB" w14:textId="77777777" w:rsidR="002443EC" w:rsidRDefault="00AC7E3E"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t>T</w:t>
      </w:r>
      <w:r w:rsidR="002443EC" w:rsidRPr="0041543E">
        <w:rPr>
          <w:rFonts w:ascii="Calibri" w:hAnsi="Calibri" w:cs="Calibri"/>
          <w:b/>
          <w:bCs/>
          <w:sz w:val="22"/>
          <w:szCs w:val="22"/>
        </w:rPr>
        <w:t xml:space="preserve">he place has </w:t>
      </w:r>
      <w:r w:rsidR="00DB708E" w:rsidRPr="00181FDE">
        <w:rPr>
          <w:rFonts w:ascii="Verdana" w:hAnsi="Verdana" w:cs="Arial"/>
          <w:b/>
          <w:bCs/>
          <w:sz w:val="18"/>
          <w:szCs w:val="18"/>
        </w:rPr>
        <w:t xml:space="preserve">significant heritage value because </w:t>
      </w:r>
      <w:r w:rsidR="002443EC" w:rsidRPr="0041543E">
        <w:rPr>
          <w:rFonts w:ascii="Calibri" w:hAnsi="Calibri" w:cs="Calibri"/>
          <w:b/>
          <w:bCs/>
          <w:sz w:val="22"/>
          <w:szCs w:val="22"/>
        </w:rPr>
        <w:t xml:space="preserve">of the place’s strong or special association with a particular community or cultural group for social, </w:t>
      </w:r>
      <w:proofErr w:type="gramStart"/>
      <w:r w:rsidR="002443EC" w:rsidRPr="0041543E">
        <w:rPr>
          <w:rFonts w:ascii="Calibri" w:hAnsi="Calibri" w:cs="Calibri"/>
          <w:b/>
          <w:bCs/>
          <w:sz w:val="22"/>
          <w:szCs w:val="22"/>
        </w:rPr>
        <w:t>cultural</w:t>
      </w:r>
      <w:proofErr w:type="gramEnd"/>
      <w:r w:rsidR="002443EC" w:rsidRPr="0041543E">
        <w:rPr>
          <w:rFonts w:ascii="Calibri" w:hAnsi="Calibri" w:cs="Calibri"/>
          <w:b/>
          <w:bCs/>
          <w:sz w:val="22"/>
          <w:szCs w:val="22"/>
        </w:rPr>
        <w:t xml:space="preserve"> or spiritual reasons</w:t>
      </w:r>
      <w:r w:rsidRPr="0041543E">
        <w:rPr>
          <w:rFonts w:ascii="Calibri" w:hAnsi="Calibri" w:cs="Calibri"/>
          <w:b/>
          <w:bCs/>
          <w:sz w:val="22"/>
          <w:szCs w:val="22"/>
        </w:rPr>
        <w:t>.</w:t>
      </w:r>
    </w:p>
    <w:p w14:paraId="7C3B12B0" w14:textId="77777777" w:rsidR="00DB708E" w:rsidRPr="00181FDE" w:rsidRDefault="00DB708E" w:rsidP="003E4480">
      <w:pPr>
        <w:tabs>
          <w:tab w:val="left" w:pos="4253"/>
          <w:tab w:val="left" w:pos="5387"/>
          <w:tab w:val="left" w:pos="8931"/>
        </w:tabs>
        <w:spacing w:after="120"/>
        <w:ind w:right="-1"/>
        <w:rPr>
          <w:rFonts w:ascii="Verdana" w:hAnsi="Verdana" w:cs="Arial"/>
          <w:bCs/>
          <w:sz w:val="18"/>
          <w:szCs w:val="18"/>
          <w:u w:val="single"/>
        </w:rPr>
      </w:pPr>
      <w:r w:rsidRPr="00181FDE">
        <w:rPr>
          <w:rFonts w:ascii="Verdana" w:hAnsi="Verdana" w:cs="Arial"/>
          <w:bCs/>
          <w:sz w:val="18"/>
          <w:szCs w:val="18"/>
          <w:u w:val="single"/>
        </w:rPr>
        <w:t xml:space="preserve">Extract from the </w:t>
      </w:r>
      <w:hyperlink r:id="rId27" w:history="1">
        <w:r w:rsidRPr="00181FDE">
          <w:rPr>
            <w:rStyle w:val="Hyperlink"/>
            <w:rFonts w:ascii="Verdana" w:hAnsi="Verdana" w:cs="Arial"/>
            <w:bCs/>
            <w:sz w:val="18"/>
            <w:szCs w:val="18"/>
          </w:rPr>
          <w:t>Edward Bra</w:t>
        </w:r>
        <w:r w:rsidRPr="00181FDE">
          <w:rPr>
            <w:rStyle w:val="Hyperlink"/>
            <w:rFonts w:ascii="Verdana" w:hAnsi="Verdana" w:cs="Arial"/>
            <w:bCs/>
            <w:sz w:val="18"/>
            <w:szCs w:val="18"/>
          </w:rPr>
          <w:t>d</w:t>
        </w:r>
        <w:r w:rsidRPr="00181FDE">
          <w:rPr>
            <w:rStyle w:val="Hyperlink"/>
            <w:rFonts w:ascii="Verdana" w:hAnsi="Verdana" w:cs="Arial"/>
            <w:bCs/>
            <w:sz w:val="18"/>
            <w:szCs w:val="18"/>
          </w:rPr>
          <w:t>don Commonwealth Law Court</w:t>
        </w:r>
      </w:hyperlink>
      <w:r>
        <w:rPr>
          <w:rFonts w:ascii="Verdana" w:hAnsi="Verdana" w:cs="Arial"/>
          <w:bCs/>
          <w:sz w:val="18"/>
          <w:szCs w:val="18"/>
          <w:u w:val="single"/>
        </w:rPr>
        <w:t>,</w:t>
      </w:r>
      <w:r w:rsidRPr="00181FDE">
        <w:rPr>
          <w:rFonts w:ascii="Verdana" w:hAnsi="Verdana" w:cs="Arial"/>
          <w:bCs/>
          <w:sz w:val="18"/>
          <w:szCs w:val="18"/>
          <w:u w:val="single"/>
        </w:rPr>
        <w:t xml:space="preserve"> Commonwealth Heritage Listing:</w:t>
      </w:r>
    </w:p>
    <w:p w14:paraId="0148F1B6" w14:textId="77777777" w:rsidR="00DB708E" w:rsidRPr="003E4480" w:rsidRDefault="00DB708E" w:rsidP="00DB708E">
      <w:pPr>
        <w:spacing w:after="120" w:line="288" w:lineRule="auto"/>
        <w:rPr>
          <w:rFonts w:ascii="Calibri" w:hAnsi="Calibri" w:cs="Calibri"/>
          <w:bCs/>
          <w:sz w:val="22"/>
          <w:szCs w:val="22"/>
        </w:rPr>
      </w:pPr>
      <w:r w:rsidRPr="003E4480">
        <w:rPr>
          <w:rFonts w:ascii="Calibri" w:hAnsi="Calibri" w:cs="Calibri"/>
          <w:bCs/>
          <w:sz w:val="22"/>
          <w:szCs w:val="22"/>
        </w:rPr>
        <w:t>The Trades Hall component of the Hobart Commonwealth Law Courts includes the importance of the building to the wider community, particularly to groups like The National Trust, for the townscape and architectural values which contribute to the community’s sense of place. The place has special association with to the National Trust as indicated by the Trust’s involvement in retaining the building through redevelopment of the site.</w:t>
      </w:r>
      <w:r w:rsidR="003E4480">
        <w:rPr>
          <w:rFonts w:ascii="Calibri" w:hAnsi="Calibri" w:cs="Calibri"/>
          <w:bCs/>
          <w:sz w:val="22"/>
          <w:szCs w:val="22"/>
        </w:rPr>
        <w:t xml:space="preserve"> </w:t>
      </w:r>
      <w:r w:rsidRPr="003E4480">
        <w:rPr>
          <w:rFonts w:ascii="Calibri" w:hAnsi="Calibri" w:cs="Calibri"/>
          <w:bCs/>
          <w:sz w:val="22"/>
          <w:szCs w:val="22"/>
        </w:rPr>
        <w:t xml:space="preserve">The scale and aesthetic merit of Perth GPO reflects the senses of importance and civic pride in Perth at the time of the building’s design and construction.  The role of postal and telegraph services from this site for 90 years has been integral to the history of the State and the process of changes in communication </w:t>
      </w:r>
      <w:r w:rsidR="003E4480" w:rsidRPr="003E4480">
        <w:rPr>
          <w:rFonts w:ascii="Calibri" w:hAnsi="Calibri" w:cs="Calibri"/>
          <w:bCs/>
          <w:sz w:val="22"/>
          <w:szCs w:val="22"/>
        </w:rPr>
        <w:t>technology</w:t>
      </w:r>
      <w:r w:rsidRPr="003E4480">
        <w:rPr>
          <w:rFonts w:ascii="Calibri" w:hAnsi="Calibri" w:cs="Calibri"/>
          <w:bCs/>
          <w:sz w:val="22"/>
          <w:szCs w:val="22"/>
        </w:rPr>
        <w:t>.  These aspects are valued by the community.</w:t>
      </w:r>
    </w:p>
    <w:p w14:paraId="666D8BB0" w14:textId="77777777" w:rsidR="00DB708E" w:rsidRPr="003E4480" w:rsidRDefault="00DB708E" w:rsidP="00DB708E">
      <w:pPr>
        <w:spacing w:after="120" w:line="288" w:lineRule="auto"/>
        <w:rPr>
          <w:rFonts w:ascii="Calibri" w:hAnsi="Calibri" w:cs="Calibri"/>
          <w:bCs/>
          <w:sz w:val="22"/>
          <w:szCs w:val="22"/>
        </w:rPr>
      </w:pPr>
      <w:r w:rsidRPr="003E4480">
        <w:rPr>
          <w:rFonts w:ascii="Calibri" w:hAnsi="Calibri" w:cs="Calibri"/>
          <w:bCs/>
          <w:sz w:val="22"/>
          <w:szCs w:val="22"/>
        </w:rPr>
        <w:lastRenderedPageBreak/>
        <w:t xml:space="preserve">The use of the Perth GPO since 1923 as the State’s principal postal facility is of considerable social significance.  The use of the GPO to accommodate other Commonwealth departments and activities for part of its history is of some importance, particularly as this provided the motivation for the addition of the attic storey to the original building.  The recent adaptation of the building retains the building in a contemporary use and provides a community service providing access from Forrest Place to a public transport </w:t>
      </w:r>
      <w:r w:rsidR="003E4480" w:rsidRPr="003E4480">
        <w:rPr>
          <w:rFonts w:ascii="Calibri" w:hAnsi="Calibri" w:cs="Calibri"/>
          <w:bCs/>
          <w:sz w:val="22"/>
          <w:szCs w:val="22"/>
        </w:rPr>
        <w:t>node. The</w:t>
      </w:r>
      <w:r w:rsidRPr="003E4480">
        <w:rPr>
          <w:rFonts w:ascii="Calibri" w:hAnsi="Calibri" w:cs="Calibri"/>
          <w:bCs/>
          <w:sz w:val="22"/>
          <w:szCs w:val="22"/>
        </w:rPr>
        <w:t xml:space="preserve"> social significance is represented by the postal, </w:t>
      </w:r>
      <w:proofErr w:type="gramStart"/>
      <w:r w:rsidRPr="003E4480">
        <w:rPr>
          <w:rFonts w:ascii="Calibri" w:hAnsi="Calibri" w:cs="Calibri"/>
          <w:bCs/>
          <w:sz w:val="22"/>
          <w:szCs w:val="22"/>
        </w:rPr>
        <w:t>telegraphic</w:t>
      </w:r>
      <w:proofErr w:type="gramEnd"/>
      <w:r w:rsidRPr="003E4480">
        <w:rPr>
          <w:rFonts w:ascii="Calibri" w:hAnsi="Calibri" w:cs="Calibri"/>
          <w:bCs/>
          <w:sz w:val="22"/>
          <w:szCs w:val="22"/>
        </w:rPr>
        <w:t xml:space="preserve"> and adapted use of the building for civic and community purposes.</w:t>
      </w:r>
    </w:p>
    <w:p w14:paraId="1394BE1A" w14:textId="77777777" w:rsidR="002443EC" w:rsidRDefault="00915901" w:rsidP="00DB708E">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t>T</w:t>
      </w:r>
      <w:r w:rsidR="002443EC" w:rsidRPr="0041543E">
        <w:rPr>
          <w:rFonts w:ascii="Calibri" w:hAnsi="Calibri" w:cs="Calibri"/>
          <w:b/>
          <w:bCs/>
          <w:sz w:val="22"/>
          <w:szCs w:val="22"/>
        </w:rPr>
        <w:t>he place has outstanding heritage value to the nation because of the place’s special association with the life or works of a person, or group of persons, of importance in Australia’s natural or cultural history</w:t>
      </w:r>
      <w:r w:rsidRPr="0041543E">
        <w:rPr>
          <w:rFonts w:ascii="Calibri" w:hAnsi="Calibri" w:cs="Calibri"/>
          <w:b/>
          <w:bCs/>
          <w:sz w:val="22"/>
          <w:szCs w:val="22"/>
        </w:rPr>
        <w:t>.</w:t>
      </w:r>
    </w:p>
    <w:p w14:paraId="4C4D9E3F" w14:textId="77777777" w:rsidR="00DB708E" w:rsidRPr="00F913A8" w:rsidRDefault="00DB708E" w:rsidP="003E4480">
      <w:pPr>
        <w:tabs>
          <w:tab w:val="left" w:pos="4253"/>
          <w:tab w:val="left" w:pos="5387"/>
          <w:tab w:val="left" w:pos="8931"/>
        </w:tabs>
        <w:spacing w:after="120"/>
        <w:ind w:right="-1"/>
        <w:rPr>
          <w:rFonts w:ascii="Trebuchet MS" w:hAnsi="Trebuchet MS" w:cs="Arial"/>
          <w:bCs/>
          <w:u w:val="single"/>
        </w:rPr>
      </w:pPr>
      <w:bookmarkStart w:id="1" w:name="_Hlk51852589"/>
      <w:r w:rsidRPr="00181FDE">
        <w:rPr>
          <w:rFonts w:ascii="Verdana" w:hAnsi="Verdana" w:cs="Arial"/>
          <w:bCs/>
          <w:sz w:val="18"/>
          <w:szCs w:val="18"/>
          <w:u w:val="single"/>
        </w:rPr>
        <w:t xml:space="preserve">Extract from the </w:t>
      </w:r>
      <w:hyperlink r:id="rId28" w:history="1">
        <w:r w:rsidRPr="00181FDE">
          <w:rPr>
            <w:rStyle w:val="Hyperlink"/>
            <w:rFonts w:ascii="Verdana" w:hAnsi="Verdana" w:cs="Arial"/>
            <w:bCs/>
            <w:sz w:val="18"/>
            <w:szCs w:val="18"/>
          </w:rPr>
          <w:t>Reserve Bank, 65 Marti</w:t>
        </w:r>
        <w:r w:rsidRPr="00181FDE">
          <w:rPr>
            <w:rStyle w:val="Hyperlink"/>
            <w:rFonts w:ascii="Verdana" w:hAnsi="Verdana" w:cs="Arial"/>
            <w:bCs/>
            <w:sz w:val="18"/>
            <w:szCs w:val="18"/>
          </w:rPr>
          <w:t>n</w:t>
        </w:r>
        <w:r w:rsidRPr="00181FDE">
          <w:rPr>
            <w:rStyle w:val="Hyperlink"/>
            <w:rFonts w:ascii="Verdana" w:hAnsi="Verdana" w:cs="Arial"/>
            <w:bCs/>
            <w:sz w:val="18"/>
            <w:szCs w:val="18"/>
          </w:rPr>
          <w:t xml:space="preserve"> Pl</w:t>
        </w:r>
        <w:r>
          <w:rPr>
            <w:rStyle w:val="Hyperlink"/>
            <w:rFonts w:ascii="Verdana" w:hAnsi="Verdana" w:cs="Arial"/>
            <w:bCs/>
            <w:sz w:val="18"/>
            <w:szCs w:val="18"/>
          </w:rPr>
          <w:t>ace</w:t>
        </w:r>
        <w:r w:rsidRPr="00181FDE">
          <w:rPr>
            <w:rStyle w:val="Hyperlink"/>
            <w:rFonts w:ascii="Verdana" w:hAnsi="Verdana" w:cs="Arial"/>
            <w:bCs/>
            <w:sz w:val="18"/>
            <w:szCs w:val="18"/>
          </w:rPr>
          <w:t xml:space="preserve"> Sydney</w:t>
        </w:r>
      </w:hyperlink>
      <w:r>
        <w:rPr>
          <w:rFonts w:ascii="Verdana" w:hAnsi="Verdana" w:cs="Arial"/>
          <w:bCs/>
          <w:sz w:val="18"/>
          <w:szCs w:val="18"/>
          <w:u w:val="single"/>
        </w:rPr>
        <w:t>,</w:t>
      </w:r>
      <w:r w:rsidRPr="00181FDE">
        <w:rPr>
          <w:rFonts w:ascii="Verdana" w:hAnsi="Verdana" w:cs="Arial"/>
          <w:bCs/>
          <w:sz w:val="18"/>
          <w:szCs w:val="18"/>
          <w:u w:val="single"/>
        </w:rPr>
        <w:t xml:space="preserve"> Commonwealth Heritage Listing</w:t>
      </w:r>
      <w:r w:rsidRPr="00F913A8">
        <w:rPr>
          <w:rFonts w:ascii="Trebuchet MS" w:hAnsi="Trebuchet MS" w:cs="Arial"/>
          <w:bCs/>
          <w:u w:val="single"/>
        </w:rPr>
        <w:t>:</w:t>
      </w:r>
    </w:p>
    <w:bookmarkEnd w:id="1"/>
    <w:p w14:paraId="58BCB692" w14:textId="77777777" w:rsidR="00DB708E" w:rsidRPr="003E4480" w:rsidRDefault="00DB708E" w:rsidP="00DB708E">
      <w:pPr>
        <w:spacing w:after="120" w:line="288" w:lineRule="auto"/>
        <w:rPr>
          <w:rFonts w:ascii="Calibri" w:hAnsi="Calibri" w:cs="Calibri"/>
          <w:bCs/>
          <w:sz w:val="22"/>
          <w:szCs w:val="22"/>
        </w:rPr>
      </w:pPr>
      <w:r w:rsidRPr="003E4480">
        <w:rPr>
          <w:rFonts w:ascii="Calibri" w:hAnsi="Calibri" w:cs="Calibri"/>
          <w:bCs/>
          <w:sz w:val="22"/>
          <w:szCs w:val="22"/>
        </w:rPr>
        <w:t xml:space="preserve">The artworks by Bim Hilder and Margel Hinder are significant examples of Australian modernist sculpture of this period by two significant artists, who were selected as the winners of design competitions by the Reserve Bank. The furnishings by Fred Ward are of historical and aesthetic significance. Designed for the building by Ward, who was one of the leaders in modern Australian industrial design at this time, the furnishings are of a simple and functional design which are now considered to be pieces of art in themselves </w:t>
      </w:r>
    </w:p>
    <w:p w14:paraId="5AB4D727" w14:textId="77777777" w:rsidR="00DB708E" w:rsidRPr="00F913A8" w:rsidRDefault="00DB708E" w:rsidP="00DB708E">
      <w:pPr>
        <w:spacing w:after="120" w:line="288" w:lineRule="auto"/>
        <w:rPr>
          <w:rFonts w:ascii="Trebuchet MS" w:hAnsi="Trebuchet MS" w:cs="Arial"/>
          <w:bCs/>
        </w:rPr>
      </w:pPr>
      <w:r w:rsidRPr="003E4480">
        <w:rPr>
          <w:rFonts w:ascii="Calibri" w:hAnsi="Calibri" w:cs="Calibri"/>
          <w:bCs/>
          <w:sz w:val="22"/>
          <w:szCs w:val="22"/>
        </w:rPr>
        <w:t>The Reserve Bank head office building is associated with successive governors of the Reserve Bank: Dr. H. C. Coombs; J.G. Phillips (KBE); H.</w:t>
      </w:r>
      <w:proofErr w:type="gramStart"/>
      <w:r w:rsidRPr="003E4480">
        <w:rPr>
          <w:rFonts w:ascii="Calibri" w:hAnsi="Calibri" w:cs="Calibri"/>
          <w:bCs/>
          <w:sz w:val="22"/>
          <w:szCs w:val="22"/>
        </w:rPr>
        <w:t>M.Knight</w:t>
      </w:r>
      <w:proofErr w:type="gramEnd"/>
      <w:r w:rsidRPr="003E4480">
        <w:rPr>
          <w:rFonts w:ascii="Calibri" w:hAnsi="Calibri" w:cs="Calibri"/>
          <w:bCs/>
          <w:sz w:val="22"/>
          <w:szCs w:val="22"/>
        </w:rPr>
        <w:t xml:space="preserve"> (KBE DSC); R.A. Johnston (AC); B.W. Fraser and I.J. Macfarlane. The building is also associated with personnel of the Commonwealth Department of Works, Banks and Special Projects branch, responsible for the building's design in particular: </w:t>
      </w:r>
      <w:proofErr w:type="gramStart"/>
      <w:r w:rsidRPr="003E4480">
        <w:rPr>
          <w:rFonts w:ascii="Calibri" w:hAnsi="Calibri" w:cs="Calibri"/>
          <w:bCs/>
          <w:sz w:val="22"/>
          <w:szCs w:val="22"/>
        </w:rPr>
        <w:t>C.McGrowther</w:t>
      </w:r>
      <w:proofErr w:type="gramEnd"/>
      <w:r w:rsidRPr="003E4480">
        <w:rPr>
          <w:rFonts w:ascii="Calibri" w:hAnsi="Calibri" w:cs="Calibri"/>
          <w:bCs/>
          <w:sz w:val="22"/>
          <w:szCs w:val="22"/>
        </w:rPr>
        <w:t>; Profesor H. I Ashworth; C.D. Osborne; R.M. Ure; F.C. Crocker; G. A. Rowe; as well as E.A. Watts (builders for both stages of construction) and Frederick Ward (furniture designer</w:t>
      </w:r>
      <w:proofErr w:type="gramStart"/>
      <w:r w:rsidRPr="003E4480">
        <w:rPr>
          <w:rFonts w:ascii="Calibri" w:hAnsi="Calibri" w:cs="Calibri"/>
          <w:bCs/>
          <w:sz w:val="22"/>
          <w:szCs w:val="22"/>
        </w:rPr>
        <w:t>).The</w:t>
      </w:r>
      <w:proofErr w:type="gramEnd"/>
      <w:r w:rsidRPr="003E4480">
        <w:rPr>
          <w:rFonts w:ascii="Calibri" w:hAnsi="Calibri" w:cs="Calibri"/>
          <w:bCs/>
          <w:sz w:val="22"/>
          <w:szCs w:val="22"/>
        </w:rPr>
        <w:t xml:space="preserve"> artworks of Bim and Marget Hinder, evidence of use by successive Governors of the Reserve Bank, and remaining Fred Ward furniture.</w:t>
      </w:r>
    </w:p>
    <w:p w14:paraId="66AEE462" w14:textId="77777777" w:rsidR="002443EC" w:rsidRDefault="007176B2"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t>T</w:t>
      </w:r>
      <w:r w:rsidR="002443EC" w:rsidRPr="0041543E">
        <w:rPr>
          <w:rFonts w:ascii="Calibri" w:hAnsi="Calibri" w:cs="Calibri"/>
          <w:b/>
          <w:bCs/>
          <w:sz w:val="22"/>
          <w:szCs w:val="22"/>
        </w:rPr>
        <w:t>he place has outstanding heritage value to the nation because of the place’s importance as part of Indigenous tradition</w:t>
      </w:r>
      <w:r w:rsidRPr="0041543E">
        <w:rPr>
          <w:rFonts w:ascii="Calibri" w:hAnsi="Calibri" w:cs="Calibri"/>
          <w:b/>
          <w:bCs/>
          <w:sz w:val="22"/>
          <w:szCs w:val="22"/>
        </w:rPr>
        <w:t>.</w:t>
      </w:r>
    </w:p>
    <w:p w14:paraId="5E7C6F0C" w14:textId="77777777" w:rsidR="00DB708E" w:rsidRPr="00181FDE" w:rsidRDefault="00DB708E" w:rsidP="003E4480">
      <w:pPr>
        <w:tabs>
          <w:tab w:val="left" w:pos="4253"/>
          <w:tab w:val="left" w:pos="5387"/>
          <w:tab w:val="left" w:pos="8931"/>
        </w:tabs>
        <w:spacing w:after="120"/>
        <w:ind w:right="-1"/>
        <w:rPr>
          <w:rFonts w:ascii="Verdana" w:hAnsi="Verdana" w:cs="Arial"/>
          <w:bCs/>
          <w:sz w:val="18"/>
          <w:szCs w:val="18"/>
          <w:u w:val="single"/>
        </w:rPr>
      </w:pPr>
      <w:r w:rsidRPr="00181FDE">
        <w:rPr>
          <w:rFonts w:ascii="Verdana" w:hAnsi="Verdana" w:cs="Arial"/>
          <w:bCs/>
          <w:sz w:val="18"/>
          <w:szCs w:val="18"/>
          <w:u w:val="single"/>
        </w:rPr>
        <w:t xml:space="preserve">Extract from the </w:t>
      </w:r>
      <w:hyperlink r:id="rId29" w:history="1">
        <w:r w:rsidRPr="00181FDE">
          <w:rPr>
            <w:rStyle w:val="Hyperlink"/>
            <w:rFonts w:ascii="Verdana" w:hAnsi="Verdana" w:cs="Arial"/>
            <w:bCs/>
            <w:sz w:val="18"/>
            <w:szCs w:val="18"/>
          </w:rPr>
          <w:t>Jervis B</w:t>
        </w:r>
        <w:r w:rsidRPr="00181FDE">
          <w:rPr>
            <w:rStyle w:val="Hyperlink"/>
            <w:rFonts w:ascii="Verdana" w:hAnsi="Verdana" w:cs="Arial"/>
            <w:bCs/>
            <w:sz w:val="18"/>
            <w:szCs w:val="18"/>
          </w:rPr>
          <w:t>a</w:t>
        </w:r>
        <w:r w:rsidRPr="00181FDE">
          <w:rPr>
            <w:rStyle w:val="Hyperlink"/>
            <w:rFonts w:ascii="Verdana" w:hAnsi="Verdana" w:cs="Arial"/>
            <w:bCs/>
            <w:sz w:val="18"/>
            <w:szCs w:val="18"/>
          </w:rPr>
          <w:t>y Territory</w:t>
        </w:r>
      </w:hyperlink>
      <w:r>
        <w:rPr>
          <w:rFonts w:ascii="Verdana" w:hAnsi="Verdana" w:cs="Arial"/>
          <w:bCs/>
          <w:sz w:val="18"/>
          <w:szCs w:val="18"/>
          <w:u w:val="single"/>
        </w:rPr>
        <w:t>,</w:t>
      </w:r>
      <w:r w:rsidRPr="00181FDE">
        <w:rPr>
          <w:rFonts w:ascii="Verdana" w:hAnsi="Verdana" w:cs="Arial"/>
          <w:bCs/>
          <w:sz w:val="18"/>
          <w:szCs w:val="18"/>
          <w:u w:val="single"/>
        </w:rPr>
        <w:t xml:space="preserve"> Commowealth Heritage Listing:</w:t>
      </w:r>
      <w:r w:rsidRPr="00181FDE" w:rsidDel="002209BE">
        <w:rPr>
          <w:rFonts w:ascii="Verdana" w:hAnsi="Verdana" w:cs="Arial"/>
          <w:bCs/>
          <w:sz w:val="18"/>
          <w:szCs w:val="18"/>
          <w:u w:val="single"/>
        </w:rPr>
        <w:t xml:space="preserve"> </w:t>
      </w:r>
    </w:p>
    <w:p w14:paraId="66BD0B54" w14:textId="77777777" w:rsidR="00DB708E" w:rsidRPr="003E4480" w:rsidRDefault="00DB708E" w:rsidP="00DB708E">
      <w:pPr>
        <w:spacing w:after="120" w:line="288" w:lineRule="auto"/>
        <w:ind w:right="-1"/>
        <w:rPr>
          <w:rFonts w:ascii="Calibri" w:hAnsi="Calibri" w:cs="Calibri"/>
          <w:bCs/>
          <w:sz w:val="22"/>
          <w:szCs w:val="22"/>
        </w:rPr>
      </w:pPr>
      <w:r w:rsidRPr="003E4480">
        <w:rPr>
          <w:rFonts w:ascii="Calibri" w:hAnsi="Calibri" w:cs="Calibri"/>
          <w:bCs/>
          <w:sz w:val="22"/>
          <w:szCs w:val="22"/>
        </w:rPr>
        <w:t>Ceremonial BUNAN or BORA grounds, used for initiation, are known only from the immediate hinterland of Wreck Bay, and nearly all known grinding groove sites are in the catchments of Mary and Summercloud Bays (Booderee National Park Board of Management, 2002). These sites demonstrate past cultural practices and the BUNAN are spiritually important to the Wreck Bay community.</w:t>
      </w:r>
    </w:p>
    <w:p w14:paraId="7D688BE6" w14:textId="77777777" w:rsidR="00DB708E" w:rsidRPr="0041543E" w:rsidRDefault="00DB708E" w:rsidP="00DB708E">
      <w:pPr>
        <w:tabs>
          <w:tab w:val="left" w:pos="284"/>
          <w:tab w:val="left" w:pos="5387"/>
        </w:tabs>
        <w:spacing w:before="240" w:after="120"/>
        <w:ind w:right="-1"/>
        <w:rPr>
          <w:rFonts w:ascii="Calibri" w:hAnsi="Calibri" w:cs="Calibri"/>
          <w:b/>
          <w:bCs/>
          <w:sz w:val="22"/>
          <w:szCs w:val="22"/>
        </w:rPr>
      </w:pPr>
    </w:p>
    <w:p w14:paraId="2ECBF675" w14:textId="77777777" w:rsidR="002E145C" w:rsidRPr="0041543E" w:rsidRDefault="002E145C" w:rsidP="00D42FF6">
      <w:pPr>
        <w:tabs>
          <w:tab w:val="num" w:pos="-709"/>
          <w:tab w:val="left" w:pos="4253"/>
          <w:tab w:val="left" w:pos="5387"/>
        </w:tabs>
        <w:spacing w:after="120" w:line="288" w:lineRule="auto"/>
        <w:ind w:right="-1"/>
        <w:rPr>
          <w:rFonts w:ascii="Calibri" w:hAnsi="Calibri" w:cs="Calibri"/>
          <w:sz w:val="22"/>
          <w:szCs w:val="22"/>
        </w:rPr>
      </w:pPr>
    </w:p>
    <w:sectPr w:rsidR="002E145C" w:rsidRPr="0041543E" w:rsidSect="007C1516">
      <w:headerReference w:type="default" r:id="rId30"/>
      <w:footerReference w:type="default" r:id="rId31"/>
      <w:pgSz w:w="11907" w:h="16840" w:code="9"/>
      <w:pgMar w:top="426" w:right="1134" w:bottom="510" w:left="1418" w:header="56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B54D" w14:textId="77777777" w:rsidR="0095666A" w:rsidRDefault="0095666A">
      <w:r>
        <w:separator/>
      </w:r>
    </w:p>
  </w:endnote>
  <w:endnote w:type="continuationSeparator" w:id="0">
    <w:p w14:paraId="397AD721" w14:textId="77777777" w:rsidR="0095666A" w:rsidRDefault="0095666A">
      <w:r>
        <w:continuationSeparator/>
      </w:r>
    </w:p>
  </w:endnote>
  <w:endnote w:type="continuationNotice" w:id="1">
    <w:p w14:paraId="4CDCA840" w14:textId="77777777" w:rsidR="0095666A" w:rsidRDefault="00956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2020702060506020403"/>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7800" w14:textId="77777777" w:rsidR="006358E8" w:rsidRDefault="006358E8">
    <w:pPr>
      <w:pStyle w:val="Footer"/>
      <w:jc w:val="right"/>
      <w:rPr>
        <w:rFonts w:ascii="Trebuchet MS" w:hAnsi="Trebuchet MS"/>
        <w:sz w:val="20"/>
        <w:szCs w:val="20"/>
      </w:rPr>
    </w:pPr>
  </w:p>
  <w:p w14:paraId="0372687A" w14:textId="77777777" w:rsidR="006358E8" w:rsidRPr="00F83D58" w:rsidRDefault="006358E8">
    <w:pPr>
      <w:pStyle w:val="Footer"/>
      <w:jc w:val="right"/>
      <w:rPr>
        <w:rFonts w:ascii="Verdana" w:hAnsi="Verdana"/>
        <w:sz w:val="18"/>
        <w:szCs w:val="18"/>
      </w:rPr>
    </w:pPr>
    <w:r w:rsidRPr="00F83D58">
      <w:rPr>
        <w:rFonts w:ascii="Verdana" w:hAnsi="Verdana"/>
        <w:sz w:val="18"/>
        <w:szCs w:val="18"/>
      </w:rPr>
      <w:t xml:space="preserve">Page </w:t>
    </w:r>
    <w:r w:rsidRPr="00F83D58">
      <w:rPr>
        <w:rFonts w:ascii="Verdana" w:hAnsi="Verdana"/>
        <w:sz w:val="18"/>
        <w:szCs w:val="18"/>
      </w:rPr>
      <w:fldChar w:fldCharType="begin"/>
    </w:r>
    <w:r w:rsidRPr="00F83D58">
      <w:rPr>
        <w:rFonts w:ascii="Verdana" w:hAnsi="Verdana"/>
        <w:sz w:val="18"/>
        <w:szCs w:val="18"/>
      </w:rPr>
      <w:instrText xml:space="preserve"> PAGE </w:instrText>
    </w:r>
    <w:r w:rsidRPr="00F83D58">
      <w:rPr>
        <w:rFonts w:ascii="Verdana" w:hAnsi="Verdana"/>
        <w:sz w:val="18"/>
        <w:szCs w:val="18"/>
      </w:rPr>
      <w:fldChar w:fldCharType="separate"/>
    </w:r>
    <w:r w:rsidRPr="00F83D58">
      <w:rPr>
        <w:rFonts w:ascii="Verdana" w:hAnsi="Verdana"/>
        <w:noProof/>
        <w:sz w:val="18"/>
        <w:szCs w:val="18"/>
      </w:rPr>
      <w:t>5</w:t>
    </w:r>
    <w:r w:rsidRPr="00F83D58">
      <w:rPr>
        <w:rFonts w:ascii="Verdana" w:hAnsi="Verdana"/>
        <w:sz w:val="18"/>
        <w:szCs w:val="18"/>
      </w:rPr>
      <w:fldChar w:fldCharType="end"/>
    </w:r>
    <w:r w:rsidRPr="00F83D58">
      <w:rPr>
        <w:rFonts w:ascii="Verdana" w:hAnsi="Verdana"/>
        <w:sz w:val="18"/>
        <w:szCs w:val="18"/>
      </w:rPr>
      <w:t xml:space="preserve"> of </w:t>
    </w:r>
    <w:r w:rsidRPr="00F83D58">
      <w:rPr>
        <w:rFonts w:ascii="Verdana" w:hAnsi="Verdana"/>
        <w:sz w:val="18"/>
        <w:szCs w:val="18"/>
      </w:rPr>
      <w:fldChar w:fldCharType="begin"/>
    </w:r>
    <w:r w:rsidRPr="00F83D58">
      <w:rPr>
        <w:rFonts w:ascii="Verdana" w:hAnsi="Verdana"/>
        <w:sz w:val="18"/>
        <w:szCs w:val="18"/>
      </w:rPr>
      <w:instrText xml:space="preserve"> NUMPAGES  </w:instrText>
    </w:r>
    <w:r w:rsidRPr="00F83D58">
      <w:rPr>
        <w:rFonts w:ascii="Verdana" w:hAnsi="Verdana"/>
        <w:sz w:val="18"/>
        <w:szCs w:val="18"/>
      </w:rPr>
      <w:fldChar w:fldCharType="separate"/>
    </w:r>
    <w:r w:rsidRPr="00F83D58">
      <w:rPr>
        <w:rFonts w:ascii="Verdana" w:hAnsi="Verdana"/>
        <w:noProof/>
        <w:sz w:val="18"/>
        <w:szCs w:val="18"/>
      </w:rPr>
      <w:t>5</w:t>
    </w:r>
    <w:r w:rsidRPr="00F83D58">
      <w:rPr>
        <w:rFonts w:ascii="Verdana" w:hAnsi="Verdana"/>
        <w:sz w:val="18"/>
        <w:szCs w:val="18"/>
      </w:rPr>
      <w:fldChar w:fldCharType="end"/>
    </w:r>
  </w:p>
  <w:p w14:paraId="571EC6F1" w14:textId="77777777" w:rsidR="006358E8" w:rsidRPr="00DE1C70" w:rsidRDefault="006358E8" w:rsidP="000E77DF">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C677" w14:textId="77777777" w:rsidR="0095666A" w:rsidRDefault="0095666A">
      <w:r>
        <w:separator/>
      </w:r>
    </w:p>
  </w:footnote>
  <w:footnote w:type="continuationSeparator" w:id="0">
    <w:p w14:paraId="5849AA59" w14:textId="77777777" w:rsidR="0095666A" w:rsidRDefault="0095666A">
      <w:r>
        <w:continuationSeparator/>
      </w:r>
    </w:p>
  </w:footnote>
  <w:footnote w:type="continuationNotice" w:id="1">
    <w:p w14:paraId="63A755C8" w14:textId="77777777" w:rsidR="0095666A" w:rsidRDefault="00956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35FA" w14:textId="77777777" w:rsidR="006358E8" w:rsidRPr="00145352" w:rsidRDefault="006358E8" w:rsidP="001453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FE4D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26D52"/>
    <w:multiLevelType w:val="hybridMultilevel"/>
    <w:tmpl w:val="014C0E58"/>
    <w:lvl w:ilvl="0" w:tplc="0C090019">
      <w:start w:val="1"/>
      <w:numFmt w:val="lowerLetter"/>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B712ABB"/>
    <w:multiLevelType w:val="hybridMultilevel"/>
    <w:tmpl w:val="11789DA8"/>
    <w:lvl w:ilvl="0" w:tplc="0C090019">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 w15:restartNumberingAfterBreak="0">
    <w:nsid w:val="0E341616"/>
    <w:multiLevelType w:val="hybridMultilevel"/>
    <w:tmpl w:val="194CF164"/>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 w15:restartNumberingAfterBreak="0">
    <w:nsid w:val="1C714A56"/>
    <w:multiLevelType w:val="hybridMultilevel"/>
    <w:tmpl w:val="27124F38"/>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5" w15:restartNumberingAfterBreak="0">
    <w:nsid w:val="2DA55863"/>
    <w:multiLevelType w:val="hybridMultilevel"/>
    <w:tmpl w:val="4AFAF1E0"/>
    <w:lvl w:ilvl="0" w:tplc="6E36A912">
      <w:start w:val="1"/>
      <w:numFmt w:val="lowerLetter"/>
      <w:lvlText w:val="(%1)"/>
      <w:lvlJc w:val="left"/>
      <w:pPr>
        <w:ind w:left="294"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6" w15:restartNumberingAfterBreak="0">
    <w:nsid w:val="2EA11E5B"/>
    <w:multiLevelType w:val="hybridMultilevel"/>
    <w:tmpl w:val="ED1CFAF2"/>
    <w:lvl w:ilvl="0" w:tplc="977E2E76">
      <w:start w:val="1"/>
      <w:numFmt w:val="lowerRoman"/>
      <w:lvlText w:val="%1."/>
      <w:lvlJc w:val="left"/>
      <w:pPr>
        <w:tabs>
          <w:tab w:val="num" w:pos="3524"/>
        </w:tabs>
        <w:ind w:left="3524" w:hanging="720"/>
      </w:pPr>
      <w:rPr>
        <w:rFonts w:hint="default"/>
      </w:rPr>
    </w:lvl>
    <w:lvl w:ilvl="1" w:tplc="AAAE7B26">
      <w:start w:val="1"/>
      <w:numFmt w:val="lowerLetter"/>
      <w:lvlText w:val="%2."/>
      <w:lvlJc w:val="left"/>
      <w:pPr>
        <w:tabs>
          <w:tab w:val="num" w:pos="3884"/>
        </w:tabs>
        <w:ind w:left="3884" w:hanging="360"/>
      </w:pPr>
      <w:rPr>
        <w:rFonts w:hint="default"/>
      </w:rPr>
    </w:lvl>
    <w:lvl w:ilvl="2" w:tplc="0409001B" w:tentative="1">
      <w:start w:val="1"/>
      <w:numFmt w:val="lowerRoman"/>
      <w:lvlText w:val="%3."/>
      <w:lvlJc w:val="right"/>
      <w:pPr>
        <w:tabs>
          <w:tab w:val="num" w:pos="4604"/>
        </w:tabs>
        <w:ind w:left="4604" w:hanging="180"/>
      </w:pPr>
    </w:lvl>
    <w:lvl w:ilvl="3" w:tplc="0409000F" w:tentative="1">
      <w:start w:val="1"/>
      <w:numFmt w:val="decimal"/>
      <w:lvlText w:val="%4."/>
      <w:lvlJc w:val="left"/>
      <w:pPr>
        <w:tabs>
          <w:tab w:val="num" w:pos="5324"/>
        </w:tabs>
        <w:ind w:left="5324" w:hanging="360"/>
      </w:pPr>
    </w:lvl>
    <w:lvl w:ilvl="4" w:tplc="04090019" w:tentative="1">
      <w:start w:val="1"/>
      <w:numFmt w:val="lowerLetter"/>
      <w:lvlText w:val="%5."/>
      <w:lvlJc w:val="left"/>
      <w:pPr>
        <w:tabs>
          <w:tab w:val="num" w:pos="6044"/>
        </w:tabs>
        <w:ind w:left="6044" w:hanging="360"/>
      </w:pPr>
    </w:lvl>
    <w:lvl w:ilvl="5" w:tplc="0409001B" w:tentative="1">
      <w:start w:val="1"/>
      <w:numFmt w:val="lowerRoman"/>
      <w:lvlText w:val="%6."/>
      <w:lvlJc w:val="right"/>
      <w:pPr>
        <w:tabs>
          <w:tab w:val="num" w:pos="6764"/>
        </w:tabs>
        <w:ind w:left="6764" w:hanging="180"/>
      </w:pPr>
    </w:lvl>
    <w:lvl w:ilvl="6" w:tplc="0409000F" w:tentative="1">
      <w:start w:val="1"/>
      <w:numFmt w:val="decimal"/>
      <w:lvlText w:val="%7."/>
      <w:lvlJc w:val="left"/>
      <w:pPr>
        <w:tabs>
          <w:tab w:val="num" w:pos="7484"/>
        </w:tabs>
        <w:ind w:left="7484" w:hanging="360"/>
      </w:pPr>
    </w:lvl>
    <w:lvl w:ilvl="7" w:tplc="04090019" w:tentative="1">
      <w:start w:val="1"/>
      <w:numFmt w:val="lowerLetter"/>
      <w:lvlText w:val="%8."/>
      <w:lvlJc w:val="left"/>
      <w:pPr>
        <w:tabs>
          <w:tab w:val="num" w:pos="8204"/>
        </w:tabs>
        <w:ind w:left="8204" w:hanging="360"/>
      </w:pPr>
    </w:lvl>
    <w:lvl w:ilvl="8" w:tplc="0409001B" w:tentative="1">
      <w:start w:val="1"/>
      <w:numFmt w:val="lowerRoman"/>
      <w:lvlText w:val="%9."/>
      <w:lvlJc w:val="right"/>
      <w:pPr>
        <w:tabs>
          <w:tab w:val="num" w:pos="8924"/>
        </w:tabs>
        <w:ind w:left="8924" w:hanging="180"/>
      </w:pPr>
    </w:lvl>
  </w:abstractNum>
  <w:abstractNum w:abstractNumId="7" w15:restartNumberingAfterBreak="0">
    <w:nsid w:val="34B5309C"/>
    <w:multiLevelType w:val="hybridMultilevel"/>
    <w:tmpl w:val="8E3E7E80"/>
    <w:lvl w:ilvl="0" w:tplc="50CAEF1C">
      <w:start w:val="1"/>
      <w:numFmt w:val="lowerLetter"/>
      <w:lvlText w:val="(%1)"/>
      <w:lvlJc w:val="left"/>
      <w:pPr>
        <w:ind w:left="-66" w:hanging="360"/>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8" w15:restartNumberingAfterBreak="0">
    <w:nsid w:val="4FD60741"/>
    <w:multiLevelType w:val="hybridMultilevel"/>
    <w:tmpl w:val="45DEE180"/>
    <w:lvl w:ilvl="0" w:tplc="E0E2C572">
      <w:start w:val="4"/>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15:restartNumberingAfterBreak="0">
    <w:nsid w:val="54047123"/>
    <w:multiLevelType w:val="hybridMultilevel"/>
    <w:tmpl w:val="A686E094"/>
    <w:lvl w:ilvl="0" w:tplc="27A42340">
      <w:start w:val="4"/>
      <w:numFmt w:val="bullet"/>
      <w:lvlText w:val=""/>
      <w:lvlJc w:val="left"/>
      <w:pPr>
        <w:tabs>
          <w:tab w:val="num" w:pos="1440"/>
        </w:tabs>
        <w:ind w:left="1440" w:hanging="900"/>
      </w:pPr>
      <w:rPr>
        <w:rFonts w:ascii="Webdings" w:eastAsia="Times New Roman" w:hAnsi="Webdings" w:cs="Arial" w:hint="default"/>
        <w:sz w:val="2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54273431"/>
    <w:multiLevelType w:val="hybridMultilevel"/>
    <w:tmpl w:val="724AE386"/>
    <w:lvl w:ilvl="0" w:tplc="51AE0138">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4DB1DEC"/>
    <w:multiLevelType w:val="hybridMultilevel"/>
    <w:tmpl w:val="D3D2C352"/>
    <w:lvl w:ilvl="0" w:tplc="EA7E94D2">
      <w:start w:val="1"/>
      <w:numFmt w:val="lowerLetter"/>
      <w:lvlText w:val="%1."/>
      <w:lvlJc w:val="left"/>
      <w:pPr>
        <w:ind w:left="-164" w:hanging="12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2" w15:restartNumberingAfterBreak="0">
    <w:nsid w:val="58CF5631"/>
    <w:multiLevelType w:val="hybridMultilevel"/>
    <w:tmpl w:val="DC041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8621EE"/>
    <w:multiLevelType w:val="hybridMultilevel"/>
    <w:tmpl w:val="A7CE0A96"/>
    <w:lvl w:ilvl="0" w:tplc="6E36A912">
      <w:start w:val="1"/>
      <w:numFmt w:val="lowerLetter"/>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4" w15:restartNumberingAfterBreak="0">
    <w:nsid w:val="5A955093"/>
    <w:multiLevelType w:val="hybridMultilevel"/>
    <w:tmpl w:val="E04436EE"/>
    <w:lvl w:ilvl="0" w:tplc="6E36A912">
      <w:start w:val="1"/>
      <w:numFmt w:val="lowerLetter"/>
      <w:lvlText w:val="(%1)"/>
      <w:lvlJc w:val="left"/>
      <w:pPr>
        <w:ind w:left="294"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5" w15:restartNumberingAfterBreak="0">
    <w:nsid w:val="5B8B3D71"/>
    <w:multiLevelType w:val="hybridMultilevel"/>
    <w:tmpl w:val="EF6ED128"/>
    <w:lvl w:ilvl="0" w:tplc="84BC9E76">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DA92B0AA">
      <w:start w:val="1"/>
      <w:numFmt w:val="decimal"/>
      <w:lvlText w:val="(%3)"/>
      <w:lvlJc w:val="left"/>
      <w:pPr>
        <w:tabs>
          <w:tab w:val="num" w:pos="2340"/>
        </w:tabs>
        <w:ind w:left="2340" w:hanging="360"/>
      </w:pPr>
      <w:rPr>
        <w:rFonts w:hint="default"/>
      </w:rPr>
    </w:lvl>
    <w:lvl w:ilvl="3" w:tplc="67CC90E2">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63037F"/>
    <w:multiLevelType w:val="hybridMultilevel"/>
    <w:tmpl w:val="ADEE2564"/>
    <w:lvl w:ilvl="0" w:tplc="04090001">
      <w:start w:val="1"/>
      <w:numFmt w:val="bullet"/>
      <w:lvlText w:val=""/>
      <w:lvlJc w:val="left"/>
      <w:pPr>
        <w:tabs>
          <w:tab w:val="num" w:pos="357"/>
        </w:tabs>
        <w:ind w:left="357" w:hanging="360"/>
      </w:pPr>
      <w:rPr>
        <w:rFonts w:ascii="Symbol" w:hAnsi="Symbol" w:hint="default"/>
      </w:rPr>
    </w:lvl>
    <w:lvl w:ilvl="1" w:tplc="04090003" w:tentative="1">
      <w:start w:val="1"/>
      <w:numFmt w:val="bullet"/>
      <w:lvlText w:val="o"/>
      <w:lvlJc w:val="left"/>
      <w:pPr>
        <w:tabs>
          <w:tab w:val="num" w:pos="1077"/>
        </w:tabs>
        <w:ind w:left="1077" w:hanging="360"/>
      </w:pPr>
      <w:rPr>
        <w:rFonts w:ascii="Courier New" w:hAnsi="Courier New" w:hint="default"/>
      </w:rPr>
    </w:lvl>
    <w:lvl w:ilvl="2" w:tplc="04090005" w:tentative="1">
      <w:start w:val="1"/>
      <w:numFmt w:val="bullet"/>
      <w:lvlText w:val=""/>
      <w:lvlJc w:val="left"/>
      <w:pPr>
        <w:tabs>
          <w:tab w:val="num" w:pos="1797"/>
        </w:tabs>
        <w:ind w:left="1797" w:hanging="360"/>
      </w:pPr>
      <w:rPr>
        <w:rFonts w:ascii="Wingdings" w:hAnsi="Wingdings" w:hint="default"/>
      </w:rPr>
    </w:lvl>
    <w:lvl w:ilvl="3" w:tplc="04090001" w:tentative="1">
      <w:start w:val="1"/>
      <w:numFmt w:val="bullet"/>
      <w:lvlText w:val=""/>
      <w:lvlJc w:val="left"/>
      <w:pPr>
        <w:tabs>
          <w:tab w:val="num" w:pos="2517"/>
        </w:tabs>
        <w:ind w:left="2517" w:hanging="360"/>
      </w:pPr>
      <w:rPr>
        <w:rFonts w:ascii="Symbol" w:hAnsi="Symbol" w:hint="default"/>
      </w:rPr>
    </w:lvl>
    <w:lvl w:ilvl="4" w:tplc="04090003" w:tentative="1">
      <w:start w:val="1"/>
      <w:numFmt w:val="bullet"/>
      <w:lvlText w:val="o"/>
      <w:lvlJc w:val="left"/>
      <w:pPr>
        <w:tabs>
          <w:tab w:val="num" w:pos="3237"/>
        </w:tabs>
        <w:ind w:left="3237" w:hanging="360"/>
      </w:pPr>
      <w:rPr>
        <w:rFonts w:ascii="Courier New" w:hAnsi="Courier New" w:hint="default"/>
      </w:rPr>
    </w:lvl>
    <w:lvl w:ilvl="5" w:tplc="04090005" w:tentative="1">
      <w:start w:val="1"/>
      <w:numFmt w:val="bullet"/>
      <w:lvlText w:val=""/>
      <w:lvlJc w:val="left"/>
      <w:pPr>
        <w:tabs>
          <w:tab w:val="num" w:pos="3957"/>
        </w:tabs>
        <w:ind w:left="3957" w:hanging="360"/>
      </w:pPr>
      <w:rPr>
        <w:rFonts w:ascii="Wingdings" w:hAnsi="Wingdings" w:hint="default"/>
      </w:rPr>
    </w:lvl>
    <w:lvl w:ilvl="6" w:tplc="04090001" w:tentative="1">
      <w:start w:val="1"/>
      <w:numFmt w:val="bullet"/>
      <w:lvlText w:val=""/>
      <w:lvlJc w:val="left"/>
      <w:pPr>
        <w:tabs>
          <w:tab w:val="num" w:pos="4677"/>
        </w:tabs>
        <w:ind w:left="4677" w:hanging="360"/>
      </w:pPr>
      <w:rPr>
        <w:rFonts w:ascii="Symbol" w:hAnsi="Symbol" w:hint="default"/>
      </w:rPr>
    </w:lvl>
    <w:lvl w:ilvl="7" w:tplc="04090003" w:tentative="1">
      <w:start w:val="1"/>
      <w:numFmt w:val="bullet"/>
      <w:lvlText w:val="o"/>
      <w:lvlJc w:val="left"/>
      <w:pPr>
        <w:tabs>
          <w:tab w:val="num" w:pos="5397"/>
        </w:tabs>
        <w:ind w:left="5397" w:hanging="360"/>
      </w:pPr>
      <w:rPr>
        <w:rFonts w:ascii="Courier New" w:hAnsi="Courier New" w:hint="default"/>
      </w:rPr>
    </w:lvl>
    <w:lvl w:ilvl="8" w:tplc="04090005" w:tentative="1">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6CF36AD1"/>
    <w:multiLevelType w:val="hybridMultilevel"/>
    <w:tmpl w:val="921A5D90"/>
    <w:lvl w:ilvl="0" w:tplc="BA5A7D54">
      <w:start w:val="1"/>
      <w:numFmt w:val="lowerRoman"/>
      <w:lvlText w:val="(%1)"/>
      <w:lvlJc w:val="left"/>
      <w:pPr>
        <w:ind w:left="1178" w:hanging="720"/>
      </w:pPr>
      <w:rPr>
        <w:rFonts w:hint="default"/>
      </w:r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18" w15:restartNumberingAfterBreak="0">
    <w:nsid w:val="79353BBF"/>
    <w:multiLevelType w:val="hybridMultilevel"/>
    <w:tmpl w:val="ACB08CF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5"/>
  </w:num>
  <w:num w:numId="2">
    <w:abstractNumId w:val="6"/>
  </w:num>
  <w:num w:numId="3">
    <w:abstractNumId w:val="9"/>
  </w:num>
  <w:num w:numId="4">
    <w:abstractNumId w:val="16"/>
  </w:num>
  <w:num w:numId="5">
    <w:abstractNumId w:val="18"/>
  </w:num>
  <w:num w:numId="6">
    <w:abstractNumId w:val="8"/>
  </w:num>
  <w:num w:numId="7">
    <w:abstractNumId w:val="0"/>
  </w:num>
  <w:num w:numId="8">
    <w:abstractNumId w:val="4"/>
  </w:num>
  <w:num w:numId="9">
    <w:abstractNumId w:val="3"/>
  </w:num>
  <w:num w:numId="10">
    <w:abstractNumId w:val="1"/>
  </w:num>
  <w:num w:numId="11">
    <w:abstractNumId w:val="12"/>
  </w:num>
  <w:num w:numId="12">
    <w:abstractNumId w:val="10"/>
  </w:num>
  <w:num w:numId="13">
    <w:abstractNumId w:val="0"/>
  </w:num>
  <w:num w:numId="14">
    <w:abstractNumId w:val="2"/>
  </w:num>
  <w:num w:numId="15">
    <w:abstractNumId w:val="11"/>
  </w:num>
  <w:num w:numId="16">
    <w:abstractNumId w:val="13"/>
  </w:num>
  <w:num w:numId="17">
    <w:abstractNumId w:val="17"/>
  </w:num>
  <w:num w:numId="18">
    <w:abstractNumId w:val="5"/>
  </w:num>
  <w:num w:numId="19">
    <w:abstractNumId w:val="14"/>
  </w:num>
  <w:num w:numId="20">
    <w:abstractNumId w:val="7"/>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2768"/>
    <w:rsid w:val="00001F3D"/>
    <w:rsid w:val="00007676"/>
    <w:rsid w:val="00012680"/>
    <w:rsid w:val="00013140"/>
    <w:rsid w:val="000167E4"/>
    <w:rsid w:val="00024C4D"/>
    <w:rsid w:val="000306E4"/>
    <w:rsid w:val="000339AB"/>
    <w:rsid w:val="00033CB0"/>
    <w:rsid w:val="00034FC6"/>
    <w:rsid w:val="00042250"/>
    <w:rsid w:val="0004286B"/>
    <w:rsid w:val="00055ACA"/>
    <w:rsid w:val="0006089B"/>
    <w:rsid w:val="00062B6E"/>
    <w:rsid w:val="00064670"/>
    <w:rsid w:val="00064A30"/>
    <w:rsid w:val="00065811"/>
    <w:rsid w:val="00066AA6"/>
    <w:rsid w:val="00071B28"/>
    <w:rsid w:val="000731EF"/>
    <w:rsid w:val="00077CAB"/>
    <w:rsid w:val="0009296C"/>
    <w:rsid w:val="00096957"/>
    <w:rsid w:val="000A22BB"/>
    <w:rsid w:val="000A4209"/>
    <w:rsid w:val="000A723B"/>
    <w:rsid w:val="000A7DF8"/>
    <w:rsid w:val="000B4B71"/>
    <w:rsid w:val="000B5030"/>
    <w:rsid w:val="000C7083"/>
    <w:rsid w:val="000D230B"/>
    <w:rsid w:val="000E10E1"/>
    <w:rsid w:val="000E49E1"/>
    <w:rsid w:val="000E6D97"/>
    <w:rsid w:val="000E77DF"/>
    <w:rsid w:val="000E7F0B"/>
    <w:rsid w:val="000F1FFD"/>
    <w:rsid w:val="000F30E3"/>
    <w:rsid w:val="000F3DE0"/>
    <w:rsid w:val="000F791E"/>
    <w:rsid w:val="00102CE7"/>
    <w:rsid w:val="001034D3"/>
    <w:rsid w:val="00105F3E"/>
    <w:rsid w:val="00116608"/>
    <w:rsid w:val="00131EB4"/>
    <w:rsid w:val="00134B66"/>
    <w:rsid w:val="00134C9B"/>
    <w:rsid w:val="001417AF"/>
    <w:rsid w:val="00145352"/>
    <w:rsid w:val="00151658"/>
    <w:rsid w:val="0015769E"/>
    <w:rsid w:val="00166025"/>
    <w:rsid w:val="001661C4"/>
    <w:rsid w:val="00176B7D"/>
    <w:rsid w:val="00177546"/>
    <w:rsid w:val="001800ED"/>
    <w:rsid w:val="0018111C"/>
    <w:rsid w:val="00181E92"/>
    <w:rsid w:val="0018362B"/>
    <w:rsid w:val="0018649A"/>
    <w:rsid w:val="001A1D02"/>
    <w:rsid w:val="001A23AB"/>
    <w:rsid w:val="001A28D8"/>
    <w:rsid w:val="001B3228"/>
    <w:rsid w:val="001C1189"/>
    <w:rsid w:val="001C119B"/>
    <w:rsid w:val="001D0BC7"/>
    <w:rsid w:val="001D14B5"/>
    <w:rsid w:val="001D184D"/>
    <w:rsid w:val="001D347C"/>
    <w:rsid w:val="001E0B7A"/>
    <w:rsid w:val="001E0B81"/>
    <w:rsid w:val="001E314E"/>
    <w:rsid w:val="001E5911"/>
    <w:rsid w:val="001E7782"/>
    <w:rsid w:val="001E780A"/>
    <w:rsid w:val="00204BD9"/>
    <w:rsid w:val="00207ED4"/>
    <w:rsid w:val="002209BE"/>
    <w:rsid w:val="0023540B"/>
    <w:rsid w:val="00235671"/>
    <w:rsid w:val="002443EC"/>
    <w:rsid w:val="00250D46"/>
    <w:rsid w:val="0025104B"/>
    <w:rsid w:val="00252EC5"/>
    <w:rsid w:val="00261BB0"/>
    <w:rsid w:val="00264BF1"/>
    <w:rsid w:val="00266DBE"/>
    <w:rsid w:val="00267FC5"/>
    <w:rsid w:val="0027151C"/>
    <w:rsid w:val="00272749"/>
    <w:rsid w:val="00273848"/>
    <w:rsid w:val="00277A97"/>
    <w:rsid w:val="00287AAF"/>
    <w:rsid w:val="0029279C"/>
    <w:rsid w:val="002967D4"/>
    <w:rsid w:val="002A49BC"/>
    <w:rsid w:val="002A5140"/>
    <w:rsid w:val="002B7548"/>
    <w:rsid w:val="002C0602"/>
    <w:rsid w:val="002C33B7"/>
    <w:rsid w:val="002C48EE"/>
    <w:rsid w:val="002C643D"/>
    <w:rsid w:val="002D0C90"/>
    <w:rsid w:val="002D3CEA"/>
    <w:rsid w:val="002D7299"/>
    <w:rsid w:val="002D7BF9"/>
    <w:rsid w:val="002D7CBD"/>
    <w:rsid w:val="002E145C"/>
    <w:rsid w:val="002E4789"/>
    <w:rsid w:val="002E4DEA"/>
    <w:rsid w:val="002F1348"/>
    <w:rsid w:val="002F43BB"/>
    <w:rsid w:val="002F54FA"/>
    <w:rsid w:val="003005A8"/>
    <w:rsid w:val="00302768"/>
    <w:rsid w:val="00302F53"/>
    <w:rsid w:val="00307117"/>
    <w:rsid w:val="0031486F"/>
    <w:rsid w:val="00315F18"/>
    <w:rsid w:val="0032055A"/>
    <w:rsid w:val="003238E4"/>
    <w:rsid w:val="00325106"/>
    <w:rsid w:val="00327F85"/>
    <w:rsid w:val="003326B7"/>
    <w:rsid w:val="00335F8C"/>
    <w:rsid w:val="00345141"/>
    <w:rsid w:val="003458FC"/>
    <w:rsid w:val="0035137C"/>
    <w:rsid w:val="0035384F"/>
    <w:rsid w:val="00354C9B"/>
    <w:rsid w:val="003623C4"/>
    <w:rsid w:val="003631D3"/>
    <w:rsid w:val="00371395"/>
    <w:rsid w:val="00376E6A"/>
    <w:rsid w:val="00377694"/>
    <w:rsid w:val="00385F7D"/>
    <w:rsid w:val="00395F91"/>
    <w:rsid w:val="003A1CF4"/>
    <w:rsid w:val="003A50E7"/>
    <w:rsid w:val="003B7E5A"/>
    <w:rsid w:val="003C48DC"/>
    <w:rsid w:val="003C7A0F"/>
    <w:rsid w:val="003E4480"/>
    <w:rsid w:val="003F5075"/>
    <w:rsid w:val="003F635F"/>
    <w:rsid w:val="003F728F"/>
    <w:rsid w:val="00400D9C"/>
    <w:rsid w:val="00405873"/>
    <w:rsid w:val="004128FA"/>
    <w:rsid w:val="004143F2"/>
    <w:rsid w:val="0041543E"/>
    <w:rsid w:val="00416D28"/>
    <w:rsid w:val="0042049A"/>
    <w:rsid w:val="004245CA"/>
    <w:rsid w:val="0042613B"/>
    <w:rsid w:val="004303B2"/>
    <w:rsid w:val="004335F7"/>
    <w:rsid w:val="00434986"/>
    <w:rsid w:val="00445600"/>
    <w:rsid w:val="00445805"/>
    <w:rsid w:val="00456279"/>
    <w:rsid w:val="0047108C"/>
    <w:rsid w:val="00475234"/>
    <w:rsid w:val="00481289"/>
    <w:rsid w:val="0048581B"/>
    <w:rsid w:val="0049614A"/>
    <w:rsid w:val="004A554D"/>
    <w:rsid w:val="004B263A"/>
    <w:rsid w:val="004B73BD"/>
    <w:rsid w:val="004C3581"/>
    <w:rsid w:val="004C371F"/>
    <w:rsid w:val="004D27B4"/>
    <w:rsid w:val="004D64D4"/>
    <w:rsid w:val="004D718B"/>
    <w:rsid w:val="004F110C"/>
    <w:rsid w:val="004F15CE"/>
    <w:rsid w:val="005014A7"/>
    <w:rsid w:val="00502065"/>
    <w:rsid w:val="00502E5D"/>
    <w:rsid w:val="005116F2"/>
    <w:rsid w:val="00516BB0"/>
    <w:rsid w:val="005235BC"/>
    <w:rsid w:val="005276D6"/>
    <w:rsid w:val="005309EE"/>
    <w:rsid w:val="00531270"/>
    <w:rsid w:val="00543DA5"/>
    <w:rsid w:val="00544E3C"/>
    <w:rsid w:val="0054789E"/>
    <w:rsid w:val="00557F00"/>
    <w:rsid w:val="005608FE"/>
    <w:rsid w:val="00570CD9"/>
    <w:rsid w:val="005777F3"/>
    <w:rsid w:val="00577CD7"/>
    <w:rsid w:val="0058147B"/>
    <w:rsid w:val="00581F52"/>
    <w:rsid w:val="00584F70"/>
    <w:rsid w:val="00585BD5"/>
    <w:rsid w:val="00597C34"/>
    <w:rsid w:val="005A0984"/>
    <w:rsid w:val="005A29F9"/>
    <w:rsid w:val="005A54D0"/>
    <w:rsid w:val="005A718B"/>
    <w:rsid w:val="005B3AFB"/>
    <w:rsid w:val="005B74D6"/>
    <w:rsid w:val="005C159A"/>
    <w:rsid w:val="005C706F"/>
    <w:rsid w:val="005D2172"/>
    <w:rsid w:val="005D2BDE"/>
    <w:rsid w:val="005D2BFC"/>
    <w:rsid w:val="005E4444"/>
    <w:rsid w:val="005E5B78"/>
    <w:rsid w:val="005E5F4C"/>
    <w:rsid w:val="005F5F3E"/>
    <w:rsid w:val="005F757E"/>
    <w:rsid w:val="006003D9"/>
    <w:rsid w:val="0060192D"/>
    <w:rsid w:val="00601B9B"/>
    <w:rsid w:val="006026AA"/>
    <w:rsid w:val="0060668F"/>
    <w:rsid w:val="00624714"/>
    <w:rsid w:val="00626C1B"/>
    <w:rsid w:val="0063418D"/>
    <w:rsid w:val="006358E8"/>
    <w:rsid w:val="00636BC5"/>
    <w:rsid w:val="00645214"/>
    <w:rsid w:val="00660909"/>
    <w:rsid w:val="00660D90"/>
    <w:rsid w:val="00661289"/>
    <w:rsid w:val="00662C8A"/>
    <w:rsid w:val="00664040"/>
    <w:rsid w:val="006640D3"/>
    <w:rsid w:val="00666016"/>
    <w:rsid w:val="00667BB0"/>
    <w:rsid w:val="0067028A"/>
    <w:rsid w:val="006702BA"/>
    <w:rsid w:val="006702D8"/>
    <w:rsid w:val="0067149C"/>
    <w:rsid w:val="006736FC"/>
    <w:rsid w:val="00674CA8"/>
    <w:rsid w:val="006755FC"/>
    <w:rsid w:val="00686EA5"/>
    <w:rsid w:val="00690478"/>
    <w:rsid w:val="006937CF"/>
    <w:rsid w:val="00693843"/>
    <w:rsid w:val="00693AF8"/>
    <w:rsid w:val="0069441F"/>
    <w:rsid w:val="006A0A79"/>
    <w:rsid w:val="006A0C03"/>
    <w:rsid w:val="006A465A"/>
    <w:rsid w:val="006A6868"/>
    <w:rsid w:val="006B1F9D"/>
    <w:rsid w:val="006B2C70"/>
    <w:rsid w:val="006C0707"/>
    <w:rsid w:val="006C26FE"/>
    <w:rsid w:val="006C61AC"/>
    <w:rsid w:val="006D30EF"/>
    <w:rsid w:val="006E0BF2"/>
    <w:rsid w:val="006E2817"/>
    <w:rsid w:val="006E755D"/>
    <w:rsid w:val="006E77CF"/>
    <w:rsid w:val="006E7BD7"/>
    <w:rsid w:val="006F0E69"/>
    <w:rsid w:val="006F197D"/>
    <w:rsid w:val="006F569A"/>
    <w:rsid w:val="0070505D"/>
    <w:rsid w:val="00710ADF"/>
    <w:rsid w:val="00713B8B"/>
    <w:rsid w:val="00713FEE"/>
    <w:rsid w:val="00715EBB"/>
    <w:rsid w:val="007176B2"/>
    <w:rsid w:val="0071783B"/>
    <w:rsid w:val="007215B3"/>
    <w:rsid w:val="0072389C"/>
    <w:rsid w:val="00730B46"/>
    <w:rsid w:val="0073743A"/>
    <w:rsid w:val="0074118D"/>
    <w:rsid w:val="007420BA"/>
    <w:rsid w:val="007449F9"/>
    <w:rsid w:val="007526A8"/>
    <w:rsid w:val="0075423F"/>
    <w:rsid w:val="00756CBE"/>
    <w:rsid w:val="00761ACF"/>
    <w:rsid w:val="00766BC1"/>
    <w:rsid w:val="00770111"/>
    <w:rsid w:val="00771969"/>
    <w:rsid w:val="00771F15"/>
    <w:rsid w:val="00773033"/>
    <w:rsid w:val="0077335E"/>
    <w:rsid w:val="007769EC"/>
    <w:rsid w:val="007810C8"/>
    <w:rsid w:val="00782761"/>
    <w:rsid w:val="007831B9"/>
    <w:rsid w:val="007833B4"/>
    <w:rsid w:val="00786552"/>
    <w:rsid w:val="007A10A5"/>
    <w:rsid w:val="007A1E51"/>
    <w:rsid w:val="007C0E09"/>
    <w:rsid w:val="007C1516"/>
    <w:rsid w:val="007C1611"/>
    <w:rsid w:val="007C56CE"/>
    <w:rsid w:val="007C5733"/>
    <w:rsid w:val="007C7E7B"/>
    <w:rsid w:val="007D10DB"/>
    <w:rsid w:val="007D1DC1"/>
    <w:rsid w:val="007F0BC0"/>
    <w:rsid w:val="007F3A6D"/>
    <w:rsid w:val="007F5C27"/>
    <w:rsid w:val="00801437"/>
    <w:rsid w:val="00803673"/>
    <w:rsid w:val="008036CD"/>
    <w:rsid w:val="00807A6F"/>
    <w:rsid w:val="008121E3"/>
    <w:rsid w:val="008202D6"/>
    <w:rsid w:val="00820E7C"/>
    <w:rsid w:val="008261D4"/>
    <w:rsid w:val="00853FBE"/>
    <w:rsid w:val="00854459"/>
    <w:rsid w:val="00861AA3"/>
    <w:rsid w:val="0086244C"/>
    <w:rsid w:val="00863045"/>
    <w:rsid w:val="00867A98"/>
    <w:rsid w:val="00870D5A"/>
    <w:rsid w:val="00873009"/>
    <w:rsid w:val="00874096"/>
    <w:rsid w:val="0088097F"/>
    <w:rsid w:val="008879B2"/>
    <w:rsid w:val="00897DDA"/>
    <w:rsid w:val="008B57FA"/>
    <w:rsid w:val="008B749B"/>
    <w:rsid w:val="008D3470"/>
    <w:rsid w:val="008D6B65"/>
    <w:rsid w:val="008E3F85"/>
    <w:rsid w:val="008F348E"/>
    <w:rsid w:val="008F6F66"/>
    <w:rsid w:val="008F6FC5"/>
    <w:rsid w:val="008F79CD"/>
    <w:rsid w:val="009032BB"/>
    <w:rsid w:val="009072B0"/>
    <w:rsid w:val="0091443A"/>
    <w:rsid w:val="00915901"/>
    <w:rsid w:val="00916ECF"/>
    <w:rsid w:val="009305C2"/>
    <w:rsid w:val="00936620"/>
    <w:rsid w:val="009448F9"/>
    <w:rsid w:val="00951611"/>
    <w:rsid w:val="0095666A"/>
    <w:rsid w:val="00962BC9"/>
    <w:rsid w:val="0096372C"/>
    <w:rsid w:val="0096753D"/>
    <w:rsid w:val="00971088"/>
    <w:rsid w:val="0097234E"/>
    <w:rsid w:val="00973ECD"/>
    <w:rsid w:val="00975DA3"/>
    <w:rsid w:val="009834B3"/>
    <w:rsid w:val="00983D4C"/>
    <w:rsid w:val="00987EE2"/>
    <w:rsid w:val="009939A3"/>
    <w:rsid w:val="00994A25"/>
    <w:rsid w:val="00995F9D"/>
    <w:rsid w:val="0099618C"/>
    <w:rsid w:val="009967E3"/>
    <w:rsid w:val="00996BC2"/>
    <w:rsid w:val="009A0A41"/>
    <w:rsid w:val="009A78BC"/>
    <w:rsid w:val="009B2B8C"/>
    <w:rsid w:val="009B69CA"/>
    <w:rsid w:val="009B6C54"/>
    <w:rsid w:val="009C4369"/>
    <w:rsid w:val="009C56B6"/>
    <w:rsid w:val="009C7393"/>
    <w:rsid w:val="009D13D6"/>
    <w:rsid w:val="009D2B58"/>
    <w:rsid w:val="009D31AE"/>
    <w:rsid w:val="009D4290"/>
    <w:rsid w:val="009E06EE"/>
    <w:rsid w:val="009E32CA"/>
    <w:rsid w:val="009E4933"/>
    <w:rsid w:val="009E7BC6"/>
    <w:rsid w:val="00A0137E"/>
    <w:rsid w:val="00A106FA"/>
    <w:rsid w:val="00A143B3"/>
    <w:rsid w:val="00A1467E"/>
    <w:rsid w:val="00A15538"/>
    <w:rsid w:val="00A23F6B"/>
    <w:rsid w:val="00A2400E"/>
    <w:rsid w:val="00A337BB"/>
    <w:rsid w:val="00A41EC1"/>
    <w:rsid w:val="00A45208"/>
    <w:rsid w:val="00A4599C"/>
    <w:rsid w:val="00A45D54"/>
    <w:rsid w:val="00A47677"/>
    <w:rsid w:val="00A501B9"/>
    <w:rsid w:val="00A562A6"/>
    <w:rsid w:val="00A604C4"/>
    <w:rsid w:val="00A62EB7"/>
    <w:rsid w:val="00A6339E"/>
    <w:rsid w:val="00A856C7"/>
    <w:rsid w:val="00A94C1D"/>
    <w:rsid w:val="00AA0D60"/>
    <w:rsid w:val="00AA4A34"/>
    <w:rsid w:val="00AB2A02"/>
    <w:rsid w:val="00AC467C"/>
    <w:rsid w:val="00AC46AA"/>
    <w:rsid w:val="00AC499F"/>
    <w:rsid w:val="00AC7E3E"/>
    <w:rsid w:val="00AD0095"/>
    <w:rsid w:val="00AD2C80"/>
    <w:rsid w:val="00AD3306"/>
    <w:rsid w:val="00AF2301"/>
    <w:rsid w:val="00AF2EA7"/>
    <w:rsid w:val="00AF6735"/>
    <w:rsid w:val="00B01E22"/>
    <w:rsid w:val="00B04E64"/>
    <w:rsid w:val="00B100C2"/>
    <w:rsid w:val="00B1050C"/>
    <w:rsid w:val="00B14D42"/>
    <w:rsid w:val="00B21433"/>
    <w:rsid w:val="00B27A07"/>
    <w:rsid w:val="00B319D3"/>
    <w:rsid w:val="00B33848"/>
    <w:rsid w:val="00B3420C"/>
    <w:rsid w:val="00B35AF6"/>
    <w:rsid w:val="00B54E84"/>
    <w:rsid w:val="00B56B3B"/>
    <w:rsid w:val="00B6796F"/>
    <w:rsid w:val="00B679B9"/>
    <w:rsid w:val="00B72C63"/>
    <w:rsid w:val="00B75140"/>
    <w:rsid w:val="00B75669"/>
    <w:rsid w:val="00B76174"/>
    <w:rsid w:val="00B81F16"/>
    <w:rsid w:val="00B86E3F"/>
    <w:rsid w:val="00B9707B"/>
    <w:rsid w:val="00BA4539"/>
    <w:rsid w:val="00BA7D4E"/>
    <w:rsid w:val="00BC3602"/>
    <w:rsid w:val="00BC485A"/>
    <w:rsid w:val="00BE082D"/>
    <w:rsid w:val="00BE1E6F"/>
    <w:rsid w:val="00BE77EC"/>
    <w:rsid w:val="00BF161B"/>
    <w:rsid w:val="00BF3705"/>
    <w:rsid w:val="00C0785A"/>
    <w:rsid w:val="00C07F18"/>
    <w:rsid w:val="00C16A0D"/>
    <w:rsid w:val="00C2655F"/>
    <w:rsid w:val="00C26918"/>
    <w:rsid w:val="00C26EC4"/>
    <w:rsid w:val="00C32E7D"/>
    <w:rsid w:val="00C34C2D"/>
    <w:rsid w:val="00C350D2"/>
    <w:rsid w:val="00C4740E"/>
    <w:rsid w:val="00C54692"/>
    <w:rsid w:val="00C62B90"/>
    <w:rsid w:val="00C62D5A"/>
    <w:rsid w:val="00C63063"/>
    <w:rsid w:val="00C71C22"/>
    <w:rsid w:val="00C83738"/>
    <w:rsid w:val="00C84080"/>
    <w:rsid w:val="00C87742"/>
    <w:rsid w:val="00C90ECE"/>
    <w:rsid w:val="00CA0409"/>
    <w:rsid w:val="00CA490F"/>
    <w:rsid w:val="00CA4DB9"/>
    <w:rsid w:val="00CA7E8A"/>
    <w:rsid w:val="00CB1671"/>
    <w:rsid w:val="00CC1EF2"/>
    <w:rsid w:val="00CE1B0A"/>
    <w:rsid w:val="00CE5BFE"/>
    <w:rsid w:val="00CE6BB6"/>
    <w:rsid w:val="00CF0440"/>
    <w:rsid w:val="00CF14F1"/>
    <w:rsid w:val="00CF2EA4"/>
    <w:rsid w:val="00CF3327"/>
    <w:rsid w:val="00D055C1"/>
    <w:rsid w:val="00D071A4"/>
    <w:rsid w:val="00D12286"/>
    <w:rsid w:val="00D305C1"/>
    <w:rsid w:val="00D42FF6"/>
    <w:rsid w:val="00D51FC2"/>
    <w:rsid w:val="00D52CD1"/>
    <w:rsid w:val="00D62E06"/>
    <w:rsid w:val="00D665F1"/>
    <w:rsid w:val="00D72354"/>
    <w:rsid w:val="00D74168"/>
    <w:rsid w:val="00D77E01"/>
    <w:rsid w:val="00D8279C"/>
    <w:rsid w:val="00D832DF"/>
    <w:rsid w:val="00D86051"/>
    <w:rsid w:val="00D90F9B"/>
    <w:rsid w:val="00DA4776"/>
    <w:rsid w:val="00DA682C"/>
    <w:rsid w:val="00DA7471"/>
    <w:rsid w:val="00DB29E0"/>
    <w:rsid w:val="00DB3654"/>
    <w:rsid w:val="00DB36BA"/>
    <w:rsid w:val="00DB4D03"/>
    <w:rsid w:val="00DB708E"/>
    <w:rsid w:val="00DC0C5A"/>
    <w:rsid w:val="00DC41DD"/>
    <w:rsid w:val="00DC58D4"/>
    <w:rsid w:val="00DC7876"/>
    <w:rsid w:val="00DD053A"/>
    <w:rsid w:val="00DD0DD4"/>
    <w:rsid w:val="00DE1C70"/>
    <w:rsid w:val="00DE1E79"/>
    <w:rsid w:val="00DE4CAA"/>
    <w:rsid w:val="00DF490A"/>
    <w:rsid w:val="00E01735"/>
    <w:rsid w:val="00E0253C"/>
    <w:rsid w:val="00E1036F"/>
    <w:rsid w:val="00E161C7"/>
    <w:rsid w:val="00E231E0"/>
    <w:rsid w:val="00E30336"/>
    <w:rsid w:val="00E37CAC"/>
    <w:rsid w:val="00E413F8"/>
    <w:rsid w:val="00E527C3"/>
    <w:rsid w:val="00E70BB5"/>
    <w:rsid w:val="00E76391"/>
    <w:rsid w:val="00E76B37"/>
    <w:rsid w:val="00E80B0D"/>
    <w:rsid w:val="00E8226A"/>
    <w:rsid w:val="00E83A16"/>
    <w:rsid w:val="00E84427"/>
    <w:rsid w:val="00E84453"/>
    <w:rsid w:val="00E86F3A"/>
    <w:rsid w:val="00E93553"/>
    <w:rsid w:val="00EA1D31"/>
    <w:rsid w:val="00EA2144"/>
    <w:rsid w:val="00EA22F0"/>
    <w:rsid w:val="00EA29C2"/>
    <w:rsid w:val="00EB236D"/>
    <w:rsid w:val="00EB5030"/>
    <w:rsid w:val="00EB6105"/>
    <w:rsid w:val="00EC392B"/>
    <w:rsid w:val="00EC77F3"/>
    <w:rsid w:val="00ED6AC8"/>
    <w:rsid w:val="00EE1BCA"/>
    <w:rsid w:val="00EE274A"/>
    <w:rsid w:val="00EE7814"/>
    <w:rsid w:val="00EE7A9D"/>
    <w:rsid w:val="00EF1DC4"/>
    <w:rsid w:val="00F05878"/>
    <w:rsid w:val="00F06653"/>
    <w:rsid w:val="00F07D32"/>
    <w:rsid w:val="00F11D4B"/>
    <w:rsid w:val="00F1338C"/>
    <w:rsid w:val="00F136CA"/>
    <w:rsid w:val="00F13D59"/>
    <w:rsid w:val="00F2447C"/>
    <w:rsid w:val="00F32D54"/>
    <w:rsid w:val="00F52678"/>
    <w:rsid w:val="00F52738"/>
    <w:rsid w:val="00F557C9"/>
    <w:rsid w:val="00F559E1"/>
    <w:rsid w:val="00F63D8D"/>
    <w:rsid w:val="00F67D07"/>
    <w:rsid w:val="00F72D85"/>
    <w:rsid w:val="00F816ED"/>
    <w:rsid w:val="00F83D58"/>
    <w:rsid w:val="00F87665"/>
    <w:rsid w:val="00F87C32"/>
    <w:rsid w:val="00F916F7"/>
    <w:rsid w:val="00F91B95"/>
    <w:rsid w:val="00F95D41"/>
    <w:rsid w:val="00FA0675"/>
    <w:rsid w:val="00FA309F"/>
    <w:rsid w:val="00FA6E00"/>
    <w:rsid w:val="00FB5448"/>
    <w:rsid w:val="00FC5E9B"/>
    <w:rsid w:val="00FD71A9"/>
    <w:rsid w:val="00FE06C9"/>
    <w:rsid w:val="00FF28BE"/>
    <w:rsid w:val="00FF42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71C91BE"/>
  <w15:chartTrackingRefBased/>
  <w15:docId w15:val="{EF92170B-AD94-4F0F-838D-C90AE8EF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543DA5"/>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pPr>
      <w:keepNext/>
      <w:ind w:left="-720" w:right="-720"/>
      <w:outlineLvl w:val="1"/>
    </w:pPr>
    <w:rPr>
      <w:rFonts w:ascii="Arial" w:hAnsi="Arial" w:cs="Arial"/>
      <w:b/>
      <w:bCs/>
      <w:sz w:val="32"/>
      <w:szCs w:val="24"/>
      <w:lang w:val="en-US"/>
    </w:rPr>
  </w:style>
  <w:style w:type="paragraph" w:styleId="Heading3">
    <w:name w:val="heading 3"/>
    <w:basedOn w:val="Normal"/>
    <w:next w:val="Normal"/>
    <w:link w:val="Heading3Char"/>
    <w:qFormat/>
    <w:pPr>
      <w:keepNext/>
      <w:jc w:val="center"/>
      <w:outlineLvl w:val="2"/>
    </w:pPr>
    <w:rPr>
      <w:rFonts w:ascii="Arial" w:hAnsi="Arial" w:cs="Arial"/>
      <w:b/>
      <w:bCs/>
      <w:sz w:val="40"/>
      <w:szCs w:val="24"/>
      <w:lang w:val="en-US"/>
    </w:rPr>
  </w:style>
  <w:style w:type="paragraph" w:styleId="Heading4">
    <w:name w:val="heading 4"/>
    <w:basedOn w:val="Normal"/>
    <w:next w:val="Normal"/>
    <w:qFormat/>
    <w:pPr>
      <w:keepNext/>
      <w:outlineLvl w:val="3"/>
    </w:pPr>
    <w:rPr>
      <w:rFonts w:ascii="Trebuchet MS" w:hAnsi="Trebuchet MS"/>
      <w:color w:val="FFFFFF"/>
      <w:sz w:val="24"/>
    </w:rPr>
  </w:style>
  <w:style w:type="paragraph" w:styleId="Heading6">
    <w:name w:val="heading 6"/>
    <w:basedOn w:val="Normal"/>
    <w:next w:val="Normal"/>
    <w:qFormat/>
    <w:pPr>
      <w:keepNext/>
      <w:ind w:left="-720" w:right="-720"/>
      <w:outlineLvl w:val="5"/>
    </w:pPr>
    <w:rPr>
      <w:rFonts w:ascii="Arial" w:hAnsi="Arial" w:cs="Arial"/>
      <w:b/>
      <w:bCs/>
      <w:sz w:val="22"/>
      <w:szCs w:val="24"/>
      <w:lang w:val="en-US"/>
    </w:rPr>
  </w:style>
  <w:style w:type="paragraph" w:styleId="Heading7">
    <w:name w:val="heading 7"/>
    <w:basedOn w:val="Normal"/>
    <w:next w:val="Normal"/>
    <w:qFormat/>
    <w:pPr>
      <w:keepNext/>
      <w:jc w:val="center"/>
      <w:outlineLvl w:val="6"/>
    </w:pPr>
    <w:rPr>
      <w:rFonts w:ascii="Arial" w:hAnsi="Arial" w:cs="Arial"/>
      <w:b/>
      <w:bCs/>
      <w:sz w:val="52"/>
      <w:szCs w:val="24"/>
      <w:lang w:val="en-US"/>
    </w:rPr>
  </w:style>
  <w:style w:type="paragraph" w:styleId="Heading8">
    <w:name w:val="heading 8"/>
    <w:basedOn w:val="Normal"/>
    <w:next w:val="Normal"/>
    <w:qFormat/>
    <w:pPr>
      <w:keepNext/>
      <w:tabs>
        <w:tab w:val="num" w:pos="720"/>
      </w:tabs>
      <w:spacing w:after="120" w:line="264" w:lineRule="auto"/>
      <w:ind w:left="-720" w:right="-720" w:firstLine="11"/>
      <w:outlineLvl w:val="7"/>
    </w:pPr>
    <w:rPr>
      <w:rFonts w:ascii="Arial" w:hAnsi="Arial" w:cs="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autoSpaceDE w:val="0"/>
      <w:autoSpaceDN w:val="0"/>
      <w:adjustRightInd w:val="0"/>
    </w:pPr>
    <w:rPr>
      <w:sz w:val="24"/>
      <w:szCs w:val="17"/>
    </w:rPr>
  </w:style>
  <w:style w:type="character" w:styleId="Hyperlink">
    <w:name w:val="Hyperlink"/>
    <w:rPr>
      <w:color w:val="0000FF"/>
      <w:u w:val="single"/>
    </w:rPr>
  </w:style>
  <w:style w:type="paragraph" w:styleId="BlockText">
    <w:name w:val="Block Text"/>
    <w:basedOn w:val="Normal"/>
    <w:pPr>
      <w:ind w:left="-720" w:right="-720"/>
    </w:pPr>
    <w:rPr>
      <w:rFonts w:ascii="Arial" w:hAnsi="Arial" w:cs="Arial"/>
      <w:sz w:val="24"/>
      <w:szCs w:val="24"/>
      <w:lang w:val="en-US"/>
    </w:rPr>
  </w:style>
  <w:style w:type="paragraph" w:styleId="BodyTextIndent3">
    <w:name w:val="Body Text Indent 3"/>
    <w:basedOn w:val="Normal"/>
    <w:link w:val="BodyTextIndent3Char"/>
    <w:pPr>
      <w:ind w:left="360"/>
    </w:pPr>
    <w:rPr>
      <w:i/>
      <w:iCs/>
      <w:szCs w:val="24"/>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4"/>
      <w:szCs w:val="24"/>
      <w:lang w:val="en-US"/>
    </w:rPr>
  </w:style>
  <w:style w:type="paragraph" w:styleId="BodyText3">
    <w:name w:val="Body Text 3"/>
    <w:basedOn w:val="Normal"/>
    <w:pPr>
      <w:jc w:val="center"/>
    </w:pPr>
    <w:rPr>
      <w:rFonts w:ascii="Arial" w:hAnsi="Arial" w:cs="Arial"/>
      <w:b/>
      <w:bCs/>
      <w:sz w:val="28"/>
      <w:szCs w:val="24"/>
      <w:lang w:val="en-US"/>
    </w:rPr>
  </w:style>
  <w:style w:type="paragraph" w:styleId="BodyText2">
    <w:name w:val="Body Text 2"/>
    <w:basedOn w:val="Normal"/>
    <w:rPr>
      <w:rFonts w:ascii="Arial" w:hAnsi="Arial" w:cs="Arial"/>
      <w:szCs w:val="24"/>
      <w:lang w:val="en-US"/>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sz w:val="24"/>
      <w:szCs w:val="24"/>
      <w:lang w:eastAsia="en-AU"/>
    </w:rPr>
  </w:style>
  <w:style w:type="paragraph" w:styleId="ListBullet">
    <w:name w:val="List Bullet"/>
    <w:basedOn w:val="Normal"/>
    <w:rsid w:val="006A465A"/>
    <w:pPr>
      <w:numPr>
        <w:numId w:val="7"/>
      </w:numPr>
      <w:contextualSpacing/>
    </w:pPr>
  </w:style>
  <w:style w:type="character" w:customStyle="1" w:styleId="FooterChar">
    <w:name w:val="Footer Char"/>
    <w:link w:val="Footer"/>
    <w:uiPriority w:val="99"/>
    <w:rsid w:val="000E77DF"/>
    <w:rPr>
      <w:sz w:val="24"/>
      <w:szCs w:val="24"/>
      <w:lang w:val="en-US" w:eastAsia="en-US"/>
    </w:rPr>
  </w:style>
  <w:style w:type="paragraph" w:styleId="CommentText">
    <w:name w:val="annotation text"/>
    <w:basedOn w:val="Normal"/>
    <w:link w:val="CommentTextChar"/>
    <w:rsid w:val="005E5F4C"/>
    <w:rPr>
      <w:rFonts w:cs="Arial"/>
    </w:rPr>
  </w:style>
  <w:style w:type="character" w:customStyle="1" w:styleId="CommentTextChar">
    <w:name w:val="Comment Text Char"/>
    <w:link w:val="CommentText"/>
    <w:rsid w:val="005E5F4C"/>
    <w:rPr>
      <w:rFonts w:cs="Arial"/>
      <w:lang w:eastAsia="en-US"/>
    </w:rPr>
  </w:style>
  <w:style w:type="paragraph" w:styleId="BalloonText">
    <w:name w:val="Balloon Text"/>
    <w:basedOn w:val="Normal"/>
    <w:link w:val="BalloonTextChar"/>
    <w:rsid w:val="007526A8"/>
    <w:rPr>
      <w:rFonts w:ascii="Tahoma" w:hAnsi="Tahoma" w:cs="Tahoma"/>
      <w:sz w:val="16"/>
      <w:szCs w:val="16"/>
    </w:rPr>
  </w:style>
  <w:style w:type="character" w:customStyle="1" w:styleId="BalloonTextChar">
    <w:name w:val="Balloon Text Char"/>
    <w:link w:val="BalloonText"/>
    <w:rsid w:val="007526A8"/>
    <w:rPr>
      <w:rFonts w:ascii="Tahoma" w:hAnsi="Tahoma" w:cs="Tahoma"/>
      <w:sz w:val="16"/>
      <w:szCs w:val="16"/>
      <w:lang w:eastAsia="en-US"/>
    </w:rPr>
  </w:style>
  <w:style w:type="character" w:styleId="CommentReference">
    <w:name w:val="annotation reference"/>
    <w:rsid w:val="0060668F"/>
    <w:rPr>
      <w:sz w:val="16"/>
      <w:szCs w:val="16"/>
    </w:rPr>
  </w:style>
  <w:style w:type="paragraph" w:styleId="CommentSubject">
    <w:name w:val="annotation subject"/>
    <w:basedOn w:val="CommentText"/>
    <w:next w:val="CommentText"/>
    <w:link w:val="CommentSubjectChar"/>
    <w:rsid w:val="0060668F"/>
    <w:rPr>
      <w:rFonts w:cs="Times New Roman"/>
      <w:b/>
      <w:bCs/>
    </w:rPr>
  </w:style>
  <w:style w:type="character" w:customStyle="1" w:styleId="CommentSubjectChar">
    <w:name w:val="Comment Subject Char"/>
    <w:link w:val="CommentSubject"/>
    <w:rsid w:val="0060668F"/>
    <w:rPr>
      <w:rFonts w:cs="Arial"/>
      <w:b/>
      <w:bCs/>
      <w:lang w:eastAsia="en-US"/>
    </w:rPr>
  </w:style>
  <w:style w:type="paragraph" w:customStyle="1" w:styleId="CM14">
    <w:name w:val="CM14"/>
    <w:basedOn w:val="Normal"/>
    <w:next w:val="Normal"/>
    <w:uiPriority w:val="99"/>
    <w:rsid w:val="00A0137E"/>
    <w:pPr>
      <w:autoSpaceDE w:val="0"/>
      <w:autoSpaceDN w:val="0"/>
      <w:adjustRightInd w:val="0"/>
      <w:spacing w:line="298" w:lineRule="atLeast"/>
    </w:pPr>
    <w:rPr>
      <w:sz w:val="24"/>
      <w:szCs w:val="24"/>
      <w:lang w:eastAsia="en-AU"/>
    </w:rPr>
  </w:style>
  <w:style w:type="table" w:styleId="TableGrid">
    <w:name w:val="Table Grid"/>
    <w:basedOn w:val="TableNormal"/>
    <w:uiPriority w:val="59"/>
    <w:rsid w:val="002727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DB29E0"/>
    <w:rPr>
      <w:i/>
      <w:iCs/>
      <w:szCs w:val="24"/>
      <w:lang w:val="en-US" w:eastAsia="en-US"/>
    </w:rPr>
  </w:style>
  <w:style w:type="character" w:customStyle="1" w:styleId="Heading1Char">
    <w:name w:val="Heading 1 Char"/>
    <w:link w:val="Heading1"/>
    <w:rsid w:val="00543DA5"/>
    <w:rPr>
      <w:rFonts w:ascii="Calibri Light" w:eastAsia="Times New Roman" w:hAnsi="Calibri Light" w:cs="Times New Roman"/>
      <w:b/>
      <w:bCs/>
      <w:kern w:val="32"/>
      <w:sz w:val="32"/>
      <w:szCs w:val="32"/>
      <w:lang w:eastAsia="en-US"/>
    </w:rPr>
  </w:style>
  <w:style w:type="paragraph" w:customStyle="1" w:styleId="Default">
    <w:name w:val="Default"/>
    <w:rsid w:val="00EC77F3"/>
    <w:pPr>
      <w:autoSpaceDE w:val="0"/>
      <w:autoSpaceDN w:val="0"/>
      <w:adjustRightInd w:val="0"/>
    </w:pPr>
    <w:rPr>
      <w:rFonts w:ascii="Arial" w:hAnsi="Arial" w:cs="Arial"/>
      <w:color w:val="000000"/>
      <w:sz w:val="24"/>
      <w:szCs w:val="24"/>
    </w:rPr>
  </w:style>
  <w:style w:type="paragraph" w:customStyle="1" w:styleId="HR">
    <w:name w:val="HR"/>
    <w:aliases w:val="Regulation Heading"/>
    <w:basedOn w:val="Default"/>
    <w:next w:val="Default"/>
    <w:rsid w:val="00EC77F3"/>
    <w:rPr>
      <w:rFonts w:cs="Times New Roman"/>
      <w:color w:val="auto"/>
    </w:rPr>
  </w:style>
  <w:style w:type="paragraph" w:customStyle="1" w:styleId="ZR1">
    <w:name w:val="ZR1"/>
    <w:basedOn w:val="Default"/>
    <w:next w:val="Default"/>
    <w:rsid w:val="00EC77F3"/>
    <w:rPr>
      <w:rFonts w:cs="Times New Roman"/>
      <w:color w:val="auto"/>
    </w:rPr>
  </w:style>
  <w:style w:type="paragraph" w:customStyle="1" w:styleId="P1">
    <w:name w:val="P1"/>
    <w:aliases w:val="(a)"/>
    <w:basedOn w:val="Default"/>
    <w:next w:val="Default"/>
    <w:rsid w:val="00EC77F3"/>
    <w:rPr>
      <w:rFonts w:cs="Times New Roman"/>
      <w:color w:val="auto"/>
    </w:rPr>
  </w:style>
  <w:style w:type="paragraph" w:customStyle="1" w:styleId="Pa5">
    <w:name w:val="Pa5"/>
    <w:basedOn w:val="Default"/>
    <w:next w:val="Default"/>
    <w:uiPriority w:val="99"/>
    <w:rsid w:val="00771F15"/>
    <w:pPr>
      <w:spacing w:line="201" w:lineRule="atLeast"/>
    </w:pPr>
    <w:rPr>
      <w:rFonts w:ascii="Adobe Garamond Pro" w:hAnsi="Adobe Garamond Pro" w:cs="Times New Roman"/>
      <w:color w:val="auto"/>
    </w:rPr>
  </w:style>
  <w:style w:type="character" w:customStyle="1" w:styleId="A6">
    <w:name w:val="A6"/>
    <w:uiPriority w:val="99"/>
    <w:rsid w:val="00771F15"/>
    <w:rPr>
      <w:rFonts w:ascii="Adobe Garamond Pro Bold" w:hAnsi="Adobe Garamond Pro Bold" w:cs="Adobe Garamond Pro Bold"/>
      <w:b/>
      <w:bCs/>
      <w:color w:val="000000"/>
      <w:sz w:val="20"/>
      <w:szCs w:val="20"/>
      <w:u w:val="single"/>
    </w:rPr>
  </w:style>
  <w:style w:type="character" w:styleId="UnresolvedMention">
    <w:name w:val="Unresolved Mention"/>
    <w:uiPriority w:val="99"/>
    <w:semiHidden/>
    <w:unhideWhenUsed/>
    <w:rsid w:val="00024C4D"/>
    <w:rPr>
      <w:color w:val="605E5C"/>
      <w:shd w:val="clear" w:color="auto" w:fill="E1DFDD"/>
    </w:rPr>
  </w:style>
  <w:style w:type="character" w:customStyle="1" w:styleId="Heading3Char">
    <w:name w:val="Heading 3 Char"/>
    <w:link w:val="Heading3"/>
    <w:rsid w:val="007C1516"/>
    <w:rPr>
      <w:rFonts w:ascii="Arial" w:hAnsi="Arial" w:cs="Arial"/>
      <w:b/>
      <w:bCs/>
      <w:sz w:val="40"/>
      <w:szCs w:val="24"/>
      <w:lang w:val="en-US" w:eastAsia="en-US"/>
    </w:rPr>
  </w:style>
  <w:style w:type="paragraph" w:styleId="ListParagraph">
    <w:name w:val="List Paragraph"/>
    <w:basedOn w:val="Normal"/>
    <w:uiPriority w:val="34"/>
    <w:qFormat/>
    <w:rsid w:val="009D42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7472">
      <w:bodyDiv w:val="1"/>
      <w:marLeft w:val="0"/>
      <w:marRight w:val="0"/>
      <w:marTop w:val="0"/>
      <w:marBottom w:val="0"/>
      <w:divBdr>
        <w:top w:val="none" w:sz="0" w:space="0" w:color="auto"/>
        <w:left w:val="none" w:sz="0" w:space="0" w:color="auto"/>
        <w:bottom w:val="none" w:sz="0" w:space="0" w:color="auto"/>
        <w:right w:val="none" w:sz="0" w:space="0" w:color="auto"/>
      </w:divBdr>
    </w:div>
    <w:div w:id="1072193502">
      <w:bodyDiv w:val="1"/>
      <w:marLeft w:val="0"/>
      <w:marRight w:val="0"/>
      <w:marTop w:val="0"/>
      <w:marBottom w:val="0"/>
      <w:divBdr>
        <w:top w:val="none" w:sz="0" w:space="0" w:color="auto"/>
        <w:left w:val="none" w:sz="0" w:space="0" w:color="auto"/>
        <w:bottom w:val="none" w:sz="0" w:space="0" w:color="auto"/>
        <w:right w:val="none" w:sz="0" w:space="0" w:color="auto"/>
      </w:divBdr>
    </w:div>
    <w:div w:id="1100612476">
      <w:bodyDiv w:val="1"/>
      <w:marLeft w:val="0"/>
      <w:marRight w:val="0"/>
      <w:marTop w:val="0"/>
      <w:marBottom w:val="0"/>
      <w:divBdr>
        <w:top w:val="none" w:sz="0" w:space="0" w:color="auto"/>
        <w:left w:val="none" w:sz="0" w:space="0" w:color="auto"/>
        <w:bottom w:val="none" w:sz="0" w:space="0" w:color="auto"/>
        <w:right w:val="none" w:sz="0" w:space="0" w:color="auto"/>
      </w:divBdr>
    </w:div>
    <w:div w:id="181837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we.gov.au/parks-heritage/heritage/places/priority-assessment" TargetMode="External"/><Relationship Id="rId18" Type="http://schemas.openxmlformats.org/officeDocument/2006/relationships/hyperlink" Target="http://www.awe.gov.au/parks-heritage/heritage/publications/dhawura-ngilan-vision-atsi-heritage" TargetMode="External"/><Relationship Id="rId26" Type="http://schemas.openxmlformats.org/officeDocument/2006/relationships/hyperlink" Target="http://www.environment.gov.au/cgi-bin/ahdb/search.pl?mode=place_detail;search=state%3DNSW%3Blist_code%3DCHL%3Blegal_status%3D35%3Bkeyword_PD%3D0%3Bkeyword_SS%3D0%3Bkeyword_PH%3D0;place_id=106116" TargetMode="External"/><Relationship Id="rId3" Type="http://schemas.openxmlformats.org/officeDocument/2006/relationships/customXml" Target="../customXml/item3.xml"/><Relationship Id="rId21" Type="http://schemas.openxmlformats.org/officeDocument/2006/relationships/hyperlink" Target="http://www.environment.gov.au/cgi-bin/ahdb/search.pl?mode=place_detail;search=state%3DSA%3Blist_code%3DCHL%3Blegal_status%3D35%3Bkeyword_PD%3D0%3Bkeyword_SS%3D0%3Bkeyword_PH%3D0;place_id=105518"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we.gov.au/sites/default/files/documents/engage-early-indigenous-engagement-guidelines.pdf" TargetMode="External"/><Relationship Id="rId25" Type="http://schemas.openxmlformats.org/officeDocument/2006/relationships/hyperlink" Target="http://www.environment.gov.au/cgi-bin/ahdb/search.pl?mode=place_detail;search=state%3DTAS%3Blist_code%3DCHL%3Blegal_status%3D35%3Bkeyword_PD%3D0%3Bkeyword_SS%3D0%3Bkeyword_PH%3D0;place_id=10566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au/Details/C2016C00111" TargetMode="External"/><Relationship Id="rId20" Type="http://schemas.openxmlformats.org/officeDocument/2006/relationships/hyperlink" Target="http://www.environment.gov.au/cgi-bin/ahdb/search.pl?mode=place_detail;search=place_name%3Droyal%2520australian%2520mint%3Blist_code%3DCHL%3Bkeyword_PD%3Don%3Bkeyword_SS%3Don%3Bkeyword_PH%3Don%3Blatitude_1dir%3DS%3Blongitude_1dir%3DE%3Blongitude_2dir%3DE%3Blatitude_2dir%3DS%3Bin_region%3Dpart;place_id=106191" TargetMode="External"/><Relationship Id="rId29" Type="http://schemas.openxmlformats.org/officeDocument/2006/relationships/hyperlink" Target="http://www.environment.gov.au/cgi-bin/ahdb/search.pl?mode=place_detail;search=place_name%3Djervis%2520bay%3Blist_code%3DCHL%3Bkeyword_PD%3Don%3Bkeyword_SS%3Don%3Bkeyword_PH%3Don%3Blatitude_1dir%3DS%3Blongitude_1dir%3DE%3Blongitude_2dir%3DE%3Blatitude_2dir%3DS%3Bin_region%3Dpart;place_id=10539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nvironment.gov.au/cgi-bin/ahdb/search.pl?mode=place_detail;search=state%3DACT%3Blist_code%3DCHL%3Blegal_status%3D35%3Bkeyword_PD%3D0%3Bkeyword_SS%3D0%3Bkeyword_PH%3D0;place_id=105318"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nativetitle.org.au/find/pbc" TargetMode="External"/><Relationship Id="rId23" Type="http://schemas.openxmlformats.org/officeDocument/2006/relationships/hyperlink" Target="http://www.environment.gov.au/cgi-bin/ahdb/search.pl?mode=place_detail;search=state%3DQLD%3Blist_code%3DCHL%3Blegal_status%3D35%3Bkeyword_PD%3D0%3Bkeyword_SS%3D0%3Bkeyword_PH%3D0;place_id=105521" TargetMode="External"/><Relationship Id="rId28" Type="http://schemas.openxmlformats.org/officeDocument/2006/relationships/hyperlink" Target="http://www.environment.gov.au/cgi-bin/ahdb/search.pl?mode=place_detail;search=state%3DNSW%3Blist_code%3DCHL%3Blegal_status%3D35%3Bkeyword_PD%3D0%3Bkeyword_SS%3D0%3Bkeyword_PH%3D0;place_id=105456" TargetMode="External"/><Relationship Id="rId10" Type="http://schemas.openxmlformats.org/officeDocument/2006/relationships/footnotes" Target="footnotes.xml"/><Relationship Id="rId19" Type="http://schemas.openxmlformats.org/officeDocument/2006/relationships/hyperlink" Target="http://www.awe.gov.au/parks-heritage/heritage/publications/working-together-managing-commonwealth-heritage-plac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we.gov.au/parks-heritage/heritage/places/nominating-heritage-place" TargetMode="External"/><Relationship Id="rId22" Type="http://schemas.openxmlformats.org/officeDocument/2006/relationships/hyperlink" Target="http://www.environment.gov.au/cgi-bin/ahdb/search.pl?mode=place_detail;search=state%3DNSW%3Blist_code%3DCHL%3Blegal_status%3D35%3Bkeyword_PD%3D0%3Bkeyword_SS%3D0%3Bkeyword_PH%3D0;place_id=105317" TargetMode="External"/><Relationship Id="rId27" Type="http://schemas.openxmlformats.org/officeDocument/2006/relationships/hyperlink" Target="http://www.environment.gov.au/cgi-bin/ahdb/search.pl?mode=place_detail;search=state%3DTAS%3Blist_code%3DCHL%3Blegal_status%3D35%3Bkeyword_PD%3D0%3Bkeyword_SS%3D0%3Bkeyword_PH%3D0;place_id=106152"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12EFBBED-0647-4D34-956D-8C38C90BC5C7}">
  <ds:schemaRefs>
    <ds:schemaRef ds:uri="http://schemas.microsoft.com/office/2006/metadata/longProperties"/>
  </ds:schemaRefs>
</ds:datastoreItem>
</file>

<file path=customXml/itemProps2.xml><?xml version="1.0" encoding="utf-8"?>
<ds:datastoreItem xmlns:ds="http://schemas.openxmlformats.org/officeDocument/2006/customXml" ds:itemID="{90587000-94F1-4A0B-BCB3-56BB5E043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F68FC-B6AD-4359-B9E4-3BC6CB197EF6}">
  <ds:schemaRefs>
    <ds:schemaRef ds:uri="http://schemas.openxmlformats.org/officeDocument/2006/bibliography"/>
  </ds:schemaRefs>
</ds:datastoreItem>
</file>

<file path=customXml/itemProps4.xml><?xml version="1.0" encoding="utf-8"?>
<ds:datastoreItem xmlns:ds="http://schemas.openxmlformats.org/officeDocument/2006/customXml" ds:itemID="{1F2762E0-1E82-4BA7-AA19-4B20FAF638E8}">
  <ds:schemaRefs>
    <ds:schemaRef ds:uri="http://schemas.microsoft.com/sharepoint/v3/contenttype/forms"/>
  </ds:schemaRefs>
</ds:datastoreItem>
</file>

<file path=customXml/itemProps5.xml><?xml version="1.0" encoding="utf-8"?>
<ds:datastoreItem xmlns:ds="http://schemas.openxmlformats.org/officeDocument/2006/customXml" ds:itemID="{440792F0-63B4-4FEB-B0C1-4279FB4BF2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3595</Words>
  <Characters>20493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NHL nomination guide 21-22</vt:lpstr>
    </vt:vector>
  </TitlesOfParts>
  <Company/>
  <LinksUpToDate>false</LinksUpToDate>
  <CharactersWithSpaces>24040</CharactersWithSpaces>
  <SharedDoc>false</SharedDoc>
  <HLinks>
    <vt:vector size="102" baseType="variant">
      <vt:variant>
        <vt:i4>3604515</vt:i4>
      </vt:variant>
      <vt:variant>
        <vt:i4>51</vt:i4>
      </vt:variant>
      <vt:variant>
        <vt:i4>0</vt:i4>
      </vt:variant>
      <vt:variant>
        <vt:i4>5</vt:i4>
      </vt:variant>
      <vt:variant>
        <vt:lpwstr>http://www.environment.gov.au/cgi-bin/ahdb/search.pl?mode=place_detail;search=place_name%3Djervis%2520bay%3Blist_code%3DCHL%3Bkeyword_PD%3Don%3Bkeyword_SS%3Don%3Bkeyword_PH%3Don%3Blatitude_1dir%3DS%3Blongitude_1dir%3DE%3Blongitude_2dir%3DE%3Blatitude_2dir%3DS%3Bin_region%3Dpart;place_id=105394</vt:lpwstr>
      </vt:variant>
      <vt:variant>
        <vt:lpwstr/>
      </vt:variant>
      <vt:variant>
        <vt:i4>3145751</vt:i4>
      </vt:variant>
      <vt:variant>
        <vt:i4>48</vt:i4>
      </vt:variant>
      <vt:variant>
        <vt:i4>0</vt:i4>
      </vt:variant>
      <vt:variant>
        <vt:i4>5</vt:i4>
      </vt:variant>
      <vt:variant>
        <vt:lpwstr>http://www.environment.gov.au/cgi-bin/ahdb/search.pl?mode=place_detail;search=state%3DNSW%3Blist_code%3DCHL%3Blegal_status%3D35%3Bkeyword_PD%3D0%3Bkeyword_SS%3D0%3Bkeyword_PH%3D0;place_id=105456</vt:lpwstr>
      </vt:variant>
      <vt:variant>
        <vt:lpwstr/>
      </vt:variant>
      <vt:variant>
        <vt:i4>2293770</vt:i4>
      </vt:variant>
      <vt:variant>
        <vt:i4>45</vt:i4>
      </vt:variant>
      <vt:variant>
        <vt:i4>0</vt:i4>
      </vt:variant>
      <vt:variant>
        <vt:i4>5</vt:i4>
      </vt:variant>
      <vt:variant>
        <vt:lpwstr>http://www.environment.gov.au/cgi-bin/ahdb/search.pl?mode=place_detail;search=state%3DTAS%3Blist_code%3DCHL%3Blegal_status%3D35%3Bkeyword_PD%3D0%3Bkeyword_SS%3D0%3Bkeyword_PH%3D0;place_id=106152</vt:lpwstr>
      </vt:variant>
      <vt:variant>
        <vt:lpwstr/>
      </vt:variant>
      <vt:variant>
        <vt:i4>3473424</vt:i4>
      </vt:variant>
      <vt:variant>
        <vt:i4>42</vt:i4>
      </vt:variant>
      <vt:variant>
        <vt:i4>0</vt:i4>
      </vt:variant>
      <vt:variant>
        <vt:i4>5</vt:i4>
      </vt:variant>
      <vt:variant>
        <vt:lpwstr>http://www.environment.gov.au/cgi-bin/ahdb/search.pl?mode=place_detail;search=state%3DNSW%3Blist_code%3DCHL%3Blegal_status%3D35%3Bkeyword_PD%3D0%3Bkeyword_SS%3D0%3Bkeyword_PH%3D0;place_id=106116</vt:lpwstr>
      </vt:variant>
      <vt:variant>
        <vt:lpwstr/>
      </vt:variant>
      <vt:variant>
        <vt:i4>2424842</vt:i4>
      </vt:variant>
      <vt:variant>
        <vt:i4>39</vt:i4>
      </vt:variant>
      <vt:variant>
        <vt:i4>0</vt:i4>
      </vt:variant>
      <vt:variant>
        <vt:i4>5</vt:i4>
      </vt:variant>
      <vt:variant>
        <vt:lpwstr>http://www.environment.gov.au/cgi-bin/ahdb/search.pl?mode=place_detail;search=state%3DTAS%3Blist_code%3DCHL%3Blegal_status%3D35%3Bkeyword_PD%3D0%3Bkeyword_SS%3D0%3Bkeyword_PH%3D0;place_id=105663</vt:lpwstr>
      </vt:variant>
      <vt:variant>
        <vt:lpwstr/>
      </vt:variant>
      <vt:variant>
        <vt:i4>2687007</vt:i4>
      </vt:variant>
      <vt:variant>
        <vt:i4>36</vt:i4>
      </vt:variant>
      <vt:variant>
        <vt:i4>0</vt:i4>
      </vt:variant>
      <vt:variant>
        <vt:i4>5</vt:i4>
      </vt:variant>
      <vt:variant>
        <vt:lpwstr>http://www.environment.gov.au/cgi-bin/ahdb/search.pl?mode=place_detail;search=state%3DACT%3Blist_code%3DCHL%3Blegal_status%3D35%3Bkeyword_PD%3D0%3Bkeyword_SS%3D0%3Bkeyword_PH%3D0;place_id=105318</vt:lpwstr>
      </vt:variant>
      <vt:variant>
        <vt:lpwstr/>
      </vt:variant>
      <vt:variant>
        <vt:i4>2687004</vt:i4>
      </vt:variant>
      <vt:variant>
        <vt:i4>33</vt:i4>
      </vt:variant>
      <vt:variant>
        <vt:i4>0</vt:i4>
      </vt:variant>
      <vt:variant>
        <vt:i4>5</vt:i4>
      </vt:variant>
      <vt:variant>
        <vt:lpwstr>http://www.environment.gov.au/cgi-bin/ahdb/search.pl?mode=place_detail;search=state%3DQLD%3Blist_code%3DCHL%3Blegal_status%3D35%3Bkeyword_PD%3D0%3Bkeyword_SS%3D0%3Bkeyword_PH%3D0;place_id=105521</vt:lpwstr>
      </vt:variant>
      <vt:variant>
        <vt:lpwstr/>
      </vt:variant>
      <vt:variant>
        <vt:i4>3538963</vt:i4>
      </vt:variant>
      <vt:variant>
        <vt:i4>30</vt:i4>
      </vt:variant>
      <vt:variant>
        <vt:i4>0</vt:i4>
      </vt:variant>
      <vt:variant>
        <vt:i4>5</vt:i4>
      </vt:variant>
      <vt:variant>
        <vt:lpwstr>http://www.environment.gov.au/cgi-bin/ahdb/search.pl?mode=place_detail;search=state%3DNSW%3Blist_code%3DCHL%3Blegal_status%3D35%3Bkeyword_PD%3D0%3Bkeyword_SS%3D0%3Bkeyword_PH%3D0;place_id=105317</vt:lpwstr>
      </vt:variant>
      <vt:variant>
        <vt:lpwstr/>
      </vt:variant>
      <vt:variant>
        <vt:i4>983139</vt:i4>
      </vt:variant>
      <vt:variant>
        <vt:i4>27</vt:i4>
      </vt:variant>
      <vt:variant>
        <vt:i4>0</vt:i4>
      </vt:variant>
      <vt:variant>
        <vt:i4>5</vt:i4>
      </vt:variant>
      <vt:variant>
        <vt:lpwstr>http://www.environment.gov.au/cgi-bin/ahdb/search.pl?mode=place_detail;search=state%3DSA%3Blist_code%3DCHL%3Blegal_status%3D35%3Bkeyword_PD%3D0%3Bkeyword_SS%3D0%3Bkeyword_PH%3D0;place_id=105518</vt:lpwstr>
      </vt:variant>
      <vt:variant>
        <vt:lpwstr/>
      </vt:variant>
      <vt:variant>
        <vt:i4>6226041</vt:i4>
      </vt:variant>
      <vt:variant>
        <vt:i4>24</vt:i4>
      </vt:variant>
      <vt:variant>
        <vt:i4>0</vt:i4>
      </vt:variant>
      <vt:variant>
        <vt:i4>5</vt:i4>
      </vt:variant>
      <vt:variant>
        <vt:lpwstr>http://www.environment.gov.au/cgi-bin/ahdb/search.pl?mode=place_detail;search=place_name%3Droyal%2520australian%2520mint%3Blist_code%3DCHL%3Bkeyword_PD%3Don%3Bkeyword_SS%3Don%3Bkeyword_PH%3Don%3Blatitude_1dir%3DS%3Blongitude_1dir%3DE%3Blongitude_2dir%3DE%3Blatitude_2dir%3DS%3Bin_region%3Dpart;place_id=106191</vt:lpwstr>
      </vt:variant>
      <vt:variant>
        <vt:lpwstr/>
      </vt:variant>
      <vt:variant>
        <vt:i4>1245190</vt:i4>
      </vt:variant>
      <vt:variant>
        <vt:i4>21</vt:i4>
      </vt:variant>
      <vt:variant>
        <vt:i4>0</vt:i4>
      </vt:variant>
      <vt:variant>
        <vt:i4>5</vt:i4>
      </vt:variant>
      <vt:variant>
        <vt:lpwstr>http://www.awe.gov.au/parks-heritage/heritage/publications/working-together-managing-commonwealth-heritage-places</vt:lpwstr>
      </vt:variant>
      <vt:variant>
        <vt:lpwstr/>
      </vt:variant>
      <vt:variant>
        <vt:i4>6815782</vt:i4>
      </vt:variant>
      <vt:variant>
        <vt:i4>18</vt:i4>
      </vt:variant>
      <vt:variant>
        <vt:i4>0</vt:i4>
      </vt:variant>
      <vt:variant>
        <vt:i4>5</vt:i4>
      </vt:variant>
      <vt:variant>
        <vt:lpwstr>http://www.awe.gov.au/parks-heritage/heritage/publications/dhawura-ngilan-vision-atsi-heritage</vt:lpwstr>
      </vt:variant>
      <vt:variant>
        <vt:lpwstr/>
      </vt:variant>
      <vt:variant>
        <vt:i4>1900553</vt:i4>
      </vt:variant>
      <vt:variant>
        <vt:i4>15</vt:i4>
      </vt:variant>
      <vt:variant>
        <vt:i4>0</vt:i4>
      </vt:variant>
      <vt:variant>
        <vt:i4>5</vt:i4>
      </vt:variant>
      <vt:variant>
        <vt:lpwstr>http://www.awe.gov.au/sites/default/files/documents/engage-early-indigenous-engagement-guidelines.pdf</vt:lpwstr>
      </vt:variant>
      <vt:variant>
        <vt:lpwstr/>
      </vt:variant>
      <vt:variant>
        <vt:i4>4980831</vt:i4>
      </vt:variant>
      <vt:variant>
        <vt:i4>12</vt:i4>
      </vt:variant>
      <vt:variant>
        <vt:i4>0</vt:i4>
      </vt:variant>
      <vt:variant>
        <vt:i4>5</vt:i4>
      </vt:variant>
      <vt:variant>
        <vt:lpwstr>http://www.legislation.gov.au/Details/C2016C00111</vt:lpwstr>
      </vt:variant>
      <vt:variant>
        <vt:lpwstr/>
      </vt:variant>
      <vt:variant>
        <vt:i4>3866738</vt:i4>
      </vt:variant>
      <vt:variant>
        <vt:i4>9</vt:i4>
      </vt:variant>
      <vt:variant>
        <vt:i4>0</vt:i4>
      </vt:variant>
      <vt:variant>
        <vt:i4>5</vt:i4>
      </vt:variant>
      <vt:variant>
        <vt:lpwstr>https://nativetitle.org.au/find/pbc</vt:lpwstr>
      </vt:variant>
      <vt:variant>
        <vt:lpwstr/>
      </vt:variant>
      <vt:variant>
        <vt:i4>2293883</vt:i4>
      </vt:variant>
      <vt:variant>
        <vt:i4>6</vt:i4>
      </vt:variant>
      <vt:variant>
        <vt:i4>0</vt:i4>
      </vt:variant>
      <vt:variant>
        <vt:i4>5</vt:i4>
      </vt:variant>
      <vt:variant>
        <vt:lpwstr>http://www.awe.gov.au/parks-heritage/heritage/places/nominating-heritage-place</vt:lpwstr>
      </vt:variant>
      <vt:variant>
        <vt:lpwstr/>
      </vt:variant>
      <vt:variant>
        <vt:i4>4390998</vt:i4>
      </vt:variant>
      <vt:variant>
        <vt:i4>0</vt:i4>
      </vt:variant>
      <vt:variant>
        <vt:i4>0</vt:i4>
      </vt:variant>
      <vt:variant>
        <vt:i4>5</vt:i4>
      </vt:variant>
      <vt:variant>
        <vt:lpwstr>http://www.awe.gov.au/parks-heritage/heritage/places/priority-assessment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NHL nomination guide 21-22</dc:title>
  <dc:subject/>
  <dc:creator>EA</dc:creator>
  <cp:keywords/>
  <cp:lastModifiedBy>Lien Nguyen</cp:lastModifiedBy>
  <cp:revision>2</cp:revision>
  <cp:lastPrinted>2017-11-28T02:26:00Z</cp:lastPrinted>
  <dcterms:created xsi:type="dcterms:W3CDTF">2021-11-30T04:27:00Z</dcterms:created>
  <dcterms:modified xsi:type="dcterms:W3CDTF">2021-11-30T04:27:00Z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ActiveItemSiteId">
    <vt:lpwstr>{8003c3b3-d20c-4e9a-bee9-0e2243d810ee}</vt:lpwstr>
  </property>
  <property fmtid="{D5CDD505-2E9C-101B-9397-08002B2CF9AE}" pid="3" name="RecordPoint_SubmissionDate">
    <vt:lpwstr/>
  </property>
  <property fmtid="{D5CDD505-2E9C-101B-9397-08002B2CF9AE}" pid="4" name="RecordPoint_WorkflowType">
    <vt:lpwstr>ActiveSubmitStub</vt:lpwstr>
  </property>
  <property fmtid="{D5CDD505-2E9C-101B-9397-08002B2CF9AE}" pid="5" name="RecordPoint_ActiveItemListId">
    <vt:lpwstr>{c0c4b280-06f5-4d81-8814-c8a56500d888}</vt:lpwstr>
  </property>
  <property fmtid="{D5CDD505-2E9C-101B-9397-08002B2CF9AE}" pid="6" name="RecordPoint_ActiveItemMoved">
    <vt:lpwstr>0E3F4845F1BFE54C8BCEF92E65DC2FD2</vt:lpwstr>
  </property>
  <property fmtid="{D5CDD505-2E9C-101B-9397-08002B2CF9AE}" pid="7" name="RecordPoint_RecordFormat">
    <vt:lpwstr/>
  </property>
  <property fmtid="{D5CDD505-2E9C-101B-9397-08002B2CF9AE}" pid="8" name="RecordPoint_SubmissionCompleted">
    <vt:lpwstr/>
  </property>
  <property fmtid="{D5CDD505-2E9C-101B-9397-08002B2CF9AE}" pid="9" name="RecordPoint_ActiveItemUniqueId">
    <vt:lpwstr>{2e7bd1a1-15c8-4dfa-83e2-33d86ff51bd2}</vt:lpwstr>
  </property>
  <property fmtid="{D5CDD505-2E9C-101B-9397-08002B2CF9AE}" pid="10" name="RecordPoint_RecordNumberSubmitted">
    <vt:lpwstr/>
  </property>
  <property fmtid="{D5CDD505-2E9C-101B-9397-08002B2CF9AE}" pid="11" name="RecordPoint_ActiveItemWebId">
    <vt:lpwstr>{fc5f6266-41b8-4c8d-a1a1-2c080a479d3e}</vt:lpwstr>
  </property>
  <property fmtid="{D5CDD505-2E9C-101B-9397-08002B2CF9AE}" pid="12" name="DocumentDescription">
    <vt:lpwstr/>
  </property>
  <property fmtid="{D5CDD505-2E9C-101B-9397-08002B2CF9AE}" pid="13" name="Approval">
    <vt:lpwstr/>
  </property>
  <property fmtid="{D5CDD505-2E9C-101B-9397-08002B2CF9AE}" pid="14" name="Function">
    <vt:lpwstr>Regulation</vt:lpwstr>
  </property>
  <property fmtid="{D5CDD505-2E9C-101B-9397-08002B2CF9AE}" pid="15" name="IconOverlay">
    <vt:lpwstr/>
  </property>
  <property fmtid="{D5CDD505-2E9C-101B-9397-08002B2CF9AE}" pid="16" name="RecordNumber">
    <vt:lpwstr>002622040</vt:lpwstr>
  </property>
  <property fmtid="{D5CDD505-2E9C-101B-9397-08002B2CF9AE}" pid="17" name="TitusGUID">
    <vt:lpwstr>b9a17f77-e257-4749-8804-f67c62bb370a</vt:lpwstr>
  </property>
  <property fmtid="{D5CDD505-2E9C-101B-9397-08002B2CF9AE}" pid="18" name="ContentTypeId">
    <vt:lpwstr>0x0101009DB8618430E8D149BA674DA7B0E0C3F0003C8FFC952C6C684284F238E70AF412D5</vt:lpwstr>
  </property>
  <property fmtid="{D5CDD505-2E9C-101B-9397-08002B2CF9AE}" pid="19" name="free text">
    <vt:lpwstr/>
  </property>
  <property fmtid="{D5CDD505-2E9C-101B-9397-08002B2CF9AE}" pid="20" name="free text 2">
    <vt:lpwstr/>
  </property>
</Properties>
</file>