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FB763C0" w14:textId="7A50B4ED" w:rsidR="00905F94" w:rsidRPr="00271585" w:rsidRDefault="0070381E" w:rsidP="00271585">
      <w:pPr>
        <w:pStyle w:val="Heading1"/>
      </w:pPr>
      <w:r w:rsidRPr="00271585">
        <w:t>Comparison guide for approved arrangement class 19.</w:t>
      </w:r>
      <w:r w:rsidR="008D6FD5" w:rsidRPr="00271585">
        <w:t>2</w:t>
      </w:r>
      <w:r w:rsidRPr="00271585">
        <w:t xml:space="preserve">: </w:t>
      </w:r>
      <w:r w:rsidR="008D6FD5" w:rsidRPr="00271585">
        <w:t>automatic entry processing for commodities</w:t>
      </w:r>
      <w:r w:rsidRPr="00271585">
        <w:t xml:space="preserve"> from version </w:t>
      </w:r>
      <w:r w:rsidR="004B254D" w:rsidRPr="00271585">
        <w:t>9.0</w:t>
      </w:r>
      <w:r w:rsidRPr="00271585">
        <w:t xml:space="preserve"> to version </w:t>
      </w:r>
      <w:r w:rsidR="00FD1052" w:rsidRPr="00271585">
        <w:t>9</w:t>
      </w:r>
      <w:r w:rsidR="008D6FD5" w:rsidRPr="00271585">
        <w:t>.</w:t>
      </w:r>
      <w:r w:rsidR="004B254D" w:rsidRPr="00271585">
        <w:t>1</w:t>
      </w:r>
    </w:p>
    <w:p w14:paraId="297A7FD0" w14:textId="0E73586A" w:rsidR="0070381E" w:rsidRPr="008D6FD5" w:rsidRDefault="0070381E" w:rsidP="00271585">
      <w:r w:rsidRPr="008D6FD5">
        <w:t>To assist with understanding the transition from the current requirements</w:t>
      </w:r>
      <w:r w:rsidR="00EB7C70">
        <w:t xml:space="preserve"> and conditions</w:t>
      </w:r>
      <w:r w:rsidRPr="008D6FD5">
        <w:t xml:space="preserve"> for class 19.</w:t>
      </w:r>
      <w:r w:rsidR="008D6FD5">
        <w:t>2</w:t>
      </w:r>
      <w:r w:rsidRPr="008D6FD5">
        <w:t xml:space="preserve">: </w:t>
      </w:r>
      <w:r w:rsidR="008D6FD5">
        <w:t>automatic entry processing for commodities (</w:t>
      </w:r>
      <w:r w:rsidR="008D6FD5" w:rsidRPr="00BE1658">
        <w:t>AEPCOMM)</w:t>
      </w:r>
      <w:r w:rsidRPr="00BE1658">
        <w:t xml:space="preserve"> version </w:t>
      </w:r>
      <w:r w:rsidR="00423374" w:rsidRPr="00BE1658">
        <w:t>9.0</w:t>
      </w:r>
      <w:r w:rsidRPr="00BE1658">
        <w:t xml:space="preserve"> to requirements and conditions for class </w:t>
      </w:r>
      <w:r w:rsidR="008D6FD5" w:rsidRPr="00BE1658">
        <w:t xml:space="preserve">19.2: automatic entry processing for commodities (AEPCOMM) </w:t>
      </w:r>
      <w:r w:rsidRPr="00BE1658">
        <w:t xml:space="preserve">version </w:t>
      </w:r>
      <w:r w:rsidR="00FD1052" w:rsidRPr="00BE1658">
        <w:t>9</w:t>
      </w:r>
      <w:r w:rsidRPr="00BE1658">
        <w:t>.</w:t>
      </w:r>
      <w:r w:rsidR="00423374" w:rsidRPr="00BE1658">
        <w:t>1</w:t>
      </w:r>
      <w:r w:rsidRPr="00BE1658">
        <w:t xml:space="preserve">, the department has provided a table showing side-by-side comparisons of the current requirements </w:t>
      </w:r>
      <w:r w:rsidR="00EB7C70" w:rsidRPr="00BE1658">
        <w:t xml:space="preserve">and conditions </w:t>
      </w:r>
      <w:r w:rsidRPr="00BE1658">
        <w:t>and the new requirements</w:t>
      </w:r>
      <w:r w:rsidR="006029E9" w:rsidRPr="00BE1658">
        <w:t xml:space="preserve"> and conditions</w:t>
      </w:r>
      <w:r w:rsidRPr="008D6FD5">
        <w:t>.</w:t>
      </w:r>
    </w:p>
    <w:p w14:paraId="6C7CABC2" w14:textId="77777777" w:rsidR="005B2DD3" w:rsidRDefault="005B2DD3" w:rsidP="00271585">
      <w:pPr>
        <w:rPr>
          <w:rFonts w:asciiTheme="majorHAnsi" w:eastAsia="Times New Roman" w:hAnsiTheme="majorHAnsi" w:cs="Calibri"/>
          <w:color w:val="000000"/>
          <w:lang w:eastAsia="en-AU"/>
        </w:rPr>
      </w:pPr>
      <w:r w:rsidRPr="00B856EB">
        <w:rPr>
          <w:rFonts w:asciiTheme="majorHAnsi" w:eastAsia="Times New Roman" w:hAnsiTheme="majorHAnsi" w:cs="Calibri"/>
          <w:color w:val="000000"/>
          <w:lang w:eastAsia="en-AU"/>
        </w:rPr>
        <w:t>Where no change has occurred to the conditions and requirements they are not listed.</w:t>
      </w:r>
    </w:p>
    <w:p w14:paraId="330DE6E9" w14:textId="03D9D2E8" w:rsidR="0070381E" w:rsidRPr="00FB460D" w:rsidRDefault="0070381E" w:rsidP="00FB460D">
      <w:pPr>
        <w:pStyle w:val="Caption"/>
      </w:pPr>
      <w:bookmarkStart w:id="0" w:name="_Hlk71637919"/>
      <w:r w:rsidRPr="00FB460D">
        <w:t>Table 1: comparison of</w:t>
      </w:r>
      <w:r w:rsidR="00423374" w:rsidRPr="00FB460D">
        <w:t xml:space="preserve"> Operating conditions</w:t>
      </w: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5672"/>
        <w:gridCol w:w="1417"/>
        <w:gridCol w:w="5588"/>
      </w:tblGrid>
      <w:tr w:rsidR="00FD1052" w:rsidRPr="008D6FD5" w14:paraId="1A9C1874" w14:textId="5C39D801" w:rsidTr="00FD1052">
        <w:trPr>
          <w:trHeight w:val="255"/>
        </w:trPr>
        <w:tc>
          <w:tcPr>
            <w:tcW w:w="2488" w:type="pct"/>
            <w:gridSpan w:val="2"/>
            <w:shd w:val="clear" w:color="000000" w:fill="BDD7EE"/>
            <w:noWrap/>
            <w:vAlign w:val="bottom"/>
            <w:hideMark/>
          </w:tcPr>
          <w:p w14:paraId="458857C6" w14:textId="78D5F378" w:rsidR="00FD1052" w:rsidRPr="007B2062" w:rsidRDefault="00FD1052" w:rsidP="007B2062">
            <w:pPr>
              <w:pStyle w:val="TableHeading"/>
              <w:rPr>
                <w:sz w:val="16"/>
                <w:lang w:eastAsia="en-AU"/>
              </w:rPr>
            </w:pPr>
            <w:r>
              <w:rPr>
                <w:sz w:val="16"/>
                <w:lang w:eastAsia="en-AU"/>
              </w:rPr>
              <w:t xml:space="preserve">Version </w:t>
            </w:r>
            <w:r w:rsidR="00EC19FE">
              <w:rPr>
                <w:sz w:val="16"/>
                <w:lang w:eastAsia="en-AU"/>
              </w:rPr>
              <w:t>9.0</w:t>
            </w:r>
            <w:r w:rsidRPr="007B2062">
              <w:rPr>
                <w:sz w:val="16"/>
                <w:lang w:eastAsia="en-AU"/>
              </w:rPr>
              <w:t xml:space="preserve"> broker class 19.2 requirements and conditions</w:t>
            </w:r>
          </w:p>
        </w:tc>
        <w:tc>
          <w:tcPr>
            <w:tcW w:w="2512" w:type="pct"/>
            <w:gridSpan w:val="2"/>
            <w:shd w:val="clear" w:color="000000" w:fill="BDD7EE"/>
          </w:tcPr>
          <w:p w14:paraId="322087CA" w14:textId="2CAA64F8" w:rsidR="00FD1052" w:rsidRPr="007B2062" w:rsidRDefault="00FD1052" w:rsidP="007B2062">
            <w:pPr>
              <w:pStyle w:val="TableHeading"/>
              <w:rPr>
                <w:sz w:val="16"/>
                <w:lang w:eastAsia="en-AU"/>
              </w:rPr>
            </w:pPr>
            <w:r>
              <w:rPr>
                <w:sz w:val="16"/>
                <w:lang w:eastAsia="en-AU"/>
              </w:rPr>
              <w:t>Version 9</w:t>
            </w:r>
            <w:r w:rsidRPr="007B2062">
              <w:rPr>
                <w:sz w:val="16"/>
                <w:lang w:eastAsia="en-AU"/>
              </w:rPr>
              <w:t>.</w:t>
            </w:r>
            <w:r w:rsidR="00EC19FE">
              <w:rPr>
                <w:sz w:val="16"/>
                <w:lang w:eastAsia="en-AU"/>
              </w:rPr>
              <w:t>1</w:t>
            </w:r>
            <w:r w:rsidRPr="007B2062">
              <w:rPr>
                <w:sz w:val="16"/>
                <w:lang w:eastAsia="en-AU"/>
              </w:rPr>
              <w:t xml:space="preserve"> broker class 19.2 requirements and conditions</w:t>
            </w:r>
          </w:p>
        </w:tc>
      </w:tr>
      <w:tr w:rsidR="004924D4" w:rsidRPr="008D6FD5" w14:paraId="6B15A86B" w14:textId="250619AA" w:rsidTr="00871EB3">
        <w:trPr>
          <w:trHeight w:val="510"/>
        </w:trPr>
        <w:tc>
          <w:tcPr>
            <w:tcW w:w="454" w:type="pct"/>
            <w:shd w:val="clear" w:color="000000" w:fill="BDD7EE"/>
            <w:hideMark/>
          </w:tcPr>
          <w:p w14:paraId="251C0118" w14:textId="3458A33B" w:rsidR="004924D4" w:rsidRPr="007B2062" w:rsidRDefault="004924D4" w:rsidP="00EB7C70">
            <w:pPr>
              <w:pStyle w:val="TableHeading"/>
              <w:rPr>
                <w:sz w:val="16"/>
                <w:lang w:eastAsia="en-AU"/>
              </w:rPr>
            </w:pPr>
            <w:r w:rsidRPr="007B2062">
              <w:rPr>
                <w:sz w:val="16"/>
                <w:lang w:eastAsia="en-AU"/>
              </w:rPr>
              <w:t xml:space="preserve">Version </w:t>
            </w:r>
            <w:r w:rsidR="00EC19FE">
              <w:rPr>
                <w:sz w:val="16"/>
                <w:lang w:eastAsia="en-AU"/>
              </w:rPr>
              <w:t>9</w:t>
            </w:r>
            <w:r w:rsidRPr="007B2062">
              <w:rPr>
                <w:sz w:val="16"/>
                <w:lang w:eastAsia="en-AU"/>
              </w:rPr>
              <w:t>.</w:t>
            </w:r>
            <w:r w:rsidR="00EC19FE">
              <w:rPr>
                <w:sz w:val="16"/>
                <w:lang w:eastAsia="en-AU"/>
              </w:rPr>
              <w:t>0</w:t>
            </w:r>
            <w:r w:rsidRPr="007B2062">
              <w:rPr>
                <w:sz w:val="16"/>
                <w:lang w:eastAsia="en-AU"/>
              </w:rPr>
              <w:t xml:space="preserve"> </w:t>
            </w:r>
          </w:p>
        </w:tc>
        <w:tc>
          <w:tcPr>
            <w:tcW w:w="2034" w:type="pct"/>
            <w:shd w:val="clear" w:color="000000" w:fill="BDD7EE"/>
            <w:hideMark/>
          </w:tcPr>
          <w:p w14:paraId="3E62B063" w14:textId="77777777" w:rsidR="004924D4" w:rsidRPr="007B2062" w:rsidRDefault="004924D4" w:rsidP="007B2062">
            <w:pPr>
              <w:pStyle w:val="TableHeading"/>
              <w:rPr>
                <w:sz w:val="16"/>
                <w:lang w:eastAsia="en-AU"/>
              </w:rPr>
            </w:pPr>
            <w:r w:rsidRPr="007B2062">
              <w:rPr>
                <w:sz w:val="16"/>
                <w:lang w:eastAsia="en-AU"/>
              </w:rPr>
              <w:t>Operating Conditions</w:t>
            </w:r>
          </w:p>
        </w:tc>
        <w:tc>
          <w:tcPr>
            <w:tcW w:w="508" w:type="pct"/>
            <w:shd w:val="clear" w:color="000000" w:fill="BDD7EE"/>
          </w:tcPr>
          <w:p w14:paraId="1893D5E4" w14:textId="3BB1CB98" w:rsidR="004924D4" w:rsidRPr="007B2062" w:rsidRDefault="00FD1052" w:rsidP="00EB7C70">
            <w:pPr>
              <w:pStyle w:val="TableHeading"/>
              <w:rPr>
                <w:sz w:val="16"/>
                <w:lang w:eastAsia="en-AU"/>
              </w:rPr>
            </w:pPr>
            <w:r>
              <w:rPr>
                <w:sz w:val="16"/>
                <w:lang w:eastAsia="en-AU"/>
              </w:rPr>
              <w:t>Version 9.</w:t>
            </w:r>
            <w:r w:rsidR="00EC19FE">
              <w:rPr>
                <w:sz w:val="16"/>
                <w:lang w:eastAsia="en-AU"/>
              </w:rPr>
              <w:t>1</w:t>
            </w:r>
            <w:r>
              <w:rPr>
                <w:sz w:val="16"/>
                <w:lang w:eastAsia="en-AU"/>
              </w:rPr>
              <w:t xml:space="preserve"> </w:t>
            </w:r>
          </w:p>
        </w:tc>
        <w:tc>
          <w:tcPr>
            <w:tcW w:w="2004" w:type="pct"/>
            <w:shd w:val="clear" w:color="000000" w:fill="BDD7EE"/>
          </w:tcPr>
          <w:p w14:paraId="76135AF5" w14:textId="68A37BD4" w:rsidR="004924D4" w:rsidRPr="007B2062" w:rsidRDefault="00FD1052" w:rsidP="00FD1052">
            <w:pPr>
              <w:pStyle w:val="TableHeading"/>
              <w:rPr>
                <w:sz w:val="16"/>
                <w:lang w:eastAsia="en-AU"/>
              </w:rPr>
            </w:pPr>
            <w:r>
              <w:rPr>
                <w:sz w:val="16"/>
                <w:lang w:eastAsia="en-AU"/>
              </w:rPr>
              <w:t>Operating Conditions</w:t>
            </w:r>
          </w:p>
        </w:tc>
      </w:tr>
      <w:tr w:rsidR="004924D4" w:rsidRPr="008D6FD5" w14:paraId="56FC8D28" w14:textId="5F955ECA" w:rsidTr="00871EB3">
        <w:trPr>
          <w:trHeight w:val="1020"/>
        </w:trPr>
        <w:tc>
          <w:tcPr>
            <w:tcW w:w="454" w:type="pct"/>
            <w:shd w:val="clear" w:color="auto" w:fill="auto"/>
            <w:hideMark/>
          </w:tcPr>
          <w:p w14:paraId="2C8731D0" w14:textId="77777777" w:rsidR="004924D4" w:rsidRPr="00AC05AB" w:rsidRDefault="004924D4" w:rsidP="00AC05AB">
            <w:pPr>
              <w:pStyle w:val="TableText"/>
              <w:rPr>
                <w:rStyle w:val="Strong"/>
                <w:b w:val="0"/>
                <w:bCs w:val="0"/>
              </w:rPr>
            </w:pPr>
            <w:r w:rsidRPr="00AC05AB">
              <w:rPr>
                <w:rStyle w:val="Strong"/>
                <w:b w:val="0"/>
                <w:bCs w:val="0"/>
              </w:rPr>
              <w:t>Condition 18</w:t>
            </w:r>
          </w:p>
        </w:tc>
        <w:tc>
          <w:tcPr>
            <w:tcW w:w="2034" w:type="pct"/>
            <w:shd w:val="clear" w:color="auto" w:fill="auto"/>
            <w:hideMark/>
          </w:tcPr>
          <w:p w14:paraId="73E7D12E" w14:textId="77777777" w:rsidR="00EC19FE" w:rsidRPr="00271585" w:rsidRDefault="00EC19FE" w:rsidP="00271585">
            <w:pPr>
              <w:pStyle w:val="TableText"/>
            </w:pPr>
            <w:r w:rsidRPr="00271585">
              <w:t>Accredited persons must enter the treatment provider’s AQIS entity identifier (AEI) in the AEI field in the ICS, where a consignment has been treated offshore by an offshore registered treatment provider and the certified treatment details meet BICON conditions for the relevant biosecurity concern (e.g. treatment rates for BMSB are different to treatment rates for commodity concerns).</w:t>
            </w:r>
          </w:p>
          <w:p w14:paraId="598ED134" w14:textId="1F50BBA9" w:rsidR="004924D4" w:rsidRPr="007B2062" w:rsidRDefault="00EC19FE" w:rsidP="00271585">
            <w:pPr>
              <w:pStyle w:val="TableText"/>
              <w:rPr>
                <w:lang w:eastAsia="en-AU"/>
              </w:rPr>
            </w:pPr>
            <w:r w:rsidRPr="00271585">
              <w:t xml:space="preserve">For information on entering the AEI number please see </w:t>
            </w:r>
            <w:hyperlink r:id="rId8" w:history="1">
              <w:r w:rsidRPr="00AC05AB">
                <w:rPr>
                  <w:rStyle w:val="Hyperlink"/>
                </w:rPr>
                <w:t>Entity Identifier webpage</w:t>
              </w:r>
            </w:hyperlink>
            <w:r w:rsidRPr="00AC05AB">
              <w:rPr>
                <w:rStyle w:val="Hyperlink"/>
              </w:rPr>
              <w:t>.</w:t>
            </w:r>
          </w:p>
        </w:tc>
        <w:tc>
          <w:tcPr>
            <w:tcW w:w="508" w:type="pct"/>
          </w:tcPr>
          <w:p w14:paraId="4F9C5483" w14:textId="383F31C9" w:rsidR="004924D4" w:rsidRPr="00B00271" w:rsidRDefault="00B00271" w:rsidP="00AC05AB">
            <w:pPr>
              <w:pStyle w:val="TableText"/>
              <w:rPr>
                <w:lang w:eastAsia="en-AU"/>
              </w:rPr>
            </w:pPr>
            <w:r w:rsidRPr="00B00271">
              <w:rPr>
                <w:lang w:eastAsia="en-AU"/>
              </w:rPr>
              <w:t xml:space="preserve">Condition </w:t>
            </w:r>
            <w:r w:rsidR="00EC19FE">
              <w:rPr>
                <w:lang w:eastAsia="en-AU"/>
              </w:rPr>
              <w:t>18</w:t>
            </w:r>
          </w:p>
        </w:tc>
        <w:tc>
          <w:tcPr>
            <w:tcW w:w="2004" w:type="pct"/>
          </w:tcPr>
          <w:p w14:paraId="006259E8" w14:textId="02D95A58" w:rsidR="004924D4" w:rsidRPr="007B2062" w:rsidRDefault="00EC19FE" w:rsidP="002B387C">
            <w:pPr>
              <w:pStyle w:val="TableText"/>
              <w:rPr>
                <w:lang w:eastAsia="en-AU"/>
              </w:rPr>
            </w:pPr>
            <w:r w:rsidRPr="00271585">
              <w:t>Accredited persons must enter the treatment provider’s AQIS/agriculture entity identifier (AEI) in the AEI field in the ICS where a consignment has been treated by an offshore treatment provider</w:t>
            </w:r>
            <w:r w:rsidR="002B387C">
              <w:t>,</w:t>
            </w:r>
            <w:r w:rsidRPr="00271585">
              <w:t xml:space="preserve"> to address BICON </w:t>
            </w:r>
            <w:r w:rsidRPr="00420286">
              <w:t>conditions for the relevant</w:t>
            </w:r>
            <w:r w:rsidRPr="00271585">
              <w:t xml:space="preserve"> biosecurity concern (i.e. non-commodity and/or hitchhiker pests).</w:t>
            </w:r>
            <w:r w:rsidR="002B387C">
              <w:t xml:space="preserve"> AEI must be entered in accordance with </w:t>
            </w:r>
            <w:hyperlink r:id="rId9" w:history="1">
              <w:r w:rsidRPr="00AC05AB">
                <w:rPr>
                  <w:rStyle w:val="Hyperlink"/>
                </w:rPr>
                <w:t xml:space="preserve">Entity </w:t>
              </w:r>
              <w:r w:rsidR="00487734">
                <w:rPr>
                  <w:rStyle w:val="Hyperlink"/>
                </w:rPr>
                <w:t>i</w:t>
              </w:r>
              <w:r w:rsidRPr="00AC05AB">
                <w:rPr>
                  <w:rStyle w:val="Hyperlink"/>
                </w:rPr>
                <w:t>dentifier webpage</w:t>
              </w:r>
            </w:hyperlink>
            <w:r w:rsidRPr="00AC05AB">
              <w:rPr>
                <w:rStyle w:val="Hyperlink"/>
              </w:rPr>
              <w:t>.</w:t>
            </w:r>
          </w:p>
        </w:tc>
      </w:tr>
      <w:bookmarkEnd w:id="0"/>
    </w:tbl>
    <w:p w14:paraId="57F14562" w14:textId="635B0AF6" w:rsidR="00090550" w:rsidRPr="00090550" w:rsidRDefault="00090550" w:rsidP="00BA2CCC">
      <w:pPr>
        <w:pStyle w:val="TableHeading"/>
        <w:rPr>
          <w:b w:val="0"/>
          <w:sz w:val="20"/>
          <w:szCs w:val="20"/>
        </w:rPr>
      </w:pPr>
    </w:p>
    <w:sectPr w:rsidR="00090550" w:rsidRPr="00090550" w:rsidSect="0029162E">
      <w:headerReference w:type="default" r:id="rId10"/>
      <w:footerReference w:type="default" r:id="rId11"/>
      <w:headerReference w:type="first" r:id="rId12"/>
      <w:footerReference w:type="first" r:id="rId13"/>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54947" w14:textId="77777777" w:rsidR="00223578" w:rsidRDefault="00223578">
      <w:r>
        <w:separator/>
      </w:r>
    </w:p>
  </w:endnote>
  <w:endnote w:type="continuationSeparator" w:id="0">
    <w:p w14:paraId="37D1EC55" w14:textId="77777777" w:rsidR="00223578" w:rsidRDefault="0022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062029"/>
      <w:docPartObj>
        <w:docPartGallery w:val="Page Numbers (Bottom of Page)"/>
        <w:docPartUnique/>
      </w:docPartObj>
    </w:sdtPr>
    <w:sdtEndPr>
      <w:rPr>
        <w:noProof/>
      </w:rPr>
    </w:sdtEndPr>
    <w:sdtContent>
      <w:p w14:paraId="5FC05EBB" w14:textId="77777777" w:rsidR="006F609F" w:rsidRDefault="006F609F">
        <w:pPr>
          <w:pStyle w:val="Footer"/>
          <w:jc w:val="right"/>
        </w:pPr>
        <w:r>
          <w:fldChar w:fldCharType="begin"/>
        </w:r>
        <w:r>
          <w:instrText xml:space="preserve"> PAGE   \* MERGEFORMAT </w:instrText>
        </w:r>
        <w:r>
          <w:fldChar w:fldCharType="separate"/>
        </w:r>
        <w:r w:rsidR="00443500">
          <w:rPr>
            <w:noProof/>
          </w:rPr>
          <w:t>2</w:t>
        </w:r>
        <w:r>
          <w:rPr>
            <w:noProof/>
          </w:rPr>
          <w:fldChar w:fldCharType="end"/>
        </w:r>
      </w:p>
    </w:sdtContent>
  </w:sdt>
  <w:p w14:paraId="71FF0DCA" w14:textId="207F87F0" w:rsidR="00C6669A" w:rsidRDefault="00264EDE" w:rsidP="0070381E">
    <w:pPr>
      <w:pStyle w:val="Footer"/>
      <w:jc w:val="center"/>
    </w:pPr>
    <w:r>
      <w:t>Department of Agriculture</w:t>
    </w:r>
    <w:r w:rsidR="00EB7C70">
      <w:t>, Water and the Environment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93366"/>
      <w:docPartObj>
        <w:docPartGallery w:val="Page Numbers (Bottom of Page)"/>
        <w:docPartUnique/>
      </w:docPartObj>
    </w:sdtPr>
    <w:sdtEndPr>
      <w:rPr>
        <w:noProof/>
      </w:rPr>
    </w:sdtEndPr>
    <w:sdtContent>
      <w:p w14:paraId="2C1B1DB9" w14:textId="48ABCEAF" w:rsidR="006F609F" w:rsidRDefault="006F609F">
        <w:pPr>
          <w:pStyle w:val="Footer"/>
          <w:jc w:val="right"/>
        </w:pPr>
        <w:r>
          <w:fldChar w:fldCharType="begin"/>
        </w:r>
        <w:r>
          <w:instrText xml:space="preserve"> PAGE   \* MERGEFORMAT </w:instrText>
        </w:r>
        <w:r>
          <w:fldChar w:fldCharType="separate"/>
        </w:r>
        <w:r w:rsidR="00443500">
          <w:rPr>
            <w:noProof/>
          </w:rPr>
          <w:t>1</w:t>
        </w:r>
        <w:r>
          <w:rPr>
            <w:noProof/>
          </w:rPr>
          <w:fldChar w:fldCharType="end"/>
        </w:r>
      </w:p>
    </w:sdtContent>
  </w:sdt>
  <w:p w14:paraId="437A5FD9" w14:textId="77777777" w:rsidR="007939B7" w:rsidRPr="001E5D7C" w:rsidRDefault="007939B7" w:rsidP="007939B7">
    <w:pPr>
      <w:pStyle w:val="Footer"/>
      <w:jc w:val="center"/>
      <w:rPr>
        <w:rFonts w:asciiTheme="minorHAnsi" w:hAnsiTheme="minorHAnsi"/>
      </w:rPr>
    </w:pPr>
    <w:r>
      <w:rPr>
        <w:rFonts w:asciiTheme="minorHAnsi" w:hAnsiTheme="minorHAnsi"/>
      </w:rPr>
      <w:t>Department of Agriculture, Water and the Environment</w:t>
    </w:r>
  </w:p>
  <w:p w14:paraId="274FFC81" w14:textId="5DE208D9" w:rsidR="006F609F" w:rsidRDefault="006F609F" w:rsidP="007939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D72FE" w14:textId="77777777" w:rsidR="00223578" w:rsidRDefault="00223578">
      <w:r>
        <w:separator/>
      </w:r>
    </w:p>
  </w:footnote>
  <w:footnote w:type="continuationSeparator" w:id="0">
    <w:p w14:paraId="6730A5D1" w14:textId="77777777" w:rsidR="00223578" w:rsidRDefault="00223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9D57" w14:textId="1F5C9569" w:rsidR="006029E9" w:rsidRPr="00F0223B" w:rsidRDefault="006029E9" w:rsidP="00F0223B">
    <w:pPr>
      <w:jc w:val="center"/>
      <w:rPr>
        <w:rFonts w:asciiTheme="minorHAnsi" w:hAnsiTheme="minorHAnsi" w:cstheme="minorHAnsi"/>
      </w:rPr>
    </w:pPr>
    <w:r w:rsidRPr="00F0223B">
      <w:rPr>
        <w:rFonts w:asciiTheme="minorHAnsi" w:hAnsiTheme="minorHAnsi" w:cstheme="minorHAnsi"/>
      </w:rPr>
      <w:t>Comparison guide for approved arrangement class 19.2: automatic entry processin</w:t>
    </w:r>
    <w:r w:rsidR="00A37F45">
      <w:rPr>
        <w:rFonts w:asciiTheme="minorHAnsi" w:hAnsiTheme="minorHAnsi" w:cstheme="minorHAnsi"/>
      </w:rPr>
      <w:t>g for commodities from version 8.1 to version 9</w:t>
    </w:r>
    <w:r w:rsidRPr="00F0223B">
      <w:rPr>
        <w:rFonts w:asciiTheme="minorHAnsi" w:hAnsiTheme="minorHAnsi" w:cstheme="minorHAnsi"/>
      </w:rPr>
      <w:t>.0</w:t>
    </w:r>
  </w:p>
  <w:p w14:paraId="75E2EA95" w14:textId="2E99F5F1" w:rsidR="0029162E" w:rsidRPr="0029162E" w:rsidRDefault="0029162E" w:rsidP="0029162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9E2C" w14:textId="56C94E0E" w:rsidR="00EB7C70" w:rsidRDefault="00EB7C70">
    <w:pPr>
      <w:pStyle w:val="Header"/>
    </w:pPr>
    <w:r>
      <w:rPr>
        <w:noProof/>
      </w:rPr>
      <w:drawing>
        <wp:inline distT="0" distB="0" distL="0" distR="0" wp14:anchorId="03C458F7" wp14:editId="4831F8A9">
          <wp:extent cx="2417064" cy="725424"/>
          <wp:effectExtent l="0" t="0" r="2540" b="0"/>
          <wp:docPr id="1" name="Picture 1" descr="Crest of the Australian Government Department of Agriculture, Water and the Environ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st of the Australian Government Department of Agriculture, Water and the Environment">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CA595B"/>
    <w:multiLevelType w:val="hybridMultilevel"/>
    <w:tmpl w:val="8BB873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D6086E"/>
    <w:multiLevelType w:val="hybridMultilevel"/>
    <w:tmpl w:val="09E85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21A328D5"/>
    <w:multiLevelType w:val="multilevel"/>
    <w:tmpl w:val="4182A4F0"/>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23441144"/>
    <w:multiLevelType w:val="hybridMultilevel"/>
    <w:tmpl w:val="A274E0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C84D5B"/>
    <w:multiLevelType w:val="hybridMultilevel"/>
    <w:tmpl w:val="A9DC1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2A913599"/>
    <w:multiLevelType w:val="multilevel"/>
    <w:tmpl w:val="02AA8FA0"/>
    <w:numStyleLink w:val="ListBullets"/>
  </w:abstractNum>
  <w:abstractNum w:abstractNumId="14" w15:restartNumberingAfterBreak="0">
    <w:nsid w:val="2F2425AB"/>
    <w:multiLevelType w:val="multilevel"/>
    <w:tmpl w:val="BC8603C0"/>
    <w:numStyleLink w:val="ListNumbers"/>
  </w:abstractNum>
  <w:abstractNum w:abstractNumId="15" w15:restartNumberingAfterBreak="0">
    <w:nsid w:val="3231401D"/>
    <w:multiLevelType w:val="hybridMultilevel"/>
    <w:tmpl w:val="CA522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0B554D"/>
    <w:multiLevelType w:val="hybridMultilevel"/>
    <w:tmpl w:val="60F04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DD5C12"/>
    <w:multiLevelType w:val="multilevel"/>
    <w:tmpl w:val="20F2356A"/>
    <w:numStyleLink w:val="Appendix"/>
  </w:abstractNum>
  <w:abstractNum w:abstractNumId="18"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B8F3B04"/>
    <w:multiLevelType w:val="multilevel"/>
    <w:tmpl w:val="4182A4F0"/>
    <w:styleLink w:val="Numberlist"/>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1"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2" w15:restartNumberingAfterBreak="0">
    <w:nsid w:val="5C00298F"/>
    <w:multiLevelType w:val="hybridMultilevel"/>
    <w:tmpl w:val="219A5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EB52EC"/>
    <w:multiLevelType w:val="hybridMultilevel"/>
    <w:tmpl w:val="E7BEED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BE4633E"/>
    <w:multiLevelType w:val="hybridMultilevel"/>
    <w:tmpl w:val="11183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9"/>
  </w:num>
  <w:num w:numId="2">
    <w:abstractNumId w:val="18"/>
  </w:num>
  <w:num w:numId="3">
    <w:abstractNumId w:val="7"/>
  </w:num>
  <w:num w:numId="4">
    <w:abstractNumId w:val="8"/>
  </w:num>
  <w:num w:numId="5">
    <w:abstractNumId w:val="3"/>
  </w:num>
  <w:num w:numId="6">
    <w:abstractNumId w:val="13"/>
  </w:num>
  <w:num w:numId="7">
    <w:abstractNumId w:val="26"/>
  </w:num>
  <w:num w:numId="8">
    <w:abstractNumId w:val="14"/>
  </w:num>
  <w:num w:numId="9">
    <w:abstractNumId w:val="21"/>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3"/>
  </w:num>
  <w:num w:numId="14">
    <w:abstractNumId w:val="2"/>
  </w:num>
  <w:num w:numId="15">
    <w:abstractNumId w:val="1"/>
  </w:num>
  <w:num w:numId="16">
    <w:abstractNumId w:val="0"/>
  </w:num>
  <w:num w:numId="17">
    <w:abstractNumId w:val="4"/>
  </w:num>
  <w:num w:numId="18">
    <w:abstractNumId w:val="20"/>
  </w:num>
  <w:num w:numId="19">
    <w:abstractNumId w:val="9"/>
  </w:num>
  <w:num w:numId="20">
    <w:abstractNumId w:val="24"/>
  </w:num>
  <w:num w:numId="21">
    <w:abstractNumId w:val="5"/>
  </w:num>
  <w:num w:numId="22">
    <w:abstractNumId w:val="10"/>
  </w:num>
  <w:num w:numId="23">
    <w:abstractNumId w:val="6"/>
  </w:num>
  <w:num w:numId="24">
    <w:abstractNumId w:val="11"/>
  </w:num>
  <w:num w:numId="25">
    <w:abstractNumId w:val="22"/>
  </w:num>
  <w:num w:numId="26">
    <w:abstractNumId w:val="25"/>
  </w:num>
  <w:num w:numId="27">
    <w:abstractNumId w:val="16"/>
  </w:num>
  <w:num w:numId="2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81E"/>
    <w:rsid w:val="0000070C"/>
    <w:rsid w:val="00075C17"/>
    <w:rsid w:val="00090550"/>
    <w:rsid w:val="00096049"/>
    <w:rsid w:val="00107012"/>
    <w:rsid w:val="001C3F4B"/>
    <w:rsid w:val="001C7819"/>
    <w:rsid w:val="00223578"/>
    <w:rsid w:val="00264EDE"/>
    <w:rsid w:val="00271585"/>
    <w:rsid w:val="0029162E"/>
    <w:rsid w:val="002B299C"/>
    <w:rsid w:val="002B387C"/>
    <w:rsid w:val="00353B84"/>
    <w:rsid w:val="0039386A"/>
    <w:rsid w:val="003E3CEC"/>
    <w:rsid w:val="00403CFB"/>
    <w:rsid w:val="00420286"/>
    <w:rsid w:val="0042152C"/>
    <w:rsid w:val="00423374"/>
    <w:rsid w:val="00443500"/>
    <w:rsid w:val="00461807"/>
    <w:rsid w:val="00487734"/>
    <w:rsid w:val="004924D4"/>
    <w:rsid w:val="00495D0F"/>
    <w:rsid w:val="004B254D"/>
    <w:rsid w:val="00510549"/>
    <w:rsid w:val="00526A7C"/>
    <w:rsid w:val="00546CE2"/>
    <w:rsid w:val="0054747E"/>
    <w:rsid w:val="00587127"/>
    <w:rsid w:val="005A7F40"/>
    <w:rsid w:val="005B2DD3"/>
    <w:rsid w:val="006029E9"/>
    <w:rsid w:val="00626E31"/>
    <w:rsid w:val="00683438"/>
    <w:rsid w:val="006F609F"/>
    <w:rsid w:val="0070381E"/>
    <w:rsid w:val="00714E8F"/>
    <w:rsid w:val="007739B3"/>
    <w:rsid w:val="00785F8E"/>
    <w:rsid w:val="007939B7"/>
    <w:rsid w:val="00796280"/>
    <w:rsid w:val="007B2062"/>
    <w:rsid w:val="007B6063"/>
    <w:rsid w:val="00823184"/>
    <w:rsid w:val="00871EB3"/>
    <w:rsid w:val="00872A8A"/>
    <w:rsid w:val="008D6FD5"/>
    <w:rsid w:val="00905F94"/>
    <w:rsid w:val="00910690"/>
    <w:rsid w:val="0093682E"/>
    <w:rsid w:val="00955AE7"/>
    <w:rsid w:val="009979AC"/>
    <w:rsid w:val="009C457A"/>
    <w:rsid w:val="009E64D0"/>
    <w:rsid w:val="00A37F45"/>
    <w:rsid w:val="00A94312"/>
    <w:rsid w:val="00AA4B88"/>
    <w:rsid w:val="00AC05AB"/>
    <w:rsid w:val="00B00271"/>
    <w:rsid w:val="00B23A77"/>
    <w:rsid w:val="00B56523"/>
    <w:rsid w:val="00B57188"/>
    <w:rsid w:val="00BA2CCC"/>
    <w:rsid w:val="00BB12C4"/>
    <w:rsid w:val="00BE1658"/>
    <w:rsid w:val="00BE2D81"/>
    <w:rsid w:val="00C6669A"/>
    <w:rsid w:val="00C77E5F"/>
    <w:rsid w:val="00CC40AA"/>
    <w:rsid w:val="00CE3CE6"/>
    <w:rsid w:val="00CF503D"/>
    <w:rsid w:val="00D20BF3"/>
    <w:rsid w:val="00D874A3"/>
    <w:rsid w:val="00DA4436"/>
    <w:rsid w:val="00DA7FD5"/>
    <w:rsid w:val="00DF37A2"/>
    <w:rsid w:val="00E04A37"/>
    <w:rsid w:val="00E3214D"/>
    <w:rsid w:val="00E95457"/>
    <w:rsid w:val="00EB7C70"/>
    <w:rsid w:val="00EC19FE"/>
    <w:rsid w:val="00EE1D75"/>
    <w:rsid w:val="00F0223B"/>
    <w:rsid w:val="00F20A54"/>
    <w:rsid w:val="00F43A28"/>
    <w:rsid w:val="00FB460D"/>
    <w:rsid w:val="00FD1052"/>
    <w:rsid w:val="00FD2F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153F7D"/>
  <w15:chartTrackingRefBased/>
  <w15:docId w15:val="{51AF2B4D-98AC-41B7-B819-09716AA8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basedOn w:val="Normal"/>
    <w:next w:val="Normal"/>
    <w:link w:val="Heading1Char"/>
    <w:uiPriority w:val="1"/>
    <w:qFormat/>
    <w:rsid w:val="00D874A3"/>
    <w:pPr>
      <w:outlineLvl w:val="0"/>
    </w:pPr>
    <w:rPr>
      <w:rFonts w:asciiTheme="minorHAnsi" w:hAnsiTheme="minorHAnsi" w:cstheme="minorHAnsi"/>
      <w:b/>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sid w:val="00D874A3"/>
    <w:rPr>
      <w:rFonts w:asciiTheme="minorHAnsi" w:hAnsiTheme="minorHAnsi" w:cstheme="minorHAnsi"/>
      <w:b/>
      <w:sz w:val="22"/>
      <w:szCs w:val="22"/>
      <w:lang w:eastAsia="en-US"/>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81E"/>
    <w:pPr>
      <w:autoSpaceDE w:val="0"/>
      <w:autoSpaceDN w:val="0"/>
      <w:adjustRightInd w:val="0"/>
    </w:pPr>
    <w:rPr>
      <w:rFonts w:ascii="Calibri" w:hAnsi="Calibri" w:cs="Calibri"/>
      <w:color w:val="000000"/>
      <w:sz w:val="24"/>
      <w:szCs w:val="24"/>
    </w:rPr>
  </w:style>
  <w:style w:type="numbering" w:customStyle="1" w:styleId="Numberlist">
    <w:name w:val="Number list"/>
    <w:uiPriority w:val="99"/>
    <w:rsid w:val="0029162E"/>
    <w:pPr>
      <w:numPr>
        <w:numId w:val="18"/>
      </w:numPr>
    </w:pPr>
  </w:style>
  <w:style w:type="paragraph" w:styleId="ListParagraph">
    <w:name w:val="List Paragraph"/>
    <w:basedOn w:val="Normal"/>
    <w:uiPriority w:val="99"/>
    <w:qFormat/>
    <w:rsid w:val="0029162E"/>
    <w:pPr>
      <w:ind w:left="720"/>
      <w:contextualSpacing/>
    </w:pPr>
  </w:style>
  <w:style w:type="character" w:styleId="UnresolvedMention">
    <w:name w:val="Unresolved Mention"/>
    <w:basedOn w:val="DefaultParagraphFont"/>
    <w:uiPriority w:val="99"/>
    <w:semiHidden/>
    <w:unhideWhenUsed/>
    <w:rsid w:val="00423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862">
      <w:bodyDiv w:val="1"/>
      <w:marLeft w:val="0"/>
      <w:marRight w:val="0"/>
      <w:marTop w:val="0"/>
      <w:marBottom w:val="0"/>
      <w:divBdr>
        <w:top w:val="none" w:sz="0" w:space="0" w:color="auto"/>
        <w:left w:val="none" w:sz="0" w:space="0" w:color="auto"/>
        <w:bottom w:val="none" w:sz="0" w:space="0" w:color="auto"/>
        <w:right w:val="none" w:sz="0" w:space="0" w:color="auto"/>
      </w:divBdr>
    </w:div>
    <w:div w:id="119424886">
      <w:bodyDiv w:val="1"/>
      <w:marLeft w:val="0"/>
      <w:marRight w:val="0"/>
      <w:marTop w:val="0"/>
      <w:marBottom w:val="0"/>
      <w:divBdr>
        <w:top w:val="none" w:sz="0" w:space="0" w:color="auto"/>
        <w:left w:val="none" w:sz="0" w:space="0" w:color="auto"/>
        <w:bottom w:val="none" w:sz="0" w:space="0" w:color="auto"/>
        <w:right w:val="none" w:sz="0" w:space="0" w:color="auto"/>
      </w:divBdr>
    </w:div>
    <w:div w:id="251353089">
      <w:bodyDiv w:val="1"/>
      <w:marLeft w:val="0"/>
      <w:marRight w:val="0"/>
      <w:marTop w:val="0"/>
      <w:marBottom w:val="0"/>
      <w:divBdr>
        <w:top w:val="none" w:sz="0" w:space="0" w:color="auto"/>
        <w:left w:val="none" w:sz="0" w:space="0" w:color="auto"/>
        <w:bottom w:val="none" w:sz="0" w:space="0" w:color="auto"/>
        <w:right w:val="none" w:sz="0" w:space="0" w:color="auto"/>
      </w:divBdr>
    </w:div>
    <w:div w:id="257523321">
      <w:bodyDiv w:val="1"/>
      <w:marLeft w:val="0"/>
      <w:marRight w:val="0"/>
      <w:marTop w:val="0"/>
      <w:marBottom w:val="0"/>
      <w:divBdr>
        <w:top w:val="none" w:sz="0" w:space="0" w:color="auto"/>
        <w:left w:val="none" w:sz="0" w:space="0" w:color="auto"/>
        <w:bottom w:val="none" w:sz="0" w:space="0" w:color="auto"/>
        <w:right w:val="none" w:sz="0" w:space="0" w:color="auto"/>
      </w:divBdr>
    </w:div>
    <w:div w:id="717557552">
      <w:bodyDiv w:val="1"/>
      <w:marLeft w:val="0"/>
      <w:marRight w:val="0"/>
      <w:marTop w:val="0"/>
      <w:marBottom w:val="0"/>
      <w:divBdr>
        <w:top w:val="none" w:sz="0" w:space="0" w:color="auto"/>
        <w:left w:val="none" w:sz="0" w:space="0" w:color="auto"/>
        <w:bottom w:val="none" w:sz="0" w:space="0" w:color="auto"/>
        <w:right w:val="none" w:sz="0" w:space="0" w:color="auto"/>
      </w:divBdr>
    </w:div>
    <w:div w:id="774521616">
      <w:bodyDiv w:val="1"/>
      <w:marLeft w:val="0"/>
      <w:marRight w:val="0"/>
      <w:marTop w:val="0"/>
      <w:marBottom w:val="0"/>
      <w:divBdr>
        <w:top w:val="none" w:sz="0" w:space="0" w:color="auto"/>
        <w:left w:val="none" w:sz="0" w:space="0" w:color="auto"/>
        <w:bottom w:val="none" w:sz="0" w:space="0" w:color="auto"/>
        <w:right w:val="none" w:sz="0" w:space="0" w:color="auto"/>
      </w:divBdr>
    </w:div>
    <w:div w:id="1002466357">
      <w:bodyDiv w:val="1"/>
      <w:marLeft w:val="0"/>
      <w:marRight w:val="0"/>
      <w:marTop w:val="0"/>
      <w:marBottom w:val="0"/>
      <w:divBdr>
        <w:top w:val="none" w:sz="0" w:space="0" w:color="auto"/>
        <w:left w:val="none" w:sz="0" w:space="0" w:color="auto"/>
        <w:bottom w:val="none" w:sz="0" w:space="0" w:color="auto"/>
        <w:right w:val="none" w:sz="0" w:space="0" w:color="auto"/>
      </w:divBdr>
    </w:div>
    <w:div w:id="1101947597">
      <w:bodyDiv w:val="1"/>
      <w:marLeft w:val="0"/>
      <w:marRight w:val="0"/>
      <w:marTop w:val="0"/>
      <w:marBottom w:val="0"/>
      <w:divBdr>
        <w:top w:val="none" w:sz="0" w:space="0" w:color="auto"/>
        <w:left w:val="none" w:sz="0" w:space="0" w:color="auto"/>
        <w:bottom w:val="none" w:sz="0" w:space="0" w:color="auto"/>
        <w:right w:val="none" w:sz="0" w:space="0" w:color="auto"/>
      </w:divBdr>
    </w:div>
    <w:div w:id="1161430554">
      <w:bodyDiv w:val="1"/>
      <w:marLeft w:val="0"/>
      <w:marRight w:val="0"/>
      <w:marTop w:val="0"/>
      <w:marBottom w:val="0"/>
      <w:divBdr>
        <w:top w:val="none" w:sz="0" w:space="0" w:color="auto"/>
        <w:left w:val="none" w:sz="0" w:space="0" w:color="auto"/>
        <w:bottom w:val="none" w:sz="0" w:space="0" w:color="auto"/>
        <w:right w:val="none" w:sz="0" w:space="0" w:color="auto"/>
      </w:divBdr>
    </w:div>
    <w:div w:id="1176651385">
      <w:bodyDiv w:val="1"/>
      <w:marLeft w:val="0"/>
      <w:marRight w:val="0"/>
      <w:marTop w:val="0"/>
      <w:marBottom w:val="0"/>
      <w:divBdr>
        <w:top w:val="none" w:sz="0" w:space="0" w:color="auto"/>
        <w:left w:val="none" w:sz="0" w:space="0" w:color="auto"/>
        <w:bottom w:val="none" w:sz="0" w:space="0" w:color="auto"/>
        <w:right w:val="none" w:sz="0" w:space="0" w:color="auto"/>
      </w:divBdr>
    </w:div>
    <w:div w:id="1281837260">
      <w:bodyDiv w:val="1"/>
      <w:marLeft w:val="0"/>
      <w:marRight w:val="0"/>
      <w:marTop w:val="0"/>
      <w:marBottom w:val="0"/>
      <w:divBdr>
        <w:top w:val="none" w:sz="0" w:space="0" w:color="auto"/>
        <w:left w:val="none" w:sz="0" w:space="0" w:color="auto"/>
        <w:bottom w:val="none" w:sz="0" w:space="0" w:color="auto"/>
        <w:right w:val="none" w:sz="0" w:space="0" w:color="auto"/>
      </w:divBdr>
    </w:div>
    <w:div w:id="1287590018">
      <w:bodyDiv w:val="1"/>
      <w:marLeft w:val="0"/>
      <w:marRight w:val="0"/>
      <w:marTop w:val="0"/>
      <w:marBottom w:val="0"/>
      <w:divBdr>
        <w:top w:val="none" w:sz="0" w:space="0" w:color="auto"/>
        <w:left w:val="none" w:sz="0" w:space="0" w:color="auto"/>
        <w:bottom w:val="none" w:sz="0" w:space="0" w:color="auto"/>
        <w:right w:val="none" w:sz="0" w:space="0" w:color="auto"/>
      </w:divBdr>
    </w:div>
    <w:div w:id="1309359125">
      <w:bodyDiv w:val="1"/>
      <w:marLeft w:val="0"/>
      <w:marRight w:val="0"/>
      <w:marTop w:val="0"/>
      <w:marBottom w:val="0"/>
      <w:divBdr>
        <w:top w:val="none" w:sz="0" w:space="0" w:color="auto"/>
        <w:left w:val="none" w:sz="0" w:space="0" w:color="auto"/>
        <w:bottom w:val="none" w:sz="0" w:space="0" w:color="auto"/>
        <w:right w:val="none" w:sz="0" w:space="0" w:color="auto"/>
      </w:divBdr>
    </w:div>
    <w:div w:id="1343389488">
      <w:bodyDiv w:val="1"/>
      <w:marLeft w:val="0"/>
      <w:marRight w:val="0"/>
      <w:marTop w:val="0"/>
      <w:marBottom w:val="0"/>
      <w:divBdr>
        <w:top w:val="none" w:sz="0" w:space="0" w:color="auto"/>
        <w:left w:val="none" w:sz="0" w:space="0" w:color="auto"/>
        <w:bottom w:val="none" w:sz="0" w:space="0" w:color="auto"/>
        <w:right w:val="none" w:sz="0" w:space="0" w:color="auto"/>
      </w:divBdr>
    </w:div>
    <w:div w:id="1545287618">
      <w:bodyDiv w:val="1"/>
      <w:marLeft w:val="0"/>
      <w:marRight w:val="0"/>
      <w:marTop w:val="0"/>
      <w:marBottom w:val="0"/>
      <w:divBdr>
        <w:top w:val="none" w:sz="0" w:space="0" w:color="auto"/>
        <w:left w:val="none" w:sz="0" w:space="0" w:color="auto"/>
        <w:bottom w:val="none" w:sz="0" w:space="0" w:color="auto"/>
        <w:right w:val="none" w:sz="0" w:space="0" w:color="auto"/>
      </w:divBdr>
    </w:div>
    <w:div w:id="1697269698">
      <w:bodyDiv w:val="1"/>
      <w:marLeft w:val="0"/>
      <w:marRight w:val="0"/>
      <w:marTop w:val="0"/>
      <w:marBottom w:val="0"/>
      <w:divBdr>
        <w:top w:val="none" w:sz="0" w:space="0" w:color="auto"/>
        <w:left w:val="none" w:sz="0" w:space="0" w:color="auto"/>
        <w:bottom w:val="none" w:sz="0" w:space="0" w:color="auto"/>
        <w:right w:val="none" w:sz="0" w:space="0" w:color="auto"/>
      </w:divBdr>
    </w:div>
    <w:div w:id="1700348422">
      <w:bodyDiv w:val="1"/>
      <w:marLeft w:val="0"/>
      <w:marRight w:val="0"/>
      <w:marTop w:val="0"/>
      <w:marBottom w:val="0"/>
      <w:divBdr>
        <w:top w:val="none" w:sz="0" w:space="0" w:color="auto"/>
        <w:left w:val="none" w:sz="0" w:space="0" w:color="auto"/>
        <w:bottom w:val="none" w:sz="0" w:space="0" w:color="auto"/>
        <w:right w:val="none" w:sz="0" w:space="0" w:color="auto"/>
      </w:divBdr>
    </w:div>
    <w:div w:id="1829514303">
      <w:bodyDiv w:val="1"/>
      <w:marLeft w:val="0"/>
      <w:marRight w:val="0"/>
      <w:marTop w:val="0"/>
      <w:marBottom w:val="0"/>
      <w:divBdr>
        <w:top w:val="none" w:sz="0" w:space="0" w:color="auto"/>
        <w:left w:val="none" w:sz="0" w:space="0" w:color="auto"/>
        <w:bottom w:val="none" w:sz="0" w:space="0" w:color="auto"/>
        <w:right w:val="none" w:sz="0" w:space="0" w:color="auto"/>
      </w:divBdr>
    </w:div>
    <w:div w:id="1930964389">
      <w:bodyDiv w:val="1"/>
      <w:marLeft w:val="0"/>
      <w:marRight w:val="0"/>
      <w:marTop w:val="0"/>
      <w:marBottom w:val="0"/>
      <w:divBdr>
        <w:top w:val="none" w:sz="0" w:space="0" w:color="auto"/>
        <w:left w:val="none" w:sz="0" w:space="0" w:color="auto"/>
        <w:bottom w:val="none" w:sz="0" w:space="0" w:color="auto"/>
        <w:right w:val="none" w:sz="0" w:space="0" w:color="auto"/>
      </w:divBdr>
    </w:div>
    <w:div w:id="1940138784">
      <w:bodyDiv w:val="1"/>
      <w:marLeft w:val="0"/>
      <w:marRight w:val="0"/>
      <w:marTop w:val="0"/>
      <w:marBottom w:val="0"/>
      <w:divBdr>
        <w:top w:val="none" w:sz="0" w:space="0" w:color="auto"/>
        <w:left w:val="none" w:sz="0" w:space="0" w:color="auto"/>
        <w:bottom w:val="none" w:sz="0" w:space="0" w:color="auto"/>
        <w:right w:val="none" w:sz="0" w:space="0" w:color="auto"/>
      </w:divBdr>
    </w:div>
    <w:div w:id="1950506415">
      <w:bodyDiv w:val="1"/>
      <w:marLeft w:val="0"/>
      <w:marRight w:val="0"/>
      <w:marTop w:val="0"/>
      <w:marBottom w:val="0"/>
      <w:divBdr>
        <w:top w:val="none" w:sz="0" w:space="0" w:color="auto"/>
        <w:left w:val="none" w:sz="0" w:space="0" w:color="auto"/>
        <w:bottom w:val="none" w:sz="0" w:space="0" w:color="auto"/>
        <w:right w:val="none" w:sz="0" w:space="0" w:color="auto"/>
      </w:divBdr>
    </w:div>
    <w:div w:id="2008946911">
      <w:bodyDiv w:val="1"/>
      <w:marLeft w:val="0"/>
      <w:marRight w:val="0"/>
      <w:marTop w:val="0"/>
      <w:marBottom w:val="0"/>
      <w:divBdr>
        <w:top w:val="none" w:sz="0" w:space="0" w:color="auto"/>
        <w:left w:val="none" w:sz="0" w:space="0" w:color="auto"/>
        <w:bottom w:val="none" w:sz="0" w:space="0" w:color="auto"/>
        <w:right w:val="none" w:sz="0" w:space="0" w:color="auto"/>
      </w:divBdr>
    </w:div>
    <w:div w:id="202593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import/arrival/clearance-inspection/documentary-requirements/entity-identifi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griculture.gov.au/import/arrival/clearance-inspection/documentary-requirements/entity-identifie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2DCD5-FA30-4040-8D45-D42621EC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Comparison guide for approved arrangement class 19.2: automatic entry processing for commodities from version 9.0 to version 9.1</vt:lpstr>
    </vt:vector>
  </TitlesOfParts>
  <Company>Department of Agriculture</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guide for approved arrangement class 19.2: automatic entry processing for commodities from version 9.0 to version 9.1</dc:title>
  <dc:subject/>
  <dc:creator>Department of Agriculture, Water and the Environment</dc:creator>
  <cp:keywords/>
  <dc:description/>
  <cp:lastModifiedBy>Martin, Angus</cp:lastModifiedBy>
  <cp:revision>41</cp:revision>
  <cp:lastPrinted>2020-07-08T04:46:00Z</cp:lastPrinted>
  <dcterms:created xsi:type="dcterms:W3CDTF">2020-06-26T07:28:00Z</dcterms:created>
  <dcterms:modified xsi:type="dcterms:W3CDTF">2021-05-26T06:37:00Z</dcterms:modified>
</cp:coreProperties>
</file>