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4F3" w14:textId="77777777" w:rsidR="008C7A16" w:rsidRDefault="00094B20" w:rsidP="0015608E">
      <w:pPr>
        <w:pStyle w:val="Heading1"/>
      </w:pPr>
      <w:r>
        <w:t>C</w:t>
      </w:r>
      <w:r w:rsidR="00A9415E">
        <w:t xml:space="preserve">lient </w:t>
      </w:r>
      <w:r w:rsidR="001A0FB8">
        <w:t>s</w:t>
      </w:r>
      <w:r w:rsidR="001A06C5">
        <w:t xml:space="preserve">ervice </w:t>
      </w:r>
      <w:r w:rsidR="001A0FB8">
        <w:t>s</w:t>
      </w:r>
      <w:r w:rsidR="001A06C5">
        <w:t xml:space="preserve">tandard </w:t>
      </w:r>
      <w:r w:rsidR="001A0FB8">
        <w:t>r</w:t>
      </w:r>
      <w:r w:rsidR="001A06C5">
        <w:t>esults</w:t>
      </w:r>
      <w:r w:rsidR="003A36D4">
        <w:t>:</w:t>
      </w:r>
      <w:r w:rsidR="001A0FB8">
        <w:t xml:space="preserve"> </w:t>
      </w:r>
    </w:p>
    <w:p w14:paraId="7C369D86" w14:textId="4F20DAFF" w:rsidR="00E362EF" w:rsidRDefault="201280AB" w:rsidP="0015608E">
      <w:pPr>
        <w:pStyle w:val="Heading1"/>
      </w:pPr>
      <w:r>
        <w:t>July</w:t>
      </w:r>
      <w:r w:rsidR="28776667">
        <w:t xml:space="preserve"> </w:t>
      </w:r>
      <w:r w:rsidR="00692F09">
        <w:t xml:space="preserve">to </w:t>
      </w:r>
      <w:r w:rsidR="16CD1B6A">
        <w:t>December</w:t>
      </w:r>
      <w:r w:rsidR="009E0488">
        <w:t xml:space="preserve"> </w:t>
      </w:r>
      <w:r w:rsidR="00692F09">
        <w:t>2025</w:t>
      </w:r>
    </w:p>
    <w:p w14:paraId="41B0F434" w14:textId="0B5CF66C" w:rsidR="00394C08" w:rsidRDefault="003D21B4" w:rsidP="00394C08">
      <w:r>
        <w:t>T</w:t>
      </w:r>
      <w:r w:rsidRPr="003D21B4">
        <w:t>he Department of Agriculture, Fisheries and Forestry’s</w:t>
      </w:r>
      <w:r w:rsidR="00A116EA">
        <w:t xml:space="preserve"> </w:t>
      </w:r>
      <w:r w:rsidRPr="003D21B4">
        <w:t xml:space="preserve">biosecurity operations </w:t>
      </w:r>
      <w:r w:rsidR="00542C82">
        <w:t xml:space="preserve">deliver </w:t>
      </w:r>
      <w:r w:rsidR="00394C08" w:rsidRPr="00394C08">
        <w:t xml:space="preserve">regulatory activities that safeguard Australia’s borders by ensuring goods, conveyances and travellers meet </w:t>
      </w:r>
      <w:r w:rsidR="001A2775">
        <w:t>Australia’s</w:t>
      </w:r>
      <w:r w:rsidR="00394C08" w:rsidRPr="00394C08">
        <w:t xml:space="preserve"> biosecurity and imported food requirements. </w:t>
      </w:r>
      <w:r w:rsidR="00542C82">
        <w:t xml:space="preserve">We develop </w:t>
      </w:r>
      <w:r w:rsidR="00394C08" w:rsidRPr="00394C08">
        <w:t>operational policies and implement frontline regulatory controls to manage biosecurity and food safety risks.</w:t>
      </w:r>
    </w:p>
    <w:p w14:paraId="3C95425C" w14:textId="4CEDF434" w:rsidR="00394C08" w:rsidRPr="00394C08" w:rsidRDefault="00394C08" w:rsidP="00394C08">
      <w:r w:rsidRPr="00394C08">
        <w:t xml:space="preserve">As part of our commitment to continuous improvement in service delivery, we have established </w:t>
      </w:r>
      <w:hyperlink r:id="rId11" w:history="1">
        <w:r w:rsidR="001B308F" w:rsidRPr="001B308F">
          <w:rPr>
            <w:rStyle w:val="Hyperlink"/>
          </w:rPr>
          <w:t>c</w:t>
        </w:r>
        <w:r w:rsidRPr="001B308F">
          <w:rPr>
            <w:rStyle w:val="Hyperlink"/>
          </w:rPr>
          <w:t xml:space="preserve">lient </w:t>
        </w:r>
        <w:r w:rsidR="001B308F" w:rsidRPr="001B308F">
          <w:rPr>
            <w:rStyle w:val="Hyperlink"/>
          </w:rPr>
          <w:t>s</w:t>
        </w:r>
        <w:r w:rsidRPr="001B308F">
          <w:rPr>
            <w:rStyle w:val="Hyperlink"/>
          </w:rPr>
          <w:t xml:space="preserve">ervice </w:t>
        </w:r>
        <w:r w:rsidR="001B308F" w:rsidRPr="001B308F">
          <w:rPr>
            <w:rStyle w:val="Hyperlink"/>
          </w:rPr>
          <w:t>s</w:t>
        </w:r>
        <w:r w:rsidRPr="001B308F">
          <w:rPr>
            <w:rStyle w:val="Hyperlink"/>
          </w:rPr>
          <w:t>tandards</w:t>
        </w:r>
      </w:hyperlink>
      <w:r w:rsidRPr="00394C08">
        <w:t xml:space="preserve"> that outline the level of service you can expect from us.</w:t>
      </w:r>
    </w:p>
    <w:p w14:paraId="389098FB" w14:textId="2A44513C" w:rsidR="00E9398E" w:rsidRDefault="1C23F0D7">
      <w:r>
        <w:t>The</w:t>
      </w:r>
      <w:r w:rsidR="00503C92">
        <w:t xml:space="preserve"> following</w:t>
      </w:r>
      <w:r>
        <w:t xml:space="preserve"> table</w:t>
      </w:r>
      <w:r w:rsidR="001F05B9">
        <w:t>s</w:t>
      </w:r>
      <w:r>
        <w:t xml:space="preserve"> </w:t>
      </w:r>
      <w:r w:rsidR="69AD5E0E">
        <w:t xml:space="preserve">present </w:t>
      </w:r>
      <w:r w:rsidR="45031A42">
        <w:t xml:space="preserve">the </w:t>
      </w:r>
      <w:r w:rsidR="24E5CDFD">
        <w:t xml:space="preserve">quarterly </w:t>
      </w:r>
      <w:r w:rsidR="4289CB04">
        <w:t xml:space="preserve">results </w:t>
      </w:r>
      <w:r w:rsidR="5FCDA71E">
        <w:t xml:space="preserve">for </w:t>
      </w:r>
      <w:r w:rsidR="006E56F3">
        <w:t>client contact services</w:t>
      </w:r>
      <w:r w:rsidR="001F05B9">
        <w:t xml:space="preserve"> (</w:t>
      </w:r>
      <w:r w:rsidR="001F05B9">
        <w:fldChar w:fldCharType="begin"/>
      </w:r>
      <w:r w:rsidR="001F05B9">
        <w:instrText xml:space="preserve"> REF _Ref445985033 \h </w:instrText>
      </w:r>
      <w:r w:rsidR="001F05B9">
        <w:fldChar w:fldCharType="separate"/>
      </w:r>
      <w:r w:rsidR="005375C1">
        <w:t xml:space="preserve">Table </w:t>
      </w:r>
      <w:r w:rsidR="005375C1">
        <w:rPr>
          <w:noProof/>
        </w:rPr>
        <w:t>1</w:t>
      </w:r>
      <w:r w:rsidR="001F05B9">
        <w:fldChar w:fldCharType="end"/>
      </w:r>
      <w:r w:rsidR="001F05B9">
        <w:t>)</w:t>
      </w:r>
      <w:r w:rsidR="006E56F3">
        <w:t>, import services</w:t>
      </w:r>
      <w:r w:rsidR="00882E87">
        <w:t xml:space="preserve"> (</w:t>
      </w:r>
      <w:r w:rsidR="00B83C14">
        <w:fldChar w:fldCharType="begin"/>
      </w:r>
      <w:r w:rsidR="00B83C14">
        <w:instrText xml:space="preserve"> REF _Ref214368374 \h </w:instrText>
      </w:r>
      <w:r w:rsidR="00B83C14">
        <w:fldChar w:fldCharType="separate"/>
      </w:r>
      <w:r w:rsidR="005375C1">
        <w:t xml:space="preserve">Table </w:t>
      </w:r>
      <w:r w:rsidR="005375C1">
        <w:rPr>
          <w:noProof/>
        </w:rPr>
        <w:t>2</w:t>
      </w:r>
      <w:r w:rsidR="00B83C14">
        <w:fldChar w:fldCharType="end"/>
      </w:r>
      <w:r w:rsidR="003A42D1">
        <w:t>)</w:t>
      </w:r>
      <w:r w:rsidR="001F05B9">
        <w:t xml:space="preserve"> </w:t>
      </w:r>
      <w:r w:rsidR="006E56F3">
        <w:t>and export services</w:t>
      </w:r>
      <w:r w:rsidR="001F05B9">
        <w:t xml:space="preserve"> </w:t>
      </w:r>
      <w:r w:rsidR="00F51F6C">
        <w:t>(</w:t>
      </w:r>
      <w:r w:rsidR="00407D3A">
        <w:fldChar w:fldCharType="begin"/>
      </w:r>
      <w:r w:rsidR="00407D3A">
        <w:instrText xml:space="preserve"> REF _Ref220483545 \h </w:instrText>
      </w:r>
      <w:r w:rsidR="00407D3A">
        <w:fldChar w:fldCharType="separate"/>
      </w:r>
      <w:r w:rsidR="005375C1">
        <w:t xml:space="preserve">Table </w:t>
      </w:r>
      <w:r w:rsidR="005375C1">
        <w:rPr>
          <w:noProof/>
        </w:rPr>
        <w:t>3</w:t>
      </w:r>
      <w:r w:rsidR="00407D3A">
        <w:fldChar w:fldCharType="end"/>
      </w:r>
      <w:r w:rsidR="00F51F6C">
        <w:t xml:space="preserve">) </w:t>
      </w:r>
      <w:r w:rsidR="39EFC220">
        <w:t xml:space="preserve">delivered by </w:t>
      </w:r>
      <w:r w:rsidR="00A116EA">
        <w:t>the department’s biosecurity operations</w:t>
      </w:r>
      <w:r w:rsidR="546B79A7">
        <w:t xml:space="preserve">. </w:t>
      </w:r>
      <w:r w:rsidR="001F05B9">
        <w:t>F</w:t>
      </w:r>
      <w:r w:rsidR="01C4F000">
        <w:t xml:space="preserve">igures may be subject to change, </w:t>
      </w:r>
      <w:r w:rsidR="001B308F">
        <w:t>because</w:t>
      </w:r>
      <w:r w:rsidR="01C4F000">
        <w:t xml:space="preserve"> some results rely on a record of completion before the</w:t>
      </w:r>
      <w:r w:rsidR="4DF55916">
        <w:t>y are reported</w:t>
      </w:r>
      <w:r w:rsidR="01C4F000">
        <w:t xml:space="preserve">. </w:t>
      </w:r>
      <w:r w:rsidR="4DF55916">
        <w:t>For example, s</w:t>
      </w:r>
      <w:r w:rsidR="01C4F000">
        <w:t xml:space="preserve">ome services may commence in one quarter and </w:t>
      </w:r>
      <w:r w:rsidR="001B308F">
        <w:t>be</w:t>
      </w:r>
      <w:r w:rsidR="01C4F000">
        <w:t xml:space="preserve"> completed in another quarter.</w:t>
      </w:r>
    </w:p>
    <w:p w14:paraId="002213A8" w14:textId="6C0605B1" w:rsidR="00F65DFD" w:rsidRDefault="00F65DFD" w:rsidP="00F65DFD">
      <w:pPr>
        <w:pStyle w:val="Caption"/>
      </w:pPr>
      <w:bookmarkStart w:id="0" w:name="_Ref445985033"/>
      <w:bookmarkStart w:id="1" w:name="_Toc409769171"/>
      <w:bookmarkStart w:id="2" w:name="_Toc508272837"/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5375C1"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 </w:t>
      </w:r>
      <w:r w:rsidR="001B308F">
        <w:t>Biosecurity operations s</w:t>
      </w:r>
      <w:r w:rsidR="00261654">
        <w:t xml:space="preserve">ervice </w:t>
      </w:r>
      <w:r w:rsidR="001B308F">
        <w:t>s</w:t>
      </w:r>
      <w:r w:rsidR="00261654">
        <w:t xml:space="preserve">tandard </w:t>
      </w:r>
      <w:r w:rsidR="001B308F">
        <w:t>results – c</w:t>
      </w:r>
      <w:r w:rsidR="005C7F9E">
        <w:t xml:space="preserve">lient </w:t>
      </w:r>
      <w:r w:rsidR="001B308F">
        <w:t>c</w:t>
      </w:r>
      <w:r w:rsidR="005C7F9E">
        <w:t>ontact</w:t>
      </w:r>
      <w:bookmarkEnd w:id="1"/>
      <w:r>
        <w:t xml:space="preserve">, </w:t>
      </w:r>
      <w:bookmarkEnd w:id="2"/>
      <w:r w:rsidR="006040F5">
        <w:t xml:space="preserve">Q1 </w:t>
      </w:r>
      <w:r w:rsidR="5742933F">
        <w:t xml:space="preserve">and </w:t>
      </w:r>
      <w:r w:rsidR="006040F5">
        <w:t>Q</w:t>
      </w:r>
      <w:r w:rsidR="01D6FFE0">
        <w:t>2</w:t>
      </w:r>
    </w:p>
    <w:p w14:paraId="2470A880" w14:textId="10CDCF20" w:rsidR="00F65DFD" w:rsidRDefault="006270EB" w:rsidP="00F65DFD">
      <w:pPr>
        <w:pStyle w:val="Caption"/>
      </w:pPr>
      <w:r>
        <w:t>2025</w:t>
      </w:r>
      <w:r w:rsidR="001B308F">
        <w:t>–</w:t>
      </w:r>
      <w:r>
        <w:t>26</w:t>
      </w:r>
    </w:p>
    <w:tbl>
      <w:tblPr>
        <w:tblW w:w="906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779"/>
        <w:gridCol w:w="1341"/>
        <w:gridCol w:w="1332"/>
        <w:gridCol w:w="1341"/>
      </w:tblGrid>
      <w:tr w:rsidR="009E0488" w14:paraId="51E944A7" w14:textId="77777777" w:rsidTr="0C167ABE">
        <w:trPr>
          <w:tblHeader/>
        </w:trPr>
        <w:tc>
          <w:tcPr>
            <w:tcW w:w="2268" w:type="dxa"/>
            <w:tcMar>
              <w:left w:w="108" w:type="dxa"/>
              <w:right w:w="108" w:type="dxa"/>
            </w:tcMar>
          </w:tcPr>
          <w:p w14:paraId="10FCE9FB" w14:textId="4CE11DE3" w:rsidR="009E0488" w:rsidRDefault="006040F5">
            <w:pPr>
              <w:pStyle w:val="TableHeading"/>
            </w:pPr>
            <w:r>
              <w:t>Category</w:t>
            </w:r>
          </w:p>
        </w:tc>
        <w:tc>
          <w:tcPr>
            <w:tcW w:w="2779" w:type="dxa"/>
            <w:tcMar>
              <w:left w:w="108" w:type="dxa"/>
              <w:right w:w="108" w:type="dxa"/>
            </w:tcMar>
          </w:tcPr>
          <w:p w14:paraId="79EF9F0D" w14:textId="03CF85D7" w:rsidR="009E0488" w:rsidRDefault="006040F5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51A8ED7E" w14:textId="79E8FAEF" w:rsidR="009E0488" w:rsidRPr="00340820" w:rsidRDefault="009E0488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8ABD429" w14:textId="34E09675" w:rsidR="009E0488" w:rsidRPr="00340820" w:rsidRDefault="009E0488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198301D0" w14:textId="58A9417C" w:rsidR="009E0488" w:rsidRPr="00340820" w:rsidRDefault="0BE119EC">
            <w:pPr>
              <w:pStyle w:val="TableHeading"/>
              <w:jc w:val="right"/>
              <w:rPr>
                <w:highlight w:val="yellow"/>
              </w:rPr>
            </w:pPr>
            <w:r>
              <w:t>Oct</w:t>
            </w:r>
            <w:r w:rsidR="009E0488">
              <w:t xml:space="preserve"> to </w:t>
            </w:r>
            <w:r>
              <w:t>Dec 2025</w:t>
            </w:r>
            <w:r w:rsidR="009E0488">
              <w:t xml:space="preserve"> (%)</w:t>
            </w:r>
          </w:p>
        </w:tc>
      </w:tr>
      <w:tr w:rsidR="009E0488" w14:paraId="43973177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7CFBAE6E" w14:textId="609E1A17" w:rsidR="009E0488" w:rsidRPr="0050795C" w:rsidRDefault="009E0488" w:rsidP="0050795C">
            <w:pPr>
              <w:pStyle w:val="TableText"/>
            </w:pPr>
            <w:r w:rsidRPr="0050795C">
              <w:t>Calls to our national contact number</w:t>
            </w:r>
          </w:p>
        </w:tc>
        <w:tc>
          <w:tcPr>
            <w:tcW w:w="2779" w:type="dxa"/>
            <w:tcMar>
              <w:left w:w="108" w:type="dxa"/>
              <w:right w:w="108" w:type="dxa"/>
            </w:tcMar>
          </w:tcPr>
          <w:p w14:paraId="6F028BFA" w14:textId="303B5F69" w:rsidR="009E0488" w:rsidRDefault="009E0488" w:rsidP="009E0488">
            <w:pPr>
              <w:pStyle w:val="TableText"/>
            </w:pPr>
            <w:r>
              <w:t>We will answer your call within 5 minutes.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5E5FA426" w14:textId="2C5BDECA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16293F1E" w14:textId="5B7EBD94" w:rsidR="009E0488" w:rsidRDefault="009E0488">
            <w:pPr>
              <w:pStyle w:val="TableText"/>
              <w:jc w:val="right"/>
            </w:pPr>
            <w:r>
              <w:t>94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62A3DE62" w14:textId="17E4B85A" w:rsidR="009E0488" w:rsidRDefault="5B131594">
            <w:pPr>
              <w:pStyle w:val="TableText"/>
              <w:jc w:val="right"/>
            </w:pPr>
            <w:r>
              <w:t>91</w:t>
            </w:r>
          </w:p>
        </w:tc>
      </w:tr>
      <w:tr w:rsidR="009E0488" w14:paraId="3F3C2F08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1A51703C" w14:textId="16714AC8" w:rsidR="009E0488" w:rsidRPr="0050795C" w:rsidRDefault="009E0488" w:rsidP="0050795C">
            <w:pPr>
              <w:pStyle w:val="TableText"/>
            </w:pPr>
            <w:r w:rsidRPr="0050795C">
              <w:t>Online general enquiries form</w:t>
            </w:r>
          </w:p>
        </w:tc>
        <w:tc>
          <w:tcPr>
            <w:tcW w:w="2779" w:type="dxa"/>
            <w:tcMar>
              <w:left w:w="108" w:type="dxa"/>
              <w:right w:w="108" w:type="dxa"/>
            </w:tcMar>
          </w:tcPr>
          <w:p w14:paraId="39858C19" w14:textId="05F6C0F1" w:rsidR="009E0488" w:rsidRDefault="009E0488" w:rsidP="009E0488">
            <w:pPr>
              <w:pStyle w:val="TableText"/>
            </w:pPr>
            <w:r>
              <w:t>We will respond to your request within 10 business days.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14B64A5" w14:textId="134EA909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0460E649" w14:textId="4BB77198" w:rsidR="009E0488" w:rsidRDefault="009E0488">
            <w:pPr>
              <w:pStyle w:val="TableText"/>
              <w:jc w:val="right"/>
            </w:pPr>
            <w:r>
              <w:t>79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9222D99" w14:textId="050184A8" w:rsidR="009E0488" w:rsidRDefault="495C4FFD">
            <w:pPr>
              <w:pStyle w:val="TableText"/>
              <w:jc w:val="right"/>
            </w:pPr>
            <w:r>
              <w:t>84</w:t>
            </w:r>
          </w:p>
        </w:tc>
      </w:tr>
    </w:tbl>
    <w:p w14:paraId="5B87E9F9" w14:textId="4188F529" w:rsidR="00EF2A7A" w:rsidRDefault="00C97EF1" w:rsidP="00C97EF1">
      <w:pPr>
        <w:pStyle w:val="Caption"/>
        <w:spacing w:before="240"/>
      </w:pPr>
      <w:bookmarkStart w:id="3" w:name="_Ref2143683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375C1">
        <w:rPr>
          <w:noProof/>
        </w:rPr>
        <w:t>2</w:t>
      </w:r>
      <w:r>
        <w:fldChar w:fldCharType="end"/>
      </w:r>
      <w:bookmarkEnd w:id="3"/>
      <w:r>
        <w:t xml:space="preserve"> </w:t>
      </w:r>
      <w:r w:rsidR="001B308F">
        <w:t>Biosecurity operations service standard results – i</w:t>
      </w:r>
      <w:r w:rsidR="00EF2A7A">
        <w:t xml:space="preserve">mport, </w:t>
      </w:r>
      <w:r w:rsidR="006040F5">
        <w:t xml:space="preserve">Q1 </w:t>
      </w:r>
      <w:r w:rsidR="218F048E">
        <w:t xml:space="preserve">and Q2 </w:t>
      </w:r>
      <w:r w:rsidR="00EF2A7A">
        <w:t>2025</w:t>
      </w:r>
      <w:r w:rsidR="001B308F">
        <w:t>–</w:t>
      </w:r>
      <w:r w:rsidR="00EF2A7A">
        <w:t>26</w:t>
      </w:r>
    </w:p>
    <w:tbl>
      <w:tblPr>
        <w:tblW w:w="90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777"/>
        <w:gridCol w:w="1342"/>
        <w:gridCol w:w="1332"/>
        <w:gridCol w:w="1332"/>
      </w:tblGrid>
      <w:tr w:rsidR="009E0488" w14:paraId="4C99C02B" w14:textId="77777777" w:rsidTr="0C167ABE">
        <w:trPr>
          <w:tblHeader/>
        </w:trPr>
        <w:tc>
          <w:tcPr>
            <w:tcW w:w="2268" w:type="dxa"/>
            <w:tcMar>
              <w:left w:w="108" w:type="dxa"/>
              <w:right w:w="108" w:type="dxa"/>
            </w:tcMar>
          </w:tcPr>
          <w:p w14:paraId="0827E2A2" w14:textId="31FA560B" w:rsidR="009E0488" w:rsidRDefault="006040F5" w:rsidP="001F05B9">
            <w:pPr>
              <w:pStyle w:val="TableHeading"/>
            </w:pPr>
            <w:r>
              <w:t>Category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4EEFB060" w14:textId="1E9A81AD" w:rsidR="009E0488" w:rsidRDefault="006040F5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7D2E06E9" w14:textId="6BC3C0C1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69CC2356" w14:textId="5D54388F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20D5FEB9" w14:textId="4B0DA4AE" w:rsidR="009E0488" w:rsidRPr="00340820" w:rsidRDefault="04207127" w:rsidP="001F05B9">
            <w:pPr>
              <w:pStyle w:val="TableHeading"/>
              <w:jc w:val="right"/>
              <w:rPr>
                <w:highlight w:val="yellow"/>
              </w:rPr>
            </w:pPr>
            <w:r>
              <w:t>Oct</w:t>
            </w:r>
            <w:r w:rsidR="009E0488">
              <w:t xml:space="preserve"> to </w:t>
            </w:r>
            <w:r>
              <w:t>Dec 2025</w:t>
            </w:r>
            <w:r w:rsidR="009E0488">
              <w:t xml:space="preserve"> (%)</w:t>
            </w:r>
          </w:p>
        </w:tc>
      </w:tr>
      <w:tr w:rsidR="009E0488" w14:paraId="668E9565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7804FBC2" w14:textId="2B268F8A" w:rsidR="009E0488" w:rsidRPr="0050795C" w:rsidRDefault="009E0488" w:rsidP="0050795C">
            <w:pPr>
              <w:pStyle w:val="TableText"/>
            </w:pPr>
            <w:r w:rsidRPr="0050795C">
              <w:t>Import documents lodged via COLS</w:t>
            </w:r>
            <w:r w:rsidRPr="0015608E">
              <w:t xml:space="preserve"> – Urgent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3EFC2FCE" w14:textId="71D77F9E" w:rsidR="009E0488" w:rsidRDefault="009E0488" w:rsidP="009E0488">
            <w:pPr>
              <w:pStyle w:val="TableText"/>
            </w:pPr>
            <w:r>
              <w:t>We will process your lodgement within 1 business day.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723B2700" w14:textId="015D7BE0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62542FFF" w14:textId="7A65F293" w:rsidR="009E0488" w:rsidRDefault="009E0488">
            <w:pPr>
              <w:pStyle w:val="TableText"/>
              <w:jc w:val="right"/>
            </w:pPr>
            <w:r>
              <w:t>99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06FA80B" w14:textId="3417E611" w:rsidR="009E0488" w:rsidRDefault="009E0488">
            <w:pPr>
              <w:pStyle w:val="TableText"/>
              <w:jc w:val="right"/>
            </w:pPr>
            <w:r>
              <w:t>99</w:t>
            </w:r>
          </w:p>
        </w:tc>
      </w:tr>
      <w:tr w:rsidR="009E0488" w14:paraId="0D5F3B6C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07063703" w14:textId="5F07875D" w:rsidR="009E0488" w:rsidRPr="00BC6967" w:rsidRDefault="009E0488" w:rsidP="0050795C">
            <w:pPr>
              <w:pStyle w:val="TableText"/>
              <w:rPr>
                <w:lang w:val="fr-CI"/>
              </w:rPr>
            </w:pPr>
            <w:r w:rsidRPr="00BC6967">
              <w:rPr>
                <w:lang w:val="fr-CI"/>
              </w:rPr>
              <w:t>Import documents lodged via COLS – Non-urgent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2D512366" w14:textId="38C13929" w:rsidR="009E0488" w:rsidRDefault="009E0488" w:rsidP="009E0488">
            <w:pPr>
              <w:pStyle w:val="TableText"/>
            </w:pPr>
            <w:r w:rsidRPr="00D22220">
              <w:t>We will process your lodgement within 1 business day.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1479101C" w14:textId="3EE0E974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036BC77C" w14:textId="5568EBD8" w:rsidR="009E0488" w:rsidRDefault="009E0488">
            <w:pPr>
              <w:pStyle w:val="TableText"/>
              <w:jc w:val="right"/>
            </w:pPr>
            <w:r>
              <w:t>93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02A19F0C" w14:textId="09E26D28" w:rsidR="009E0488" w:rsidRDefault="73F00CF5">
            <w:pPr>
              <w:pStyle w:val="TableText"/>
              <w:jc w:val="right"/>
            </w:pPr>
            <w:r>
              <w:t>99</w:t>
            </w:r>
          </w:p>
        </w:tc>
      </w:tr>
      <w:tr w:rsidR="009E0488" w14:paraId="0BB6CE65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19774A39" w14:textId="021825E8" w:rsidR="009E0488" w:rsidRPr="0050795C" w:rsidRDefault="009E0488" w:rsidP="0050795C">
            <w:pPr>
              <w:pStyle w:val="TableText"/>
            </w:pPr>
            <w:r w:rsidRPr="0015608E">
              <w:t>Import documents lodged via email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35E8A6F0" w14:textId="6C4B5065" w:rsidR="009E0488" w:rsidRDefault="009E0488" w:rsidP="009E0488">
            <w:pPr>
              <w:pStyle w:val="TableText"/>
            </w:pPr>
            <w:r>
              <w:t>We will process your lodgement within 3 business days.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106728BA" w14:textId="7372F51E" w:rsidR="009E0488" w:rsidRDefault="009E0488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60922E00" w14:textId="1C3276D1" w:rsidR="009E0488" w:rsidRDefault="009E0488">
            <w:pPr>
              <w:pStyle w:val="TableText"/>
              <w:jc w:val="right"/>
            </w:pPr>
            <w:r>
              <w:t>100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4F30FED" w14:textId="7EB54F8C" w:rsidR="009E0488" w:rsidRDefault="7ADF30FA">
            <w:pPr>
              <w:pStyle w:val="TableText"/>
              <w:jc w:val="right"/>
            </w:pPr>
            <w:r>
              <w:t>100</w:t>
            </w:r>
          </w:p>
        </w:tc>
      </w:tr>
      <w:tr w:rsidR="009E0488" w14:paraId="2EFC144B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7F189D41" w14:textId="35F5367E" w:rsidR="009E0488" w:rsidRPr="0050795C" w:rsidRDefault="009E0488" w:rsidP="0050795C">
            <w:pPr>
              <w:pStyle w:val="TableText"/>
            </w:pPr>
            <w:r w:rsidRPr="0015608E">
              <w:t>Goods inspection at an approved premises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2B8C5B44" w14:textId="3B7DA320" w:rsidR="009E0488" w:rsidRDefault="009E0488" w:rsidP="009E0488">
            <w:pPr>
              <w:pStyle w:val="TableText"/>
            </w:pPr>
            <w:r>
              <w:t>We will inspect your goods within 3 business days of confirmation of your appointment.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6E55B907" w14:textId="1B3862D5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69A82977" w14:textId="5D343DCC" w:rsidR="009E0488" w:rsidRDefault="009E0488">
            <w:pPr>
              <w:pStyle w:val="TableText"/>
              <w:jc w:val="right"/>
            </w:pPr>
            <w:r>
              <w:t>88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34475106" w14:textId="520B8F18" w:rsidR="009E0488" w:rsidRDefault="142B1AB0">
            <w:pPr>
              <w:pStyle w:val="TableText"/>
              <w:jc w:val="right"/>
            </w:pPr>
            <w:r>
              <w:t>88</w:t>
            </w:r>
          </w:p>
        </w:tc>
      </w:tr>
      <w:tr w:rsidR="009E0488" w14:paraId="2B503A52" w14:textId="77777777" w:rsidTr="0C167ABE">
        <w:trPr>
          <w:cantSplit/>
        </w:trPr>
        <w:tc>
          <w:tcPr>
            <w:tcW w:w="2268" w:type="dxa"/>
            <w:tcMar>
              <w:left w:w="108" w:type="dxa"/>
              <w:right w:w="108" w:type="dxa"/>
            </w:tcMar>
          </w:tcPr>
          <w:p w14:paraId="17A3552B" w14:textId="6ECB1D42" w:rsidR="009E0488" w:rsidRPr="0050795C" w:rsidRDefault="009E0488" w:rsidP="0050795C">
            <w:pPr>
              <w:pStyle w:val="TableText"/>
            </w:pPr>
            <w:r w:rsidRPr="0015608E">
              <w:t>Treatments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13A3B811" w14:textId="7D6C972E" w:rsidR="009E0488" w:rsidRDefault="009E0488" w:rsidP="009E0488">
            <w:pPr>
              <w:pStyle w:val="TableText"/>
            </w:pPr>
            <w:r>
              <w:t>We will provide you or your representative with a treatment direction within 2 business days after inspection.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700716E1" w14:textId="012E5CD9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B05A1C9" w14:textId="6AACABA6" w:rsidR="009E0488" w:rsidRDefault="009E0488">
            <w:pPr>
              <w:pStyle w:val="TableText"/>
              <w:jc w:val="right"/>
            </w:pPr>
            <w:r>
              <w:t>61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1A68389A" w14:textId="4374D34D" w:rsidR="009E0488" w:rsidRDefault="61FA06A3">
            <w:pPr>
              <w:pStyle w:val="TableText"/>
              <w:jc w:val="right"/>
            </w:pPr>
            <w:r>
              <w:t>59</w:t>
            </w:r>
          </w:p>
        </w:tc>
      </w:tr>
      <w:tr w:rsidR="009E0488" w14:paraId="70C3E8D7" w14:textId="77777777" w:rsidTr="0C167ABE">
        <w:trPr>
          <w:cantSplit/>
        </w:trPr>
        <w:tc>
          <w:tcPr>
            <w:tcW w:w="2268" w:type="dxa"/>
            <w:tcMar>
              <w:left w:w="108" w:type="dxa"/>
              <w:right w:w="108" w:type="dxa"/>
            </w:tcMar>
          </w:tcPr>
          <w:p w14:paraId="3FDA357B" w14:textId="659576A6" w:rsidR="009E0488" w:rsidRPr="0050795C" w:rsidRDefault="009E0488" w:rsidP="0050795C">
            <w:pPr>
              <w:pStyle w:val="TableText"/>
            </w:pPr>
            <w:r w:rsidRPr="0050795C">
              <w:lastRenderedPageBreak/>
              <w:t>Non-commercial vessel inspection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47C8D82E" w14:textId="5B8974FA" w:rsidR="009E0488" w:rsidRDefault="009E0488" w:rsidP="009E0488">
            <w:pPr>
              <w:pStyle w:val="TableText"/>
            </w:pPr>
            <w:r>
              <w:t>We will provide an initial inspection within 1 business day from your arrival at a port where we have a permanent staff presence.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3142736C" w14:textId="31F5A93B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D52B180" w14:textId="3869F7A1" w:rsidR="009E0488" w:rsidRDefault="009E0488">
            <w:pPr>
              <w:pStyle w:val="TableText"/>
              <w:jc w:val="right"/>
            </w:pPr>
            <w:r>
              <w:t>96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663094A8" w14:textId="42E0867B" w:rsidR="009E0488" w:rsidRDefault="009E0488">
            <w:pPr>
              <w:pStyle w:val="TableText"/>
              <w:jc w:val="right"/>
            </w:pPr>
            <w:r>
              <w:t>9</w:t>
            </w:r>
            <w:r w:rsidR="698EBC07">
              <w:t>5</w:t>
            </w:r>
          </w:p>
        </w:tc>
      </w:tr>
    </w:tbl>
    <w:p w14:paraId="3FD7EC14" w14:textId="58328E54" w:rsidR="003A36D4" w:rsidRPr="00407D3A" w:rsidRDefault="003A36D4" w:rsidP="00407D3A">
      <w:pPr>
        <w:pStyle w:val="FigureTableNoteSource"/>
      </w:pPr>
      <w:bookmarkStart w:id="4" w:name="_Ref214368412"/>
      <w:r w:rsidRPr="00407D3A">
        <w:rPr>
          <w:rStyle w:val="Strong"/>
        </w:rPr>
        <w:t>COLS</w:t>
      </w:r>
      <w:r w:rsidRPr="00407D3A">
        <w:t xml:space="preserve"> Cargo Online Lodgement System.</w:t>
      </w:r>
    </w:p>
    <w:p w14:paraId="46D948DE" w14:textId="1E4B7EEC" w:rsidR="006270EB" w:rsidRDefault="00407D3A" w:rsidP="00407D3A">
      <w:pPr>
        <w:pStyle w:val="Caption"/>
      </w:pPr>
      <w:bookmarkStart w:id="5" w:name="_Ref220483545"/>
      <w:bookmarkEnd w:id="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375C1">
        <w:rPr>
          <w:noProof/>
        </w:rPr>
        <w:t>3</w:t>
      </w:r>
      <w:r>
        <w:fldChar w:fldCharType="end"/>
      </w:r>
      <w:bookmarkEnd w:id="5"/>
      <w:r>
        <w:t xml:space="preserve"> </w:t>
      </w:r>
      <w:r w:rsidR="001B308F">
        <w:t>Biosecurity operations service standard results – e</w:t>
      </w:r>
      <w:r w:rsidR="006270EB">
        <w:t xml:space="preserve">xport, </w:t>
      </w:r>
      <w:r w:rsidR="006040F5">
        <w:t xml:space="preserve">Q1 </w:t>
      </w:r>
      <w:r w:rsidR="27328881">
        <w:t xml:space="preserve">and Q2 </w:t>
      </w:r>
      <w:r w:rsidR="006270EB">
        <w:t>2025</w:t>
      </w:r>
      <w:r w:rsidR="006040F5">
        <w:t>–</w:t>
      </w:r>
      <w:r w:rsidR="006270EB">
        <w:t>26</w:t>
      </w:r>
    </w:p>
    <w:tbl>
      <w:tblPr>
        <w:tblW w:w="905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777"/>
        <w:gridCol w:w="1342"/>
        <w:gridCol w:w="1332"/>
        <w:gridCol w:w="1332"/>
      </w:tblGrid>
      <w:tr w:rsidR="009E0488" w14:paraId="57705D96" w14:textId="77777777" w:rsidTr="0C167ABE">
        <w:trPr>
          <w:tblHeader/>
        </w:trPr>
        <w:tc>
          <w:tcPr>
            <w:tcW w:w="2268" w:type="dxa"/>
            <w:tcMar>
              <w:left w:w="108" w:type="dxa"/>
              <w:right w:w="108" w:type="dxa"/>
            </w:tcMar>
          </w:tcPr>
          <w:p w14:paraId="18CD533A" w14:textId="42AE91ED" w:rsidR="009E0488" w:rsidRDefault="006040F5" w:rsidP="009E0488">
            <w:pPr>
              <w:pStyle w:val="TableHeading"/>
            </w:pPr>
            <w:r>
              <w:t>Category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15B5E1FA" w14:textId="691EB0DC" w:rsidR="009E0488" w:rsidRDefault="006040F5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17FEA519" w14:textId="3E211713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1F107F6F" w14:textId="3778B323" w:rsidR="009E0488" w:rsidRPr="00340820" w:rsidRDefault="009E0488" w:rsidP="001F05B9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7DD14B6" w14:textId="4E498A29" w:rsidR="009E0488" w:rsidRPr="00340820" w:rsidRDefault="79415045" w:rsidP="001F05B9">
            <w:pPr>
              <w:pStyle w:val="TableHeading"/>
              <w:jc w:val="right"/>
              <w:rPr>
                <w:highlight w:val="yellow"/>
              </w:rPr>
            </w:pPr>
            <w:r>
              <w:t>Oct</w:t>
            </w:r>
            <w:r w:rsidR="009E0488">
              <w:t xml:space="preserve"> to </w:t>
            </w:r>
            <w:r>
              <w:t>Dec 2025</w:t>
            </w:r>
            <w:r w:rsidR="009E0488">
              <w:t xml:space="preserve"> (%)</w:t>
            </w:r>
          </w:p>
        </w:tc>
      </w:tr>
      <w:tr w:rsidR="009E0488" w14:paraId="02AE5675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0CC32AAC" w14:textId="55D1AC09" w:rsidR="009E0488" w:rsidRPr="0050795C" w:rsidRDefault="009E0488" w:rsidP="0050795C">
            <w:pPr>
              <w:pStyle w:val="TableText"/>
            </w:pPr>
            <w:r w:rsidRPr="0050795C">
              <w:t>Goods inspection at an export-registered establishment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24B98F45" w14:textId="763A0BC4" w:rsidR="009E0488" w:rsidRDefault="009E0488" w:rsidP="009E0488">
            <w:pPr>
              <w:pStyle w:val="TableText"/>
            </w:pPr>
            <w:r>
              <w:t>We will inspect your goods within 3 business days of you requesting an appointment.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3648C088" w14:textId="67C1B2B4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200EF627" w14:textId="0CF190A4" w:rsidR="009E0488" w:rsidRDefault="009E0488">
            <w:pPr>
              <w:pStyle w:val="TableText"/>
              <w:jc w:val="right"/>
            </w:pPr>
            <w:r>
              <w:t>93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004F70FD" w14:textId="4E46CCF4" w:rsidR="009E0488" w:rsidRDefault="009E0488">
            <w:pPr>
              <w:pStyle w:val="TableText"/>
              <w:jc w:val="right"/>
            </w:pPr>
            <w:r>
              <w:t>9</w:t>
            </w:r>
            <w:r w:rsidR="74D49616">
              <w:t>4</w:t>
            </w:r>
          </w:p>
        </w:tc>
      </w:tr>
      <w:tr w:rsidR="009E0488" w14:paraId="18B77FB7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753770FD" w14:textId="702690E1" w:rsidR="009E0488" w:rsidRPr="0050795C" w:rsidRDefault="009E0488" w:rsidP="0050795C">
            <w:pPr>
              <w:pStyle w:val="TableText"/>
            </w:pPr>
            <w:r w:rsidRPr="0050795C">
              <w:t>Goods inspection for air freight exports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64D8BCCD" w14:textId="6A51E966" w:rsidR="009E0488" w:rsidRDefault="009E0488" w:rsidP="009E0488">
            <w:pPr>
              <w:pStyle w:val="TableText"/>
            </w:pPr>
            <w:r>
              <w:t>We will inspection your goods within 24 hours of you requesting an appointment.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6AF681BF" w14:textId="1290EA46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0DDC734D" w14:textId="582605C0" w:rsidR="009E0488" w:rsidRPr="00564DDB" w:rsidRDefault="009E0488">
            <w:pPr>
              <w:pStyle w:val="TableText"/>
              <w:jc w:val="right"/>
              <w:rPr>
                <w:highlight w:val="yellow"/>
              </w:rPr>
            </w:pPr>
            <w:r w:rsidRPr="00A43273">
              <w:t>6</w:t>
            </w:r>
            <w:r w:rsidR="007539AE" w:rsidRPr="00A43273">
              <w:t>3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7B3AC57E" w14:textId="0976C945" w:rsidR="009E0488" w:rsidRDefault="009E0488">
            <w:pPr>
              <w:pStyle w:val="TableText"/>
              <w:jc w:val="right"/>
            </w:pPr>
            <w:r>
              <w:t>72</w:t>
            </w:r>
          </w:p>
        </w:tc>
      </w:tr>
      <w:tr w:rsidR="009E0488" w14:paraId="7A174A34" w14:textId="77777777" w:rsidTr="0C167ABE">
        <w:tc>
          <w:tcPr>
            <w:tcW w:w="2268" w:type="dxa"/>
            <w:tcMar>
              <w:left w:w="108" w:type="dxa"/>
              <w:right w:w="108" w:type="dxa"/>
            </w:tcMar>
          </w:tcPr>
          <w:p w14:paraId="52AB5C95" w14:textId="2D1404E7" w:rsidR="009E0488" w:rsidRPr="0050795C" w:rsidRDefault="009E0488" w:rsidP="0050795C">
            <w:pPr>
              <w:pStyle w:val="TableText"/>
            </w:pPr>
            <w:r w:rsidRPr="0050795C">
              <w:t>Goods inspection for sea freight exports</w:t>
            </w:r>
          </w:p>
        </w:tc>
        <w:tc>
          <w:tcPr>
            <w:tcW w:w="2777" w:type="dxa"/>
            <w:tcMar>
              <w:left w:w="108" w:type="dxa"/>
              <w:right w:w="108" w:type="dxa"/>
            </w:tcMar>
          </w:tcPr>
          <w:p w14:paraId="6AC9441B" w14:textId="172D3909" w:rsidR="009E0488" w:rsidRDefault="009E0488" w:rsidP="009E0488">
            <w:pPr>
              <w:pStyle w:val="TableText"/>
            </w:pPr>
            <w:r>
              <w:t>We will inspect your goods within 3 business days of you requesting an appointment.</w:t>
            </w:r>
          </w:p>
        </w:tc>
        <w:tc>
          <w:tcPr>
            <w:tcW w:w="1342" w:type="dxa"/>
            <w:tcMar>
              <w:left w:w="108" w:type="dxa"/>
              <w:right w:w="108" w:type="dxa"/>
            </w:tcMar>
          </w:tcPr>
          <w:p w14:paraId="130B9673" w14:textId="740CEB88" w:rsidR="009E0488" w:rsidRDefault="009E0488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3E9776D8" w14:textId="2EB4A38A" w:rsidR="009E0488" w:rsidRDefault="009E0488">
            <w:pPr>
              <w:pStyle w:val="TableText"/>
              <w:jc w:val="right"/>
            </w:pPr>
            <w:r>
              <w:t>96</w:t>
            </w:r>
          </w:p>
        </w:tc>
        <w:tc>
          <w:tcPr>
            <w:tcW w:w="1332" w:type="dxa"/>
            <w:tcMar>
              <w:left w:w="108" w:type="dxa"/>
              <w:right w:w="108" w:type="dxa"/>
            </w:tcMar>
          </w:tcPr>
          <w:p w14:paraId="57F556FF" w14:textId="291FD726" w:rsidR="009E0488" w:rsidRDefault="009E0488">
            <w:pPr>
              <w:pStyle w:val="TableText"/>
              <w:jc w:val="right"/>
            </w:pPr>
            <w:r>
              <w:t>9</w:t>
            </w:r>
            <w:r w:rsidR="4DCF072C">
              <w:t>7</w:t>
            </w:r>
          </w:p>
        </w:tc>
      </w:tr>
    </w:tbl>
    <w:p w14:paraId="097C3675" w14:textId="77777777" w:rsidR="006270EB" w:rsidRPr="006270EB" w:rsidRDefault="006270EB" w:rsidP="001B308F"/>
    <w:sectPr w:rsidR="006270EB" w:rsidRPr="00627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ED74" w14:textId="77777777" w:rsidR="00164F0A" w:rsidRDefault="00164F0A">
      <w:r>
        <w:separator/>
      </w:r>
    </w:p>
    <w:p w14:paraId="2A584A57" w14:textId="77777777" w:rsidR="00164F0A" w:rsidRDefault="00164F0A"/>
    <w:p w14:paraId="1828C539" w14:textId="77777777" w:rsidR="00164F0A" w:rsidRDefault="00164F0A"/>
  </w:endnote>
  <w:endnote w:type="continuationSeparator" w:id="0">
    <w:p w14:paraId="26D77FB6" w14:textId="77777777" w:rsidR="00164F0A" w:rsidRDefault="00164F0A">
      <w:r>
        <w:continuationSeparator/>
      </w:r>
    </w:p>
    <w:p w14:paraId="344B365F" w14:textId="77777777" w:rsidR="00164F0A" w:rsidRDefault="00164F0A"/>
    <w:p w14:paraId="44719867" w14:textId="77777777" w:rsidR="00164F0A" w:rsidRDefault="00164F0A"/>
  </w:endnote>
  <w:endnote w:type="continuationNotice" w:id="1">
    <w:p w14:paraId="29CF5052" w14:textId="77777777" w:rsidR="00164F0A" w:rsidRDefault="00164F0A">
      <w:pPr>
        <w:pStyle w:val="Footer"/>
      </w:pPr>
    </w:p>
    <w:p w14:paraId="114935BB" w14:textId="77777777" w:rsidR="00164F0A" w:rsidRDefault="00164F0A"/>
    <w:p w14:paraId="409EF58A" w14:textId="77777777" w:rsidR="00164F0A" w:rsidRDefault="00164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7D79" w14:textId="77777777" w:rsidR="00C30975" w:rsidRDefault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F78DE8" wp14:editId="6C0BC0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4883720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D1E79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8F78DE8">
              <v:stroke joinstyle="miter"/>
              <v:path gradientshapeok="t" o:connecttype="rect"/>
            </v:shapetype>
            <v:shape id="Text Box 11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>
              <v:textbox style="mso-fit-shape-to-text:t" inset="0,0,0,15pt">
                <w:txbxContent>
                  <w:p w:rsidRPr="00D61857" w:rsidR="00D61857" w:rsidP="00D61857" w:rsidRDefault="00D61857" w14:paraId="3E5D1E79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4E23" w14:textId="77777777" w:rsidR="002A193C" w:rsidRDefault="55D46D56" w:rsidP="00D61857">
    <w:pPr>
      <w:pStyle w:val="Footer"/>
    </w:pPr>
    <w:r w:rsidRPr="007B1F92">
      <w:t>Department of Agriculture, Fisheries and Forestry</w:t>
    </w:r>
    <w:r w:rsidR="00D61857">
      <w:tab/>
    </w:r>
    <w:r w:rsidR="002A193C">
      <w:rPr>
        <w:noProof/>
      </w:rPr>
      <w:fldChar w:fldCharType="begin"/>
    </w:r>
    <w:r w:rsidR="002A193C">
      <w:instrText xml:space="preserve"> PAGE   \* MERGEFORMAT </w:instrText>
    </w:r>
    <w:r w:rsidR="002A193C">
      <w:fldChar w:fldCharType="separate"/>
    </w:r>
    <w:r>
      <w:rPr>
        <w:noProof/>
      </w:rPr>
      <w:t>10</w:t>
    </w:r>
    <w:r w:rsidR="002A19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3DBE" w14:textId="77777777" w:rsidR="002A193C" w:rsidRDefault="55D46D56" w:rsidP="00D61857">
    <w:pPr>
      <w:pStyle w:val="Footer"/>
    </w:pPr>
    <w:r>
      <w:t>Department of Agriculture, Fisheries and Forestry</w:t>
    </w:r>
    <w:r w:rsidR="00D61857">
      <w:tab/>
    </w:r>
    <w:r w:rsidR="002A193C">
      <w:rPr>
        <w:noProof/>
      </w:rPr>
      <w:fldChar w:fldCharType="begin"/>
    </w:r>
    <w:r w:rsidR="002A193C">
      <w:instrText xml:space="preserve"> PAGE   \* MERGEFORMAT </w:instrText>
    </w:r>
    <w:r w:rsidR="002A193C">
      <w:fldChar w:fldCharType="separate"/>
    </w:r>
    <w:r>
      <w:rPr>
        <w:noProof/>
      </w:rPr>
      <w:t>1</w:t>
    </w:r>
    <w:r w:rsidR="002A1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9C74" w14:textId="77777777" w:rsidR="00164F0A" w:rsidRDefault="00164F0A">
      <w:r>
        <w:separator/>
      </w:r>
    </w:p>
    <w:p w14:paraId="27EFFE29" w14:textId="77777777" w:rsidR="00164F0A" w:rsidRDefault="00164F0A"/>
    <w:p w14:paraId="3CF633A7" w14:textId="77777777" w:rsidR="00164F0A" w:rsidRDefault="00164F0A"/>
  </w:footnote>
  <w:footnote w:type="continuationSeparator" w:id="0">
    <w:p w14:paraId="417D016A" w14:textId="77777777" w:rsidR="00164F0A" w:rsidRDefault="00164F0A">
      <w:r>
        <w:continuationSeparator/>
      </w:r>
    </w:p>
    <w:p w14:paraId="73AC050A" w14:textId="77777777" w:rsidR="00164F0A" w:rsidRDefault="00164F0A"/>
    <w:p w14:paraId="294A400E" w14:textId="77777777" w:rsidR="00164F0A" w:rsidRDefault="00164F0A"/>
  </w:footnote>
  <w:footnote w:type="continuationNotice" w:id="1">
    <w:p w14:paraId="1EEC3B43" w14:textId="77777777" w:rsidR="00164F0A" w:rsidRDefault="00164F0A">
      <w:pPr>
        <w:pStyle w:val="Footer"/>
      </w:pPr>
    </w:p>
    <w:p w14:paraId="67AA3C40" w14:textId="77777777" w:rsidR="00164F0A" w:rsidRDefault="00164F0A"/>
    <w:p w14:paraId="08D644F6" w14:textId="77777777" w:rsidR="00164F0A" w:rsidRDefault="00164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123" w14:textId="17254843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92539E" wp14:editId="149EDD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3728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550FF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C92539E">
              <v:stroke joinstyle="miter"/>
              <v:path gradientshapeok="t" o:connecttype="rect"/>
            </v:shapetype>
            <v:shape id="Text Box 8" style="position:absolute;left:0;text-align:left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>
              <v:textbox style="mso-fit-shape-to-text:t" inset="0,15pt,0,0">
                <w:txbxContent>
                  <w:p w:rsidRPr="00D61857" w:rsidR="00D61857" w:rsidP="00D61857" w:rsidRDefault="00D61857" w14:paraId="7A2550FF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CC29" w14:textId="35F79E88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DCDAC2" wp14:editId="39C1146D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8835947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638A1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EDCDAC2">
              <v:stroke joinstyle="miter"/>
              <v:path gradientshapeok="t" o:connecttype="rect"/>
            </v:shapetype>
            <v:shape id="Text Box 9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>
              <v:textbox style="mso-fit-shape-to-text:t" inset="0,15pt,0,0">
                <w:txbxContent>
                  <w:p w:rsidRPr="00D61857" w:rsidR="00D61857" w:rsidP="00D61857" w:rsidRDefault="00D61857" w14:paraId="3A1638A1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40F5">
      <w:t xml:space="preserve">Biosecurity </w:t>
    </w:r>
    <w:r w:rsidR="006040F5" w:rsidRPr="007E48A9">
      <w:t>Operations</w:t>
    </w:r>
    <w:r w:rsidR="006040F5">
      <w:t xml:space="preserve"> client service standard results: July to 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74E0" w14:textId="71B06526" w:rsidR="002A193C" w:rsidRDefault="00D61857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599A4" wp14:editId="0AD3E93F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9576601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351ED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0DB599A4">
              <v:stroke joinstyle="miter"/>
              <v:path gradientshapeok="t" o:connecttype="rect"/>
            </v:shapetype>
            <v:shape id="Text Box 7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>
              <v:textbox style="mso-fit-shape-to-text:t" inset="0,15pt,0,0">
                <w:txbxContent>
                  <w:p w:rsidRPr="00D61857" w:rsidR="00D61857" w:rsidP="00D61857" w:rsidRDefault="00D61857" w14:paraId="7B5351ED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6729">
      <w:rPr>
        <w:noProof/>
        <w:lang w:eastAsia="en-AU"/>
      </w:rPr>
      <w:drawing>
        <wp:inline distT="0" distB="0" distL="0" distR="0" wp14:anchorId="7EA7BFFE" wp14:editId="047D76A0">
          <wp:extent cx="2542599" cy="738943"/>
          <wp:effectExtent l="0" t="0" r="0" b="4445"/>
          <wp:docPr id="1" name="Picture 1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13698D2"/>
    <w:lvl w:ilvl="0" w:tplc="1DA20EE0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E20078"/>
    <w:multiLevelType w:val="multilevel"/>
    <w:tmpl w:val="B95457A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86800B4"/>
    <w:multiLevelType w:val="multilevel"/>
    <w:tmpl w:val="A0241B28"/>
    <w:numStyleLink w:val="List1"/>
  </w:abstractNum>
  <w:abstractNum w:abstractNumId="3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9DA"/>
    <w:multiLevelType w:val="multilevel"/>
    <w:tmpl w:val="2B64EC84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541B"/>
    <w:multiLevelType w:val="multilevel"/>
    <w:tmpl w:val="BF3294C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501C78"/>
    <w:multiLevelType w:val="multilevel"/>
    <w:tmpl w:val="A25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268471">
    <w:abstractNumId w:val="7"/>
  </w:num>
  <w:num w:numId="2" w16cid:durableId="1355770275">
    <w:abstractNumId w:val="8"/>
  </w:num>
  <w:num w:numId="3" w16cid:durableId="1882862685">
    <w:abstractNumId w:val="1"/>
  </w:num>
  <w:num w:numId="4" w16cid:durableId="3605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62399">
    <w:abstractNumId w:val="5"/>
  </w:num>
  <w:num w:numId="6" w16cid:durableId="1314989398">
    <w:abstractNumId w:val="6"/>
  </w:num>
  <w:num w:numId="7" w16cid:durableId="951480071">
    <w:abstractNumId w:val="3"/>
  </w:num>
  <w:num w:numId="8" w16cid:durableId="844629787">
    <w:abstractNumId w:val="1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9" w16cid:durableId="1698308952">
    <w:abstractNumId w:val="7"/>
  </w:num>
  <w:num w:numId="10" w16cid:durableId="547035718">
    <w:abstractNumId w:val="8"/>
  </w:num>
  <w:num w:numId="11" w16cid:durableId="1145393031">
    <w:abstractNumId w:val="0"/>
  </w:num>
  <w:num w:numId="12" w16cid:durableId="645671681">
    <w:abstractNumId w:val="9"/>
  </w:num>
  <w:num w:numId="13" w16cid:durableId="274824895">
    <w:abstractNumId w:val="11"/>
  </w:num>
  <w:num w:numId="14" w16cid:durableId="1361395064">
    <w:abstractNumId w:val="10"/>
  </w:num>
  <w:num w:numId="15" w16cid:durableId="236869232">
    <w:abstractNumId w:val="4"/>
  </w:num>
  <w:num w:numId="16" w16cid:durableId="70052174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5"/>
    <w:rsid w:val="00001491"/>
    <w:rsid w:val="00002624"/>
    <w:rsid w:val="00007C34"/>
    <w:rsid w:val="000237C7"/>
    <w:rsid w:val="00025639"/>
    <w:rsid w:val="0002607E"/>
    <w:rsid w:val="000269D6"/>
    <w:rsid w:val="00037BA4"/>
    <w:rsid w:val="00047CF6"/>
    <w:rsid w:val="0006018E"/>
    <w:rsid w:val="00060FA9"/>
    <w:rsid w:val="00064C65"/>
    <w:rsid w:val="00066752"/>
    <w:rsid w:val="00071927"/>
    <w:rsid w:val="00074A3A"/>
    <w:rsid w:val="00084596"/>
    <w:rsid w:val="00093CD3"/>
    <w:rsid w:val="00094932"/>
    <w:rsid w:val="00094B20"/>
    <w:rsid w:val="000A1CC2"/>
    <w:rsid w:val="000A550C"/>
    <w:rsid w:val="000A5B4E"/>
    <w:rsid w:val="000A5CA0"/>
    <w:rsid w:val="000A7051"/>
    <w:rsid w:val="000A7DD7"/>
    <w:rsid w:val="000B0331"/>
    <w:rsid w:val="000C701B"/>
    <w:rsid w:val="000D2428"/>
    <w:rsid w:val="000D38C5"/>
    <w:rsid w:val="000D6DD8"/>
    <w:rsid w:val="000E0825"/>
    <w:rsid w:val="000E0BC5"/>
    <w:rsid w:val="000E2DE8"/>
    <w:rsid w:val="000F6152"/>
    <w:rsid w:val="00107A38"/>
    <w:rsid w:val="00112B86"/>
    <w:rsid w:val="00112C31"/>
    <w:rsid w:val="0011417F"/>
    <w:rsid w:val="00117BBB"/>
    <w:rsid w:val="00130C64"/>
    <w:rsid w:val="00134E1D"/>
    <w:rsid w:val="001412F4"/>
    <w:rsid w:val="001450BA"/>
    <w:rsid w:val="001453B4"/>
    <w:rsid w:val="0015608E"/>
    <w:rsid w:val="001567E9"/>
    <w:rsid w:val="001611E9"/>
    <w:rsid w:val="00162556"/>
    <w:rsid w:val="00164F0A"/>
    <w:rsid w:val="001658EA"/>
    <w:rsid w:val="001727CE"/>
    <w:rsid w:val="001767C5"/>
    <w:rsid w:val="00181051"/>
    <w:rsid w:val="00183612"/>
    <w:rsid w:val="00187E9F"/>
    <w:rsid w:val="0019294F"/>
    <w:rsid w:val="001A06C5"/>
    <w:rsid w:val="001A0FB8"/>
    <w:rsid w:val="001A1ECA"/>
    <w:rsid w:val="001A1F79"/>
    <w:rsid w:val="001A2775"/>
    <w:rsid w:val="001A3B54"/>
    <w:rsid w:val="001A557E"/>
    <w:rsid w:val="001B0256"/>
    <w:rsid w:val="001B1009"/>
    <w:rsid w:val="001B308F"/>
    <w:rsid w:val="001B3199"/>
    <w:rsid w:val="001C19CC"/>
    <w:rsid w:val="001C3583"/>
    <w:rsid w:val="001D02A1"/>
    <w:rsid w:val="001D1435"/>
    <w:rsid w:val="001D2DCD"/>
    <w:rsid w:val="001D5520"/>
    <w:rsid w:val="001D77BC"/>
    <w:rsid w:val="001E0115"/>
    <w:rsid w:val="001E1C4C"/>
    <w:rsid w:val="001E2A72"/>
    <w:rsid w:val="001F05B9"/>
    <w:rsid w:val="00201500"/>
    <w:rsid w:val="002157E0"/>
    <w:rsid w:val="00215CB2"/>
    <w:rsid w:val="0022004F"/>
    <w:rsid w:val="00222B30"/>
    <w:rsid w:val="0022564D"/>
    <w:rsid w:val="00231C97"/>
    <w:rsid w:val="00235533"/>
    <w:rsid w:val="00236BA8"/>
    <w:rsid w:val="00241039"/>
    <w:rsid w:val="00242F64"/>
    <w:rsid w:val="002457A0"/>
    <w:rsid w:val="00245E0D"/>
    <w:rsid w:val="00252B33"/>
    <w:rsid w:val="00253954"/>
    <w:rsid w:val="00261654"/>
    <w:rsid w:val="002620BF"/>
    <w:rsid w:val="00262394"/>
    <w:rsid w:val="00264042"/>
    <w:rsid w:val="002645C1"/>
    <w:rsid w:val="00271BE9"/>
    <w:rsid w:val="00274C12"/>
    <w:rsid w:val="00277356"/>
    <w:rsid w:val="00282BE8"/>
    <w:rsid w:val="00283772"/>
    <w:rsid w:val="00290821"/>
    <w:rsid w:val="002915D9"/>
    <w:rsid w:val="00292B8E"/>
    <w:rsid w:val="00297500"/>
    <w:rsid w:val="002A193C"/>
    <w:rsid w:val="002A5FF7"/>
    <w:rsid w:val="002C167D"/>
    <w:rsid w:val="002D199B"/>
    <w:rsid w:val="002D54BC"/>
    <w:rsid w:val="002D74A7"/>
    <w:rsid w:val="002E0F35"/>
    <w:rsid w:val="002F24C3"/>
    <w:rsid w:val="002F3B9F"/>
    <w:rsid w:val="002F504C"/>
    <w:rsid w:val="003005B7"/>
    <w:rsid w:val="00300C82"/>
    <w:rsid w:val="00305911"/>
    <w:rsid w:val="00307F37"/>
    <w:rsid w:val="00310E2C"/>
    <w:rsid w:val="00312DF4"/>
    <w:rsid w:val="00322E3A"/>
    <w:rsid w:val="0033453A"/>
    <w:rsid w:val="00334D50"/>
    <w:rsid w:val="00340410"/>
    <w:rsid w:val="00340820"/>
    <w:rsid w:val="00344C87"/>
    <w:rsid w:val="0034679F"/>
    <w:rsid w:val="00356DE9"/>
    <w:rsid w:val="00357095"/>
    <w:rsid w:val="00361E5F"/>
    <w:rsid w:val="00362353"/>
    <w:rsid w:val="00367AC1"/>
    <w:rsid w:val="00381D23"/>
    <w:rsid w:val="00384845"/>
    <w:rsid w:val="00385425"/>
    <w:rsid w:val="0039056E"/>
    <w:rsid w:val="00394C08"/>
    <w:rsid w:val="003958F9"/>
    <w:rsid w:val="00396339"/>
    <w:rsid w:val="00396B0E"/>
    <w:rsid w:val="003A36D4"/>
    <w:rsid w:val="003A42D1"/>
    <w:rsid w:val="003A4B4A"/>
    <w:rsid w:val="003A617C"/>
    <w:rsid w:val="003A77F7"/>
    <w:rsid w:val="003B39AE"/>
    <w:rsid w:val="003B6C63"/>
    <w:rsid w:val="003C0153"/>
    <w:rsid w:val="003C40DE"/>
    <w:rsid w:val="003D21B4"/>
    <w:rsid w:val="003D3CE1"/>
    <w:rsid w:val="003D44DC"/>
    <w:rsid w:val="003E0F2B"/>
    <w:rsid w:val="003E4349"/>
    <w:rsid w:val="003E638A"/>
    <w:rsid w:val="003E64D6"/>
    <w:rsid w:val="00402404"/>
    <w:rsid w:val="00406AC2"/>
    <w:rsid w:val="004071CE"/>
    <w:rsid w:val="00407D3A"/>
    <w:rsid w:val="00432652"/>
    <w:rsid w:val="00442F5A"/>
    <w:rsid w:val="00446761"/>
    <w:rsid w:val="00451E21"/>
    <w:rsid w:val="004540C9"/>
    <w:rsid w:val="00460750"/>
    <w:rsid w:val="0046614B"/>
    <w:rsid w:val="004705F2"/>
    <w:rsid w:val="00473964"/>
    <w:rsid w:val="00482FD5"/>
    <w:rsid w:val="004837B1"/>
    <w:rsid w:val="0048569E"/>
    <w:rsid w:val="00486790"/>
    <w:rsid w:val="00486C20"/>
    <w:rsid w:val="00486DB9"/>
    <w:rsid w:val="004875DC"/>
    <w:rsid w:val="00490E7F"/>
    <w:rsid w:val="004921DB"/>
    <w:rsid w:val="004A53D9"/>
    <w:rsid w:val="004A5CCB"/>
    <w:rsid w:val="004B57FB"/>
    <w:rsid w:val="004C2384"/>
    <w:rsid w:val="004C6362"/>
    <w:rsid w:val="004C6C47"/>
    <w:rsid w:val="004D2226"/>
    <w:rsid w:val="004D58E2"/>
    <w:rsid w:val="004D6BAB"/>
    <w:rsid w:val="004E30D6"/>
    <w:rsid w:val="004E3B97"/>
    <w:rsid w:val="005027BB"/>
    <w:rsid w:val="00503C92"/>
    <w:rsid w:val="005074F3"/>
    <w:rsid w:val="0050795C"/>
    <w:rsid w:val="00514CB4"/>
    <w:rsid w:val="005173BA"/>
    <w:rsid w:val="005201FB"/>
    <w:rsid w:val="00526163"/>
    <w:rsid w:val="00530982"/>
    <w:rsid w:val="00533308"/>
    <w:rsid w:val="00533E31"/>
    <w:rsid w:val="005344F0"/>
    <w:rsid w:val="005375C1"/>
    <w:rsid w:val="005429D5"/>
    <w:rsid w:val="005429FE"/>
    <w:rsid w:val="00542C82"/>
    <w:rsid w:val="00546743"/>
    <w:rsid w:val="00562F50"/>
    <w:rsid w:val="00564DDB"/>
    <w:rsid w:val="00565494"/>
    <w:rsid w:val="005846B2"/>
    <w:rsid w:val="00584FFE"/>
    <w:rsid w:val="00591E92"/>
    <w:rsid w:val="0059380F"/>
    <w:rsid w:val="005A2F40"/>
    <w:rsid w:val="005B2ABE"/>
    <w:rsid w:val="005B2CDE"/>
    <w:rsid w:val="005B488B"/>
    <w:rsid w:val="005C1CED"/>
    <w:rsid w:val="005C41B0"/>
    <w:rsid w:val="005C57B9"/>
    <w:rsid w:val="005C7F9E"/>
    <w:rsid w:val="005D35A7"/>
    <w:rsid w:val="005D7088"/>
    <w:rsid w:val="005D7FAA"/>
    <w:rsid w:val="005F0E4D"/>
    <w:rsid w:val="005F2F62"/>
    <w:rsid w:val="005F7ED2"/>
    <w:rsid w:val="00601F20"/>
    <w:rsid w:val="006040F5"/>
    <w:rsid w:val="00611DA7"/>
    <w:rsid w:val="00612C98"/>
    <w:rsid w:val="00614F68"/>
    <w:rsid w:val="006270EB"/>
    <w:rsid w:val="00627865"/>
    <w:rsid w:val="00633BCE"/>
    <w:rsid w:val="006352C9"/>
    <w:rsid w:val="006374F1"/>
    <w:rsid w:val="006416D4"/>
    <w:rsid w:val="00655671"/>
    <w:rsid w:val="006700E7"/>
    <w:rsid w:val="00680E14"/>
    <w:rsid w:val="006810E8"/>
    <w:rsid w:val="00683FBD"/>
    <w:rsid w:val="00692E4B"/>
    <w:rsid w:val="00692F09"/>
    <w:rsid w:val="006A20DD"/>
    <w:rsid w:val="006A6E60"/>
    <w:rsid w:val="006C6047"/>
    <w:rsid w:val="006D3DB7"/>
    <w:rsid w:val="006D7C0E"/>
    <w:rsid w:val="006E103D"/>
    <w:rsid w:val="006E1CF5"/>
    <w:rsid w:val="006E56F3"/>
    <w:rsid w:val="006F5AAC"/>
    <w:rsid w:val="00701DE6"/>
    <w:rsid w:val="00704CE7"/>
    <w:rsid w:val="00705485"/>
    <w:rsid w:val="00706C69"/>
    <w:rsid w:val="00713CCB"/>
    <w:rsid w:val="007167E8"/>
    <w:rsid w:val="0072789E"/>
    <w:rsid w:val="007311F7"/>
    <w:rsid w:val="0073208F"/>
    <w:rsid w:val="007405CB"/>
    <w:rsid w:val="00742935"/>
    <w:rsid w:val="0074477B"/>
    <w:rsid w:val="00750787"/>
    <w:rsid w:val="00752BA8"/>
    <w:rsid w:val="007539AE"/>
    <w:rsid w:val="007570D3"/>
    <w:rsid w:val="00761432"/>
    <w:rsid w:val="00762C3E"/>
    <w:rsid w:val="007646EB"/>
    <w:rsid w:val="00766ED3"/>
    <w:rsid w:val="00771F68"/>
    <w:rsid w:val="007821E7"/>
    <w:rsid w:val="0079691A"/>
    <w:rsid w:val="007A0DB6"/>
    <w:rsid w:val="007A2E02"/>
    <w:rsid w:val="007B1F92"/>
    <w:rsid w:val="007C59FE"/>
    <w:rsid w:val="007C5B94"/>
    <w:rsid w:val="007D4787"/>
    <w:rsid w:val="007D6535"/>
    <w:rsid w:val="007E07BC"/>
    <w:rsid w:val="007E0D97"/>
    <w:rsid w:val="007E48A9"/>
    <w:rsid w:val="007F4D9A"/>
    <w:rsid w:val="008060C9"/>
    <w:rsid w:val="00807223"/>
    <w:rsid w:val="008153FE"/>
    <w:rsid w:val="008174FF"/>
    <w:rsid w:val="00821DA2"/>
    <w:rsid w:val="00822189"/>
    <w:rsid w:val="0082249A"/>
    <w:rsid w:val="00826753"/>
    <w:rsid w:val="00833286"/>
    <w:rsid w:val="00833933"/>
    <w:rsid w:val="00835E9D"/>
    <w:rsid w:val="00861978"/>
    <w:rsid w:val="008759F0"/>
    <w:rsid w:val="008767E0"/>
    <w:rsid w:val="00882685"/>
    <w:rsid w:val="00882E87"/>
    <w:rsid w:val="00883454"/>
    <w:rsid w:val="008845F4"/>
    <w:rsid w:val="00892FE1"/>
    <w:rsid w:val="00896F70"/>
    <w:rsid w:val="00897E1E"/>
    <w:rsid w:val="008A105E"/>
    <w:rsid w:val="008A3190"/>
    <w:rsid w:val="008A3A97"/>
    <w:rsid w:val="008A4267"/>
    <w:rsid w:val="008B2AEF"/>
    <w:rsid w:val="008C37DC"/>
    <w:rsid w:val="008C3FB2"/>
    <w:rsid w:val="008C7A16"/>
    <w:rsid w:val="008D1B48"/>
    <w:rsid w:val="008D5F69"/>
    <w:rsid w:val="008E46D3"/>
    <w:rsid w:val="008E4CDD"/>
    <w:rsid w:val="008E5862"/>
    <w:rsid w:val="008E6CAC"/>
    <w:rsid w:val="009016BB"/>
    <w:rsid w:val="0090774C"/>
    <w:rsid w:val="009179FD"/>
    <w:rsid w:val="00934956"/>
    <w:rsid w:val="00937BBB"/>
    <w:rsid w:val="00945677"/>
    <w:rsid w:val="00960737"/>
    <w:rsid w:val="0096220C"/>
    <w:rsid w:val="009679F4"/>
    <w:rsid w:val="0097006A"/>
    <w:rsid w:val="00977BE6"/>
    <w:rsid w:val="00984A41"/>
    <w:rsid w:val="00990E8D"/>
    <w:rsid w:val="00991227"/>
    <w:rsid w:val="009943E3"/>
    <w:rsid w:val="00996A46"/>
    <w:rsid w:val="009A1E6B"/>
    <w:rsid w:val="009A50CB"/>
    <w:rsid w:val="009B0CB5"/>
    <w:rsid w:val="009B1CAF"/>
    <w:rsid w:val="009B2EC8"/>
    <w:rsid w:val="009B7399"/>
    <w:rsid w:val="009B7FBE"/>
    <w:rsid w:val="009C1C85"/>
    <w:rsid w:val="009C37D7"/>
    <w:rsid w:val="009C5E19"/>
    <w:rsid w:val="009D1532"/>
    <w:rsid w:val="009D34F4"/>
    <w:rsid w:val="009D4713"/>
    <w:rsid w:val="009D4EC4"/>
    <w:rsid w:val="009D7132"/>
    <w:rsid w:val="009E0488"/>
    <w:rsid w:val="009E7B5C"/>
    <w:rsid w:val="009F00C4"/>
    <w:rsid w:val="009F0C55"/>
    <w:rsid w:val="009F6E1F"/>
    <w:rsid w:val="009F76D0"/>
    <w:rsid w:val="00A015B2"/>
    <w:rsid w:val="00A05BF9"/>
    <w:rsid w:val="00A07D2D"/>
    <w:rsid w:val="00A116EA"/>
    <w:rsid w:val="00A150BA"/>
    <w:rsid w:val="00A16700"/>
    <w:rsid w:val="00A25D9E"/>
    <w:rsid w:val="00A26D23"/>
    <w:rsid w:val="00A27706"/>
    <w:rsid w:val="00A277BE"/>
    <w:rsid w:val="00A336EC"/>
    <w:rsid w:val="00A43273"/>
    <w:rsid w:val="00A52203"/>
    <w:rsid w:val="00A55ADA"/>
    <w:rsid w:val="00A6695E"/>
    <w:rsid w:val="00A66D4C"/>
    <w:rsid w:val="00A7234E"/>
    <w:rsid w:val="00A7401B"/>
    <w:rsid w:val="00A80434"/>
    <w:rsid w:val="00A833FA"/>
    <w:rsid w:val="00A83968"/>
    <w:rsid w:val="00A84869"/>
    <w:rsid w:val="00A87944"/>
    <w:rsid w:val="00A87C92"/>
    <w:rsid w:val="00A9002C"/>
    <w:rsid w:val="00A91B4B"/>
    <w:rsid w:val="00A9415E"/>
    <w:rsid w:val="00A952E3"/>
    <w:rsid w:val="00A97B97"/>
    <w:rsid w:val="00AA5732"/>
    <w:rsid w:val="00AA70E3"/>
    <w:rsid w:val="00AB0FBE"/>
    <w:rsid w:val="00AB27F3"/>
    <w:rsid w:val="00AC0168"/>
    <w:rsid w:val="00AC32AB"/>
    <w:rsid w:val="00AC4A08"/>
    <w:rsid w:val="00AC5338"/>
    <w:rsid w:val="00AD5571"/>
    <w:rsid w:val="00AD561C"/>
    <w:rsid w:val="00AD7719"/>
    <w:rsid w:val="00AF1EB9"/>
    <w:rsid w:val="00AF324E"/>
    <w:rsid w:val="00AF5211"/>
    <w:rsid w:val="00AF66D0"/>
    <w:rsid w:val="00B012F4"/>
    <w:rsid w:val="00B01FB8"/>
    <w:rsid w:val="00B06404"/>
    <w:rsid w:val="00B132A4"/>
    <w:rsid w:val="00B2095E"/>
    <w:rsid w:val="00B218A4"/>
    <w:rsid w:val="00B35721"/>
    <w:rsid w:val="00B35E28"/>
    <w:rsid w:val="00B35F78"/>
    <w:rsid w:val="00B37197"/>
    <w:rsid w:val="00B42774"/>
    <w:rsid w:val="00B43A41"/>
    <w:rsid w:val="00B4654B"/>
    <w:rsid w:val="00B507E9"/>
    <w:rsid w:val="00B50889"/>
    <w:rsid w:val="00B5453F"/>
    <w:rsid w:val="00B55F82"/>
    <w:rsid w:val="00B669F8"/>
    <w:rsid w:val="00B75DD7"/>
    <w:rsid w:val="00B7743D"/>
    <w:rsid w:val="00B80E7B"/>
    <w:rsid w:val="00B81647"/>
    <w:rsid w:val="00B83C14"/>
    <w:rsid w:val="00B91ABC"/>
    <w:rsid w:val="00B94191"/>
    <w:rsid w:val="00B951A7"/>
    <w:rsid w:val="00B97EBA"/>
    <w:rsid w:val="00BA0AFF"/>
    <w:rsid w:val="00BA2989"/>
    <w:rsid w:val="00BB0179"/>
    <w:rsid w:val="00BB1B4A"/>
    <w:rsid w:val="00BB6ACE"/>
    <w:rsid w:val="00BC6967"/>
    <w:rsid w:val="00BC6BA3"/>
    <w:rsid w:val="00BD2275"/>
    <w:rsid w:val="00BF2271"/>
    <w:rsid w:val="00BF27F9"/>
    <w:rsid w:val="00BF5480"/>
    <w:rsid w:val="00C00AAC"/>
    <w:rsid w:val="00C04805"/>
    <w:rsid w:val="00C05EA8"/>
    <w:rsid w:val="00C06619"/>
    <w:rsid w:val="00C074E3"/>
    <w:rsid w:val="00C21B33"/>
    <w:rsid w:val="00C22D40"/>
    <w:rsid w:val="00C23662"/>
    <w:rsid w:val="00C24354"/>
    <w:rsid w:val="00C268E5"/>
    <w:rsid w:val="00C30975"/>
    <w:rsid w:val="00C331FB"/>
    <w:rsid w:val="00C3740C"/>
    <w:rsid w:val="00C51967"/>
    <w:rsid w:val="00C51E35"/>
    <w:rsid w:val="00C60655"/>
    <w:rsid w:val="00C66044"/>
    <w:rsid w:val="00C735BB"/>
    <w:rsid w:val="00C759F8"/>
    <w:rsid w:val="00C77C41"/>
    <w:rsid w:val="00C81F0F"/>
    <w:rsid w:val="00C863A0"/>
    <w:rsid w:val="00C92F0F"/>
    <w:rsid w:val="00C953A3"/>
    <w:rsid w:val="00C96089"/>
    <w:rsid w:val="00C9705A"/>
    <w:rsid w:val="00C97EF1"/>
    <w:rsid w:val="00CA7B44"/>
    <w:rsid w:val="00CB1FCB"/>
    <w:rsid w:val="00CB2A34"/>
    <w:rsid w:val="00CB599E"/>
    <w:rsid w:val="00CC7417"/>
    <w:rsid w:val="00CD1327"/>
    <w:rsid w:val="00CD560F"/>
    <w:rsid w:val="00CD6D34"/>
    <w:rsid w:val="00CE1F78"/>
    <w:rsid w:val="00CE24A3"/>
    <w:rsid w:val="00CE7971"/>
    <w:rsid w:val="00CF4B19"/>
    <w:rsid w:val="00CF7FF8"/>
    <w:rsid w:val="00D00B9E"/>
    <w:rsid w:val="00D012D6"/>
    <w:rsid w:val="00D028AE"/>
    <w:rsid w:val="00D06356"/>
    <w:rsid w:val="00D12FD5"/>
    <w:rsid w:val="00D20868"/>
    <w:rsid w:val="00D21836"/>
    <w:rsid w:val="00D22220"/>
    <w:rsid w:val="00D230F8"/>
    <w:rsid w:val="00D2396C"/>
    <w:rsid w:val="00D23BCD"/>
    <w:rsid w:val="00D3136C"/>
    <w:rsid w:val="00D31AFE"/>
    <w:rsid w:val="00D36729"/>
    <w:rsid w:val="00D40AB1"/>
    <w:rsid w:val="00D45274"/>
    <w:rsid w:val="00D45E0E"/>
    <w:rsid w:val="00D50633"/>
    <w:rsid w:val="00D51573"/>
    <w:rsid w:val="00D55993"/>
    <w:rsid w:val="00D56EB8"/>
    <w:rsid w:val="00D61857"/>
    <w:rsid w:val="00D666DC"/>
    <w:rsid w:val="00D67BED"/>
    <w:rsid w:val="00D76CF7"/>
    <w:rsid w:val="00D80F2F"/>
    <w:rsid w:val="00D84170"/>
    <w:rsid w:val="00D843C2"/>
    <w:rsid w:val="00D912A7"/>
    <w:rsid w:val="00D91C07"/>
    <w:rsid w:val="00D97A21"/>
    <w:rsid w:val="00DA49B3"/>
    <w:rsid w:val="00DA5DD0"/>
    <w:rsid w:val="00DA6221"/>
    <w:rsid w:val="00DA72F2"/>
    <w:rsid w:val="00DB0494"/>
    <w:rsid w:val="00DB35BA"/>
    <w:rsid w:val="00DD650E"/>
    <w:rsid w:val="00DE009A"/>
    <w:rsid w:val="00DE0C2B"/>
    <w:rsid w:val="00DE40E5"/>
    <w:rsid w:val="00DE73C2"/>
    <w:rsid w:val="00DF3882"/>
    <w:rsid w:val="00DF4DFD"/>
    <w:rsid w:val="00DF4E30"/>
    <w:rsid w:val="00E05D92"/>
    <w:rsid w:val="00E205EA"/>
    <w:rsid w:val="00E223F4"/>
    <w:rsid w:val="00E22BB8"/>
    <w:rsid w:val="00E3006D"/>
    <w:rsid w:val="00E33869"/>
    <w:rsid w:val="00E362EF"/>
    <w:rsid w:val="00E41E29"/>
    <w:rsid w:val="00E53682"/>
    <w:rsid w:val="00E62028"/>
    <w:rsid w:val="00E65151"/>
    <w:rsid w:val="00E732BE"/>
    <w:rsid w:val="00E73939"/>
    <w:rsid w:val="00E74C11"/>
    <w:rsid w:val="00E76681"/>
    <w:rsid w:val="00E85884"/>
    <w:rsid w:val="00E86770"/>
    <w:rsid w:val="00E9398E"/>
    <w:rsid w:val="00E96E54"/>
    <w:rsid w:val="00EA17FB"/>
    <w:rsid w:val="00EA2E8D"/>
    <w:rsid w:val="00EA6DE7"/>
    <w:rsid w:val="00EB1794"/>
    <w:rsid w:val="00EC74D6"/>
    <w:rsid w:val="00EF26DF"/>
    <w:rsid w:val="00EF2A7A"/>
    <w:rsid w:val="00F01D00"/>
    <w:rsid w:val="00F0320F"/>
    <w:rsid w:val="00F04948"/>
    <w:rsid w:val="00F10477"/>
    <w:rsid w:val="00F14504"/>
    <w:rsid w:val="00F20F68"/>
    <w:rsid w:val="00F216B2"/>
    <w:rsid w:val="00F25DA8"/>
    <w:rsid w:val="00F3252F"/>
    <w:rsid w:val="00F34C27"/>
    <w:rsid w:val="00F35EE8"/>
    <w:rsid w:val="00F36C65"/>
    <w:rsid w:val="00F4177C"/>
    <w:rsid w:val="00F47650"/>
    <w:rsid w:val="00F50158"/>
    <w:rsid w:val="00F509EE"/>
    <w:rsid w:val="00F51F6C"/>
    <w:rsid w:val="00F5400E"/>
    <w:rsid w:val="00F5495C"/>
    <w:rsid w:val="00F5729D"/>
    <w:rsid w:val="00F63CF3"/>
    <w:rsid w:val="00F6475B"/>
    <w:rsid w:val="00F65DFD"/>
    <w:rsid w:val="00F66F4D"/>
    <w:rsid w:val="00F82ACE"/>
    <w:rsid w:val="00F84466"/>
    <w:rsid w:val="00F86A7A"/>
    <w:rsid w:val="00F90D42"/>
    <w:rsid w:val="00FA0B91"/>
    <w:rsid w:val="00FA1C96"/>
    <w:rsid w:val="00FA5431"/>
    <w:rsid w:val="00FA62FB"/>
    <w:rsid w:val="00FB088E"/>
    <w:rsid w:val="00FB2026"/>
    <w:rsid w:val="00FB6115"/>
    <w:rsid w:val="00FC1643"/>
    <w:rsid w:val="00FC1AC9"/>
    <w:rsid w:val="00FC21F4"/>
    <w:rsid w:val="00FC38EC"/>
    <w:rsid w:val="00FC4689"/>
    <w:rsid w:val="00FD0C9A"/>
    <w:rsid w:val="00FD117D"/>
    <w:rsid w:val="00FD5286"/>
    <w:rsid w:val="00FF63E8"/>
    <w:rsid w:val="01C4F000"/>
    <w:rsid w:val="01D6FFE0"/>
    <w:rsid w:val="04207127"/>
    <w:rsid w:val="05246A65"/>
    <w:rsid w:val="0BE119EC"/>
    <w:rsid w:val="0C167ABE"/>
    <w:rsid w:val="1122B566"/>
    <w:rsid w:val="142B1AB0"/>
    <w:rsid w:val="161EF85B"/>
    <w:rsid w:val="162A5390"/>
    <w:rsid w:val="16CD1B6A"/>
    <w:rsid w:val="1C23F0D7"/>
    <w:rsid w:val="1D94E5D7"/>
    <w:rsid w:val="201280AB"/>
    <w:rsid w:val="20521C07"/>
    <w:rsid w:val="2102B22C"/>
    <w:rsid w:val="218F048E"/>
    <w:rsid w:val="24E5CDFD"/>
    <w:rsid w:val="27328881"/>
    <w:rsid w:val="28776667"/>
    <w:rsid w:val="30332FEE"/>
    <w:rsid w:val="307C6EFD"/>
    <w:rsid w:val="342E1D6E"/>
    <w:rsid w:val="39EFC220"/>
    <w:rsid w:val="3A9C4AF1"/>
    <w:rsid w:val="3C0979F2"/>
    <w:rsid w:val="3F82E4D0"/>
    <w:rsid w:val="4289CB04"/>
    <w:rsid w:val="42FA8AA2"/>
    <w:rsid w:val="45031A42"/>
    <w:rsid w:val="45FDA698"/>
    <w:rsid w:val="4825C1D8"/>
    <w:rsid w:val="495C4FFD"/>
    <w:rsid w:val="4DCF072C"/>
    <w:rsid w:val="4DF55916"/>
    <w:rsid w:val="54180E9C"/>
    <w:rsid w:val="546B79A7"/>
    <w:rsid w:val="55D46D56"/>
    <w:rsid w:val="56D6D971"/>
    <w:rsid w:val="5742933F"/>
    <w:rsid w:val="5B131594"/>
    <w:rsid w:val="5E302B24"/>
    <w:rsid w:val="5FCDA71E"/>
    <w:rsid w:val="60496822"/>
    <w:rsid w:val="61FA06A3"/>
    <w:rsid w:val="6279A1B1"/>
    <w:rsid w:val="698EBC07"/>
    <w:rsid w:val="69AD5E0E"/>
    <w:rsid w:val="73F00CF5"/>
    <w:rsid w:val="74D49616"/>
    <w:rsid w:val="777F9DDE"/>
    <w:rsid w:val="79415045"/>
    <w:rsid w:val="7AD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2CAB9"/>
  <w15:docId w15:val="{75613F92-6C33-468B-AF97-C033C834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835E9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35E9D"/>
    <w:pPr>
      <w:keepNext/>
      <w:numPr>
        <w:numId w:val="8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35E9D"/>
    <w:pPr>
      <w:keepNext/>
      <w:keepLines/>
      <w:numPr>
        <w:ilvl w:val="1"/>
        <w:numId w:val="8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35E9D"/>
    <w:pPr>
      <w:keepNext/>
      <w:numPr>
        <w:ilvl w:val="2"/>
        <w:numId w:val="8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35E9D"/>
    <w:pPr>
      <w:keepNext/>
      <w:keepLines/>
      <w:spacing w:after="0" w:line="240" w:lineRule="auto"/>
      <w:outlineLvl w:val="4"/>
    </w:pPr>
    <w:rPr>
      <w:rFonts w:ascii="Calibri" w:hAnsi="Calibr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16700"/>
    <w:pPr>
      <w:keepNext/>
      <w:keepLines/>
      <w:spacing w:before="40" w:after="0"/>
      <w:outlineLvl w:val="5"/>
    </w:pPr>
    <w:rPr>
      <w:rFonts w:eastAsiaTheme="majorEastAsia" w:cstheme="majorBidi"/>
      <w:b/>
      <w:i/>
      <w:color w:val="000000" w:themeColor="text1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16700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16700"/>
    <w:pPr>
      <w:keepNext/>
      <w:keepLines/>
      <w:spacing w:before="40" w:after="0"/>
      <w:outlineLvl w:val="7"/>
    </w:pPr>
    <w:rPr>
      <w:rFonts w:eastAsiaTheme="majorEastAsia" w:cstheme="majorBidi"/>
      <w:b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26753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B6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6ACE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D61857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D61857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D61857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D6185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6A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C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C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CE"/>
    <w:rPr>
      <w:rFonts w:ascii="Calibri" w:eastAsiaTheme="minorHAnsi" w:hAnsi="Calibri" w:cstheme="minorBidi"/>
      <w:sz w:val="18"/>
      <w:szCs w:val="18"/>
      <w:lang w:eastAsia="en-US"/>
    </w:rPr>
  </w:style>
  <w:style w:type="paragraph" w:customStyle="1" w:styleId="Footeraddress">
    <w:name w:val="Footer address"/>
    <w:basedOn w:val="Footer"/>
    <w:semiHidden/>
    <w:qFormat/>
    <w:rsid w:val="00BB6AC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5E9D"/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35E9D"/>
    <w:rPr>
      <w:rFonts w:ascii="Calibri" w:eastAsiaTheme="minorEastAsia" w:hAnsi="Calibri" w:cstheme="minorBidi"/>
      <w:bCs/>
      <w:color w:val="000000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35E9D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35E9D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35E9D"/>
    <w:rPr>
      <w:rFonts w:ascii="Calibri" w:eastAsiaTheme="minorHAnsi" w:hAnsi="Calibri" w:cstheme="minorBidi"/>
      <w:b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BB6ACE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BB6ACE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BB6ACE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BB6ACE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B5453F"/>
    <w:pPr>
      <w:spacing w:before="120"/>
    </w:pPr>
    <w:rPr>
      <w:b w:val="0"/>
      <w:color w:val="000000" w:themeColor="text1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B5453F"/>
    <w:rPr>
      <w:rFonts w:ascii="Calibri" w:eastAsiaTheme="minorHAnsi" w:hAnsi="Calibri" w:cstheme="minorBidi"/>
      <w:bCs/>
      <w:color w:val="000000" w:themeColor="text1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BB6ACE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BB6ACE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BB6ACE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BB6ACE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BB6ACE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62C3E"/>
    <w:pPr>
      <w:numPr>
        <w:numId w:val="9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BB6ACE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62C3E"/>
    <w:pPr>
      <w:numPr>
        <w:ilvl w:val="1"/>
        <w:numId w:val="9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62C3E"/>
    <w:pPr>
      <w:numPr>
        <w:numId w:val="10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9E7B5C"/>
    <w:pPr>
      <w:numPr>
        <w:ilvl w:val="1"/>
        <w:numId w:val="10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821DA2"/>
    <w:pPr>
      <w:numPr>
        <w:ilvl w:val="2"/>
        <w:numId w:val="10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BB6A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BB6ACE"/>
    <w:rPr>
      <w:color w:val="E36C0A"/>
      <w:lang w:val="en-US" w:eastAsia="zh-CN" w:bidi="th-TH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BB6ACE"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rsid w:val="00BB6ACE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BB6ACE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B6ACE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BB6ACE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BB6ACE"/>
  </w:style>
  <w:style w:type="character" w:styleId="Strong">
    <w:name w:val="Strong"/>
    <w:basedOn w:val="DefaultParagraphFont"/>
    <w:uiPriority w:val="22"/>
    <w:qFormat/>
    <w:rsid w:val="00BB6ACE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BB6ACE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BB6ACE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B6ACE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BB6ACE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BB6ACE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BC6BA3"/>
    <w:pPr>
      <w:numPr>
        <w:numId w:val="7"/>
      </w:numPr>
      <w:ind w:left="357" w:hanging="357"/>
    </w:pPr>
  </w:style>
  <w:style w:type="paragraph" w:customStyle="1" w:styleId="TableBullet">
    <w:name w:val="Table Bullet"/>
    <w:basedOn w:val="TableText"/>
    <w:uiPriority w:val="15"/>
    <w:qFormat/>
    <w:rsid w:val="00996A46"/>
    <w:pPr>
      <w:numPr>
        <w:numId w:val="6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A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BB6ACE"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BB6ACE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BB6ACE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B6A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6ACE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1"/>
    <w:basedOn w:val="NoList"/>
    <w:uiPriority w:val="99"/>
    <w:rsid w:val="00BB6ACE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BB6ACE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ACE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BB6ACE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BB6ACE"/>
    <w:pPr>
      <w:numPr>
        <w:numId w:val="2"/>
      </w:numPr>
    </w:pPr>
  </w:style>
  <w:style w:type="numbering" w:customStyle="1" w:styleId="Headinglist">
    <w:name w:val="Heading list"/>
    <w:uiPriority w:val="99"/>
    <w:rsid w:val="00BB6ACE"/>
    <w:pPr>
      <w:numPr>
        <w:numId w:val="3"/>
      </w:numPr>
    </w:pPr>
  </w:style>
  <w:style w:type="paragraph" w:customStyle="1" w:styleId="Normalsmall">
    <w:name w:val="Normal small"/>
    <w:qFormat/>
    <w:rsid w:val="00BB6AC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62C3E"/>
    <w:pPr>
      <w:numPr>
        <w:ilvl w:val="2"/>
        <w:numId w:val="9"/>
      </w:numPr>
      <w:ind w:left="1361" w:hanging="454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CF7FF8"/>
    <w:pPr>
      <w:numPr>
        <w:numId w:val="13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BB6ACE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996A46"/>
    <w:pPr>
      <w:numPr>
        <w:numId w:val="11"/>
      </w:numPr>
      <w:tabs>
        <w:tab w:val="num" w:pos="462"/>
      </w:tabs>
      <w:ind w:left="568" w:hanging="284"/>
    </w:pPr>
  </w:style>
  <w:style w:type="numbering" w:customStyle="1" w:styleId="TableBulletlist">
    <w:name w:val="Table Bullet list"/>
    <w:uiPriority w:val="99"/>
    <w:rsid w:val="00BB6ACE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B6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B6AC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00"/>
    <w:rPr>
      <w:rFonts w:asciiTheme="minorHAnsi" w:eastAsiaTheme="majorEastAsia" w:hAnsiTheme="minorHAnsi" w:cstheme="majorBidi"/>
      <w:b/>
      <w:i/>
      <w:color w:val="000000" w:themeColor="text1"/>
      <w:sz w:val="2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CF7FF8"/>
    <w:pPr>
      <w:numPr>
        <w:ilvl w:val="1"/>
        <w:numId w:val="13"/>
      </w:numPr>
    </w:pPr>
  </w:style>
  <w:style w:type="paragraph" w:customStyle="1" w:styleId="TableListNumber3">
    <w:name w:val="Table List Number 3"/>
    <w:basedOn w:val="TableText"/>
    <w:qFormat/>
    <w:rsid w:val="00CF7FF8"/>
    <w:pPr>
      <w:numPr>
        <w:ilvl w:val="2"/>
        <w:numId w:val="13"/>
      </w:numPr>
    </w:pPr>
  </w:style>
  <w:style w:type="numbering" w:customStyle="1" w:styleId="Tablenumberedlists">
    <w:name w:val="Table numbered lists"/>
    <w:uiPriority w:val="99"/>
    <w:rsid w:val="00CF7FF8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00"/>
    <w:rPr>
      <w:rFonts w:asciiTheme="minorHAnsi" w:eastAsiaTheme="majorEastAsia" w:hAnsiTheme="minorHAnsi" w:cstheme="majorBidi"/>
      <w:b/>
      <w:iCs/>
      <w:color w:val="000000" w:themeColor="text1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00"/>
    <w:rPr>
      <w:rFonts w:asciiTheme="minorHAnsi" w:eastAsiaTheme="majorEastAsia" w:hAnsiTheme="minorHAnsi" w:cstheme="majorBidi"/>
      <w:b/>
      <w:i/>
      <w:sz w:val="22"/>
      <w:szCs w:val="21"/>
      <w:lang w:eastAsia="en-US"/>
    </w:rPr>
  </w:style>
  <w:style w:type="paragraph" w:customStyle="1" w:styleId="BoxTextNumber">
    <w:name w:val="Box Text Number"/>
    <w:basedOn w:val="BoxText"/>
    <w:qFormat/>
    <w:rsid w:val="00A27706"/>
    <w:pPr>
      <w:numPr>
        <w:numId w:val="1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3"/>
    <w:rPr>
      <w:rFonts w:asciiTheme="minorHAnsi" w:eastAsiaTheme="majorEastAsia" w:hAnsiTheme="minorHAnsi" w:cstheme="majorBidi"/>
      <w:b/>
      <w:iCs/>
      <w:color w:val="000000" w:themeColor="text1"/>
      <w:szCs w:val="21"/>
      <w:lang w:eastAsia="en-US"/>
    </w:rPr>
  </w:style>
  <w:style w:type="character" w:styleId="Mention">
    <w:name w:val="Mention"/>
    <w:basedOn w:val="DefaultParagraphFont"/>
    <w:uiPriority w:val="99"/>
    <w:unhideWhenUsed/>
    <w:rsid w:val="00B941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453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bout/commitment/client-service-charter/service-stand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Short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65443-699B-4C93-AA0D-5FEDF109F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81c01dc6-2c49-4730-b140-874c95cac377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95b51c2-b2ac-4224-a5b5-069909057829"/>
    <ds:schemaRef ds:uri="http://purl.org/dc/dcmitype/"/>
    <ds:schemaRef ds:uri="http://schemas.openxmlformats.org/package/2006/metadata/core-properties"/>
    <ds:schemaRef ds:uri="2b53c995-2120-4bc0-8922-c25044d37f6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Short_document_template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service standard results: July to December 2025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service standard results: July to December 2025</dc:title>
  <dc:subject/>
  <dc:creator>Department of Agriculture, Fisheries and Forestry</dc:creator>
  <cp:keywords/>
  <cp:revision>3</cp:revision>
  <cp:lastPrinted>2026-01-30T02:55:00Z</cp:lastPrinted>
  <dcterms:created xsi:type="dcterms:W3CDTF">2026-01-30T02:56:00Z</dcterms:created>
  <dcterms:modified xsi:type="dcterms:W3CDTF">2026-01-30T03:25:00Z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ocHome">
    <vt:i4>986778056</vt:i4>
  </property>
  <property fmtid="{D5CDD505-2E9C-101B-9397-08002B2CF9AE}" pid="4" name="ClassificationContentMarkingHeaderShapeIds">
    <vt:lpwstr>75e73740,2c8aeb6c,4d3bd1fa,55ab39f3,34f34a2f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351e854a,51c89a,793599a5,3e83fc58,78ecbfb3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2024-07-17T04:47:03Z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9f8d9c3c-f4a4-40a1-ad7c-6abbf8b868bb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MediaServiceImageTags">
    <vt:lpwstr/>
  </property>
</Properties>
</file>