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D0D68" w14:textId="13578CFF" w:rsidR="00F6036E" w:rsidRDefault="007A7033" w:rsidP="009A23AA">
      <w:bookmarkStart w:id="0" w:name="_GoBack"/>
      <w:r w:rsidRPr="007A7033">
        <w:rPr>
          <w:noProof/>
          <w:lang w:val="en-AU" w:eastAsia="en-AU"/>
        </w:rPr>
        <w:drawing>
          <wp:anchor distT="0" distB="0" distL="114300" distR="114300" simplePos="0" relativeHeight="251661315" behindDoc="1" locked="0" layoutInCell="1" allowOverlap="1" wp14:anchorId="1B9F3380" wp14:editId="009904D2">
            <wp:simplePos x="0" y="0"/>
            <wp:positionH relativeFrom="column">
              <wp:posOffset>-926465</wp:posOffset>
            </wp:positionH>
            <wp:positionV relativeFrom="paragraph">
              <wp:posOffset>-229539</wp:posOffset>
            </wp:positionV>
            <wp:extent cx="7151370" cy="6756196"/>
            <wp:effectExtent l="0" t="0" r="0" b="635"/>
            <wp:wrapNone/>
            <wp:docPr id="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ceholder"/>
                    <pic:cNvPicPr>
                      <a:picLocks noChangeAspect="1"/>
                    </pic:cNvPicPr>
                  </pic:nvPicPr>
                  <pic:blipFill>
                    <a:blip r:embed="rId8"/>
                    <a:stretch>
                      <a:fillRect/>
                    </a:stretch>
                  </pic:blipFill>
                  <pic:spPr bwMode="auto">
                    <a:xfrm>
                      <a:off x="0" y="0"/>
                      <a:ext cx="7151370" cy="675619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V relativeFrom="margin">
              <wp14:pctHeight>0</wp14:pctHeight>
            </wp14:sizeRelV>
          </wp:anchor>
        </w:drawing>
      </w:r>
    </w:p>
    <w:bookmarkEnd w:id="0"/>
    <w:p w14:paraId="7A583714" w14:textId="77777777" w:rsidR="00F6036E" w:rsidRDefault="00F6036E" w:rsidP="009A23AA"/>
    <w:p w14:paraId="2545F47A" w14:textId="77777777" w:rsidR="00F6036E" w:rsidRDefault="00F6036E" w:rsidP="009A23AA"/>
    <w:p w14:paraId="07C0A9B1" w14:textId="77777777" w:rsidR="00F6036E" w:rsidRDefault="00F6036E" w:rsidP="009A23AA"/>
    <w:p w14:paraId="053A95B7" w14:textId="77777777" w:rsidR="00F6036E" w:rsidRDefault="00F6036E" w:rsidP="009A23AA"/>
    <w:p w14:paraId="338E399D" w14:textId="77777777" w:rsidR="00F6036E" w:rsidRDefault="00F6036E" w:rsidP="009A23AA"/>
    <w:p w14:paraId="72451559" w14:textId="77777777" w:rsidR="00F6036E" w:rsidRDefault="00F6036E" w:rsidP="009A23AA"/>
    <w:p w14:paraId="5F50E4F3" w14:textId="77777777" w:rsidR="00F6036E" w:rsidRDefault="00F6036E" w:rsidP="009A23AA"/>
    <w:p w14:paraId="3D6C3497" w14:textId="77777777" w:rsidR="00F6036E" w:rsidRDefault="00F6036E" w:rsidP="009A23AA"/>
    <w:p w14:paraId="7B2A576C" w14:textId="702875AC" w:rsidR="00F6036E" w:rsidRDefault="00E8334F" w:rsidP="009A23AA">
      <w:r w:rsidRPr="007A7033">
        <w:rPr>
          <w:noProof/>
          <w:lang w:val="en-AU" w:eastAsia="en-AU"/>
        </w:rPr>
        <mc:AlternateContent>
          <mc:Choice Requires="wps">
            <w:drawing>
              <wp:anchor distT="0" distB="0" distL="114300" distR="114300" simplePos="0" relativeHeight="251662339" behindDoc="0" locked="0" layoutInCell="0" allowOverlap="1" wp14:anchorId="7B7BFAD2" wp14:editId="78233BE2">
                <wp:simplePos x="0" y="0"/>
                <wp:positionH relativeFrom="page">
                  <wp:posOffset>229870</wp:posOffset>
                </wp:positionH>
                <wp:positionV relativeFrom="page">
                  <wp:posOffset>3298521</wp:posOffset>
                </wp:positionV>
                <wp:extent cx="7134860" cy="1544320"/>
                <wp:effectExtent l="0" t="0" r="2540" b="0"/>
                <wp:wrapNone/>
                <wp:docPr id="1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860" cy="1544320"/>
                        </a:xfrm>
                        <a:prstGeom prst="rect">
                          <a:avLst/>
                        </a:prstGeom>
                        <a:solidFill>
                          <a:srgbClr val="000000">
                            <a:alpha val="7000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CFC8BD8" w14:textId="7F2E5F90" w:rsidR="00FA4EEB" w:rsidRPr="007A7033" w:rsidRDefault="00FA4EEB" w:rsidP="007A7033">
                            <w:pPr>
                              <w:pStyle w:val="NoSpacing"/>
                              <w:snapToGrid w:val="0"/>
                              <w:spacing w:before="120" w:after="240"/>
                              <w:rPr>
                                <w:rFonts w:asciiTheme="minorHAnsi" w:eastAsiaTheme="majorEastAsia" w:hAnsiTheme="minorHAnsi" w:cstheme="minorHAnsi"/>
                                <w:color w:val="FFFFFF" w:themeColor="background1"/>
                                <w:sz w:val="72"/>
                                <w:szCs w:val="72"/>
                              </w:rPr>
                            </w:pPr>
                            <w:r w:rsidRPr="00451437">
                              <w:rPr>
                                <w:rFonts w:asciiTheme="minorHAnsi" w:eastAsiaTheme="majorEastAsia" w:hAnsiTheme="minorHAnsi" w:cstheme="minorHAnsi"/>
                                <w:color w:val="FFFFFF" w:themeColor="background1"/>
                                <w:sz w:val="72"/>
                                <w:szCs w:val="72"/>
                              </w:rPr>
                              <w:t xml:space="preserve">Cold Hard Facts </w:t>
                            </w:r>
                            <w:r>
                              <w:rPr>
                                <w:rFonts w:asciiTheme="minorHAnsi" w:eastAsiaTheme="majorEastAsia" w:hAnsiTheme="minorHAnsi" w:cstheme="minorHAnsi"/>
                                <w:color w:val="FFFFFF" w:themeColor="background1"/>
                                <w:sz w:val="72"/>
                                <w:szCs w:val="72"/>
                              </w:rPr>
                              <w:t xml:space="preserve">2019 </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7B7BFAD2" id="Rectangle 82" o:spid="_x0000_s1026" style="position:absolute;left:0;text-align:left;margin-left:18.1pt;margin-top:259.75pt;width:561.8pt;height:121.6pt;z-index:251662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" o:allowincell="f" fillcolor="black" stroked="f">
                <v:fill opacity="46003f"/>
                <v:textbox style="mso-fit-shape-to-text:t" inset="18pt,,1in">
                  <w:txbxContent>
                    <w:p w14:paraId="7CFC8BD8" w14:textId="7F2E5F90" w:rsidR="00FA4EEB" w:rsidRPr="007A7033" w:rsidRDefault="00FA4EEB" w:rsidP="007A7033">
                      <w:pPr>
                        <w:pStyle w:val="NoSpacing"/>
                        <w:snapToGrid w:val="0"/>
                        <w:spacing w:before="120" w:after="240"/>
                        <w:rPr>
                          <w:rFonts w:asciiTheme="minorHAnsi" w:eastAsiaTheme="majorEastAsia" w:hAnsiTheme="minorHAnsi" w:cstheme="minorHAnsi"/>
                          <w:color w:val="FFFFFF" w:themeColor="background1"/>
                          <w:sz w:val="72"/>
                          <w:szCs w:val="72"/>
                        </w:rPr>
                      </w:pPr>
                      <w:r w:rsidRPr="00451437">
                        <w:rPr>
                          <w:rFonts w:asciiTheme="minorHAnsi" w:eastAsiaTheme="majorEastAsia" w:hAnsiTheme="minorHAnsi" w:cstheme="minorHAnsi"/>
                          <w:color w:val="FFFFFF" w:themeColor="background1"/>
                          <w:sz w:val="72"/>
                          <w:szCs w:val="72"/>
                        </w:rPr>
                        <w:t xml:space="preserve">Cold Hard Facts </w:t>
                      </w:r>
                      <w:r>
                        <w:rPr>
                          <w:rFonts w:asciiTheme="minorHAnsi" w:eastAsiaTheme="majorEastAsia" w:hAnsiTheme="minorHAnsi" w:cstheme="minorHAnsi"/>
                          <w:color w:val="FFFFFF" w:themeColor="background1"/>
                          <w:sz w:val="72"/>
                          <w:szCs w:val="72"/>
                        </w:rPr>
                        <w:t xml:space="preserve">2019 </w:t>
                      </w:r>
                    </w:p>
                  </w:txbxContent>
                </v:textbox>
                <w10:wrap anchorx="page" anchory="page"/>
              </v:rect>
            </w:pict>
          </mc:Fallback>
        </mc:AlternateContent>
      </w:r>
    </w:p>
    <w:p w14:paraId="2268D0E2" w14:textId="77777777" w:rsidR="00F6036E" w:rsidRDefault="00F6036E" w:rsidP="009A23AA"/>
    <w:p w14:paraId="2A223150" w14:textId="77777777" w:rsidR="00F6036E" w:rsidRDefault="00F6036E" w:rsidP="009A23AA"/>
    <w:p w14:paraId="7CCAA147" w14:textId="3115132C" w:rsidR="00F6036E" w:rsidRDefault="00F6036E" w:rsidP="009A23AA"/>
    <w:p w14:paraId="049A0B1F" w14:textId="77777777" w:rsidR="00F6036E" w:rsidRDefault="00F6036E" w:rsidP="009A23AA"/>
    <w:p w14:paraId="24A94E26" w14:textId="77777777" w:rsidR="00F6036E" w:rsidRDefault="00F6036E" w:rsidP="009A23AA"/>
    <w:p w14:paraId="0E27CFE4" w14:textId="77777777" w:rsidR="00F6036E" w:rsidRDefault="00F6036E" w:rsidP="009A23AA"/>
    <w:p w14:paraId="285F0744" w14:textId="77777777" w:rsidR="00F6036E" w:rsidRDefault="00F6036E" w:rsidP="009A23AA"/>
    <w:p w14:paraId="60A68056" w14:textId="77777777" w:rsidR="00821250" w:rsidRDefault="00821250" w:rsidP="009A23AA">
      <w:pPr>
        <w:pStyle w:val="Subtitle"/>
        <w:spacing w:before="720"/>
        <w:ind w:right="-1196"/>
        <w:jc w:val="both"/>
        <w:rPr>
          <w:color w:val="FFFFFF" w:themeColor="background1"/>
          <w:sz w:val="36"/>
          <w:szCs w:val="36"/>
        </w:rPr>
      </w:pPr>
    </w:p>
    <w:p w14:paraId="6E964BC4" w14:textId="77777777" w:rsidR="00821250" w:rsidRDefault="00821250" w:rsidP="009A23AA"/>
    <w:p w14:paraId="16E586F5" w14:textId="77777777" w:rsidR="00821250" w:rsidRDefault="00821250" w:rsidP="009A23AA"/>
    <w:p w14:paraId="7E771614" w14:textId="77777777" w:rsidR="00821250" w:rsidRPr="00821250" w:rsidRDefault="00821250" w:rsidP="009A23AA"/>
    <w:p w14:paraId="3996FC7F" w14:textId="77777777" w:rsidR="00821250" w:rsidRDefault="00821250" w:rsidP="009A23AA">
      <w:pPr>
        <w:pStyle w:val="Subtitle"/>
        <w:spacing w:before="240" w:after="0"/>
        <w:ind w:right="-1196"/>
        <w:jc w:val="both"/>
        <w:rPr>
          <w:color w:val="FFFFFF" w:themeColor="background1"/>
          <w:sz w:val="36"/>
          <w:szCs w:val="36"/>
        </w:rPr>
      </w:pPr>
    </w:p>
    <w:p w14:paraId="0A9A9A2F" w14:textId="2D9DC25B" w:rsidR="00F41858" w:rsidRDefault="007A7033" w:rsidP="009A23AA">
      <w:pPr>
        <w:pStyle w:val="Subtitle"/>
        <w:spacing w:before="240" w:after="0"/>
        <w:ind w:right="-1196"/>
        <w:jc w:val="both"/>
        <w:rPr>
          <w:color w:val="FFFFFF" w:themeColor="background1"/>
          <w:sz w:val="36"/>
          <w:szCs w:val="36"/>
        </w:rPr>
      </w:pPr>
      <w:r w:rsidRPr="007A7033">
        <w:rPr>
          <w:noProof/>
          <w:lang w:val="en-AU" w:eastAsia="en-AU"/>
        </w:rPr>
        <mc:AlternateContent>
          <mc:Choice Requires="wps">
            <w:drawing>
              <wp:anchor distT="0" distB="0" distL="114300" distR="114300" simplePos="0" relativeHeight="251660291" behindDoc="1" locked="0" layoutInCell="0" allowOverlap="1" wp14:anchorId="7E085D7A" wp14:editId="084DAA26">
                <wp:simplePos x="0" y="0"/>
                <wp:positionH relativeFrom="page">
                  <wp:posOffset>214630</wp:posOffset>
                </wp:positionH>
                <wp:positionV relativeFrom="page">
                  <wp:posOffset>7534606</wp:posOffset>
                </wp:positionV>
                <wp:extent cx="7146290" cy="1398905"/>
                <wp:effectExtent l="0" t="0" r="3810" b="0"/>
                <wp:wrapNone/>
                <wp:docPr id="1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6290" cy="1398905"/>
                        </a:xfrm>
                        <a:prstGeom prst="rect">
                          <a:avLst/>
                        </a:prstGeom>
                        <a:solidFill>
                          <a:schemeClr val="bg1">
                            <a:lumMod val="50000"/>
                          </a:schemeClr>
                        </a:solidFill>
                        <a:ln>
                          <a:noFill/>
                        </a:ln>
                        <a:effectLst/>
                      </wps:spPr>
                      <wps:txbx>
                        <w:txbxContent>
                          <w:p w14:paraId="119C8309" w14:textId="77777777" w:rsidR="00FA4EEB" w:rsidRDefault="00FA4EEB" w:rsidP="007A7033">
                            <w:pPr>
                              <w:spacing w:line="276" w:lineRule="auto"/>
                              <w:jc w:val="right"/>
                              <w:rPr>
                                <w:color w:val="FFFFFF" w:themeColor="background1"/>
                                <w:sz w:val="36"/>
                                <w:szCs w:val="36"/>
                              </w:rPr>
                            </w:pPr>
                            <w:r w:rsidRPr="00B83873">
                              <w:rPr>
                                <w:color w:val="FFFFFF" w:themeColor="background1"/>
                                <w:sz w:val="36"/>
                                <w:szCs w:val="36"/>
                              </w:rPr>
                              <w:t xml:space="preserve">Prepared for the Department of </w:t>
                            </w:r>
                            <w:r>
                              <w:rPr>
                                <w:color w:val="FFFFFF" w:themeColor="background1"/>
                                <w:sz w:val="36"/>
                                <w:szCs w:val="36"/>
                              </w:rPr>
                              <w:t>the Environment and Energy</w:t>
                            </w:r>
                          </w:p>
                          <w:p w14:paraId="3C5BB222" w14:textId="76A9D352" w:rsidR="00FA4EEB" w:rsidRPr="00B9729F" w:rsidRDefault="00FA4EEB" w:rsidP="007A7033">
                            <w:pPr>
                              <w:jc w:val="right"/>
                            </w:pPr>
                            <w:r>
                              <w:rPr>
                                <w:color w:val="FFFFFF" w:themeColor="background1"/>
                                <w:sz w:val="36"/>
                                <w:szCs w:val="36"/>
                              </w:rPr>
                              <w:t xml:space="preserve">September </w:t>
                            </w:r>
                            <w:r w:rsidRPr="00B83873">
                              <w:rPr>
                                <w:color w:val="FFFFFF" w:themeColor="background1"/>
                                <w:sz w:val="36"/>
                                <w:szCs w:val="36"/>
                              </w:rPr>
                              <w:t>201</w:t>
                            </w:r>
                            <w:r>
                              <w:rPr>
                                <w:color w:val="FFFFFF" w:themeColor="background1"/>
                                <w:sz w:val="36"/>
                                <w:szCs w:val="36"/>
                              </w:rPr>
                              <w:t>9</w:t>
                            </w:r>
                          </w:p>
                          <w:p w14:paraId="24CD8F3B" w14:textId="77777777" w:rsidR="00FA4EEB" w:rsidRDefault="00FA4EEB" w:rsidP="007A7033">
                            <w:pPr>
                              <w:contextualSpacing/>
                              <w:jc w:val="right"/>
                              <w:rPr>
                                <w:rFonts w:cstheme="minorHAnsi"/>
                                <w:color w:val="FFFFFF" w:themeColor="background1"/>
                              </w:rPr>
                            </w:pPr>
                          </w:p>
                        </w:txbxContent>
                      </wps:txbx>
                      <wps:bodyPr rot="0" vert="horz" wrap="square" lIns="0" tIns="228600" rIns="2880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085D7A" id="Rectangle 79" o:spid="_x0000_s1027" style="position:absolute;left:0;text-align:left;margin-left:16.9pt;margin-top:593.3pt;width:562.7pt;height:110.1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" o:allowincell="f" fillcolor="#7f7f7f [1612]" stroked="f">
                <v:textbox inset="0,18pt,8mm,18pt">
                  <w:txbxContent>
                    <w:p w14:paraId="119C8309" w14:textId="77777777" w:rsidR="00FA4EEB" w:rsidRDefault="00FA4EEB" w:rsidP="007A7033">
                      <w:pPr>
                        <w:spacing w:line="276" w:lineRule="auto"/>
                        <w:jc w:val="right"/>
                        <w:rPr>
                          <w:color w:val="FFFFFF" w:themeColor="background1"/>
                          <w:sz w:val="36"/>
                          <w:szCs w:val="36"/>
                        </w:rPr>
                      </w:pPr>
                      <w:r w:rsidRPr="00B83873">
                        <w:rPr>
                          <w:color w:val="FFFFFF" w:themeColor="background1"/>
                          <w:sz w:val="36"/>
                          <w:szCs w:val="36"/>
                        </w:rPr>
                        <w:t xml:space="preserve">Prepared for the Department of </w:t>
                      </w:r>
                      <w:r>
                        <w:rPr>
                          <w:color w:val="FFFFFF" w:themeColor="background1"/>
                          <w:sz w:val="36"/>
                          <w:szCs w:val="36"/>
                        </w:rPr>
                        <w:t>the Environment and Energy</w:t>
                      </w:r>
                    </w:p>
                    <w:p w14:paraId="3C5BB222" w14:textId="76A9D352" w:rsidR="00FA4EEB" w:rsidRPr="00B9729F" w:rsidRDefault="00FA4EEB" w:rsidP="007A7033">
                      <w:pPr>
                        <w:jc w:val="right"/>
                      </w:pPr>
                      <w:r>
                        <w:rPr>
                          <w:color w:val="FFFFFF" w:themeColor="background1"/>
                          <w:sz w:val="36"/>
                          <w:szCs w:val="36"/>
                        </w:rPr>
                        <w:t xml:space="preserve">September </w:t>
                      </w:r>
                      <w:r w:rsidRPr="00B83873">
                        <w:rPr>
                          <w:color w:val="FFFFFF" w:themeColor="background1"/>
                          <w:sz w:val="36"/>
                          <w:szCs w:val="36"/>
                        </w:rPr>
                        <w:t>201</w:t>
                      </w:r>
                      <w:r>
                        <w:rPr>
                          <w:color w:val="FFFFFF" w:themeColor="background1"/>
                          <w:sz w:val="36"/>
                          <w:szCs w:val="36"/>
                        </w:rPr>
                        <w:t>9</w:t>
                      </w:r>
                    </w:p>
                    <w:p w14:paraId="24CD8F3B" w14:textId="77777777" w:rsidR="00FA4EEB" w:rsidRDefault="00FA4EEB" w:rsidP="007A7033">
                      <w:pPr>
                        <w:contextualSpacing/>
                        <w:jc w:val="right"/>
                        <w:rPr>
                          <w:rFonts w:cstheme="minorHAnsi"/>
                          <w:color w:val="FFFFFF" w:themeColor="background1"/>
                        </w:rPr>
                      </w:pPr>
                    </w:p>
                  </w:txbxContent>
                </v:textbox>
                <w10:wrap anchorx="page" anchory="page"/>
              </v:rect>
            </w:pict>
          </mc:Fallback>
        </mc:AlternateContent>
      </w:r>
    </w:p>
    <w:p w14:paraId="27BAB03E" w14:textId="77777777" w:rsidR="00821250" w:rsidRPr="00821250" w:rsidRDefault="00821250" w:rsidP="009A23AA"/>
    <w:p w14:paraId="4007F604" w14:textId="77777777" w:rsidR="00F6036E" w:rsidRDefault="00F6036E" w:rsidP="009A23AA">
      <w:r>
        <w:t xml:space="preserve"> </w:t>
      </w:r>
    </w:p>
    <w:p w14:paraId="0C75D9D6" w14:textId="2660F1C9" w:rsidR="003937A5" w:rsidRDefault="007A7033" w:rsidP="009A23AA">
      <w:pPr>
        <w:ind w:right="-1198"/>
        <w:sectPr w:rsidR="003937A5" w:rsidSect="00474B83">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sectPr>
      </w:pPr>
      <w:r>
        <w:rPr>
          <w:noProof/>
          <w:lang w:val="en-AU" w:eastAsia="en-AU"/>
        </w:rPr>
        <w:drawing>
          <wp:anchor distT="0" distB="0" distL="114300" distR="114300" simplePos="0" relativeHeight="251663363" behindDoc="1" locked="0" layoutInCell="1" allowOverlap="1" wp14:anchorId="2BFAA119" wp14:editId="5B373687">
            <wp:simplePos x="0" y="0"/>
            <wp:positionH relativeFrom="column">
              <wp:posOffset>2617470</wp:posOffset>
            </wp:positionH>
            <wp:positionV relativeFrom="paragraph">
              <wp:posOffset>1088721</wp:posOffset>
            </wp:positionV>
            <wp:extent cx="3265805" cy="558800"/>
            <wp:effectExtent l="0" t="0" r="0" b="0"/>
            <wp:wrapTight wrapText="bothSides">
              <wp:wrapPolygon edited="0">
                <wp:start x="0" y="0"/>
                <wp:lineTo x="0" y="21109"/>
                <wp:lineTo x="21503" y="21109"/>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 Group Logo.jpg"/>
                    <pic:cNvPicPr/>
                  </pic:nvPicPr>
                  <pic:blipFill>
                    <a:blip r:embed="rId15">
                      <a:extLst>
                        <a:ext uri="{28A0092B-C50C-407E-A947-70E740481C1C}">
                          <a14:useLocalDpi xmlns:a14="http://schemas.microsoft.com/office/drawing/2010/main" val="0"/>
                        </a:ext>
                      </a:extLst>
                    </a:blip>
                    <a:stretch>
                      <a:fillRect/>
                    </a:stretch>
                  </pic:blipFill>
                  <pic:spPr>
                    <a:xfrm>
                      <a:off x="0" y="0"/>
                      <a:ext cx="3265805" cy="558800"/>
                    </a:xfrm>
                    <a:prstGeom prst="rect">
                      <a:avLst/>
                    </a:prstGeom>
                  </pic:spPr>
                </pic:pic>
              </a:graphicData>
            </a:graphic>
            <wp14:sizeRelH relativeFrom="page">
              <wp14:pctWidth>0</wp14:pctWidth>
            </wp14:sizeRelH>
            <wp14:sizeRelV relativeFrom="page">
              <wp14:pctHeight>0</wp14:pctHeight>
            </wp14:sizeRelV>
          </wp:anchor>
        </w:drawing>
      </w:r>
      <w:r w:rsidR="005E3891">
        <w:rPr>
          <w:noProof/>
          <w:lang w:val="en-US"/>
        </w:rPr>
        <w:t xml:space="preserve"> </w:t>
      </w:r>
      <w:r w:rsidR="009C30F1">
        <w:rPr>
          <w:noProof/>
          <w:lang w:val="en-AU" w:eastAsia="en-AU"/>
        </w:rPr>
        <mc:AlternateContent>
          <mc:Choice Requires="wps">
            <w:drawing>
              <wp:anchor distT="0" distB="0" distL="114300" distR="114300" simplePos="0" relativeHeight="251658240" behindDoc="1" locked="1" layoutInCell="0" allowOverlap="1" wp14:anchorId="2FB0D7E9" wp14:editId="09D5C805">
                <wp:simplePos x="0" y="0"/>
                <wp:positionH relativeFrom="page">
                  <wp:posOffset>214630</wp:posOffset>
                </wp:positionH>
                <wp:positionV relativeFrom="page">
                  <wp:posOffset>278130</wp:posOffset>
                </wp:positionV>
                <wp:extent cx="7151370" cy="320040"/>
                <wp:effectExtent l="0" t="0" r="0" b="0"/>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1370" cy="320040"/>
                        </a:xfrm>
                        <a:prstGeom prst="rect">
                          <a:avLst/>
                        </a:prstGeom>
                        <a:solidFill>
                          <a:schemeClr val="accent5">
                            <a:lumMod val="7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D8F56" id="Rectangle 73" o:spid="_x0000_s1026" style="position:absolute;margin-left:16.9pt;margin-top:21.9pt;width:563.1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" o:allowincell="f" fillcolor="#31849b [2408]" stroked="f">
                <v:textbox inset=",7.2pt,,7.2pt"/>
                <w10:wrap anchorx="page" anchory="page"/>
                <w10:anchorlock/>
              </v:rect>
            </w:pict>
          </mc:Fallback>
        </mc:AlternateContent>
      </w:r>
    </w:p>
    <w:p w14:paraId="2032AD2D" w14:textId="77777777" w:rsidR="003937A5" w:rsidRPr="003937A5" w:rsidRDefault="003937A5" w:rsidP="009A23AA">
      <w:pPr>
        <w:rPr>
          <w:rFonts w:asciiTheme="majorHAnsi" w:hAnsiTheme="majorHAnsi"/>
          <w:sz w:val="36"/>
          <w:szCs w:val="36"/>
        </w:rPr>
      </w:pPr>
      <w:r w:rsidRPr="003937A5">
        <w:rPr>
          <w:rFonts w:asciiTheme="majorHAnsi" w:hAnsiTheme="majorHAnsi"/>
          <w:sz w:val="36"/>
          <w:szCs w:val="36"/>
        </w:rPr>
        <w:lastRenderedPageBreak/>
        <w:t>Table of Contents</w:t>
      </w:r>
    </w:p>
    <w:p w14:paraId="3DFA6005" w14:textId="320356EF" w:rsidR="002D5B2F" w:rsidRDefault="002D5B2F">
      <w:pPr>
        <w:pStyle w:val="TOC1"/>
        <w:rPr>
          <w:rFonts w:asciiTheme="minorHAnsi" w:eastAsiaTheme="minorEastAsia" w:hAnsiTheme="minorHAnsi" w:cstheme="minorBidi"/>
          <w:b w:val="0"/>
          <w:color w:val="auto"/>
          <w:lang w:val="en-AU" w:eastAsia="en-GB"/>
        </w:rPr>
      </w:pPr>
      <w:r>
        <w:rPr>
          <w:rFonts w:ascii="Verdana" w:hAnsi="Verdana"/>
          <w:b w:val="0"/>
          <w:sz w:val="20"/>
          <w:szCs w:val="20"/>
        </w:rPr>
        <w:fldChar w:fldCharType="begin"/>
      </w:r>
      <w:r>
        <w:rPr>
          <w:rFonts w:ascii="Verdana" w:hAnsi="Verdana"/>
          <w:b w:val="0"/>
          <w:sz w:val="20"/>
          <w:szCs w:val="20"/>
        </w:rPr>
        <w:instrText xml:space="preserve"> TOC \o "1-3" </w:instrText>
      </w:r>
      <w:r>
        <w:rPr>
          <w:rFonts w:ascii="Verdana" w:hAnsi="Verdana"/>
          <w:b w:val="0"/>
          <w:sz w:val="20"/>
          <w:szCs w:val="20"/>
        </w:rPr>
        <w:fldChar w:fldCharType="separate"/>
      </w:r>
      <w:r>
        <w:t>1</w:t>
      </w:r>
      <w:r>
        <w:rPr>
          <w:rFonts w:asciiTheme="minorHAnsi" w:eastAsiaTheme="minorEastAsia" w:hAnsiTheme="minorHAnsi" w:cstheme="minorBidi"/>
          <w:b w:val="0"/>
          <w:color w:val="auto"/>
          <w:lang w:val="en-AU" w:eastAsia="en-GB"/>
        </w:rPr>
        <w:tab/>
      </w:r>
      <w:r>
        <w:t>Executive summary</w:t>
      </w:r>
      <w:r>
        <w:tab/>
      </w:r>
      <w:r>
        <w:fldChar w:fldCharType="begin"/>
      </w:r>
      <w:r>
        <w:instrText xml:space="preserve"> PAGEREF _Toc19601280 \h </w:instrText>
      </w:r>
      <w:r>
        <w:fldChar w:fldCharType="separate"/>
      </w:r>
      <w:r>
        <w:t>6</w:t>
      </w:r>
      <w:r>
        <w:fldChar w:fldCharType="end"/>
      </w:r>
    </w:p>
    <w:p w14:paraId="494263A0" w14:textId="668CD025" w:rsidR="002D5B2F" w:rsidRDefault="002D5B2F">
      <w:pPr>
        <w:pStyle w:val="TOC1"/>
        <w:rPr>
          <w:rFonts w:asciiTheme="minorHAnsi" w:eastAsiaTheme="minorEastAsia" w:hAnsiTheme="minorHAnsi" w:cstheme="minorBidi"/>
          <w:b w:val="0"/>
          <w:color w:val="auto"/>
          <w:lang w:val="en-AU" w:eastAsia="en-GB"/>
        </w:rPr>
      </w:pPr>
      <w:r>
        <w:t>2</w:t>
      </w:r>
      <w:r>
        <w:rPr>
          <w:rFonts w:asciiTheme="minorHAnsi" w:eastAsiaTheme="minorEastAsia" w:hAnsiTheme="minorHAnsi" w:cstheme="minorBidi"/>
          <w:b w:val="0"/>
          <w:color w:val="auto"/>
          <w:lang w:val="en-AU" w:eastAsia="en-GB"/>
        </w:rPr>
        <w:tab/>
      </w:r>
      <w:r>
        <w:t>Introduction</w:t>
      </w:r>
      <w:r>
        <w:tab/>
      </w:r>
      <w:r>
        <w:fldChar w:fldCharType="begin"/>
      </w:r>
      <w:r>
        <w:instrText xml:space="preserve"> PAGEREF _Toc19601281 \h </w:instrText>
      </w:r>
      <w:r>
        <w:fldChar w:fldCharType="separate"/>
      </w:r>
      <w:r>
        <w:t>7</w:t>
      </w:r>
      <w:r>
        <w:fldChar w:fldCharType="end"/>
      </w:r>
    </w:p>
    <w:p w14:paraId="12F4D9BA" w14:textId="39525859" w:rsidR="002D5B2F" w:rsidRDefault="002D5B2F">
      <w:pPr>
        <w:pStyle w:val="TOC1"/>
        <w:rPr>
          <w:rFonts w:asciiTheme="minorHAnsi" w:eastAsiaTheme="minorEastAsia" w:hAnsiTheme="minorHAnsi" w:cstheme="minorBidi"/>
          <w:b w:val="0"/>
          <w:color w:val="auto"/>
          <w:lang w:val="en-AU" w:eastAsia="en-GB"/>
        </w:rPr>
      </w:pPr>
      <w:r>
        <w:t>3</w:t>
      </w:r>
      <w:r>
        <w:rPr>
          <w:rFonts w:asciiTheme="minorHAnsi" w:eastAsiaTheme="minorEastAsia" w:hAnsiTheme="minorHAnsi" w:cstheme="minorBidi"/>
          <w:b w:val="0"/>
          <w:color w:val="auto"/>
          <w:lang w:val="en-AU" w:eastAsia="en-GB"/>
        </w:rPr>
        <w:tab/>
      </w:r>
      <w:r>
        <w:t>Taxonomy of a technology</w:t>
      </w:r>
      <w:r>
        <w:tab/>
      </w:r>
      <w:r>
        <w:fldChar w:fldCharType="begin"/>
      </w:r>
      <w:r>
        <w:instrText xml:space="preserve"> PAGEREF _Toc19601282 \h </w:instrText>
      </w:r>
      <w:r>
        <w:fldChar w:fldCharType="separate"/>
      </w:r>
      <w:r>
        <w:t>8</w:t>
      </w:r>
      <w:r>
        <w:fldChar w:fldCharType="end"/>
      </w:r>
    </w:p>
    <w:p w14:paraId="56517DED" w14:textId="1034F40F" w:rsidR="002D5B2F" w:rsidRDefault="002D5B2F">
      <w:pPr>
        <w:pStyle w:val="TOC1"/>
        <w:rPr>
          <w:rFonts w:asciiTheme="minorHAnsi" w:eastAsiaTheme="minorEastAsia" w:hAnsiTheme="minorHAnsi" w:cstheme="minorBidi"/>
          <w:b w:val="0"/>
          <w:color w:val="auto"/>
          <w:lang w:val="en-AU" w:eastAsia="en-GB"/>
        </w:rPr>
      </w:pPr>
      <w:r>
        <w:t>4</w:t>
      </w:r>
      <w:r>
        <w:rPr>
          <w:rFonts w:asciiTheme="minorHAnsi" w:eastAsiaTheme="minorEastAsia" w:hAnsiTheme="minorHAnsi" w:cstheme="minorBidi"/>
          <w:b w:val="0"/>
          <w:color w:val="auto"/>
          <w:lang w:val="en-AU" w:eastAsia="en-GB"/>
        </w:rPr>
        <w:tab/>
      </w:r>
      <w:r>
        <w:t>The stock of equipment</w:t>
      </w:r>
      <w:r>
        <w:tab/>
      </w:r>
      <w:r>
        <w:fldChar w:fldCharType="begin"/>
      </w:r>
      <w:r>
        <w:instrText xml:space="preserve"> PAGEREF _Toc19601283 \h </w:instrText>
      </w:r>
      <w:r>
        <w:fldChar w:fldCharType="separate"/>
      </w:r>
      <w:r>
        <w:t>9</w:t>
      </w:r>
      <w:r>
        <w:fldChar w:fldCharType="end"/>
      </w:r>
    </w:p>
    <w:p w14:paraId="0F58C045" w14:textId="47BD5C1B" w:rsidR="002D5B2F" w:rsidRDefault="002D5B2F">
      <w:pPr>
        <w:pStyle w:val="TOC2"/>
        <w:rPr>
          <w:rFonts w:asciiTheme="minorHAnsi" w:eastAsiaTheme="minorEastAsia" w:hAnsiTheme="minorHAnsi" w:cstheme="minorBidi"/>
          <w:noProof/>
          <w:sz w:val="24"/>
          <w:szCs w:val="24"/>
          <w:lang w:val="en-AU" w:eastAsia="en-GB"/>
        </w:rPr>
      </w:pPr>
      <w:r w:rsidRPr="00EC5BF4">
        <w:rPr>
          <w:noProof/>
        </w:rPr>
        <w:t>4.1</w:t>
      </w:r>
      <w:r>
        <w:rPr>
          <w:rFonts w:asciiTheme="minorHAnsi" w:eastAsiaTheme="minorEastAsia" w:hAnsiTheme="minorHAnsi" w:cstheme="minorBidi"/>
          <w:noProof/>
          <w:sz w:val="24"/>
          <w:szCs w:val="24"/>
          <w:lang w:val="en-AU" w:eastAsia="en-GB"/>
        </w:rPr>
        <w:tab/>
      </w:r>
      <w:r>
        <w:rPr>
          <w:noProof/>
        </w:rPr>
        <w:t>The scale of events</w:t>
      </w:r>
      <w:r>
        <w:rPr>
          <w:noProof/>
        </w:rPr>
        <w:tab/>
      </w:r>
      <w:r>
        <w:rPr>
          <w:noProof/>
        </w:rPr>
        <w:fldChar w:fldCharType="begin"/>
      </w:r>
      <w:r>
        <w:rPr>
          <w:noProof/>
        </w:rPr>
        <w:instrText xml:space="preserve"> PAGEREF _Toc19601284 \h </w:instrText>
      </w:r>
      <w:r>
        <w:rPr>
          <w:noProof/>
        </w:rPr>
      </w:r>
      <w:r>
        <w:rPr>
          <w:noProof/>
        </w:rPr>
        <w:fldChar w:fldCharType="separate"/>
      </w:r>
      <w:r>
        <w:rPr>
          <w:noProof/>
        </w:rPr>
        <w:t>9</w:t>
      </w:r>
      <w:r>
        <w:rPr>
          <w:noProof/>
        </w:rPr>
        <w:fldChar w:fldCharType="end"/>
      </w:r>
    </w:p>
    <w:p w14:paraId="5AD4E25E" w14:textId="1BCB57F3" w:rsidR="002D5B2F" w:rsidRDefault="002D5B2F">
      <w:pPr>
        <w:pStyle w:val="TOC1"/>
        <w:rPr>
          <w:rFonts w:asciiTheme="minorHAnsi" w:eastAsiaTheme="minorEastAsia" w:hAnsiTheme="minorHAnsi" w:cstheme="minorBidi"/>
          <w:b w:val="0"/>
          <w:color w:val="auto"/>
          <w:lang w:val="en-AU" w:eastAsia="en-GB"/>
        </w:rPr>
      </w:pPr>
      <w:r>
        <w:t>5</w:t>
      </w:r>
      <w:r>
        <w:rPr>
          <w:rFonts w:asciiTheme="minorHAnsi" w:eastAsiaTheme="minorEastAsia" w:hAnsiTheme="minorHAnsi" w:cstheme="minorBidi"/>
          <w:b w:val="0"/>
          <w:color w:val="auto"/>
          <w:lang w:val="en-AU" w:eastAsia="en-GB"/>
        </w:rPr>
        <w:tab/>
      </w:r>
      <w:r>
        <w:t>Main equipment classes</w:t>
      </w:r>
      <w:r>
        <w:tab/>
      </w:r>
      <w:r>
        <w:fldChar w:fldCharType="begin"/>
      </w:r>
      <w:r>
        <w:instrText xml:space="preserve"> PAGEREF _Toc19601285 \h </w:instrText>
      </w:r>
      <w:r>
        <w:fldChar w:fldCharType="separate"/>
      </w:r>
      <w:r>
        <w:t>10</w:t>
      </w:r>
      <w:r>
        <w:fldChar w:fldCharType="end"/>
      </w:r>
    </w:p>
    <w:p w14:paraId="33FD1F0B" w14:textId="414CA509" w:rsidR="002D5B2F" w:rsidRDefault="002D5B2F">
      <w:pPr>
        <w:pStyle w:val="TOC2"/>
        <w:rPr>
          <w:rFonts w:asciiTheme="minorHAnsi" w:eastAsiaTheme="minorEastAsia" w:hAnsiTheme="minorHAnsi" w:cstheme="minorBidi"/>
          <w:noProof/>
          <w:sz w:val="24"/>
          <w:szCs w:val="24"/>
          <w:lang w:val="en-AU" w:eastAsia="en-GB"/>
        </w:rPr>
      </w:pPr>
      <w:r w:rsidRPr="00EC5BF4">
        <w:rPr>
          <w:noProof/>
        </w:rPr>
        <w:t>5.1</w:t>
      </w:r>
      <w:r>
        <w:rPr>
          <w:rFonts w:asciiTheme="minorHAnsi" w:eastAsiaTheme="minorEastAsia" w:hAnsiTheme="minorHAnsi" w:cstheme="minorBidi"/>
          <w:noProof/>
          <w:sz w:val="24"/>
          <w:szCs w:val="24"/>
          <w:lang w:val="en-AU" w:eastAsia="en-GB"/>
        </w:rPr>
        <w:tab/>
      </w:r>
      <w:r>
        <w:rPr>
          <w:noProof/>
        </w:rPr>
        <w:t>Stationary air conditioning</w:t>
      </w:r>
      <w:r>
        <w:rPr>
          <w:noProof/>
        </w:rPr>
        <w:tab/>
      </w:r>
      <w:r>
        <w:rPr>
          <w:noProof/>
        </w:rPr>
        <w:fldChar w:fldCharType="begin"/>
      </w:r>
      <w:r>
        <w:rPr>
          <w:noProof/>
        </w:rPr>
        <w:instrText xml:space="preserve"> PAGEREF _Toc19601286 \h </w:instrText>
      </w:r>
      <w:r>
        <w:rPr>
          <w:noProof/>
        </w:rPr>
      </w:r>
      <w:r>
        <w:rPr>
          <w:noProof/>
        </w:rPr>
        <w:fldChar w:fldCharType="separate"/>
      </w:r>
      <w:r>
        <w:rPr>
          <w:noProof/>
        </w:rPr>
        <w:t>10</w:t>
      </w:r>
      <w:r>
        <w:rPr>
          <w:noProof/>
        </w:rPr>
        <w:fldChar w:fldCharType="end"/>
      </w:r>
    </w:p>
    <w:p w14:paraId="109CBC3F" w14:textId="46622FF0" w:rsidR="002D5B2F" w:rsidRDefault="002D5B2F">
      <w:pPr>
        <w:pStyle w:val="TOC3"/>
        <w:rPr>
          <w:rFonts w:asciiTheme="minorHAnsi" w:eastAsiaTheme="minorEastAsia" w:hAnsiTheme="minorHAnsi" w:cstheme="minorBidi"/>
          <w:i w:val="0"/>
          <w:noProof/>
          <w:sz w:val="24"/>
          <w:szCs w:val="24"/>
          <w:lang w:val="en-AU" w:eastAsia="en-GB"/>
        </w:rPr>
      </w:pPr>
      <w:r>
        <w:rPr>
          <w:noProof/>
        </w:rPr>
        <w:t>5.1.1</w:t>
      </w:r>
      <w:r>
        <w:rPr>
          <w:rFonts w:asciiTheme="minorHAnsi" w:eastAsiaTheme="minorEastAsia" w:hAnsiTheme="minorHAnsi" w:cstheme="minorBidi"/>
          <w:i w:val="0"/>
          <w:noProof/>
          <w:sz w:val="24"/>
          <w:szCs w:val="24"/>
          <w:lang w:val="en-AU" w:eastAsia="en-GB"/>
        </w:rPr>
        <w:tab/>
      </w:r>
      <w:r>
        <w:rPr>
          <w:noProof/>
        </w:rPr>
        <w:t>Analysis of pre-charged equipment provides insights into the transitioning bank</w:t>
      </w:r>
      <w:r>
        <w:rPr>
          <w:noProof/>
        </w:rPr>
        <w:tab/>
      </w:r>
      <w:r>
        <w:rPr>
          <w:noProof/>
        </w:rPr>
        <w:fldChar w:fldCharType="begin"/>
      </w:r>
      <w:r>
        <w:rPr>
          <w:noProof/>
        </w:rPr>
        <w:instrText xml:space="preserve"> PAGEREF _Toc19601287 \h </w:instrText>
      </w:r>
      <w:r>
        <w:rPr>
          <w:noProof/>
        </w:rPr>
      </w:r>
      <w:r>
        <w:rPr>
          <w:noProof/>
        </w:rPr>
        <w:fldChar w:fldCharType="separate"/>
      </w:r>
      <w:r>
        <w:rPr>
          <w:noProof/>
        </w:rPr>
        <w:t>13</w:t>
      </w:r>
      <w:r>
        <w:rPr>
          <w:noProof/>
        </w:rPr>
        <w:fldChar w:fldCharType="end"/>
      </w:r>
    </w:p>
    <w:p w14:paraId="67EE68CB" w14:textId="4B4F81EE" w:rsidR="002D5B2F" w:rsidRDefault="002D5B2F">
      <w:pPr>
        <w:pStyle w:val="TOC3"/>
        <w:rPr>
          <w:rFonts w:asciiTheme="minorHAnsi" w:eastAsiaTheme="minorEastAsia" w:hAnsiTheme="minorHAnsi" w:cstheme="minorBidi"/>
          <w:i w:val="0"/>
          <w:noProof/>
          <w:sz w:val="24"/>
          <w:szCs w:val="24"/>
          <w:lang w:val="en-AU" w:eastAsia="en-GB"/>
        </w:rPr>
      </w:pPr>
      <w:r>
        <w:rPr>
          <w:noProof/>
        </w:rPr>
        <w:t>5.1.2</w:t>
      </w:r>
      <w:r>
        <w:rPr>
          <w:rFonts w:asciiTheme="minorHAnsi" w:eastAsiaTheme="minorEastAsia" w:hAnsiTheme="minorHAnsi" w:cstheme="minorBidi"/>
          <w:i w:val="0"/>
          <w:noProof/>
          <w:sz w:val="24"/>
          <w:szCs w:val="24"/>
          <w:lang w:val="en-AU" w:eastAsia="en-GB"/>
        </w:rPr>
        <w:tab/>
      </w:r>
      <w:r>
        <w:rPr>
          <w:noProof/>
        </w:rPr>
        <w:t>Split systems sales softening but still strong</w:t>
      </w:r>
      <w:r>
        <w:rPr>
          <w:noProof/>
        </w:rPr>
        <w:tab/>
      </w:r>
      <w:r>
        <w:rPr>
          <w:noProof/>
        </w:rPr>
        <w:fldChar w:fldCharType="begin"/>
      </w:r>
      <w:r>
        <w:rPr>
          <w:noProof/>
        </w:rPr>
        <w:instrText xml:space="preserve"> PAGEREF _Toc19601288 \h </w:instrText>
      </w:r>
      <w:r>
        <w:rPr>
          <w:noProof/>
        </w:rPr>
      </w:r>
      <w:r>
        <w:rPr>
          <w:noProof/>
        </w:rPr>
        <w:fldChar w:fldCharType="separate"/>
      </w:r>
      <w:r>
        <w:rPr>
          <w:noProof/>
        </w:rPr>
        <w:t>18</w:t>
      </w:r>
      <w:r>
        <w:rPr>
          <w:noProof/>
        </w:rPr>
        <w:fldChar w:fldCharType="end"/>
      </w:r>
    </w:p>
    <w:p w14:paraId="40371E85" w14:textId="0FAE3665" w:rsidR="002D5B2F" w:rsidRDefault="002D5B2F">
      <w:pPr>
        <w:pStyle w:val="TOC3"/>
        <w:rPr>
          <w:rFonts w:asciiTheme="minorHAnsi" w:eastAsiaTheme="minorEastAsia" w:hAnsiTheme="minorHAnsi" w:cstheme="minorBidi"/>
          <w:i w:val="0"/>
          <w:noProof/>
          <w:sz w:val="24"/>
          <w:szCs w:val="24"/>
          <w:lang w:val="en-AU" w:eastAsia="en-GB"/>
        </w:rPr>
      </w:pPr>
      <w:r>
        <w:rPr>
          <w:noProof/>
        </w:rPr>
        <w:t>5.1.3</w:t>
      </w:r>
      <w:r>
        <w:rPr>
          <w:rFonts w:asciiTheme="minorHAnsi" w:eastAsiaTheme="minorEastAsia" w:hAnsiTheme="minorHAnsi" w:cstheme="minorBidi"/>
          <w:i w:val="0"/>
          <w:noProof/>
          <w:sz w:val="24"/>
          <w:szCs w:val="24"/>
          <w:lang w:val="en-AU" w:eastAsia="en-GB"/>
        </w:rPr>
        <w:tab/>
      </w:r>
      <w:r>
        <w:rPr>
          <w:noProof/>
        </w:rPr>
        <w:t>Medium air conditioning</w:t>
      </w:r>
      <w:r>
        <w:rPr>
          <w:noProof/>
        </w:rPr>
        <w:tab/>
      </w:r>
      <w:r>
        <w:rPr>
          <w:noProof/>
        </w:rPr>
        <w:fldChar w:fldCharType="begin"/>
      </w:r>
      <w:r>
        <w:rPr>
          <w:noProof/>
        </w:rPr>
        <w:instrText xml:space="preserve"> PAGEREF _Toc19601289 \h </w:instrText>
      </w:r>
      <w:r>
        <w:rPr>
          <w:noProof/>
        </w:rPr>
      </w:r>
      <w:r>
        <w:rPr>
          <w:noProof/>
        </w:rPr>
        <w:fldChar w:fldCharType="separate"/>
      </w:r>
      <w:r>
        <w:rPr>
          <w:noProof/>
        </w:rPr>
        <w:t>19</w:t>
      </w:r>
      <w:r>
        <w:rPr>
          <w:noProof/>
        </w:rPr>
        <w:fldChar w:fldCharType="end"/>
      </w:r>
    </w:p>
    <w:p w14:paraId="1D9AA7F0" w14:textId="312943E9" w:rsidR="002D5B2F" w:rsidRDefault="002D5B2F">
      <w:pPr>
        <w:pStyle w:val="TOC3"/>
        <w:rPr>
          <w:rFonts w:asciiTheme="minorHAnsi" w:eastAsiaTheme="minorEastAsia" w:hAnsiTheme="minorHAnsi" w:cstheme="minorBidi"/>
          <w:i w:val="0"/>
          <w:noProof/>
          <w:sz w:val="24"/>
          <w:szCs w:val="24"/>
          <w:lang w:val="en-AU" w:eastAsia="en-GB"/>
        </w:rPr>
      </w:pPr>
      <w:r>
        <w:rPr>
          <w:noProof/>
        </w:rPr>
        <w:t>5.1.4</w:t>
      </w:r>
      <w:r>
        <w:rPr>
          <w:rFonts w:asciiTheme="minorHAnsi" w:eastAsiaTheme="minorEastAsia" w:hAnsiTheme="minorHAnsi" w:cstheme="minorBidi"/>
          <w:i w:val="0"/>
          <w:noProof/>
          <w:sz w:val="24"/>
          <w:szCs w:val="24"/>
          <w:lang w:val="en-AU" w:eastAsia="en-GB"/>
        </w:rPr>
        <w:tab/>
      </w:r>
      <w:r>
        <w:rPr>
          <w:noProof/>
        </w:rPr>
        <w:t>Large air conditioning - Chillers</w:t>
      </w:r>
      <w:r>
        <w:rPr>
          <w:noProof/>
        </w:rPr>
        <w:tab/>
      </w:r>
      <w:r>
        <w:rPr>
          <w:noProof/>
        </w:rPr>
        <w:fldChar w:fldCharType="begin"/>
      </w:r>
      <w:r>
        <w:rPr>
          <w:noProof/>
        </w:rPr>
        <w:instrText xml:space="preserve"> PAGEREF _Toc19601290 \h </w:instrText>
      </w:r>
      <w:r>
        <w:rPr>
          <w:noProof/>
        </w:rPr>
      </w:r>
      <w:r>
        <w:rPr>
          <w:noProof/>
        </w:rPr>
        <w:fldChar w:fldCharType="separate"/>
      </w:r>
      <w:r>
        <w:rPr>
          <w:noProof/>
        </w:rPr>
        <w:t>20</w:t>
      </w:r>
      <w:r>
        <w:rPr>
          <w:noProof/>
        </w:rPr>
        <w:fldChar w:fldCharType="end"/>
      </w:r>
    </w:p>
    <w:p w14:paraId="512970F0" w14:textId="6434CB82" w:rsidR="002D5B2F" w:rsidRDefault="002D5B2F">
      <w:pPr>
        <w:pStyle w:val="TOC3"/>
        <w:rPr>
          <w:rFonts w:asciiTheme="minorHAnsi" w:eastAsiaTheme="minorEastAsia" w:hAnsiTheme="minorHAnsi" w:cstheme="minorBidi"/>
          <w:i w:val="0"/>
          <w:noProof/>
          <w:sz w:val="24"/>
          <w:szCs w:val="24"/>
          <w:lang w:val="en-AU" w:eastAsia="en-GB"/>
        </w:rPr>
      </w:pPr>
      <w:r>
        <w:rPr>
          <w:noProof/>
        </w:rPr>
        <w:t>5.1.5</w:t>
      </w:r>
      <w:r>
        <w:rPr>
          <w:rFonts w:asciiTheme="minorHAnsi" w:eastAsiaTheme="minorEastAsia" w:hAnsiTheme="minorHAnsi" w:cstheme="minorBidi"/>
          <w:i w:val="0"/>
          <w:noProof/>
          <w:sz w:val="24"/>
          <w:szCs w:val="24"/>
          <w:lang w:val="en-AU" w:eastAsia="en-GB"/>
        </w:rPr>
        <w:tab/>
      </w:r>
      <w:r>
        <w:rPr>
          <w:noProof/>
        </w:rPr>
        <w:t>Stationary air conditioning bank and projection</w:t>
      </w:r>
      <w:r>
        <w:rPr>
          <w:noProof/>
        </w:rPr>
        <w:tab/>
      </w:r>
      <w:r>
        <w:rPr>
          <w:noProof/>
        </w:rPr>
        <w:fldChar w:fldCharType="begin"/>
      </w:r>
      <w:r>
        <w:rPr>
          <w:noProof/>
        </w:rPr>
        <w:instrText xml:space="preserve"> PAGEREF _Toc19601291 \h </w:instrText>
      </w:r>
      <w:r>
        <w:rPr>
          <w:noProof/>
        </w:rPr>
      </w:r>
      <w:r>
        <w:rPr>
          <w:noProof/>
        </w:rPr>
        <w:fldChar w:fldCharType="separate"/>
      </w:r>
      <w:r>
        <w:rPr>
          <w:noProof/>
        </w:rPr>
        <w:t>22</w:t>
      </w:r>
      <w:r>
        <w:rPr>
          <w:noProof/>
        </w:rPr>
        <w:fldChar w:fldCharType="end"/>
      </w:r>
    </w:p>
    <w:p w14:paraId="3DDE7D5B" w14:textId="3212E599" w:rsidR="002D5B2F" w:rsidRDefault="002D5B2F">
      <w:pPr>
        <w:pStyle w:val="TOC3"/>
        <w:rPr>
          <w:rFonts w:asciiTheme="minorHAnsi" w:eastAsiaTheme="minorEastAsia" w:hAnsiTheme="minorHAnsi" w:cstheme="minorBidi"/>
          <w:i w:val="0"/>
          <w:noProof/>
          <w:sz w:val="24"/>
          <w:szCs w:val="24"/>
          <w:lang w:val="en-AU" w:eastAsia="en-GB"/>
        </w:rPr>
      </w:pPr>
      <w:r>
        <w:rPr>
          <w:noProof/>
        </w:rPr>
        <w:t>5.1.6</w:t>
      </w:r>
      <w:r>
        <w:rPr>
          <w:rFonts w:asciiTheme="minorHAnsi" w:eastAsiaTheme="minorEastAsia" w:hAnsiTheme="minorHAnsi" w:cstheme="minorBidi"/>
          <w:i w:val="0"/>
          <w:noProof/>
          <w:sz w:val="24"/>
          <w:szCs w:val="24"/>
          <w:lang w:val="en-AU" w:eastAsia="en-GB"/>
        </w:rPr>
        <w:tab/>
      </w:r>
      <w:r>
        <w:rPr>
          <w:noProof/>
        </w:rPr>
        <w:t>Service rates and emissions projection</w:t>
      </w:r>
      <w:r>
        <w:rPr>
          <w:noProof/>
        </w:rPr>
        <w:tab/>
      </w:r>
      <w:r>
        <w:rPr>
          <w:noProof/>
        </w:rPr>
        <w:fldChar w:fldCharType="begin"/>
      </w:r>
      <w:r>
        <w:rPr>
          <w:noProof/>
        </w:rPr>
        <w:instrText xml:space="preserve"> PAGEREF _Toc19601292 \h </w:instrText>
      </w:r>
      <w:r>
        <w:rPr>
          <w:noProof/>
        </w:rPr>
      </w:r>
      <w:r>
        <w:rPr>
          <w:noProof/>
        </w:rPr>
        <w:fldChar w:fldCharType="separate"/>
      </w:r>
      <w:r>
        <w:rPr>
          <w:noProof/>
        </w:rPr>
        <w:t>23</w:t>
      </w:r>
      <w:r>
        <w:rPr>
          <w:noProof/>
        </w:rPr>
        <w:fldChar w:fldCharType="end"/>
      </w:r>
    </w:p>
    <w:p w14:paraId="1B7BE18E" w14:textId="57CB4C69" w:rsidR="002D5B2F" w:rsidRDefault="002D5B2F">
      <w:pPr>
        <w:pStyle w:val="TOC2"/>
        <w:rPr>
          <w:rFonts w:asciiTheme="minorHAnsi" w:eastAsiaTheme="minorEastAsia" w:hAnsiTheme="minorHAnsi" w:cstheme="minorBidi"/>
          <w:noProof/>
          <w:sz w:val="24"/>
          <w:szCs w:val="24"/>
          <w:lang w:val="en-AU" w:eastAsia="en-GB"/>
        </w:rPr>
      </w:pPr>
      <w:r w:rsidRPr="00EC5BF4">
        <w:rPr>
          <w:rFonts w:eastAsiaTheme="minorEastAsia"/>
          <w:noProof/>
        </w:rPr>
        <w:t>5.2</w:t>
      </w:r>
      <w:r>
        <w:rPr>
          <w:rFonts w:asciiTheme="minorHAnsi" w:eastAsiaTheme="minorEastAsia" w:hAnsiTheme="minorHAnsi" w:cstheme="minorBidi"/>
          <w:noProof/>
          <w:sz w:val="24"/>
          <w:szCs w:val="24"/>
          <w:lang w:val="en-AU" w:eastAsia="en-GB"/>
        </w:rPr>
        <w:tab/>
      </w:r>
      <w:r w:rsidRPr="00EC5BF4">
        <w:rPr>
          <w:rFonts w:eastAsiaTheme="minorEastAsia"/>
          <w:noProof/>
        </w:rPr>
        <w:t>Mobile air conditioning</w:t>
      </w:r>
      <w:r>
        <w:rPr>
          <w:noProof/>
        </w:rPr>
        <w:tab/>
      </w:r>
      <w:r>
        <w:rPr>
          <w:noProof/>
        </w:rPr>
        <w:fldChar w:fldCharType="begin"/>
      </w:r>
      <w:r>
        <w:rPr>
          <w:noProof/>
        </w:rPr>
        <w:instrText xml:space="preserve"> PAGEREF _Toc19601293 \h </w:instrText>
      </w:r>
      <w:r>
        <w:rPr>
          <w:noProof/>
        </w:rPr>
      </w:r>
      <w:r>
        <w:rPr>
          <w:noProof/>
        </w:rPr>
        <w:fldChar w:fldCharType="separate"/>
      </w:r>
      <w:r>
        <w:rPr>
          <w:noProof/>
        </w:rPr>
        <w:t>25</w:t>
      </w:r>
      <w:r>
        <w:rPr>
          <w:noProof/>
        </w:rPr>
        <w:fldChar w:fldCharType="end"/>
      </w:r>
    </w:p>
    <w:p w14:paraId="7A88C1B9" w14:textId="1F28E474" w:rsidR="002D5B2F" w:rsidRDefault="002D5B2F">
      <w:pPr>
        <w:pStyle w:val="TOC3"/>
        <w:rPr>
          <w:rFonts w:asciiTheme="minorHAnsi" w:eastAsiaTheme="minorEastAsia" w:hAnsiTheme="minorHAnsi" w:cstheme="minorBidi"/>
          <w:i w:val="0"/>
          <w:noProof/>
          <w:sz w:val="24"/>
          <w:szCs w:val="24"/>
          <w:lang w:val="en-AU" w:eastAsia="en-GB"/>
        </w:rPr>
      </w:pPr>
      <w:r>
        <w:rPr>
          <w:noProof/>
        </w:rPr>
        <w:t>5.2.1</w:t>
      </w:r>
      <w:r>
        <w:rPr>
          <w:rFonts w:asciiTheme="minorHAnsi" w:eastAsiaTheme="minorEastAsia" w:hAnsiTheme="minorHAnsi" w:cstheme="minorBidi"/>
          <w:i w:val="0"/>
          <w:noProof/>
          <w:sz w:val="24"/>
          <w:szCs w:val="24"/>
          <w:lang w:val="en-AU" w:eastAsia="en-GB"/>
        </w:rPr>
        <w:tab/>
      </w:r>
      <w:r>
        <w:rPr>
          <w:noProof/>
        </w:rPr>
        <w:t>Small mobile air conditioning</w:t>
      </w:r>
      <w:r>
        <w:rPr>
          <w:noProof/>
        </w:rPr>
        <w:tab/>
      </w:r>
      <w:r>
        <w:rPr>
          <w:noProof/>
        </w:rPr>
        <w:fldChar w:fldCharType="begin"/>
      </w:r>
      <w:r>
        <w:rPr>
          <w:noProof/>
        </w:rPr>
        <w:instrText xml:space="preserve"> PAGEREF _Toc19601294 \h </w:instrText>
      </w:r>
      <w:r>
        <w:rPr>
          <w:noProof/>
        </w:rPr>
      </w:r>
      <w:r>
        <w:rPr>
          <w:noProof/>
        </w:rPr>
        <w:fldChar w:fldCharType="separate"/>
      </w:r>
      <w:r>
        <w:rPr>
          <w:noProof/>
        </w:rPr>
        <w:t>26</w:t>
      </w:r>
      <w:r>
        <w:rPr>
          <w:noProof/>
        </w:rPr>
        <w:fldChar w:fldCharType="end"/>
      </w:r>
    </w:p>
    <w:p w14:paraId="6B7CDECD" w14:textId="6B9E3E54" w:rsidR="002D5B2F" w:rsidRDefault="002D5B2F">
      <w:pPr>
        <w:pStyle w:val="TOC3"/>
        <w:rPr>
          <w:rFonts w:asciiTheme="minorHAnsi" w:eastAsiaTheme="minorEastAsia" w:hAnsiTheme="minorHAnsi" w:cstheme="minorBidi"/>
          <w:i w:val="0"/>
          <w:noProof/>
          <w:sz w:val="24"/>
          <w:szCs w:val="24"/>
          <w:lang w:val="en-AU" w:eastAsia="en-GB"/>
        </w:rPr>
      </w:pPr>
      <w:r>
        <w:rPr>
          <w:noProof/>
        </w:rPr>
        <w:t>5.2.2</w:t>
      </w:r>
      <w:r>
        <w:rPr>
          <w:rFonts w:asciiTheme="minorHAnsi" w:eastAsiaTheme="minorEastAsia" w:hAnsiTheme="minorHAnsi" w:cstheme="minorBidi"/>
          <w:i w:val="0"/>
          <w:noProof/>
          <w:sz w:val="24"/>
          <w:szCs w:val="24"/>
          <w:lang w:val="en-AU" w:eastAsia="en-GB"/>
        </w:rPr>
        <w:tab/>
      </w:r>
      <w:r>
        <w:rPr>
          <w:noProof/>
        </w:rPr>
        <w:t>Large mobile air conditioning</w:t>
      </w:r>
      <w:r>
        <w:rPr>
          <w:noProof/>
        </w:rPr>
        <w:tab/>
      </w:r>
      <w:r>
        <w:rPr>
          <w:noProof/>
        </w:rPr>
        <w:fldChar w:fldCharType="begin"/>
      </w:r>
      <w:r>
        <w:rPr>
          <w:noProof/>
        </w:rPr>
        <w:instrText xml:space="preserve"> PAGEREF _Toc19601295 \h </w:instrText>
      </w:r>
      <w:r>
        <w:rPr>
          <w:noProof/>
        </w:rPr>
      </w:r>
      <w:r>
        <w:rPr>
          <w:noProof/>
        </w:rPr>
        <w:fldChar w:fldCharType="separate"/>
      </w:r>
      <w:r>
        <w:rPr>
          <w:noProof/>
        </w:rPr>
        <w:t>28</w:t>
      </w:r>
      <w:r>
        <w:rPr>
          <w:noProof/>
        </w:rPr>
        <w:fldChar w:fldCharType="end"/>
      </w:r>
    </w:p>
    <w:p w14:paraId="307C3D68" w14:textId="24BAD2EE" w:rsidR="002D5B2F" w:rsidRDefault="002D5B2F">
      <w:pPr>
        <w:pStyle w:val="TOC3"/>
        <w:rPr>
          <w:rFonts w:asciiTheme="minorHAnsi" w:eastAsiaTheme="minorEastAsia" w:hAnsiTheme="minorHAnsi" w:cstheme="minorBidi"/>
          <w:i w:val="0"/>
          <w:noProof/>
          <w:sz w:val="24"/>
          <w:szCs w:val="24"/>
          <w:lang w:val="en-AU" w:eastAsia="en-GB"/>
        </w:rPr>
      </w:pPr>
      <w:r>
        <w:rPr>
          <w:noProof/>
        </w:rPr>
        <w:t>5.2.3</w:t>
      </w:r>
      <w:r>
        <w:rPr>
          <w:rFonts w:asciiTheme="minorHAnsi" w:eastAsiaTheme="minorEastAsia" w:hAnsiTheme="minorHAnsi" w:cstheme="minorBidi"/>
          <w:i w:val="0"/>
          <w:noProof/>
          <w:sz w:val="24"/>
          <w:szCs w:val="24"/>
          <w:lang w:val="en-AU" w:eastAsia="en-GB"/>
        </w:rPr>
        <w:tab/>
      </w:r>
      <w:r>
        <w:rPr>
          <w:noProof/>
        </w:rPr>
        <w:t>Mobile air conditioning bank and projection</w:t>
      </w:r>
      <w:r>
        <w:rPr>
          <w:noProof/>
        </w:rPr>
        <w:tab/>
      </w:r>
      <w:r>
        <w:rPr>
          <w:noProof/>
        </w:rPr>
        <w:fldChar w:fldCharType="begin"/>
      </w:r>
      <w:r>
        <w:rPr>
          <w:noProof/>
        </w:rPr>
        <w:instrText xml:space="preserve"> PAGEREF _Toc19601296 \h </w:instrText>
      </w:r>
      <w:r>
        <w:rPr>
          <w:noProof/>
        </w:rPr>
      </w:r>
      <w:r>
        <w:rPr>
          <w:noProof/>
        </w:rPr>
        <w:fldChar w:fldCharType="separate"/>
      </w:r>
      <w:r>
        <w:rPr>
          <w:noProof/>
        </w:rPr>
        <w:t>29</w:t>
      </w:r>
      <w:r>
        <w:rPr>
          <w:noProof/>
        </w:rPr>
        <w:fldChar w:fldCharType="end"/>
      </w:r>
    </w:p>
    <w:p w14:paraId="294C9E04" w14:textId="57B28C9A" w:rsidR="002D5B2F" w:rsidRDefault="002D5B2F">
      <w:pPr>
        <w:pStyle w:val="TOC3"/>
        <w:rPr>
          <w:rFonts w:asciiTheme="minorHAnsi" w:eastAsiaTheme="minorEastAsia" w:hAnsiTheme="minorHAnsi" w:cstheme="minorBidi"/>
          <w:i w:val="0"/>
          <w:noProof/>
          <w:sz w:val="24"/>
          <w:szCs w:val="24"/>
          <w:lang w:val="en-AU" w:eastAsia="en-GB"/>
        </w:rPr>
      </w:pPr>
      <w:r>
        <w:rPr>
          <w:noProof/>
        </w:rPr>
        <w:t>5.2.4</w:t>
      </w:r>
      <w:r>
        <w:rPr>
          <w:rFonts w:asciiTheme="minorHAnsi" w:eastAsiaTheme="minorEastAsia" w:hAnsiTheme="minorHAnsi" w:cstheme="minorBidi"/>
          <w:i w:val="0"/>
          <w:noProof/>
          <w:sz w:val="24"/>
          <w:szCs w:val="24"/>
          <w:lang w:val="en-AU" w:eastAsia="en-GB"/>
        </w:rPr>
        <w:tab/>
      </w:r>
      <w:r>
        <w:rPr>
          <w:noProof/>
        </w:rPr>
        <w:t>Service rates and emissions projection</w:t>
      </w:r>
      <w:r>
        <w:rPr>
          <w:noProof/>
        </w:rPr>
        <w:tab/>
      </w:r>
      <w:r>
        <w:rPr>
          <w:noProof/>
        </w:rPr>
        <w:fldChar w:fldCharType="begin"/>
      </w:r>
      <w:r>
        <w:rPr>
          <w:noProof/>
        </w:rPr>
        <w:instrText xml:space="preserve"> PAGEREF _Toc19601297 \h </w:instrText>
      </w:r>
      <w:r>
        <w:rPr>
          <w:noProof/>
        </w:rPr>
      </w:r>
      <w:r>
        <w:rPr>
          <w:noProof/>
        </w:rPr>
        <w:fldChar w:fldCharType="separate"/>
      </w:r>
      <w:r>
        <w:rPr>
          <w:noProof/>
        </w:rPr>
        <w:t>31</w:t>
      </w:r>
      <w:r>
        <w:rPr>
          <w:noProof/>
        </w:rPr>
        <w:fldChar w:fldCharType="end"/>
      </w:r>
    </w:p>
    <w:p w14:paraId="7B56D41E" w14:textId="55F57922" w:rsidR="002D5B2F" w:rsidRDefault="002D5B2F">
      <w:pPr>
        <w:pStyle w:val="TOC2"/>
        <w:rPr>
          <w:rFonts w:asciiTheme="minorHAnsi" w:eastAsiaTheme="minorEastAsia" w:hAnsiTheme="minorHAnsi" w:cstheme="minorBidi"/>
          <w:noProof/>
          <w:sz w:val="24"/>
          <w:szCs w:val="24"/>
          <w:lang w:val="en-AU" w:eastAsia="en-GB"/>
        </w:rPr>
      </w:pPr>
      <w:r w:rsidRPr="00EC5BF4">
        <w:rPr>
          <w:noProof/>
        </w:rPr>
        <w:t>5.3</w:t>
      </w:r>
      <w:r>
        <w:rPr>
          <w:rFonts w:asciiTheme="minorHAnsi" w:eastAsiaTheme="minorEastAsia" w:hAnsiTheme="minorHAnsi" w:cstheme="minorBidi"/>
          <w:noProof/>
          <w:sz w:val="24"/>
          <w:szCs w:val="24"/>
          <w:lang w:val="en-AU" w:eastAsia="en-GB"/>
        </w:rPr>
        <w:tab/>
      </w:r>
      <w:r>
        <w:rPr>
          <w:noProof/>
        </w:rPr>
        <w:t>Refrigerated cold food chain</w:t>
      </w:r>
      <w:r>
        <w:rPr>
          <w:noProof/>
        </w:rPr>
        <w:tab/>
      </w:r>
      <w:r>
        <w:rPr>
          <w:noProof/>
        </w:rPr>
        <w:fldChar w:fldCharType="begin"/>
      </w:r>
      <w:r>
        <w:rPr>
          <w:noProof/>
        </w:rPr>
        <w:instrText xml:space="preserve"> PAGEREF _Toc19601298 \h </w:instrText>
      </w:r>
      <w:r>
        <w:rPr>
          <w:noProof/>
        </w:rPr>
      </w:r>
      <w:r>
        <w:rPr>
          <w:noProof/>
        </w:rPr>
        <w:fldChar w:fldCharType="separate"/>
      </w:r>
      <w:r>
        <w:rPr>
          <w:noProof/>
        </w:rPr>
        <w:t>33</w:t>
      </w:r>
      <w:r>
        <w:rPr>
          <w:noProof/>
        </w:rPr>
        <w:fldChar w:fldCharType="end"/>
      </w:r>
    </w:p>
    <w:p w14:paraId="4D148CD7" w14:textId="7BDFEDD2" w:rsidR="002D5B2F" w:rsidRDefault="002D5B2F">
      <w:pPr>
        <w:pStyle w:val="TOC3"/>
        <w:rPr>
          <w:rFonts w:asciiTheme="minorHAnsi" w:eastAsiaTheme="minorEastAsia" w:hAnsiTheme="minorHAnsi" w:cstheme="minorBidi"/>
          <w:i w:val="0"/>
          <w:noProof/>
          <w:sz w:val="24"/>
          <w:szCs w:val="24"/>
          <w:lang w:val="en-AU" w:eastAsia="en-GB"/>
        </w:rPr>
      </w:pPr>
      <w:r>
        <w:rPr>
          <w:noProof/>
        </w:rPr>
        <w:t>5.3.1</w:t>
      </w:r>
      <w:r>
        <w:rPr>
          <w:rFonts w:asciiTheme="minorHAnsi" w:eastAsiaTheme="minorEastAsia" w:hAnsiTheme="minorHAnsi" w:cstheme="minorBidi"/>
          <w:i w:val="0"/>
          <w:noProof/>
          <w:sz w:val="24"/>
          <w:szCs w:val="24"/>
          <w:lang w:val="en-AU" w:eastAsia="en-GB"/>
        </w:rPr>
        <w:tab/>
      </w:r>
      <w:r>
        <w:rPr>
          <w:noProof/>
        </w:rPr>
        <w:t>Small commercial refrigeration</w:t>
      </w:r>
      <w:r>
        <w:rPr>
          <w:noProof/>
        </w:rPr>
        <w:tab/>
      </w:r>
      <w:r>
        <w:rPr>
          <w:noProof/>
        </w:rPr>
        <w:fldChar w:fldCharType="begin"/>
      </w:r>
      <w:r>
        <w:rPr>
          <w:noProof/>
        </w:rPr>
        <w:instrText xml:space="preserve"> PAGEREF _Toc19601299 \h </w:instrText>
      </w:r>
      <w:r>
        <w:rPr>
          <w:noProof/>
        </w:rPr>
      </w:r>
      <w:r>
        <w:rPr>
          <w:noProof/>
        </w:rPr>
        <w:fldChar w:fldCharType="separate"/>
      </w:r>
      <w:r>
        <w:rPr>
          <w:noProof/>
        </w:rPr>
        <w:t>37</w:t>
      </w:r>
      <w:r>
        <w:rPr>
          <w:noProof/>
        </w:rPr>
        <w:fldChar w:fldCharType="end"/>
      </w:r>
    </w:p>
    <w:p w14:paraId="286BFD62" w14:textId="394C49D9" w:rsidR="002D5B2F" w:rsidRDefault="002D5B2F">
      <w:pPr>
        <w:pStyle w:val="TOC3"/>
        <w:rPr>
          <w:rFonts w:asciiTheme="minorHAnsi" w:eastAsiaTheme="minorEastAsia" w:hAnsiTheme="minorHAnsi" w:cstheme="minorBidi"/>
          <w:i w:val="0"/>
          <w:noProof/>
          <w:sz w:val="24"/>
          <w:szCs w:val="24"/>
          <w:lang w:val="en-AU" w:eastAsia="en-GB"/>
        </w:rPr>
      </w:pPr>
      <w:r>
        <w:rPr>
          <w:noProof/>
        </w:rPr>
        <w:t>5.3.2</w:t>
      </w:r>
      <w:r>
        <w:rPr>
          <w:rFonts w:asciiTheme="minorHAnsi" w:eastAsiaTheme="minorEastAsia" w:hAnsiTheme="minorHAnsi" w:cstheme="minorBidi"/>
          <w:i w:val="0"/>
          <w:noProof/>
          <w:sz w:val="24"/>
          <w:szCs w:val="24"/>
          <w:lang w:val="en-AU" w:eastAsia="en-GB"/>
        </w:rPr>
        <w:tab/>
      </w:r>
      <w:r>
        <w:rPr>
          <w:noProof/>
        </w:rPr>
        <w:t>Medium commercial refrigeration</w:t>
      </w:r>
      <w:r>
        <w:rPr>
          <w:noProof/>
        </w:rPr>
        <w:tab/>
      </w:r>
      <w:r>
        <w:rPr>
          <w:noProof/>
        </w:rPr>
        <w:fldChar w:fldCharType="begin"/>
      </w:r>
      <w:r>
        <w:rPr>
          <w:noProof/>
        </w:rPr>
        <w:instrText xml:space="preserve"> PAGEREF _Toc19601300 \h </w:instrText>
      </w:r>
      <w:r>
        <w:rPr>
          <w:noProof/>
        </w:rPr>
      </w:r>
      <w:r>
        <w:rPr>
          <w:noProof/>
        </w:rPr>
        <w:fldChar w:fldCharType="separate"/>
      </w:r>
      <w:r>
        <w:rPr>
          <w:noProof/>
        </w:rPr>
        <w:t>40</w:t>
      </w:r>
      <w:r>
        <w:rPr>
          <w:noProof/>
        </w:rPr>
        <w:fldChar w:fldCharType="end"/>
      </w:r>
    </w:p>
    <w:p w14:paraId="51E453F2" w14:textId="0233622E" w:rsidR="002D5B2F" w:rsidRDefault="002D5B2F">
      <w:pPr>
        <w:pStyle w:val="TOC3"/>
        <w:rPr>
          <w:rFonts w:asciiTheme="minorHAnsi" w:eastAsiaTheme="minorEastAsia" w:hAnsiTheme="minorHAnsi" w:cstheme="minorBidi"/>
          <w:i w:val="0"/>
          <w:noProof/>
          <w:sz w:val="24"/>
          <w:szCs w:val="24"/>
          <w:lang w:val="en-AU" w:eastAsia="en-GB"/>
        </w:rPr>
      </w:pPr>
      <w:r>
        <w:rPr>
          <w:noProof/>
        </w:rPr>
        <w:t>5.3.3</w:t>
      </w:r>
      <w:r>
        <w:rPr>
          <w:rFonts w:asciiTheme="minorHAnsi" w:eastAsiaTheme="minorEastAsia" w:hAnsiTheme="minorHAnsi" w:cstheme="minorBidi"/>
          <w:i w:val="0"/>
          <w:noProof/>
          <w:sz w:val="24"/>
          <w:szCs w:val="24"/>
          <w:lang w:val="en-AU" w:eastAsia="en-GB"/>
        </w:rPr>
        <w:tab/>
      </w:r>
      <w:r>
        <w:rPr>
          <w:noProof/>
        </w:rPr>
        <w:t>Supermarkets</w:t>
      </w:r>
      <w:r>
        <w:rPr>
          <w:noProof/>
        </w:rPr>
        <w:tab/>
      </w:r>
      <w:r>
        <w:rPr>
          <w:noProof/>
        </w:rPr>
        <w:fldChar w:fldCharType="begin"/>
      </w:r>
      <w:r>
        <w:rPr>
          <w:noProof/>
        </w:rPr>
        <w:instrText xml:space="preserve"> PAGEREF _Toc19601301 \h </w:instrText>
      </w:r>
      <w:r>
        <w:rPr>
          <w:noProof/>
        </w:rPr>
      </w:r>
      <w:r>
        <w:rPr>
          <w:noProof/>
        </w:rPr>
        <w:fldChar w:fldCharType="separate"/>
      </w:r>
      <w:r>
        <w:rPr>
          <w:noProof/>
        </w:rPr>
        <w:t>41</w:t>
      </w:r>
      <w:r>
        <w:rPr>
          <w:noProof/>
        </w:rPr>
        <w:fldChar w:fldCharType="end"/>
      </w:r>
    </w:p>
    <w:p w14:paraId="3F753F5C" w14:textId="6BC974A3" w:rsidR="002D5B2F" w:rsidRDefault="002D5B2F">
      <w:pPr>
        <w:pStyle w:val="TOC3"/>
        <w:rPr>
          <w:rFonts w:asciiTheme="minorHAnsi" w:eastAsiaTheme="minorEastAsia" w:hAnsiTheme="minorHAnsi" w:cstheme="minorBidi"/>
          <w:i w:val="0"/>
          <w:noProof/>
          <w:sz w:val="24"/>
          <w:szCs w:val="24"/>
          <w:lang w:val="en-AU" w:eastAsia="en-GB"/>
        </w:rPr>
      </w:pPr>
      <w:r>
        <w:rPr>
          <w:noProof/>
        </w:rPr>
        <w:t>5.3.4</w:t>
      </w:r>
      <w:r>
        <w:rPr>
          <w:rFonts w:asciiTheme="minorHAnsi" w:eastAsiaTheme="minorEastAsia" w:hAnsiTheme="minorHAnsi" w:cstheme="minorBidi"/>
          <w:i w:val="0"/>
          <w:noProof/>
          <w:sz w:val="24"/>
          <w:szCs w:val="24"/>
          <w:lang w:val="en-AU" w:eastAsia="en-GB"/>
        </w:rPr>
        <w:tab/>
      </w:r>
      <w:r>
        <w:rPr>
          <w:noProof/>
        </w:rPr>
        <w:t>Transport refrigeration</w:t>
      </w:r>
      <w:r>
        <w:rPr>
          <w:noProof/>
        </w:rPr>
        <w:tab/>
      </w:r>
      <w:r>
        <w:rPr>
          <w:noProof/>
        </w:rPr>
        <w:fldChar w:fldCharType="begin"/>
      </w:r>
      <w:r>
        <w:rPr>
          <w:noProof/>
        </w:rPr>
        <w:instrText xml:space="preserve"> PAGEREF _Toc19601302 \h </w:instrText>
      </w:r>
      <w:r>
        <w:rPr>
          <w:noProof/>
        </w:rPr>
      </w:r>
      <w:r>
        <w:rPr>
          <w:noProof/>
        </w:rPr>
        <w:fldChar w:fldCharType="separate"/>
      </w:r>
      <w:r>
        <w:rPr>
          <w:noProof/>
        </w:rPr>
        <w:t>44</w:t>
      </w:r>
      <w:r>
        <w:rPr>
          <w:noProof/>
        </w:rPr>
        <w:fldChar w:fldCharType="end"/>
      </w:r>
    </w:p>
    <w:p w14:paraId="100C7B1A" w14:textId="4B2B07B9" w:rsidR="002D5B2F" w:rsidRDefault="002D5B2F">
      <w:pPr>
        <w:pStyle w:val="TOC3"/>
        <w:rPr>
          <w:rFonts w:asciiTheme="minorHAnsi" w:eastAsiaTheme="minorEastAsia" w:hAnsiTheme="minorHAnsi" w:cstheme="minorBidi"/>
          <w:i w:val="0"/>
          <w:noProof/>
          <w:sz w:val="24"/>
          <w:szCs w:val="24"/>
          <w:lang w:val="en-AU" w:eastAsia="en-GB"/>
        </w:rPr>
      </w:pPr>
      <w:r>
        <w:rPr>
          <w:noProof/>
        </w:rPr>
        <w:t>5.3.5</w:t>
      </w:r>
      <w:r>
        <w:rPr>
          <w:rFonts w:asciiTheme="minorHAnsi" w:eastAsiaTheme="minorEastAsia" w:hAnsiTheme="minorHAnsi" w:cstheme="minorBidi"/>
          <w:i w:val="0"/>
          <w:noProof/>
          <w:sz w:val="24"/>
          <w:szCs w:val="24"/>
          <w:lang w:val="en-AU" w:eastAsia="en-GB"/>
        </w:rPr>
        <w:tab/>
      </w:r>
      <w:r>
        <w:rPr>
          <w:noProof/>
        </w:rPr>
        <w:t>Cold storage, distribution, industrial refrigeration and large process chilling</w:t>
      </w:r>
      <w:r>
        <w:rPr>
          <w:noProof/>
        </w:rPr>
        <w:tab/>
      </w:r>
      <w:r>
        <w:rPr>
          <w:noProof/>
        </w:rPr>
        <w:fldChar w:fldCharType="begin"/>
      </w:r>
      <w:r>
        <w:rPr>
          <w:noProof/>
        </w:rPr>
        <w:instrText xml:space="preserve"> PAGEREF _Toc19601303 \h </w:instrText>
      </w:r>
      <w:r>
        <w:rPr>
          <w:noProof/>
        </w:rPr>
      </w:r>
      <w:r>
        <w:rPr>
          <w:noProof/>
        </w:rPr>
        <w:fldChar w:fldCharType="separate"/>
      </w:r>
      <w:r>
        <w:rPr>
          <w:noProof/>
        </w:rPr>
        <w:t>45</w:t>
      </w:r>
      <w:r>
        <w:rPr>
          <w:noProof/>
        </w:rPr>
        <w:fldChar w:fldCharType="end"/>
      </w:r>
    </w:p>
    <w:p w14:paraId="49DB3D48" w14:textId="281319D7" w:rsidR="002D5B2F" w:rsidRDefault="002D5B2F">
      <w:pPr>
        <w:pStyle w:val="TOC3"/>
        <w:rPr>
          <w:rFonts w:asciiTheme="minorHAnsi" w:eastAsiaTheme="minorEastAsia" w:hAnsiTheme="minorHAnsi" w:cstheme="minorBidi"/>
          <w:i w:val="0"/>
          <w:noProof/>
          <w:sz w:val="24"/>
          <w:szCs w:val="24"/>
          <w:lang w:val="en-AU" w:eastAsia="en-GB"/>
        </w:rPr>
      </w:pPr>
      <w:r>
        <w:rPr>
          <w:noProof/>
        </w:rPr>
        <w:t>5.3.6</w:t>
      </w:r>
      <w:r>
        <w:rPr>
          <w:rFonts w:asciiTheme="minorHAnsi" w:eastAsiaTheme="minorEastAsia" w:hAnsiTheme="minorHAnsi" w:cstheme="minorBidi"/>
          <w:i w:val="0"/>
          <w:noProof/>
          <w:sz w:val="24"/>
          <w:szCs w:val="24"/>
          <w:lang w:val="en-AU" w:eastAsia="en-GB"/>
        </w:rPr>
        <w:tab/>
      </w:r>
      <w:r>
        <w:rPr>
          <w:noProof/>
        </w:rPr>
        <w:t>The refrigerated cold food chain bank and projections</w:t>
      </w:r>
      <w:r>
        <w:rPr>
          <w:noProof/>
        </w:rPr>
        <w:tab/>
      </w:r>
      <w:r>
        <w:rPr>
          <w:noProof/>
        </w:rPr>
        <w:fldChar w:fldCharType="begin"/>
      </w:r>
      <w:r>
        <w:rPr>
          <w:noProof/>
        </w:rPr>
        <w:instrText xml:space="preserve"> PAGEREF _Toc19601304 \h </w:instrText>
      </w:r>
      <w:r>
        <w:rPr>
          <w:noProof/>
        </w:rPr>
      </w:r>
      <w:r>
        <w:rPr>
          <w:noProof/>
        </w:rPr>
        <w:fldChar w:fldCharType="separate"/>
      </w:r>
      <w:r>
        <w:rPr>
          <w:noProof/>
        </w:rPr>
        <w:t>47</w:t>
      </w:r>
      <w:r>
        <w:rPr>
          <w:noProof/>
        </w:rPr>
        <w:fldChar w:fldCharType="end"/>
      </w:r>
    </w:p>
    <w:p w14:paraId="7ACACCC4" w14:textId="30124DC5" w:rsidR="002D5B2F" w:rsidRDefault="002D5B2F">
      <w:pPr>
        <w:pStyle w:val="TOC3"/>
        <w:rPr>
          <w:rFonts w:asciiTheme="minorHAnsi" w:eastAsiaTheme="minorEastAsia" w:hAnsiTheme="minorHAnsi" w:cstheme="minorBidi"/>
          <w:i w:val="0"/>
          <w:noProof/>
          <w:sz w:val="24"/>
          <w:szCs w:val="24"/>
          <w:lang w:val="en-AU" w:eastAsia="en-GB"/>
        </w:rPr>
      </w:pPr>
      <w:r>
        <w:rPr>
          <w:noProof/>
        </w:rPr>
        <w:t>5.3.7</w:t>
      </w:r>
      <w:r>
        <w:rPr>
          <w:rFonts w:asciiTheme="minorHAnsi" w:eastAsiaTheme="minorEastAsia" w:hAnsiTheme="minorHAnsi" w:cstheme="minorBidi"/>
          <w:i w:val="0"/>
          <w:noProof/>
          <w:sz w:val="24"/>
          <w:szCs w:val="24"/>
          <w:lang w:val="en-AU" w:eastAsia="en-GB"/>
        </w:rPr>
        <w:tab/>
      </w:r>
      <w:r>
        <w:rPr>
          <w:noProof/>
        </w:rPr>
        <w:t>Service rates and emissions projections</w:t>
      </w:r>
      <w:r>
        <w:rPr>
          <w:noProof/>
        </w:rPr>
        <w:tab/>
      </w:r>
      <w:r>
        <w:rPr>
          <w:noProof/>
        </w:rPr>
        <w:fldChar w:fldCharType="begin"/>
      </w:r>
      <w:r>
        <w:rPr>
          <w:noProof/>
        </w:rPr>
        <w:instrText xml:space="preserve"> PAGEREF _Toc19601305 \h </w:instrText>
      </w:r>
      <w:r>
        <w:rPr>
          <w:noProof/>
        </w:rPr>
      </w:r>
      <w:r>
        <w:rPr>
          <w:noProof/>
        </w:rPr>
        <w:fldChar w:fldCharType="separate"/>
      </w:r>
      <w:r>
        <w:rPr>
          <w:noProof/>
        </w:rPr>
        <w:t>53</w:t>
      </w:r>
      <w:r>
        <w:rPr>
          <w:noProof/>
        </w:rPr>
        <w:fldChar w:fldCharType="end"/>
      </w:r>
    </w:p>
    <w:p w14:paraId="511E84B2" w14:textId="19AB4B54" w:rsidR="002D5B2F" w:rsidRDefault="002D5B2F">
      <w:pPr>
        <w:pStyle w:val="TOC2"/>
        <w:rPr>
          <w:rFonts w:asciiTheme="minorHAnsi" w:eastAsiaTheme="minorEastAsia" w:hAnsiTheme="minorHAnsi" w:cstheme="minorBidi"/>
          <w:noProof/>
          <w:sz w:val="24"/>
          <w:szCs w:val="24"/>
          <w:lang w:val="en-AU" w:eastAsia="en-GB"/>
        </w:rPr>
      </w:pPr>
      <w:r w:rsidRPr="00EC5BF4">
        <w:rPr>
          <w:noProof/>
        </w:rPr>
        <w:t>5.4</w:t>
      </w:r>
      <w:r>
        <w:rPr>
          <w:rFonts w:asciiTheme="minorHAnsi" w:eastAsiaTheme="minorEastAsia" w:hAnsiTheme="minorHAnsi" w:cstheme="minorBidi"/>
          <w:noProof/>
          <w:sz w:val="24"/>
          <w:szCs w:val="24"/>
          <w:lang w:val="en-AU" w:eastAsia="en-GB"/>
        </w:rPr>
        <w:tab/>
      </w:r>
      <w:r>
        <w:rPr>
          <w:noProof/>
        </w:rPr>
        <w:t>Domestic refrigeration</w:t>
      </w:r>
      <w:r>
        <w:rPr>
          <w:noProof/>
        </w:rPr>
        <w:tab/>
      </w:r>
      <w:r>
        <w:rPr>
          <w:noProof/>
        </w:rPr>
        <w:fldChar w:fldCharType="begin"/>
      </w:r>
      <w:r>
        <w:rPr>
          <w:noProof/>
        </w:rPr>
        <w:instrText xml:space="preserve"> PAGEREF _Toc19601306 \h </w:instrText>
      </w:r>
      <w:r>
        <w:rPr>
          <w:noProof/>
        </w:rPr>
      </w:r>
      <w:r>
        <w:rPr>
          <w:noProof/>
        </w:rPr>
        <w:fldChar w:fldCharType="separate"/>
      </w:r>
      <w:r>
        <w:rPr>
          <w:noProof/>
        </w:rPr>
        <w:t>55</w:t>
      </w:r>
      <w:r>
        <w:rPr>
          <w:noProof/>
        </w:rPr>
        <w:fldChar w:fldCharType="end"/>
      </w:r>
    </w:p>
    <w:p w14:paraId="1AD5867F" w14:textId="10150D43" w:rsidR="002D5B2F" w:rsidRDefault="002D5B2F">
      <w:pPr>
        <w:pStyle w:val="TOC1"/>
        <w:rPr>
          <w:rFonts w:asciiTheme="minorHAnsi" w:eastAsiaTheme="minorEastAsia" w:hAnsiTheme="minorHAnsi" w:cstheme="minorBidi"/>
          <w:b w:val="0"/>
          <w:color w:val="auto"/>
          <w:lang w:val="en-AU" w:eastAsia="en-GB"/>
        </w:rPr>
      </w:pPr>
      <w:r>
        <w:t>6</w:t>
      </w:r>
      <w:r>
        <w:rPr>
          <w:rFonts w:asciiTheme="minorHAnsi" w:eastAsiaTheme="minorEastAsia" w:hAnsiTheme="minorHAnsi" w:cstheme="minorBidi"/>
          <w:b w:val="0"/>
          <w:color w:val="auto"/>
          <w:lang w:val="en-AU" w:eastAsia="en-GB"/>
        </w:rPr>
        <w:tab/>
      </w:r>
      <w:r>
        <w:t>The refrigerant bank</w:t>
      </w:r>
      <w:r>
        <w:tab/>
      </w:r>
      <w:r>
        <w:fldChar w:fldCharType="begin"/>
      </w:r>
      <w:r>
        <w:instrText xml:space="preserve"> PAGEREF _Toc19601307 \h </w:instrText>
      </w:r>
      <w:r>
        <w:fldChar w:fldCharType="separate"/>
      </w:r>
      <w:r>
        <w:t>60</w:t>
      </w:r>
      <w:r>
        <w:fldChar w:fldCharType="end"/>
      </w:r>
    </w:p>
    <w:p w14:paraId="0C9563D9" w14:textId="78FDFD9A" w:rsidR="002D5B2F" w:rsidRDefault="002D5B2F">
      <w:pPr>
        <w:pStyle w:val="TOC2"/>
        <w:rPr>
          <w:rFonts w:asciiTheme="minorHAnsi" w:eastAsiaTheme="minorEastAsia" w:hAnsiTheme="minorHAnsi" w:cstheme="minorBidi"/>
          <w:noProof/>
          <w:sz w:val="24"/>
          <w:szCs w:val="24"/>
          <w:lang w:val="en-AU" w:eastAsia="en-GB"/>
        </w:rPr>
      </w:pPr>
      <w:r w:rsidRPr="00EC5BF4">
        <w:rPr>
          <w:noProof/>
        </w:rPr>
        <w:t>6.1</w:t>
      </w:r>
      <w:r>
        <w:rPr>
          <w:rFonts w:asciiTheme="minorHAnsi" w:eastAsiaTheme="minorEastAsia" w:hAnsiTheme="minorHAnsi" w:cstheme="minorBidi"/>
          <w:noProof/>
          <w:sz w:val="24"/>
          <w:szCs w:val="24"/>
          <w:lang w:val="en-AU" w:eastAsia="en-GB"/>
        </w:rPr>
        <w:tab/>
      </w:r>
      <w:r>
        <w:rPr>
          <w:noProof/>
        </w:rPr>
        <w:t>Constituents of the bank, GWP and CO</w:t>
      </w:r>
      <w:r w:rsidRPr="00EC5BF4">
        <w:rPr>
          <w:noProof/>
          <w:vertAlign w:val="subscript"/>
        </w:rPr>
        <w:t>2</w:t>
      </w:r>
      <w:r>
        <w:rPr>
          <w:noProof/>
        </w:rPr>
        <w:t>e</w:t>
      </w:r>
      <w:r>
        <w:rPr>
          <w:noProof/>
        </w:rPr>
        <w:tab/>
      </w:r>
      <w:r>
        <w:rPr>
          <w:noProof/>
        </w:rPr>
        <w:fldChar w:fldCharType="begin"/>
      </w:r>
      <w:r>
        <w:rPr>
          <w:noProof/>
        </w:rPr>
        <w:instrText xml:space="preserve"> PAGEREF _Toc19601308 \h </w:instrText>
      </w:r>
      <w:r>
        <w:rPr>
          <w:noProof/>
        </w:rPr>
      </w:r>
      <w:r>
        <w:rPr>
          <w:noProof/>
        </w:rPr>
        <w:fldChar w:fldCharType="separate"/>
      </w:r>
      <w:r>
        <w:rPr>
          <w:noProof/>
        </w:rPr>
        <w:t>61</w:t>
      </w:r>
      <w:r>
        <w:rPr>
          <w:noProof/>
        </w:rPr>
        <w:fldChar w:fldCharType="end"/>
      </w:r>
    </w:p>
    <w:p w14:paraId="5A2427AA" w14:textId="365EF0BE" w:rsidR="002D5B2F" w:rsidRDefault="002D5B2F">
      <w:pPr>
        <w:pStyle w:val="TOC1"/>
        <w:rPr>
          <w:rFonts w:asciiTheme="minorHAnsi" w:eastAsiaTheme="minorEastAsia" w:hAnsiTheme="minorHAnsi" w:cstheme="minorBidi"/>
          <w:b w:val="0"/>
          <w:color w:val="auto"/>
          <w:lang w:val="en-AU" w:eastAsia="en-GB"/>
        </w:rPr>
      </w:pPr>
      <w:r>
        <w:t>7</w:t>
      </w:r>
      <w:r>
        <w:rPr>
          <w:rFonts w:asciiTheme="minorHAnsi" w:eastAsiaTheme="minorEastAsia" w:hAnsiTheme="minorHAnsi" w:cstheme="minorBidi"/>
          <w:b w:val="0"/>
          <w:color w:val="auto"/>
          <w:lang w:val="en-AU" w:eastAsia="en-GB"/>
        </w:rPr>
        <w:tab/>
      </w:r>
      <w:r>
        <w:t>Refrigerant imports and usage</w:t>
      </w:r>
      <w:r>
        <w:tab/>
      </w:r>
      <w:r>
        <w:fldChar w:fldCharType="begin"/>
      </w:r>
      <w:r>
        <w:instrText xml:space="preserve"> PAGEREF _Toc19601309 \h </w:instrText>
      </w:r>
      <w:r>
        <w:fldChar w:fldCharType="separate"/>
      </w:r>
      <w:r>
        <w:t>65</w:t>
      </w:r>
      <w:r>
        <w:fldChar w:fldCharType="end"/>
      </w:r>
    </w:p>
    <w:p w14:paraId="38128890" w14:textId="07E5504C" w:rsidR="002D5B2F" w:rsidRDefault="002D5B2F">
      <w:pPr>
        <w:pStyle w:val="TOC2"/>
        <w:rPr>
          <w:rFonts w:asciiTheme="minorHAnsi" w:eastAsiaTheme="minorEastAsia" w:hAnsiTheme="minorHAnsi" w:cstheme="minorBidi"/>
          <w:noProof/>
          <w:sz w:val="24"/>
          <w:szCs w:val="24"/>
          <w:lang w:val="en-AU" w:eastAsia="en-GB"/>
        </w:rPr>
      </w:pPr>
      <w:r w:rsidRPr="00EC5BF4">
        <w:rPr>
          <w:rFonts w:eastAsiaTheme="minorEastAsia"/>
          <w:noProof/>
        </w:rPr>
        <w:t>7.1</w:t>
      </w:r>
      <w:r>
        <w:rPr>
          <w:rFonts w:asciiTheme="minorHAnsi" w:eastAsiaTheme="minorEastAsia" w:hAnsiTheme="minorHAnsi" w:cstheme="minorBidi"/>
          <w:noProof/>
          <w:sz w:val="24"/>
          <w:szCs w:val="24"/>
          <w:lang w:val="en-AU" w:eastAsia="en-GB"/>
        </w:rPr>
        <w:tab/>
      </w:r>
      <w:r>
        <w:rPr>
          <w:noProof/>
        </w:rPr>
        <w:t>Pre-charged equipment imports</w:t>
      </w:r>
      <w:r>
        <w:rPr>
          <w:noProof/>
        </w:rPr>
        <w:tab/>
      </w:r>
      <w:r>
        <w:rPr>
          <w:noProof/>
        </w:rPr>
        <w:fldChar w:fldCharType="begin"/>
      </w:r>
      <w:r>
        <w:rPr>
          <w:noProof/>
        </w:rPr>
        <w:instrText xml:space="preserve"> PAGEREF _Toc19601310 \h </w:instrText>
      </w:r>
      <w:r>
        <w:rPr>
          <w:noProof/>
        </w:rPr>
      </w:r>
      <w:r>
        <w:rPr>
          <w:noProof/>
        </w:rPr>
        <w:fldChar w:fldCharType="separate"/>
      </w:r>
      <w:r>
        <w:rPr>
          <w:noProof/>
        </w:rPr>
        <w:t>65</w:t>
      </w:r>
      <w:r>
        <w:rPr>
          <w:noProof/>
        </w:rPr>
        <w:fldChar w:fldCharType="end"/>
      </w:r>
    </w:p>
    <w:p w14:paraId="3A0DD40E" w14:textId="74FEFD68" w:rsidR="002D5B2F" w:rsidRDefault="002D5B2F">
      <w:pPr>
        <w:pStyle w:val="TOC2"/>
        <w:rPr>
          <w:rFonts w:asciiTheme="minorHAnsi" w:eastAsiaTheme="minorEastAsia" w:hAnsiTheme="minorHAnsi" w:cstheme="minorBidi"/>
          <w:noProof/>
          <w:sz w:val="24"/>
          <w:szCs w:val="24"/>
          <w:lang w:val="en-AU" w:eastAsia="en-GB"/>
        </w:rPr>
      </w:pPr>
      <w:r w:rsidRPr="00EC5BF4">
        <w:rPr>
          <w:noProof/>
        </w:rPr>
        <w:t>7.2</w:t>
      </w:r>
      <w:r>
        <w:rPr>
          <w:rFonts w:asciiTheme="minorHAnsi" w:eastAsiaTheme="minorEastAsia" w:hAnsiTheme="minorHAnsi" w:cstheme="minorBidi"/>
          <w:noProof/>
          <w:sz w:val="24"/>
          <w:szCs w:val="24"/>
          <w:lang w:val="en-AU" w:eastAsia="en-GB"/>
        </w:rPr>
        <w:tab/>
      </w:r>
      <w:r>
        <w:rPr>
          <w:noProof/>
        </w:rPr>
        <w:t>Bulk refrigerant imports</w:t>
      </w:r>
      <w:r>
        <w:rPr>
          <w:noProof/>
        </w:rPr>
        <w:tab/>
      </w:r>
      <w:r>
        <w:rPr>
          <w:noProof/>
        </w:rPr>
        <w:fldChar w:fldCharType="begin"/>
      </w:r>
      <w:r>
        <w:rPr>
          <w:noProof/>
        </w:rPr>
        <w:instrText xml:space="preserve"> PAGEREF _Toc19601311 \h </w:instrText>
      </w:r>
      <w:r>
        <w:rPr>
          <w:noProof/>
        </w:rPr>
      </w:r>
      <w:r>
        <w:rPr>
          <w:noProof/>
        </w:rPr>
        <w:fldChar w:fldCharType="separate"/>
      </w:r>
      <w:r>
        <w:rPr>
          <w:noProof/>
        </w:rPr>
        <w:t>70</w:t>
      </w:r>
      <w:r>
        <w:rPr>
          <w:noProof/>
        </w:rPr>
        <w:fldChar w:fldCharType="end"/>
      </w:r>
    </w:p>
    <w:p w14:paraId="3F8CEB76" w14:textId="3C113F4E" w:rsidR="002D5B2F" w:rsidRDefault="002D5B2F">
      <w:pPr>
        <w:pStyle w:val="TOC2"/>
        <w:rPr>
          <w:rFonts w:asciiTheme="minorHAnsi" w:eastAsiaTheme="minorEastAsia" w:hAnsiTheme="minorHAnsi" w:cstheme="minorBidi"/>
          <w:noProof/>
          <w:sz w:val="24"/>
          <w:szCs w:val="24"/>
          <w:lang w:val="en-AU" w:eastAsia="en-GB"/>
        </w:rPr>
      </w:pPr>
      <w:r w:rsidRPr="00EC5BF4">
        <w:rPr>
          <w:noProof/>
        </w:rPr>
        <w:t>7.3</w:t>
      </w:r>
      <w:r>
        <w:rPr>
          <w:rFonts w:asciiTheme="minorHAnsi" w:eastAsiaTheme="minorEastAsia" w:hAnsiTheme="minorHAnsi" w:cstheme="minorBidi"/>
          <w:noProof/>
          <w:sz w:val="24"/>
          <w:szCs w:val="24"/>
          <w:lang w:val="en-AU" w:eastAsia="en-GB"/>
        </w:rPr>
        <w:tab/>
      </w:r>
      <w:r>
        <w:rPr>
          <w:noProof/>
        </w:rPr>
        <w:t>Refrigerant usage – HCFCs and HFCs</w:t>
      </w:r>
      <w:r>
        <w:rPr>
          <w:noProof/>
        </w:rPr>
        <w:tab/>
      </w:r>
      <w:r>
        <w:rPr>
          <w:noProof/>
        </w:rPr>
        <w:fldChar w:fldCharType="begin"/>
      </w:r>
      <w:r>
        <w:rPr>
          <w:noProof/>
        </w:rPr>
        <w:instrText xml:space="preserve"> PAGEREF _Toc19601312 \h </w:instrText>
      </w:r>
      <w:r>
        <w:rPr>
          <w:noProof/>
        </w:rPr>
      </w:r>
      <w:r>
        <w:rPr>
          <w:noProof/>
        </w:rPr>
        <w:fldChar w:fldCharType="separate"/>
      </w:r>
      <w:r>
        <w:rPr>
          <w:noProof/>
        </w:rPr>
        <w:t>74</w:t>
      </w:r>
      <w:r>
        <w:rPr>
          <w:noProof/>
        </w:rPr>
        <w:fldChar w:fldCharType="end"/>
      </w:r>
    </w:p>
    <w:p w14:paraId="1C31E78F" w14:textId="2E0D7632" w:rsidR="002D5B2F" w:rsidRDefault="002D5B2F">
      <w:pPr>
        <w:pStyle w:val="TOC2"/>
        <w:rPr>
          <w:rFonts w:asciiTheme="minorHAnsi" w:eastAsiaTheme="minorEastAsia" w:hAnsiTheme="minorHAnsi" w:cstheme="minorBidi"/>
          <w:noProof/>
          <w:sz w:val="24"/>
          <w:szCs w:val="24"/>
          <w:lang w:val="en-AU" w:eastAsia="en-GB"/>
        </w:rPr>
      </w:pPr>
      <w:r w:rsidRPr="00EC5BF4">
        <w:rPr>
          <w:noProof/>
        </w:rPr>
        <w:t>7.4</w:t>
      </w:r>
      <w:r>
        <w:rPr>
          <w:rFonts w:asciiTheme="minorHAnsi" w:eastAsiaTheme="minorEastAsia" w:hAnsiTheme="minorHAnsi" w:cstheme="minorBidi"/>
          <w:noProof/>
          <w:sz w:val="24"/>
          <w:szCs w:val="24"/>
          <w:lang w:val="en-AU" w:eastAsia="en-GB"/>
        </w:rPr>
        <w:tab/>
      </w:r>
      <w:r>
        <w:rPr>
          <w:noProof/>
        </w:rPr>
        <w:t>Hydrofluoro-olefin refrigerants</w:t>
      </w:r>
      <w:r>
        <w:rPr>
          <w:noProof/>
        </w:rPr>
        <w:tab/>
      </w:r>
      <w:r>
        <w:rPr>
          <w:noProof/>
        </w:rPr>
        <w:fldChar w:fldCharType="begin"/>
      </w:r>
      <w:r>
        <w:rPr>
          <w:noProof/>
        </w:rPr>
        <w:instrText xml:space="preserve"> PAGEREF _Toc19601313 \h </w:instrText>
      </w:r>
      <w:r>
        <w:rPr>
          <w:noProof/>
        </w:rPr>
      </w:r>
      <w:r>
        <w:rPr>
          <w:noProof/>
        </w:rPr>
        <w:fldChar w:fldCharType="separate"/>
      </w:r>
      <w:r>
        <w:rPr>
          <w:noProof/>
        </w:rPr>
        <w:t>76</w:t>
      </w:r>
      <w:r>
        <w:rPr>
          <w:noProof/>
        </w:rPr>
        <w:fldChar w:fldCharType="end"/>
      </w:r>
    </w:p>
    <w:p w14:paraId="418D1CAF" w14:textId="56E8DCEE" w:rsidR="002D5B2F" w:rsidRDefault="002D5B2F">
      <w:pPr>
        <w:pStyle w:val="TOC2"/>
        <w:rPr>
          <w:rFonts w:asciiTheme="minorHAnsi" w:eastAsiaTheme="minorEastAsia" w:hAnsiTheme="minorHAnsi" w:cstheme="minorBidi"/>
          <w:noProof/>
          <w:sz w:val="24"/>
          <w:szCs w:val="24"/>
          <w:lang w:val="en-AU" w:eastAsia="en-GB"/>
        </w:rPr>
      </w:pPr>
      <w:r w:rsidRPr="00EC5BF4">
        <w:rPr>
          <w:noProof/>
        </w:rPr>
        <w:t>7.5</w:t>
      </w:r>
      <w:r>
        <w:rPr>
          <w:rFonts w:asciiTheme="minorHAnsi" w:eastAsiaTheme="minorEastAsia" w:hAnsiTheme="minorHAnsi" w:cstheme="minorBidi"/>
          <w:noProof/>
          <w:sz w:val="24"/>
          <w:szCs w:val="24"/>
          <w:lang w:val="en-AU" w:eastAsia="en-GB"/>
        </w:rPr>
        <w:tab/>
      </w:r>
      <w:r>
        <w:rPr>
          <w:noProof/>
        </w:rPr>
        <w:t>Refrigerant usage projection and the HFC phase down</w:t>
      </w:r>
      <w:r>
        <w:rPr>
          <w:noProof/>
        </w:rPr>
        <w:tab/>
      </w:r>
      <w:r>
        <w:rPr>
          <w:noProof/>
        </w:rPr>
        <w:fldChar w:fldCharType="begin"/>
      </w:r>
      <w:r>
        <w:rPr>
          <w:noProof/>
        </w:rPr>
        <w:instrText xml:space="preserve"> PAGEREF _Toc19601314 \h </w:instrText>
      </w:r>
      <w:r>
        <w:rPr>
          <w:noProof/>
        </w:rPr>
      </w:r>
      <w:r>
        <w:rPr>
          <w:noProof/>
        </w:rPr>
        <w:fldChar w:fldCharType="separate"/>
      </w:r>
      <w:r>
        <w:rPr>
          <w:noProof/>
        </w:rPr>
        <w:t>76</w:t>
      </w:r>
      <w:r>
        <w:rPr>
          <w:noProof/>
        </w:rPr>
        <w:fldChar w:fldCharType="end"/>
      </w:r>
    </w:p>
    <w:p w14:paraId="5D924734" w14:textId="6602AAB3" w:rsidR="002D5B2F" w:rsidRDefault="002D5B2F">
      <w:pPr>
        <w:pStyle w:val="TOC1"/>
        <w:rPr>
          <w:rFonts w:asciiTheme="minorHAnsi" w:eastAsiaTheme="minorEastAsia" w:hAnsiTheme="minorHAnsi" w:cstheme="minorBidi"/>
          <w:b w:val="0"/>
          <w:color w:val="auto"/>
          <w:lang w:val="en-AU" w:eastAsia="en-GB"/>
        </w:rPr>
      </w:pPr>
      <w:r>
        <w:t>8</w:t>
      </w:r>
      <w:r>
        <w:rPr>
          <w:rFonts w:asciiTheme="minorHAnsi" w:eastAsiaTheme="minorEastAsia" w:hAnsiTheme="minorHAnsi" w:cstheme="minorBidi"/>
          <w:b w:val="0"/>
          <w:color w:val="auto"/>
          <w:lang w:val="en-AU" w:eastAsia="en-GB"/>
        </w:rPr>
        <w:tab/>
      </w:r>
      <w:r>
        <w:t>Natural refrigerants</w:t>
      </w:r>
      <w:r>
        <w:tab/>
      </w:r>
      <w:r>
        <w:fldChar w:fldCharType="begin"/>
      </w:r>
      <w:r>
        <w:instrText xml:space="preserve"> PAGEREF _Toc19601315 \h </w:instrText>
      </w:r>
      <w:r>
        <w:fldChar w:fldCharType="separate"/>
      </w:r>
      <w:r>
        <w:t>79</w:t>
      </w:r>
      <w:r>
        <w:fldChar w:fldCharType="end"/>
      </w:r>
    </w:p>
    <w:p w14:paraId="4FC289BB" w14:textId="43834BEF" w:rsidR="002D5B2F" w:rsidRDefault="002D5B2F">
      <w:pPr>
        <w:pStyle w:val="TOC2"/>
        <w:rPr>
          <w:rFonts w:asciiTheme="minorHAnsi" w:eastAsiaTheme="minorEastAsia" w:hAnsiTheme="minorHAnsi" w:cstheme="minorBidi"/>
          <w:noProof/>
          <w:sz w:val="24"/>
          <w:szCs w:val="24"/>
          <w:lang w:val="en-AU" w:eastAsia="en-GB"/>
        </w:rPr>
      </w:pPr>
      <w:r w:rsidRPr="00EC5BF4">
        <w:rPr>
          <w:noProof/>
        </w:rPr>
        <w:t>8.1</w:t>
      </w:r>
      <w:r>
        <w:rPr>
          <w:rFonts w:asciiTheme="minorHAnsi" w:eastAsiaTheme="minorEastAsia" w:hAnsiTheme="minorHAnsi" w:cstheme="minorBidi"/>
          <w:noProof/>
          <w:sz w:val="24"/>
          <w:szCs w:val="24"/>
          <w:lang w:val="en-AU" w:eastAsia="en-GB"/>
        </w:rPr>
        <w:tab/>
      </w:r>
      <w:r>
        <w:rPr>
          <w:noProof/>
        </w:rPr>
        <w:t>Ammonia refrigerant</w:t>
      </w:r>
      <w:r>
        <w:rPr>
          <w:noProof/>
        </w:rPr>
        <w:tab/>
      </w:r>
      <w:r>
        <w:rPr>
          <w:noProof/>
        </w:rPr>
        <w:fldChar w:fldCharType="begin"/>
      </w:r>
      <w:r>
        <w:rPr>
          <w:noProof/>
        </w:rPr>
        <w:instrText xml:space="preserve"> PAGEREF _Toc19601316 \h </w:instrText>
      </w:r>
      <w:r>
        <w:rPr>
          <w:noProof/>
        </w:rPr>
      </w:r>
      <w:r>
        <w:rPr>
          <w:noProof/>
        </w:rPr>
        <w:fldChar w:fldCharType="separate"/>
      </w:r>
      <w:r>
        <w:rPr>
          <w:noProof/>
        </w:rPr>
        <w:t>79</w:t>
      </w:r>
      <w:r>
        <w:rPr>
          <w:noProof/>
        </w:rPr>
        <w:fldChar w:fldCharType="end"/>
      </w:r>
    </w:p>
    <w:p w14:paraId="752A9DBA" w14:textId="399EA010" w:rsidR="002D5B2F" w:rsidRDefault="002D5B2F">
      <w:pPr>
        <w:pStyle w:val="TOC2"/>
        <w:rPr>
          <w:rFonts w:asciiTheme="minorHAnsi" w:eastAsiaTheme="minorEastAsia" w:hAnsiTheme="minorHAnsi" w:cstheme="minorBidi"/>
          <w:noProof/>
          <w:sz w:val="24"/>
          <w:szCs w:val="24"/>
          <w:lang w:val="en-AU" w:eastAsia="en-GB"/>
        </w:rPr>
      </w:pPr>
      <w:r w:rsidRPr="00EC5BF4">
        <w:rPr>
          <w:noProof/>
        </w:rPr>
        <w:t>8.2</w:t>
      </w:r>
      <w:r>
        <w:rPr>
          <w:rFonts w:asciiTheme="minorHAnsi" w:eastAsiaTheme="minorEastAsia" w:hAnsiTheme="minorHAnsi" w:cstheme="minorBidi"/>
          <w:noProof/>
          <w:sz w:val="24"/>
          <w:szCs w:val="24"/>
          <w:lang w:val="en-AU" w:eastAsia="en-GB"/>
        </w:rPr>
        <w:tab/>
      </w:r>
      <w:r>
        <w:rPr>
          <w:noProof/>
        </w:rPr>
        <w:t>Carbon dioxide refrigerant</w:t>
      </w:r>
      <w:r>
        <w:rPr>
          <w:noProof/>
        </w:rPr>
        <w:tab/>
      </w:r>
      <w:r>
        <w:rPr>
          <w:noProof/>
        </w:rPr>
        <w:fldChar w:fldCharType="begin"/>
      </w:r>
      <w:r>
        <w:rPr>
          <w:noProof/>
        </w:rPr>
        <w:instrText xml:space="preserve"> PAGEREF _Toc19601317 \h </w:instrText>
      </w:r>
      <w:r>
        <w:rPr>
          <w:noProof/>
        </w:rPr>
      </w:r>
      <w:r>
        <w:rPr>
          <w:noProof/>
        </w:rPr>
        <w:fldChar w:fldCharType="separate"/>
      </w:r>
      <w:r>
        <w:rPr>
          <w:noProof/>
        </w:rPr>
        <w:t>81</w:t>
      </w:r>
      <w:r>
        <w:rPr>
          <w:noProof/>
        </w:rPr>
        <w:fldChar w:fldCharType="end"/>
      </w:r>
    </w:p>
    <w:p w14:paraId="7EF1DDC1" w14:textId="6922CA75" w:rsidR="002D5B2F" w:rsidRDefault="002D5B2F">
      <w:pPr>
        <w:pStyle w:val="TOC2"/>
        <w:rPr>
          <w:rFonts w:asciiTheme="minorHAnsi" w:eastAsiaTheme="minorEastAsia" w:hAnsiTheme="minorHAnsi" w:cstheme="minorBidi"/>
          <w:noProof/>
          <w:sz w:val="24"/>
          <w:szCs w:val="24"/>
          <w:lang w:val="en-AU" w:eastAsia="en-GB"/>
        </w:rPr>
      </w:pPr>
      <w:r w:rsidRPr="00EC5BF4">
        <w:rPr>
          <w:noProof/>
        </w:rPr>
        <w:t>8.3</w:t>
      </w:r>
      <w:r>
        <w:rPr>
          <w:rFonts w:asciiTheme="minorHAnsi" w:eastAsiaTheme="minorEastAsia" w:hAnsiTheme="minorHAnsi" w:cstheme="minorBidi"/>
          <w:noProof/>
          <w:sz w:val="24"/>
          <w:szCs w:val="24"/>
          <w:lang w:val="en-AU" w:eastAsia="en-GB"/>
        </w:rPr>
        <w:tab/>
      </w:r>
      <w:r>
        <w:rPr>
          <w:noProof/>
        </w:rPr>
        <w:t>Hydrocarbon refrigerant</w:t>
      </w:r>
      <w:r>
        <w:rPr>
          <w:noProof/>
        </w:rPr>
        <w:tab/>
      </w:r>
      <w:r>
        <w:rPr>
          <w:noProof/>
        </w:rPr>
        <w:fldChar w:fldCharType="begin"/>
      </w:r>
      <w:r>
        <w:rPr>
          <w:noProof/>
        </w:rPr>
        <w:instrText xml:space="preserve"> PAGEREF _Toc19601318 \h </w:instrText>
      </w:r>
      <w:r>
        <w:rPr>
          <w:noProof/>
        </w:rPr>
      </w:r>
      <w:r>
        <w:rPr>
          <w:noProof/>
        </w:rPr>
        <w:fldChar w:fldCharType="separate"/>
      </w:r>
      <w:r>
        <w:rPr>
          <w:noProof/>
        </w:rPr>
        <w:t>81</w:t>
      </w:r>
      <w:r>
        <w:rPr>
          <w:noProof/>
        </w:rPr>
        <w:fldChar w:fldCharType="end"/>
      </w:r>
    </w:p>
    <w:p w14:paraId="1FD5389D" w14:textId="1AF4C552" w:rsidR="002D5B2F" w:rsidRDefault="002D5B2F">
      <w:pPr>
        <w:pStyle w:val="TOC2"/>
        <w:rPr>
          <w:rFonts w:asciiTheme="minorHAnsi" w:eastAsiaTheme="minorEastAsia" w:hAnsiTheme="minorHAnsi" w:cstheme="minorBidi"/>
          <w:noProof/>
          <w:sz w:val="24"/>
          <w:szCs w:val="24"/>
          <w:lang w:val="en-AU" w:eastAsia="en-GB"/>
        </w:rPr>
      </w:pPr>
      <w:r w:rsidRPr="00EC5BF4">
        <w:rPr>
          <w:noProof/>
        </w:rPr>
        <w:t>8.4</w:t>
      </w:r>
      <w:r>
        <w:rPr>
          <w:rFonts w:asciiTheme="minorHAnsi" w:eastAsiaTheme="minorEastAsia" w:hAnsiTheme="minorHAnsi" w:cstheme="minorBidi"/>
          <w:noProof/>
          <w:sz w:val="24"/>
          <w:szCs w:val="24"/>
          <w:lang w:val="en-AU" w:eastAsia="en-GB"/>
        </w:rPr>
        <w:tab/>
      </w:r>
      <w:r>
        <w:rPr>
          <w:noProof/>
        </w:rPr>
        <w:t>Natural refrigerant bank</w:t>
      </w:r>
      <w:r>
        <w:rPr>
          <w:noProof/>
        </w:rPr>
        <w:tab/>
      </w:r>
      <w:r>
        <w:rPr>
          <w:noProof/>
        </w:rPr>
        <w:fldChar w:fldCharType="begin"/>
      </w:r>
      <w:r>
        <w:rPr>
          <w:noProof/>
        </w:rPr>
        <w:instrText xml:space="preserve"> PAGEREF _Toc19601319 \h </w:instrText>
      </w:r>
      <w:r>
        <w:rPr>
          <w:noProof/>
        </w:rPr>
      </w:r>
      <w:r>
        <w:rPr>
          <w:noProof/>
        </w:rPr>
        <w:fldChar w:fldCharType="separate"/>
      </w:r>
      <w:r>
        <w:rPr>
          <w:noProof/>
        </w:rPr>
        <w:t>83</w:t>
      </w:r>
      <w:r>
        <w:rPr>
          <w:noProof/>
        </w:rPr>
        <w:fldChar w:fldCharType="end"/>
      </w:r>
    </w:p>
    <w:p w14:paraId="51E9B07B" w14:textId="3FC0CCB4" w:rsidR="002D5B2F" w:rsidRDefault="002D5B2F">
      <w:pPr>
        <w:pStyle w:val="TOC1"/>
        <w:rPr>
          <w:rFonts w:asciiTheme="minorHAnsi" w:eastAsiaTheme="minorEastAsia" w:hAnsiTheme="minorHAnsi" w:cstheme="minorBidi"/>
          <w:b w:val="0"/>
          <w:color w:val="auto"/>
          <w:lang w:val="en-AU" w:eastAsia="en-GB"/>
        </w:rPr>
      </w:pPr>
      <w:r>
        <w:t>Glossary</w:t>
      </w:r>
      <w:r>
        <w:tab/>
      </w:r>
      <w:r>
        <w:fldChar w:fldCharType="begin"/>
      </w:r>
      <w:r>
        <w:instrText xml:space="preserve"> PAGEREF _Toc19601320 \h </w:instrText>
      </w:r>
      <w:r>
        <w:fldChar w:fldCharType="separate"/>
      </w:r>
      <w:r>
        <w:t>84</w:t>
      </w:r>
      <w:r>
        <w:fldChar w:fldCharType="end"/>
      </w:r>
    </w:p>
    <w:p w14:paraId="0D244989" w14:textId="728506A0" w:rsidR="002D5B2F" w:rsidRDefault="002D5B2F">
      <w:pPr>
        <w:pStyle w:val="TOC1"/>
        <w:rPr>
          <w:rFonts w:asciiTheme="minorHAnsi" w:eastAsiaTheme="minorEastAsia" w:hAnsiTheme="minorHAnsi" w:cstheme="minorBidi"/>
          <w:b w:val="0"/>
          <w:color w:val="auto"/>
          <w:lang w:val="en-AU" w:eastAsia="en-GB"/>
        </w:rPr>
      </w:pPr>
      <w:r>
        <w:t>Abbreviations</w:t>
      </w:r>
      <w:r>
        <w:tab/>
      </w:r>
      <w:r>
        <w:fldChar w:fldCharType="begin"/>
      </w:r>
      <w:r>
        <w:instrText xml:space="preserve"> PAGEREF _Toc19601321 \h </w:instrText>
      </w:r>
      <w:r>
        <w:fldChar w:fldCharType="separate"/>
      </w:r>
      <w:r>
        <w:t>90</w:t>
      </w:r>
      <w:r>
        <w:fldChar w:fldCharType="end"/>
      </w:r>
    </w:p>
    <w:p w14:paraId="4425C0FF" w14:textId="0C4B961F" w:rsidR="002D5B2F" w:rsidRDefault="002D5B2F">
      <w:pPr>
        <w:pStyle w:val="TOC1"/>
        <w:rPr>
          <w:rFonts w:asciiTheme="minorHAnsi" w:eastAsiaTheme="minorEastAsia" w:hAnsiTheme="minorHAnsi" w:cstheme="minorBidi"/>
          <w:b w:val="0"/>
          <w:color w:val="auto"/>
          <w:lang w:val="en-AU" w:eastAsia="en-GB"/>
        </w:rPr>
      </w:pPr>
      <w:r>
        <w:t>References</w:t>
      </w:r>
      <w:r>
        <w:tab/>
      </w:r>
      <w:r>
        <w:fldChar w:fldCharType="begin"/>
      </w:r>
      <w:r>
        <w:instrText xml:space="preserve"> PAGEREF _Toc19601322 \h </w:instrText>
      </w:r>
      <w:r>
        <w:fldChar w:fldCharType="separate"/>
      </w:r>
      <w:r>
        <w:t>92</w:t>
      </w:r>
      <w:r>
        <w:fldChar w:fldCharType="end"/>
      </w:r>
    </w:p>
    <w:p w14:paraId="37869DD9" w14:textId="27423570" w:rsidR="00BC52AB" w:rsidRDefault="002D5B2F" w:rsidP="009A23AA">
      <w:pPr>
        <w:rPr>
          <w:rFonts w:asciiTheme="majorHAnsi" w:hAnsiTheme="majorHAnsi"/>
          <w:sz w:val="36"/>
          <w:szCs w:val="36"/>
        </w:rPr>
      </w:pPr>
      <w:r>
        <w:rPr>
          <w:rFonts w:ascii="Verdana" w:eastAsia="Times New Roman" w:hAnsi="Verdana" w:cs="Times New Roman"/>
          <w:b/>
          <w:noProof/>
          <w:color w:val="31849B" w:themeColor="accent5" w:themeShade="BF"/>
          <w:sz w:val="20"/>
          <w:szCs w:val="20"/>
          <w:lang w:val="en-US"/>
        </w:rPr>
        <w:fldChar w:fldCharType="end"/>
      </w:r>
      <w:r w:rsidR="003937A5" w:rsidRPr="00BE3B27">
        <w:rPr>
          <w:rFonts w:asciiTheme="majorHAnsi" w:hAnsiTheme="majorHAnsi"/>
          <w:sz w:val="36"/>
          <w:szCs w:val="36"/>
        </w:rPr>
        <w:t>Appendices</w:t>
      </w:r>
    </w:p>
    <w:p w14:paraId="7DEC9A65" w14:textId="65087E2A" w:rsidR="0017046D" w:rsidRDefault="0017046D" w:rsidP="009A23AA">
      <w:pPr>
        <w:spacing w:before="60"/>
        <w:rPr>
          <w:rFonts w:ascii="Calibri" w:hAnsi="Calibri"/>
          <w:b/>
          <w:noProof/>
          <w:color w:val="31849B" w:themeColor="accent5" w:themeShade="BF"/>
        </w:rPr>
      </w:pPr>
      <w:r>
        <w:rPr>
          <w:rFonts w:ascii="Calibri" w:hAnsi="Calibri"/>
          <w:b/>
          <w:noProof/>
          <w:color w:val="31849B" w:themeColor="accent5" w:themeShade="BF"/>
        </w:rPr>
        <w:t xml:space="preserve">Appendix A: </w:t>
      </w:r>
      <w:r w:rsidRPr="0017046D">
        <w:rPr>
          <w:rFonts w:ascii="Calibri" w:hAnsi="Calibri"/>
          <w:b/>
          <w:noProof/>
          <w:color w:val="31849B" w:themeColor="accent5" w:themeShade="BF"/>
        </w:rPr>
        <w:t>Methodology – Taxonomy, data and assumptions</w:t>
      </w:r>
    </w:p>
    <w:p w14:paraId="1FE78950" w14:textId="6F4D2761" w:rsidR="00BC52AB" w:rsidRPr="00BC52AB" w:rsidRDefault="00BC52AB" w:rsidP="009A23AA">
      <w:pPr>
        <w:spacing w:before="60"/>
        <w:rPr>
          <w:rFonts w:ascii="Calibri" w:hAnsi="Calibri"/>
          <w:b/>
          <w:noProof/>
          <w:color w:val="31849B" w:themeColor="accent5" w:themeShade="BF"/>
        </w:rPr>
      </w:pPr>
      <w:r w:rsidRPr="00BC52AB">
        <w:rPr>
          <w:rFonts w:ascii="Calibri" w:hAnsi="Calibri"/>
          <w:b/>
          <w:noProof/>
          <w:color w:val="31849B" w:themeColor="accent5" w:themeShade="BF"/>
        </w:rPr>
        <w:t xml:space="preserve">Appendix </w:t>
      </w:r>
      <w:r w:rsidR="00CE6F99">
        <w:rPr>
          <w:rFonts w:ascii="Calibri" w:hAnsi="Calibri"/>
          <w:b/>
          <w:noProof/>
          <w:color w:val="31849B" w:themeColor="accent5" w:themeShade="BF"/>
        </w:rPr>
        <w:t>B</w:t>
      </w:r>
      <w:r>
        <w:rPr>
          <w:rFonts w:ascii="Calibri" w:hAnsi="Calibri"/>
          <w:b/>
          <w:noProof/>
          <w:color w:val="31849B" w:themeColor="accent5" w:themeShade="BF"/>
        </w:rPr>
        <w:t>: Spread-sheet</w:t>
      </w:r>
      <w:r w:rsidRPr="00BC52AB">
        <w:rPr>
          <w:rFonts w:ascii="Calibri" w:hAnsi="Calibri"/>
          <w:b/>
          <w:noProof/>
          <w:color w:val="31849B" w:themeColor="accent5" w:themeShade="BF"/>
        </w:rPr>
        <w:t xml:space="preserve"> </w:t>
      </w:r>
    </w:p>
    <w:p w14:paraId="195834DD" w14:textId="77777777" w:rsidR="00D53C36" w:rsidRDefault="00D53C36" w:rsidP="009A23AA">
      <w:pPr>
        <w:spacing w:before="60"/>
        <w:rPr>
          <w:rFonts w:ascii="Calibri" w:hAnsi="Calibri"/>
          <w:b/>
          <w:noProof/>
          <w:color w:val="31849B" w:themeColor="accent5" w:themeShade="BF"/>
        </w:rPr>
      </w:pPr>
      <w:r>
        <w:rPr>
          <w:rFonts w:ascii="Calibri" w:hAnsi="Calibri"/>
          <w:b/>
          <w:noProof/>
          <w:color w:val="31849B" w:themeColor="accent5" w:themeShade="BF"/>
        </w:rPr>
        <w:t>B</w:t>
      </w:r>
      <w:r w:rsidRPr="00971069">
        <w:rPr>
          <w:rFonts w:ascii="Calibri" w:hAnsi="Calibri"/>
          <w:b/>
          <w:noProof/>
          <w:color w:val="31849B" w:themeColor="accent5" w:themeShade="BF"/>
        </w:rPr>
        <w:t>1: CHF3 Taxonomy</w:t>
      </w:r>
    </w:p>
    <w:p w14:paraId="67F0C784" w14:textId="376D3141" w:rsidR="00D53C36" w:rsidRDefault="00D53C36" w:rsidP="009A23AA">
      <w:pPr>
        <w:spacing w:before="60"/>
        <w:rPr>
          <w:rFonts w:ascii="Calibri" w:hAnsi="Calibri"/>
          <w:b/>
          <w:noProof/>
          <w:color w:val="31849B" w:themeColor="accent5" w:themeShade="BF"/>
        </w:rPr>
      </w:pPr>
      <w:r>
        <w:rPr>
          <w:rFonts w:ascii="Calibri" w:hAnsi="Calibri"/>
          <w:b/>
          <w:noProof/>
          <w:color w:val="31849B" w:themeColor="accent5" w:themeShade="BF"/>
        </w:rPr>
        <w:t>B2</w:t>
      </w:r>
      <w:r w:rsidR="00231A8A">
        <w:rPr>
          <w:rFonts w:ascii="Calibri" w:hAnsi="Calibri"/>
          <w:b/>
          <w:noProof/>
          <w:color w:val="31849B" w:themeColor="accent5" w:themeShade="BF"/>
        </w:rPr>
        <w:t>.1</w:t>
      </w:r>
      <w:r>
        <w:rPr>
          <w:rFonts w:ascii="Calibri" w:hAnsi="Calibri"/>
          <w:b/>
          <w:noProof/>
          <w:color w:val="31849B" w:themeColor="accent5" w:themeShade="BF"/>
        </w:rPr>
        <w:t xml:space="preserve">: </w:t>
      </w:r>
      <w:r w:rsidRPr="00F60475">
        <w:rPr>
          <w:rFonts w:ascii="Calibri" w:hAnsi="Calibri"/>
          <w:b/>
          <w:noProof/>
          <w:color w:val="31849B" w:themeColor="accent5" w:themeShade="BF"/>
        </w:rPr>
        <w:t>New equipment sales mix by equipment type: Input units</w:t>
      </w:r>
    </w:p>
    <w:p w14:paraId="7E941D13" w14:textId="6B838E53" w:rsidR="00231A8A" w:rsidRDefault="00231A8A" w:rsidP="009A23AA">
      <w:pPr>
        <w:spacing w:before="60"/>
        <w:rPr>
          <w:rFonts w:ascii="Calibri" w:hAnsi="Calibri"/>
          <w:b/>
          <w:noProof/>
          <w:color w:val="31849B" w:themeColor="accent5" w:themeShade="BF"/>
        </w:rPr>
      </w:pPr>
      <w:r>
        <w:rPr>
          <w:rFonts w:ascii="Calibri" w:hAnsi="Calibri"/>
          <w:b/>
          <w:noProof/>
          <w:color w:val="31849B" w:themeColor="accent5" w:themeShade="BF"/>
        </w:rPr>
        <w:t xml:space="preserve">B2.2: </w:t>
      </w:r>
      <w:r w:rsidRPr="00F60475">
        <w:rPr>
          <w:rFonts w:ascii="Calibri" w:hAnsi="Calibri"/>
          <w:b/>
          <w:noProof/>
          <w:color w:val="31849B" w:themeColor="accent5" w:themeShade="BF"/>
        </w:rPr>
        <w:t xml:space="preserve">New equipment sales mix by equipment type: </w:t>
      </w:r>
      <w:r>
        <w:rPr>
          <w:rFonts w:ascii="Calibri" w:hAnsi="Calibri"/>
          <w:b/>
          <w:noProof/>
          <w:color w:val="31849B" w:themeColor="accent5" w:themeShade="BF"/>
        </w:rPr>
        <w:t>Refrigerant mass outputs</w:t>
      </w:r>
    </w:p>
    <w:p w14:paraId="1B230CDD" w14:textId="77777777" w:rsidR="00D53C36" w:rsidRDefault="00D53C36" w:rsidP="009A23AA">
      <w:pPr>
        <w:spacing w:before="60"/>
        <w:rPr>
          <w:rFonts w:ascii="Calibri" w:hAnsi="Calibri"/>
          <w:b/>
          <w:noProof/>
          <w:color w:val="31849B" w:themeColor="accent5" w:themeShade="BF"/>
        </w:rPr>
      </w:pPr>
      <w:r>
        <w:rPr>
          <w:rFonts w:ascii="Calibri" w:hAnsi="Calibri"/>
          <w:b/>
          <w:noProof/>
          <w:color w:val="31849B" w:themeColor="accent5" w:themeShade="BF"/>
        </w:rPr>
        <w:t>B3</w:t>
      </w:r>
      <w:r w:rsidRPr="00817175">
        <w:rPr>
          <w:rFonts w:ascii="Calibri" w:hAnsi="Calibri"/>
          <w:b/>
          <w:noProof/>
          <w:color w:val="31849B" w:themeColor="accent5" w:themeShade="BF"/>
        </w:rPr>
        <w:t xml:space="preserve">: Bank projections by </w:t>
      </w:r>
      <w:r>
        <w:rPr>
          <w:rFonts w:ascii="Calibri" w:hAnsi="Calibri"/>
          <w:b/>
          <w:noProof/>
          <w:color w:val="31849B" w:themeColor="accent5" w:themeShade="BF"/>
        </w:rPr>
        <w:t>c</w:t>
      </w:r>
      <w:r w:rsidRPr="00817175">
        <w:rPr>
          <w:rFonts w:ascii="Calibri" w:hAnsi="Calibri"/>
          <w:b/>
          <w:noProof/>
          <w:color w:val="31849B" w:themeColor="accent5" w:themeShade="BF"/>
        </w:rPr>
        <w:t xml:space="preserve">lass and </w:t>
      </w:r>
      <w:r>
        <w:rPr>
          <w:rFonts w:ascii="Calibri" w:hAnsi="Calibri"/>
          <w:b/>
          <w:noProof/>
          <w:color w:val="31849B" w:themeColor="accent5" w:themeShade="BF"/>
        </w:rPr>
        <w:t>s</w:t>
      </w:r>
      <w:r w:rsidRPr="00817175">
        <w:rPr>
          <w:rFonts w:ascii="Calibri" w:hAnsi="Calibri"/>
          <w:b/>
          <w:noProof/>
          <w:color w:val="31849B" w:themeColor="accent5" w:themeShade="BF"/>
        </w:rPr>
        <w:t>egment</w:t>
      </w:r>
    </w:p>
    <w:p w14:paraId="2AB14211" w14:textId="35BF86BE" w:rsidR="00D53C36" w:rsidRDefault="00D53C36" w:rsidP="009A23AA">
      <w:pPr>
        <w:spacing w:before="60"/>
        <w:rPr>
          <w:rFonts w:ascii="Calibri" w:hAnsi="Calibri"/>
          <w:b/>
          <w:noProof/>
          <w:color w:val="31849B" w:themeColor="accent5" w:themeShade="BF"/>
        </w:rPr>
      </w:pPr>
      <w:r>
        <w:rPr>
          <w:rFonts w:ascii="Calibri" w:hAnsi="Calibri"/>
          <w:b/>
          <w:noProof/>
          <w:color w:val="31849B" w:themeColor="accent5" w:themeShade="BF"/>
        </w:rPr>
        <w:t>B4</w:t>
      </w:r>
      <w:r w:rsidR="00231A8A">
        <w:rPr>
          <w:rFonts w:ascii="Calibri" w:hAnsi="Calibri"/>
          <w:b/>
          <w:noProof/>
          <w:color w:val="31849B" w:themeColor="accent5" w:themeShade="BF"/>
        </w:rPr>
        <w:t>.1</w:t>
      </w:r>
      <w:r>
        <w:rPr>
          <w:rFonts w:ascii="Calibri" w:hAnsi="Calibri"/>
          <w:b/>
          <w:noProof/>
          <w:color w:val="31849B" w:themeColor="accent5" w:themeShade="BF"/>
        </w:rPr>
        <w:t>: Bulk imports and pre-charged equipment imports</w:t>
      </w:r>
    </w:p>
    <w:p w14:paraId="6D406076" w14:textId="001C9128" w:rsidR="00D53C36" w:rsidRDefault="00D53C36" w:rsidP="009A23AA">
      <w:pPr>
        <w:spacing w:before="60"/>
        <w:rPr>
          <w:rFonts w:ascii="Calibri" w:hAnsi="Calibri"/>
          <w:b/>
          <w:noProof/>
          <w:color w:val="31849B" w:themeColor="accent5" w:themeShade="BF"/>
        </w:rPr>
      </w:pPr>
      <w:r>
        <w:rPr>
          <w:rFonts w:ascii="Calibri" w:hAnsi="Calibri"/>
          <w:b/>
          <w:noProof/>
          <w:color w:val="31849B" w:themeColor="accent5" w:themeShade="BF"/>
        </w:rPr>
        <w:t>B</w:t>
      </w:r>
      <w:r w:rsidR="00231A8A">
        <w:rPr>
          <w:rFonts w:ascii="Calibri" w:hAnsi="Calibri"/>
          <w:b/>
          <w:noProof/>
          <w:color w:val="31849B" w:themeColor="accent5" w:themeShade="BF"/>
        </w:rPr>
        <w:t>4.2</w:t>
      </w:r>
      <w:r>
        <w:rPr>
          <w:rFonts w:ascii="Calibri" w:hAnsi="Calibri"/>
          <w:b/>
          <w:noProof/>
          <w:color w:val="31849B" w:themeColor="accent5" w:themeShade="BF"/>
        </w:rPr>
        <w:t xml:space="preserve">: </w:t>
      </w:r>
      <w:r w:rsidRPr="00C648CF">
        <w:rPr>
          <w:rFonts w:ascii="Calibri" w:hAnsi="Calibri"/>
          <w:b/>
          <w:noProof/>
          <w:color w:val="31849B" w:themeColor="accent5" w:themeShade="BF"/>
        </w:rPr>
        <w:t>Stationary AC: Pre-charged equipment imports</w:t>
      </w:r>
    </w:p>
    <w:p w14:paraId="59C18A59" w14:textId="11D8D742" w:rsidR="00D53C36" w:rsidRDefault="00D53C36" w:rsidP="009A23AA">
      <w:pPr>
        <w:spacing w:before="60"/>
        <w:rPr>
          <w:rFonts w:ascii="Calibri" w:hAnsi="Calibri"/>
          <w:b/>
          <w:noProof/>
          <w:color w:val="31849B" w:themeColor="accent5" w:themeShade="BF"/>
        </w:rPr>
      </w:pPr>
      <w:r>
        <w:rPr>
          <w:rFonts w:ascii="Calibri" w:hAnsi="Calibri"/>
          <w:b/>
          <w:noProof/>
          <w:color w:val="31849B" w:themeColor="accent5" w:themeShade="BF"/>
        </w:rPr>
        <w:t>B</w:t>
      </w:r>
      <w:r w:rsidR="00231A8A">
        <w:rPr>
          <w:rFonts w:ascii="Calibri" w:hAnsi="Calibri"/>
          <w:b/>
          <w:noProof/>
          <w:color w:val="31849B" w:themeColor="accent5" w:themeShade="BF"/>
        </w:rPr>
        <w:t>5</w:t>
      </w:r>
      <w:r>
        <w:rPr>
          <w:rFonts w:ascii="Calibri" w:hAnsi="Calibri"/>
          <w:b/>
          <w:noProof/>
          <w:color w:val="31849B" w:themeColor="accent5" w:themeShade="BF"/>
        </w:rPr>
        <w:t>: Usage in tonnes, and CO</w:t>
      </w:r>
      <w:r w:rsidRPr="009842EF">
        <w:rPr>
          <w:rFonts w:ascii="Calibri" w:hAnsi="Calibri"/>
          <w:b/>
          <w:noProof/>
          <w:color w:val="31849B" w:themeColor="accent5" w:themeShade="BF"/>
          <w:vertAlign w:val="subscript"/>
        </w:rPr>
        <w:t>2</w:t>
      </w:r>
      <w:r>
        <w:rPr>
          <w:rFonts w:ascii="Calibri" w:hAnsi="Calibri"/>
          <w:b/>
          <w:noProof/>
          <w:color w:val="31849B" w:themeColor="accent5" w:themeShade="BF"/>
        </w:rPr>
        <w:t>e versus phase down schedules</w:t>
      </w:r>
    </w:p>
    <w:p w14:paraId="52FFAE65" w14:textId="77777777" w:rsidR="005120BE" w:rsidRDefault="005120BE" w:rsidP="009A23AA">
      <w:pPr>
        <w:rPr>
          <w:rFonts w:ascii="Calibri" w:hAnsi="Calibri"/>
          <w:b/>
          <w:noProof/>
          <w:color w:val="31849B" w:themeColor="accent5" w:themeShade="BF"/>
        </w:rPr>
      </w:pPr>
    </w:p>
    <w:p w14:paraId="2EA556DE" w14:textId="5BA86BC0" w:rsidR="003937A5" w:rsidRPr="003937A5" w:rsidRDefault="003937A5" w:rsidP="009A23AA">
      <w:pPr>
        <w:rPr>
          <w:rFonts w:asciiTheme="majorHAnsi" w:hAnsiTheme="majorHAnsi"/>
          <w:sz w:val="36"/>
          <w:szCs w:val="36"/>
        </w:rPr>
      </w:pPr>
      <w:r w:rsidRPr="003937A5">
        <w:rPr>
          <w:rFonts w:asciiTheme="majorHAnsi" w:hAnsiTheme="majorHAnsi"/>
          <w:sz w:val="36"/>
          <w:szCs w:val="36"/>
        </w:rPr>
        <w:t>List of Figures</w:t>
      </w:r>
    </w:p>
    <w:p w14:paraId="6336EF91" w14:textId="739C83EC"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szCs w:val="20"/>
        </w:rPr>
        <w:fldChar w:fldCharType="begin"/>
      </w:r>
      <w:r>
        <w:rPr>
          <w:noProof/>
          <w:szCs w:val="20"/>
        </w:rPr>
        <w:instrText xml:space="preserve"> TOC \c "Figure" </w:instrText>
      </w:r>
      <w:r>
        <w:rPr>
          <w:noProof/>
          <w:szCs w:val="20"/>
        </w:rPr>
        <w:fldChar w:fldCharType="separate"/>
      </w:r>
      <w:r>
        <w:rPr>
          <w:noProof/>
        </w:rPr>
        <w:t>Figure 1: Mass of refrigerant in pre-charge equipment imports of stationary AC from 2012 to 2018 (with a charge greater than 800 grams and less than or equal to 2.6 kg) by refrigerant type in tonnes.</w:t>
      </w:r>
      <w:r>
        <w:rPr>
          <w:noProof/>
        </w:rPr>
        <w:tab/>
      </w:r>
      <w:r>
        <w:rPr>
          <w:noProof/>
        </w:rPr>
        <w:fldChar w:fldCharType="begin"/>
      </w:r>
      <w:r>
        <w:rPr>
          <w:noProof/>
        </w:rPr>
        <w:instrText xml:space="preserve"> PAGEREF _Toc19601323 \h </w:instrText>
      </w:r>
      <w:r>
        <w:rPr>
          <w:noProof/>
        </w:rPr>
      </w:r>
      <w:r>
        <w:rPr>
          <w:noProof/>
        </w:rPr>
        <w:fldChar w:fldCharType="separate"/>
      </w:r>
      <w:r>
        <w:rPr>
          <w:noProof/>
        </w:rPr>
        <w:t>15</w:t>
      </w:r>
      <w:r>
        <w:rPr>
          <w:noProof/>
        </w:rPr>
        <w:fldChar w:fldCharType="end"/>
      </w:r>
    </w:p>
    <w:p w14:paraId="4D917992" w14:textId="4F755097"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2: Mass of Refrigerant in pre-charged equipment imports of stationary AC from 2012 to 2018 (with a charge size less than 800 grams) by refrigerant type in tonnes.</w:t>
      </w:r>
      <w:r>
        <w:rPr>
          <w:noProof/>
        </w:rPr>
        <w:tab/>
      </w:r>
      <w:r>
        <w:rPr>
          <w:noProof/>
        </w:rPr>
        <w:fldChar w:fldCharType="begin"/>
      </w:r>
      <w:r>
        <w:rPr>
          <w:noProof/>
        </w:rPr>
        <w:instrText xml:space="preserve"> PAGEREF _Toc19601324 \h </w:instrText>
      </w:r>
      <w:r>
        <w:rPr>
          <w:noProof/>
        </w:rPr>
      </w:r>
      <w:r>
        <w:rPr>
          <w:noProof/>
        </w:rPr>
        <w:fldChar w:fldCharType="separate"/>
      </w:r>
      <w:r>
        <w:rPr>
          <w:noProof/>
        </w:rPr>
        <w:t>16</w:t>
      </w:r>
      <w:r>
        <w:rPr>
          <w:noProof/>
        </w:rPr>
        <w:fldChar w:fldCharType="end"/>
      </w:r>
    </w:p>
    <w:p w14:paraId="60F1C575" w14:textId="3188295D"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 xml:space="preserve">Figure 3: </w:t>
      </w:r>
      <w:r w:rsidRPr="00763D93">
        <w:rPr>
          <w:noProof/>
        </w:rPr>
        <w:t>Stationary AC refrigerant bank by species from 2018 to 2030 in tonnes.</w:t>
      </w:r>
      <w:r>
        <w:rPr>
          <w:noProof/>
        </w:rPr>
        <w:tab/>
      </w:r>
      <w:r>
        <w:rPr>
          <w:noProof/>
        </w:rPr>
        <w:fldChar w:fldCharType="begin"/>
      </w:r>
      <w:r>
        <w:rPr>
          <w:noProof/>
        </w:rPr>
        <w:instrText xml:space="preserve"> PAGEREF _Toc19601325 \h </w:instrText>
      </w:r>
      <w:r>
        <w:rPr>
          <w:noProof/>
        </w:rPr>
      </w:r>
      <w:r>
        <w:rPr>
          <w:noProof/>
        </w:rPr>
        <w:fldChar w:fldCharType="separate"/>
      </w:r>
      <w:r>
        <w:rPr>
          <w:noProof/>
        </w:rPr>
        <w:t>22</w:t>
      </w:r>
      <w:r>
        <w:rPr>
          <w:noProof/>
        </w:rPr>
        <w:fldChar w:fldCharType="end"/>
      </w:r>
    </w:p>
    <w:p w14:paraId="3630F72A" w14:textId="16453CEE"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sidRPr="00763D93">
        <w:rPr>
          <w:noProof/>
          <w:color w:val="000000" w:themeColor="text1"/>
        </w:rPr>
        <w:t>Figure 4: Stationary AC refrigerant bank by species from 2018 to 2030 in Mt CO</w:t>
      </w:r>
      <w:r w:rsidRPr="00763D93">
        <w:rPr>
          <w:noProof/>
          <w:color w:val="000000" w:themeColor="text1"/>
          <w:vertAlign w:val="subscript"/>
        </w:rPr>
        <w:t>2</w:t>
      </w:r>
      <w:r w:rsidRPr="00763D93">
        <w:rPr>
          <w:noProof/>
          <w:color w:val="000000" w:themeColor="text1"/>
        </w:rPr>
        <w:t>e.</w:t>
      </w:r>
      <w:r>
        <w:rPr>
          <w:noProof/>
        </w:rPr>
        <w:tab/>
      </w:r>
      <w:r>
        <w:rPr>
          <w:noProof/>
        </w:rPr>
        <w:fldChar w:fldCharType="begin"/>
      </w:r>
      <w:r>
        <w:rPr>
          <w:noProof/>
        </w:rPr>
        <w:instrText xml:space="preserve"> PAGEREF _Toc19601326 \h </w:instrText>
      </w:r>
      <w:r>
        <w:rPr>
          <w:noProof/>
        </w:rPr>
      </w:r>
      <w:r>
        <w:rPr>
          <w:noProof/>
        </w:rPr>
        <w:fldChar w:fldCharType="separate"/>
      </w:r>
      <w:r>
        <w:rPr>
          <w:noProof/>
        </w:rPr>
        <w:t>23</w:t>
      </w:r>
      <w:r>
        <w:rPr>
          <w:noProof/>
        </w:rPr>
        <w:fldChar w:fldCharType="end"/>
      </w:r>
    </w:p>
    <w:p w14:paraId="0F86E20C" w14:textId="77009558"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5:</w:t>
      </w:r>
      <w:r w:rsidRPr="00763D93">
        <w:rPr>
          <w:noProof/>
        </w:rPr>
        <w:t xml:space="preserve"> Stationary AC: Direct emissions by species from 2018 to 2030 in tonnes.</w:t>
      </w:r>
      <w:r>
        <w:rPr>
          <w:noProof/>
        </w:rPr>
        <w:tab/>
      </w:r>
      <w:r>
        <w:rPr>
          <w:noProof/>
        </w:rPr>
        <w:fldChar w:fldCharType="begin"/>
      </w:r>
      <w:r>
        <w:rPr>
          <w:noProof/>
        </w:rPr>
        <w:instrText xml:space="preserve"> PAGEREF _Toc19601327 \h </w:instrText>
      </w:r>
      <w:r>
        <w:rPr>
          <w:noProof/>
        </w:rPr>
      </w:r>
      <w:r>
        <w:rPr>
          <w:noProof/>
        </w:rPr>
        <w:fldChar w:fldCharType="separate"/>
      </w:r>
      <w:r>
        <w:rPr>
          <w:noProof/>
        </w:rPr>
        <w:t>24</w:t>
      </w:r>
      <w:r>
        <w:rPr>
          <w:noProof/>
        </w:rPr>
        <w:fldChar w:fldCharType="end"/>
      </w:r>
    </w:p>
    <w:p w14:paraId="449AAD64" w14:textId="21893657"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6</w:t>
      </w:r>
      <w:r w:rsidRPr="00763D93">
        <w:rPr>
          <w:noProof/>
        </w:rPr>
        <w:t>: Stationary AC: Direct emissions by species from 2018 to 2030 in Mt CO</w:t>
      </w:r>
      <w:r w:rsidRPr="00763D93">
        <w:rPr>
          <w:noProof/>
          <w:vertAlign w:val="subscript"/>
        </w:rPr>
        <w:t>2</w:t>
      </w:r>
      <w:r w:rsidRPr="00763D93">
        <w:rPr>
          <w:noProof/>
        </w:rPr>
        <w:t>e.</w:t>
      </w:r>
      <w:r>
        <w:rPr>
          <w:noProof/>
        </w:rPr>
        <w:tab/>
      </w:r>
      <w:r>
        <w:rPr>
          <w:noProof/>
        </w:rPr>
        <w:fldChar w:fldCharType="begin"/>
      </w:r>
      <w:r>
        <w:rPr>
          <w:noProof/>
        </w:rPr>
        <w:instrText xml:space="preserve"> PAGEREF _Toc19601328 \h </w:instrText>
      </w:r>
      <w:r>
        <w:rPr>
          <w:noProof/>
        </w:rPr>
      </w:r>
      <w:r>
        <w:rPr>
          <w:noProof/>
        </w:rPr>
        <w:fldChar w:fldCharType="separate"/>
      </w:r>
      <w:r>
        <w:rPr>
          <w:noProof/>
        </w:rPr>
        <w:t>24</w:t>
      </w:r>
      <w:r>
        <w:rPr>
          <w:noProof/>
        </w:rPr>
        <w:fldChar w:fldCharType="end"/>
      </w:r>
    </w:p>
    <w:p w14:paraId="7CFAB6A8" w14:textId="7CE63EB9"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7:</w:t>
      </w:r>
      <w:r w:rsidRPr="00763D93">
        <w:rPr>
          <w:noProof/>
        </w:rPr>
        <w:t xml:space="preserve"> Mobile AC refrigerant bank by species from 2018 to 2030 in tonnes.</w:t>
      </w:r>
      <w:r>
        <w:rPr>
          <w:noProof/>
        </w:rPr>
        <w:tab/>
      </w:r>
      <w:r>
        <w:rPr>
          <w:noProof/>
        </w:rPr>
        <w:fldChar w:fldCharType="begin"/>
      </w:r>
      <w:r>
        <w:rPr>
          <w:noProof/>
        </w:rPr>
        <w:instrText xml:space="preserve"> PAGEREF _Toc19601329 \h </w:instrText>
      </w:r>
      <w:r>
        <w:rPr>
          <w:noProof/>
        </w:rPr>
      </w:r>
      <w:r>
        <w:rPr>
          <w:noProof/>
        </w:rPr>
        <w:fldChar w:fldCharType="separate"/>
      </w:r>
      <w:r>
        <w:rPr>
          <w:noProof/>
        </w:rPr>
        <w:t>30</w:t>
      </w:r>
      <w:r>
        <w:rPr>
          <w:noProof/>
        </w:rPr>
        <w:fldChar w:fldCharType="end"/>
      </w:r>
    </w:p>
    <w:p w14:paraId="393E495C" w14:textId="5C2938ED"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8</w:t>
      </w:r>
      <w:r w:rsidRPr="00763D93">
        <w:rPr>
          <w:noProof/>
        </w:rPr>
        <w:t>: Mobile AC: Direct emissions by species from 2018 to 2030 in Mt CO</w:t>
      </w:r>
      <w:r w:rsidRPr="00763D93">
        <w:rPr>
          <w:noProof/>
          <w:vertAlign w:val="subscript"/>
        </w:rPr>
        <w:t>2</w:t>
      </w:r>
      <w:r w:rsidRPr="00763D93">
        <w:rPr>
          <w:noProof/>
        </w:rPr>
        <w:t>e.</w:t>
      </w:r>
      <w:r>
        <w:rPr>
          <w:noProof/>
        </w:rPr>
        <w:tab/>
      </w:r>
      <w:r>
        <w:rPr>
          <w:noProof/>
        </w:rPr>
        <w:fldChar w:fldCharType="begin"/>
      </w:r>
      <w:r>
        <w:rPr>
          <w:noProof/>
        </w:rPr>
        <w:instrText xml:space="preserve"> PAGEREF _Toc19601330 \h </w:instrText>
      </w:r>
      <w:r>
        <w:rPr>
          <w:noProof/>
        </w:rPr>
      </w:r>
      <w:r>
        <w:rPr>
          <w:noProof/>
        </w:rPr>
        <w:fldChar w:fldCharType="separate"/>
      </w:r>
      <w:r>
        <w:rPr>
          <w:noProof/>
        </w:rPr>
        <w:t>32</w:t>
      </w:r>
      <w:r>
        <w:rPr>
          <w:noProof/>
        </w:rPr>
        <w:fldChar w:fldCharType="end"/>
      </w:r>
    </w:p>
    <w:p w14:paraId="259131DB" w14:textId="2D6C8608"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 xml:space="preserve">Figure 9: Refrigerated cold food chain </w:t>
      </w:r>
      <w:r w:rsidRPr="00763D93">
        <w:rPr>
          <w:noProof/>
        </w:rPr>
        <w:t>bank by species from 2018 to 2030 in tonnes.</w:t>
      </w:r>
      <w:r>
        <w:rPr>
          <w:noProof/>
        </w:rPr>
        <w:tab/>
      </w:r>
      <w:r>
        <w:rPr>
          <w:noProof/>
        </w:rPr>
        <w:fldChar w:fldCharType="begin"/>
      </w:r>
      <w:r>
        <w:rPr>
          <w:noProof/>
        </w:rPr>
        <w:instrText xml:space="preserve"> PAGEREF _Toc19601331 \h </w:instrText>
      </w:r>
      <w:r>
        <w:rPr>
          <w:noProof/>
        </w:rPr>
      </w:r>
      <w:r>
        <w:rPr>
          <w:noProof/>
        </w:rPr>
        <w:fldChar w:fldCharType="separate"/>
      </w:r>
      <w:r>
        <w:rPr>
          <w:noProof/>
        </w:rPr>
        <w:t>47</w:t>
      </w:r>
      <w:r>
        <w:rPr>
          <w:noProof/>
        </w:rPr>
        <w:fldChar w:fldCharType="end"/>
      </w:r>
    </w:p>
    <w:p w14:paraId="4E325375" w14:textId="4F30C15F"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sidRPr="00763D93">
        <w:rPr>
          <w:noProof/>
          <w:color w:val="000000" w:themeColor="text1"/>
        </w:rPr>
        <w:t xml:space="preserve">Figure 10: </w:t>
      </w:r>
      <w:r>
        <w:rPr>
          <w:noProof/>
        </w:rPr>
        <w:t>Refrigerated cold food chain bank</w:t>
      </w:r>
      <w:r w:rsidRPr="00763D93">
        <w:rPr>
          <w:noProof/>
          <w:color w:val="000000" w:themeColor="text1"/>
        </w:rPr>
        <w:t xml:space="preserve"> by species from 2018 to 2030 in Mt CO</w:t>
      </w:r>
      <w:r w:rsidRPr="00763D93">
        <w:rPr>
          <w:noProof/>
          <w:color w:val="000000" w:themeColor="text1"/>
          <w:vertAlign w:val="subscript"/>
        </w:rPr>
        <w:t>2</w:t>
      </w:r>
      <w:r w:rsidRPr="00763D93">
        <w:rPr>
          <w:noProof/>
          <w:color w:val="000000" w:themeColor="text1"/>
        </w:rPr>
        <w:t>e.</w:t>
      </w:r>
      <w:r>
        <w:rPr>
          <w:noProof/>
        </w:rPr>
        <w:tab/>
      </w:r>
      <w:r>
        <w:rPr>
          <w:noProof/>
        </w:rPr>
        <w:fldChar w:fldCharType="begin"/>
      </w:r>
      <w:r>
        <w:rPr>
          <w:noProof/>
        </w:rPr>
        <w:instrText xml:space="preserve"> PAGEREF _Toc19601332 \h </w:instrText>
      </w:r>
      <w:r>
        <w:rPr>
          <w:noProof/>
        </w:rPr>
      </w:r>
      <w:r>
        <w:rPr>
          <w:noProof/>
        </w:rPr>
        <w:fldChar w:fldCharType="separate"/>
      </w:r>
      <w:r>
        <w:rPr>
          <w:noProof/>
        </w:rPr>
        <w:t>48</w:t>
      </w:r>
      <w:r>
        <w:rPr>
          <w:noProof/>
        </w:rPr>
        <w:fldChar w:fldCharType="end"/>
      </w:r>
    </w:p>
    <w:p w14:paraId="7BB8927B" w14:textId="34322B3D"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sidRPr="00763D93">
        <w:rPr>
          <w:noProof/>
          <w:color w:val="000000" w:themeColor="text1"/>
        </w:rPr>
        <w:t>Figure 11: Refrigerant bank (actual) by species from 2018 to 2030 in tonnes.</w:t>
      </w:r>
      <w:r>
        <w:rPr>
          <w:noProof/>
        </w:rPr>
        <w:tab/>
      </w:r>
      <w:r>
        <w:rPr>
          <w:noProof/>
        </w:rPr>
        <w:fldChar w:fldCharType="begin"/>
      </w:r>
      <w:r>
        <w:rPr>
          <w:noProof/>
        </w:rPr>
        <w:instrText xml:space="preserve"> PAGEREF _Toc19601333 \h </w:instrText>
      </w:r>
      <w:r>
        <w:rPr>
          <w:noProof/>
        </w:rPr>
      </w:r>
      <w:r>
        <w:rPr>
          <w:noProof/>
        </w:rPr>
        <w:fldChar w:fldCharType="separate"/>
      </w:r>
      <w:r>
        <w:rPr>
          <w:noProof/>
        </w:rPr>
        <w:t>48</w:t>
      </w:r>
      <w:r>
        <w:rPr>
          <w:noProof/>
        </w:rPr>
        <w:fldChar w:fldCharType="end"/>
      </w:r>
    </w:p>
    <w:p w14:paraId="72D876DC" w14:textId="4DA6A240"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sidRPr="00763D93">
        <w:rPr>
          <w:noProof/>
          <w:color w:val="000000" w:themeColor="text1"/>
        </w:rPr>
        <w:t>Figure 12: Medium commercial refrigeration refrigerant bank by species from 2016 to 2030 in tonnes.</w:t>
      </w:r>
      <w:r>
        <w:rPr>
          <w:noProof/>
        </w:rPr>
        <w:tab/>
      </w:r>
      <w:r>
        <w:rPr>
          <w:noProof/>
        </w:rPr>
        <w:fldChar w:fldCharType="begin"/>
      </w:r>
      <w:r>
        <w:rPr>
          <w:noProof/>
        </w:rPr>
        <w:instrText xml:space="preserve"> PAGEREF _Toc19601334 \h </w:instrText>
      </w:r>
      <w:r>
        <w:rPr>
          <w:noProof/>
        </w:rPr>
      </w:r>
      <w:r>
        <w:rPr>
          <w:noProof/>
        </w:rPr>
        <w:fldChar w:fldCharType="separate"/>
      </w:r>
      <w:r>
        <w:rPr>
          <w:noProof/>
        </w:rPr>
        <w:t>50</w:t>
      </w:r>
      <w:r>
        <w:rPr>
          <w:noProof/>
        </w:rPr>
        <w:fldChar w:fldCharType="end"/>
      </w:r>
    </w:p>
    <w:p w14:paraId="7554D1A0" w14:textId="29E091D8"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sidRPr="00763D93">
        <w:rPr>
          <w:noProof/>
          <w:color w:val="000000" w:themeColor="text1"/>
        </w:rPr>
        <w:t>Figure 13: Supermarket refrigerant bank (actual) by species from 2018 to 2030 in tonnes.</w:t>
      </w:r>
      <w:r>
        <w:rPr>
          <w:noProof/>
        </w:rPr>
        <w:tab/>
      </w:r>
      <w:r>
        <w:rPr>
          <w:noProof/>
        </w:rPr>
        <w:fldChar w:fldCharType="begin"/>
      </w:r>
      <w:r>
        <w:rPr>
          <w:noProof/>
        </w:rPr>
        <w:instrText xml:space="preserve"> PAGEREF _Toc19601335 \h </w:instrText>
      </w:r>
      <w:r>
        <w:rPr>
          <w:noProof/>
        </w:rPr>
      </w:r>
      <w:r>
        <w:rPr>
          <w:noProof/>
        </w:rPr>
        <w:fldChar w:fldCharType="separate"/>
      </w:r>
      <w:r>
        <w:rPr>
          <w:noProof/>
        </w:rPr>
        <w:t>51</w:t>
      </w:r>
      <w:r>
        <w:rPr>
          <w:noProof/>
        </w:rPr>
        <w:fldChar w:fldCharType="end"/>
      </w:r>
    </w:p>
    <w:p w14:paraId="51FAE321" w14:textId="4AD76E63"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sidRPr="00763D93">
        <w:rPr>
          <w:noProof/>
          <w:color w:val="000000" w:themeColor="text1"/>
        </w:rPr>
        <w:t>Figure 14: Transport Refrigeration refrigerant bank by Species from 2018 to 2030 in tonnes.</w:t>
      </w:r>
      <w:r>
        <w:rPr>
          <w:noProof/>
        </w:rPr>
        <w:tab/>
      </w:r>
      <w:r>
        <w:rPr>
          <w:noProof/>
        </w:rPr>
        <w:fldChar w:fldCharType="begin"/>
      </w:r>
      <w:r>
        <w:rPr>
          <w:noProof/>
        </w:rPr>
        <w:instrText xml:space="preserve"> PAGEREF _Toc19601336 \h </w:instrText>
      </w:r>
      <w:r>
        <w:rPr>
          <w:noProof/>
        </w:rPr>
      </w:r>
      <w:r>
        <w:rPr>
          <w:noProof/>
        </w:rPr>
        <w:fldChar w:fldCharType="separate"/>
      </w:r>
      <w:r>
        <w:rPr>
          <w:noProof/>
        </w:rPr>
        <w:t>52</w:t>
      </w:r>
      <w:r>
        <w:rPr>
          <w:noProof/>
        </w:rPr>
        <w:fldChar w:fldCharType="end"/>
      </w:r>
    </w:p>
    <w:p w14:paraId="20E85A82" w14:textId="733345FD"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15</w:t>
      </w:r>
      <w:r w:rsidRPr="00763D93">
        <w:rPr>
          <w:noProof/>
        </w:rPr>
        <w:t>: RCFC: Direct emissions by species from 2018 to 2030 in tonnes.</w:t>
      </w:r>
      <w:r>
        <w:rPr>
          <w:noProof/>
        </w:rPr>
        <w:tab/>
      </w:r>
      <w:r>
        <w:rPr>
          <w:noProof/>
        </w:rPr>
        <w:fldChar w:fldCharType="begin"/>
      </w:r>
      <w:r>
        <w:rPr>
          <w:noProof/>
        </w:rPr>
        <w:instrText xml:space="preserve"> PAGEREF _Toc19601337 \h </w:instrText>
      </w:r>
      <w:r>
        <w:rPr>
          <w:noProof/>
        </w:rPr>
      </w:r>
      <w:r>
        <w:rPr>
          <w:noProof/>
        </w:rPr>
        <w:fldChar w:fldCharType="separate"/>
      </w:r>
      <w:r>
        <w:rPr>
          <w:noProof/>
        </w:rPr>
        <w:t>53</w:t>
      </w:r>
      <w:r>
        <w:rPr>
          <w:noProof/>
        </w:rPr>
        <w:fldChar w:fldCharType="end"/>
      </w:r>
    </w:p>
    <w:p w14:paraId="0CE4E7D3" w14:textId="33D59238"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 xml:space="preserve">Figure 16: </w:t>
      </w:r>
      <w:r w:rsidRPr="00763D93">
        <w:rPr>
          <w:noProof/>
        </w:rPr>
        <w:t>RCFC: Direct emissions by species from 2018 to 2030 in Mt CO</w:t>
      </w:r>
      <w:r w:rsidRPr="00763D93">
        <w:rPr>
          <w:noProof/>
          <w:vertAlign w:val="subscript"/>
        </w:rPr>
        <w:t>2</w:t>
      </w:r>
      <w:r w:rsidRPr="00763D93">
        <w:rPr>
          <w:noProof/>
        </w:rPr>
        <w:t>e.</w:t>
      </w:r>
      <w:r>
        <w:rPr>
          <w:noProof/>
        </w:rPr>
        <w:tab/>
      </w:r>
      <w:r>
        <w:rPr>
          <w:noProof/>
        </w:rPr>
        <w:fldChar w:fldCharType="begin"/>
      </w:r>
      <w:r>
        <w:rPr>
          <w:noProof/>
        </w:rPr>
        <w:instrText xml:space="preserve"> PAGEREF _Toc19601338 \h </w:instrText>
      </w:r>
      <w:r>
        <w:rPr>
          <w:noProof/>
        </w:rPr>
      </w:r>
      <w:r>
        <w:rPr>
          <w:noProof/>
        </w:rPr>
        <w:fldChar w:fldCharType="separate"/>
      </w:r>
      <w:r>
        <w:rPr>
          <w:noProof/>
        </w:rPr>
        <w:t>54</w:t>
      </w:r>
      <w:r>
        <w:rPr>
          <w:noProof/>
        </w:rPr>
        <w:fldChar w:fldCharType="end"/>
      </w:r>
    </w:p>
    <w:p w14:paraId="449E3EC7" w14:textId="166C0D58"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17</w:t>
      </w:r>
      <w:r w:rsidRPr="00763D93">
        <w:rPr>
          <w:noProof/>
        </w:rPr>
        <w:t>:</w:t>
      </w:r>
      <w:r>
        <w:rPr>
          <w:noProof/>
        </w:rPr>
        <w:t xml:space="preserve"> </w:t>
      </w:r>
      <w:r w:rsidRPr="00763D93">
        <w:rPr>
          <w:noProof/>
        </w:rPr>
        <w:t>HFCs in tonnes contained in pre-charged domestic refrigeration imports 2006 to 2018.</w:t>
      </w:r>
      <w:r>
        <w:rPr>
          <w:noProof/>
        </w:rPr>
        <w:tab/>
      </w:r>
      <w:r>
        <w:rPr>
          <w:noProof/>
        </w:rPr>
        <w:fldChar w:fldCharType="begin"/>
      </w:r>
      <w:r>
        <w:rPr>
          <w:noProof/>
        </w:rPr>
        <w:instrText xml:space="preserve"> PAGEREF _Toc19601339 \h </w:instrText>
      </w:r>
      <w:r>
        <w:rPr>
          <w:noProof/>
        </w:rPr>
      </w:r>
      <w:r>
        <w:rPr>
          <w:noProof/>
        </w:rPr>
        <w:fldChar w:fldCharType="separate"/>
      </w:r>
      <w:r>
        <w:rPr>
          <w:noProof/>
        </w:rPr>
        <w:t>57</w:t>
      </w:r>
      <w:r>
        <w:rPr>
          <w:noProof/>
        </w:rPr>
        <w:fldChar w:fldCharType="end"/>
      </w:r>
    </w:p>
    <w:p w14:paraId="05DB29D2" w14:textId="68481227"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18</w:t>
      </w:r>
      <w:r w:rsidRPr="00763D93">
        <w:rPr>
          <w:noProof/>
        </w:rPr>
        <w:t>: Domestic refrigeration refrigerant bank by species from 2018 to 2030 in tonnes.</w:t>
      </w:r>
      <w:r>
        <w:rPr>
          <w:noProof/>
        </w:rPr>
        <w:tab/>
      </w:r>
      <w:r>
        <w:rPr>
          <w:noProof/>
        </w:rPr>
        <w:fldChar w:fldCharType="begin"/>
      </w:r>
      <w:r>
        <w:rPr>
          <w:noProof/>
        </w:rPr>
        <w:instrText xml:space="preserve"> PAGEREF _Toc19601340 \h </w:instrText>
      </w:r>
      <w:r>
        <w:rPr>
          <w:noProof/>
        </w:rPr>
      </w:r>
      <w:r>
        <w:rPr>
          <w:noProof/>
        </w:rPr>
        <w:fldChar w:fldCharType="separate"/>
      </w:r>
      <w:r>
        <w:rPr>
          <w:noProof/>
        </w:rPr>
        <w:t>58</w:t>
      </w:r>
      <w:r>
        <w:rPr>
          <w:noProof/>
        </w:rPr>
        <w:fldChar w:fldCharType="end"/>
      </w:r>
    </w:p>
    <w:p w14:paraId="43E00261" w14:textId="0EDADC3D"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 xml:space="preserve">Figure 19: </w:t>
      </w:r>
      <w:r w:rsidRPr="00763D93">
        <w:rPr>
          <w:noProof/>
        </w:rPr>
        <w:t>Domestic refrigeration: Direct emissions by species from 2018 to 2030 in Mt CO</w:t>
      </w:r>
      <w:r w:rsidRPr="00763D93">
        <w:rPr>
          <w:noProof/>
          <w:vertAlign w:val="subscript"/>
        </w:rPr>
        <w:t>2</w:t>
      </w:r>
      <w:r w:rsidRPr="00763D93">
        <w:rPr>
          <w:noProof/>
        </w:rPr>
        <w:t>e.</w:t>
      </w:r>
      <w:r>
        <w:rPr>
          <w:noProof/>
        </w:rPr>
        <w:tab/>
      </w:r>
      <w:r>
        <w:rPr>
          <w:noProof/>
        </w:rPr>
        <w:fldChar w:fldCharType="begin"/>
      </w:r>
      <w:r>
        <w:rPr>
          <w:noProof/>
        </w:rPr>
        <w:instrText xml:space="preserve"> PAGEREF _Toc19601341 \h </w:instrText>
      </w:r>
      <w:r>
        <w:rPr>
          <w:noProof/>
        </w:rPr>
      </w:r>
      <w:r>
        <w:rPr>
          <w:noProof/>
        </w:rPr>
        <w:fldChar w:fldCharType="separate"/>
      </w:r>
      <w:r>
        <w:rPr>
          <w:noProof/>
        </w:rPr>
        <w:t>59</w:t>
      </w:r>
      <w:r>
        <w:rPr>
          <w:noProof/>
        </w:rPr>
        <w:fldChar w:fldCharType="end"/>
      </w:r>
    </w:p>
    <w:p w14:paraId="03C819B6" w14:textId="367968CB"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20: The HCFC and HFC Refrigerant bank from 2006 to 2018, and sensitivity analysis in tonnes.</w:t>
      </w:r>
      <w:r>
        <w:rPr>
          <w:noProof/>
        </w:rPr>
        <w:tab/>
      </w:r>
      <w:r>
        <w:rPr>
          <w:noProof/>
        </w:rPr>
        <w:fldChar w:fldCharType="begin"/>
      </w:r>
      <w:r>
        <w:rPr>
          <w:noProof/>
        </w:rPr>
        <w:instrText xml:space="preserve"> PAGEREF _Toc19601342 \h </w:instrText>
      </w:r>
      <w:r>
        <w:rPr>
          <w:noProof/>
        </w:rPr>
      </w:r>
      <w:r>
        <w:rPr>
          <w:noProof/>
        </w:rPr>
        <w:fldChar w:fldCharType="separate"/>
      </w:r>
      <w:r>
        <w:rPr>
          <w:noProof/>
        </w:rPr>
        <w:t>60</w:t>
      </w:r>
      <w:r>
        <w:rPr>
          <w:noProof/>
        </w:rPr>
        <w:fldChar w:fldCharType="end"/>
      </w:r>
    </w:p>
    <w:p w14:paraId="2E8EFFC2" w14:textId="687D19B9"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21: Refrigerant bank by species 2006, 2012, 2016, 2018 in tonnes (excluding ammonia).</w:t>
      </w:r>
      <w:r>
        <w:rPr>
          <w:noProof/>
        </w:rPr>
        <w:tab/>
      </w:r>
      <w:r>
        <w:rPr>
          <w:noProof/>
        </w:rPr>
        <w:fldChar w:fldCharType="begin"/>
      </w:r>
      <w:r>
        <w:rPr>
          <w:noProof/>
        </w:rPr>
        <w:instrText xml:space="preserve"> PAGEREF _Toc19601343 \h </w:instrText>
      </w:r>
      <w:r>
        <w:rPr>
          <w:noProof/>
        </w:rPr>
      </w:r>
      <w:r>
        <w:rPr>
          <w:noProof/>
        </w:rPr>
        <w:fldChar w:fldCharType="separate"/>
      </w:r>
      <w:r>
        <w:rPr>
          <w:noProof/>
        </w:rPr>
        <w:t>62</w:t>
      </w:r>
      <w:r>
        <w:rPr>
          <w:noProof/>
        </w:rPr>
        <w:fldChar w:fldCharType="end"/>
      </w:r>
    </w:p>
    <w:p w14:paraId="3EF6887F" w14:textId="4C3DB9A6"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22</w:t>
      </w:r>
      <w:r w:rsidRPr="00763D93">
        <w:rPr>
          <w:noProof/>
        </w:rPr>
        <w:t>: Refrigerant in pre-charged equipment imports in 2018 dissected by application, reported in metric tonnes and per cent of annual imports.</w:t>
      </w:r>
      <w:r>
        <w:rPr>
          <w:noProof/>
        </w:rPr>
        <w:tab/>
      </w:r>
      <w:r>
        <w:rPr>
          <w:noProof/>
        </w:rPr>
        <w:fldChar w:fldCharType="begin"/>
      </w:r>
      <w:r>
        <w:rPr>
          <w:noProof/>
        </w:rPr>
        <w:instrText xml:space="preserve"> PAGEREF _Toc19601344 \h </w:instrText>
      </w:r>
      <w:r>
        <w:rPr>
          <w:noProof/>
        </w:rPr>
      </w:r>
      <w:r>
        <w:rPr>
          <w:noProof/>
        </w:rPr>
        <w:fldChar w:fldCharType="separate"/>
      </w:r>
      <w:r>
        <w:rPr>
          <w:noProof/>
        </w:rPr>
        <w:t>66</w:t>
      </w:r>
      <w:r>
        <w:rPr>
          <w:noProof/>
        </w:rPr>
        <w:fldChar w:fldCharType="end"/>
      </w:r>
    </w:p>
    <w:p w14:paraId="12DF53DF" w14:textId="3A40D1AD"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23</w:t>
      </w:r>
      <w:r w:rsidRPr="00763D93">
        <w:rPr>
          <w:noProof/>
        </w:rPr>
        <w:t>: Pre-charged equipment imports in 2018 dissected by major species in tonnes and as per cent of total imports.</w:t>
      </w:r>
      <w:r>
        <w:rPr>
          <w:noProof/>
        </w:rPr>
        <w:tab/>
      </w:r>
      <w:r>
        <w:rPr>
          <w:noProof/>
        </w:rPr>
        <w:fldChar w:fldCharType="begin"/>
      </w:r>
      <w:r>
        <w:rPr>
          <w:noProof/>
        </w:rPr>
        <w:instrText xml:space="preserve"> PAGEREF _Toc19601345 \h </w:instrText>
      </w:r>
      <w:r>
        <w:rPr>
          <w:noProof/>
        </w:rPr>
      </w:r>
      <w:r>
        <w:rPr>
          <w:noProof/>
        </w:rPr>
        <w:fldChar w:fldCharType="separate"/>
      </w:r>
      <w:r>
        <w:rPr>
          <w:noProof/>
        </w:rPr>
        <w:t>68</w:t>
      </w:r>
      <w:r>
        <w:rPr>
          <w:noProof/>
        </w:rPr>
        <w:fldChar w:fldCharType="end"/>
      </w:r>
    </w:p>
    <w:p w14:paraId="1CA13C6C" w14:textId="631A1334"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24: HCFCs and HFCs in pre-charged equipment from 2006 to 2018 by species in tonnes.</w:t>
      </w:r>
      <w:r>
        <w:rPr>
          <w:noProof/>
        </w:rPr>
        <w:tab/>
      </w:r>
      <w:r>
        <w:rPr>
          <w:noProof/>
        </w:rPr>
        <w:fldChar w:fldCharType="begin"/>
      </w:r>
      <w:r>
        <w:rPr>
          <w:noProof/>
        </w:rPr>
        <w:instrText xml:space="preserve"> PAGEREF _Toc19601346 \h </w:instrText>
      </w:r>
      <w:r>
        <w:rPr>
          <w:noProof/>
        </w:rPr>
      </w:r>
      <w:r>
        <w:rPr>
          <w:noProof/>
        </w:rPr>
        <w:fldChar w:fldCharType="separate"/>
      </w:r>
      <w:r>
        <w:rPr>
          <w:noProof/>
        </w:rPr>
        <w:t>69</w:t>
      </w:r>
      <w:r>
        <w:rPr>
          <w:noProof/>
        </w:rPr>
        <w:fldChar w:fldCharType="end"/>
      </w:r>
    </w:p>
    <w:p w14:paraId="7097CDBA" w14:textId="0D4ABA5E"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25: HFCs in pre-charged equipment from 2012 to 2018 by species in Mt CO</w:t>
      </w:r>
      <w:r w:rsidRPr="00763D93">
        <w:rPr>
          <w:noProof/>
          <w:vertAlign w:val="subscript"/>
        </w:rPr>
        <w:t>2</w:t>
      </w:r>
      <w:r>
        <w:rPr>
          <w:noProof/>
        </w:rPr>
        <w:t>e (AR4).</w:t>
      </w:r>
      <w:r>
        <w:rPr>
          <w:noProof/>
        </w:rPr>
        <w:tab/>
      </w:r>
      <w:r>
        <w:rPr>
          <w:noProof/>
        </w:rPr>
        <w:fldChar w:fldCharType="begin"/>
      </w:r>
      <w:r>
        <w:rPr>
          <w:noProof/>
        </w:rPr>
        <w:instrText xml:space="preserve"> PAGEREF _Toc19601347 \h </w:instrText>
      </w:r>
      <w:r>
        <w:rPr>
          <w:noProof/>
        </w:rPr>
      </w:r>
      <w:r>
        <w:rPr>
          <w:noProof/>
        </w:rPr>
        <w:fldChar w:fldCharType="separate"/>
      </w:r>
      <w:r>
        <w:rPr>
          <w:noProof/>
        </w:rPr>
        <w:t>70</w:t>
      </w:r>
      <w:r>
        <w:rPr>
          <w:noProof/>
        </w:rPr>
        <w:fldChar w:fldCharType="end"/>
      </w:r>
    </w:p>
    <w:p w14:paraId="0ABC5840" w14:textId="7A64FBBC"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26: Bulk imports of HFCs and HCFCs from 2012 to 2018, and 7 year average in tonnes.</w:t>
      </w:r>
      <w:r>
        <w:rPr>
          <w:noProof/>
        </w:rPr>
        <w:tab/>
      </w:r>
      <w:r>
        <w:rPr>
          <w:noProof/>
        </w:rPr>
        <w:fldChar w:fldCharType="begin"/>
      </w:r>
      <w:r>
        <w:rPr>
          <w:noProof/>
        </w:rPr>
        <w:instrText xml:space="preserve"> PAGEREF _Toc19601348 \h </w:instrText>
      </w:r>
      <w:r>
        <w:rPr>
          <w:noProof/>
        </w:rPr>
      </w:r>
      <w:r>
        <w:rPr>
          <w:noProof/>
        </w:rPr>
        <w:fldChar w:fldCharType="separate"/>
      </w:r>
      <w:r>
        <w:rPr>
          <w:noProof/>
        </w:rPr>
        <w:t>71</w:t>
      </w:r>
      <w:r>
        <w:rPr>
          <w:noProof/>
        </w:rPr>
        <w:fldChar w:fldCharType="end"/>
      </w:r>
    </w:p>
    <w:p w14:paraId="76925681" w14:textId="05C5B65D"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27: Trend of HFC bulk imports in kt CO</w:t>
      </w:r>
      <w:r w:rsidRPr="00763D93">
        <w:rPr>
          <w:noProof/>
          <w:vertAlign w:val="subscript"/>
        </w:rPr>
        <w:t>2</w:t>
      </w:r>
      <w:r>
        <w:rPr>
          <w:noProof/>
        </w:rPr>
        <w:t>e from 2012 to 2018.</w:t>
      </w:r>
      <w:r>
        <w:rPr>
          <w:noProof/>
        </w:rPr>
        <w:tab/>
      </w:r>
      <w:r>
        <w:rPr>
          <w:noProof/>
        </w:rPr>
        <w:fldChar w:fldCharType="begin"/>
      </w:r>
      <w:r>
        <w:rPr>
          <w:noProof/>
        </w:rPr>
        <w:instrText xml:space="preserve"> PAGEREF _Toc19601349 \h </w:instrText>
      </w:r>
      <w:r>
        <w:rPr>
          <w:noProof/>
        </w:rPr>
      </w:r>
      <w:r>
        <w:rPr>
          <w:noProof/>
        </w:rPr>
        <w:fldChar w:fldCharType="separate"/>
      </w:r>
      <w:r>
        <w:rPr>
          <w:noProof/>
        </w:rPr>
        <w:t>73</w:t>
      </w:r>
      <w:r>
        <w:rPr>
          <w:noProof/>
        </w:rPr>
        <w:fldChar w:fldCharType="end"/>
      </w:r>
    </w:p>
    <w:p w14:paraId="670D8919" w14:textId="0B80CAD9"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28: Five year average HFC bulk imports by species in tonnes and percent.</w:t>
      </w:r>
      <w:r>
        <w:rPr>
          <w:noProof/>
        </w:rPr>
        <w:tab/>
      </w:r>
      <w:r>
        <w:rPr>
          <w:noProof/>
        </w:rPr>
        <w:fldChar w:fldCharType="begin"/>
      </w:r>
      <w:r>
        <w:rPr>
          <w:noProof/>
        </w:rPr>
        <w:instrText xml:space="preserve"> PAGEREF _Toc19601350 \h </w:instrText>
      </w:r>
      <w:r>
        <w:rPr>
          <w:noProof/>
        </w:rPr>
      </w:r>
      <w:r>
        <w:rPr>
          <w:noProof/>
        </w:rPr>
        <w:fldChar w:fldCharType="separate"/>
      </w:r>
      <w:r>
        <w:rPr>
          <w:noProof/>
        </w:rPr>
        <w:t>74</w:t>
      </w:r>
      <w:r>
        <w:rPr>
          <w:noProof/>
        </w:rPr>
        <w:fldChar w:fldCharType="end"/>
      </w:r>
    </w:p>
    <w:p w14:paraId="0D517634" w14:textId="24F671BD"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29</w:t>
      </w:r>
      <w:r w:rsidRPr="00763D93">
        <w:rPr>
          <w:noProof/>
        </w:rPr>
        <w:t>: Refrigerant use by species from 2018 to 2030 in tonnes.</w:t>
      </w:r>
      <w:r>
        <w:rPr>
          <w:noProof/>
        </w:rPr>
        <w:tab/>
      </w:r>
      <w:r>
        <w:rPr>
          <w:noProof/>
        </w:rPr>
        <w:fldChar w:fldCharType="begin"/>
      </w:r>
      <w:r>
        <w:rPr>
          <w:noProof/>
        </w:rPr>
        <w:instrText xml:space="preserve"> PAGEREF _Toc19601351 \h </w:instrText>
      </w:r>
      <w:r>
        <w:rPr>
          <w:noProof/>
        </w:rPr>
      </w:r>
      <w:r>
        <w:rPr>
          <w:noProof/>
        </w:rPr>
        <w:fldChar w:fldCharType="separate"/>
      </w:r>
      <w:r>
        <w:rPr>
          <w:noProof/>
        </w:rPr>
        <w:t>76</w:t>
      </w:r>
      <w:r>
        <w:rPr>
          <w:noProof/>
        </w:rPr>
        <w:fldChar w:fldCharType="end"/>
      </w:r>
    </w:p>
    <w:p w14:paraId="09304E82" w14:textId="46409677"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Figure 30</w:t>
      </w:r>
      <w:r w:rsidRPr="00763D93">
        <w:rPr>
          <w:noProof/>
        </w:rPr>
        <w:t>: Phase down steps and refrigerant usage by species from 2018 to 2030 in Mt CO</w:t>
      </w:r>
      <w:r w:rsidRPr="00763D93">
        <w:rPr>
          <w:noProof/>
          <w:vertAlign w:val="subscript"/>
        </w:rPr>
        <w:t>2</w:t>
      </w:r>
      <w:r w:rsidRPr="00763D93">
        <w:rPr>
          <w:noProof/>
        </w:rPr>
        <w:t>e.</w:t>
      </w:r>
      <w:r>
        <w:rPr>
          <w:noProof/>
        </w:rPr>
        <w:tab/>
      </w:r>
      <w:r>
        <w:rPr>
          <w:noProof/>
        </w:rPr>
        <w:fldChar w:fldCharType="begin"/>
      </w:r>
      <w:r>
        <w:rPr>
          <w:noProof/>
        </w:rPr>
        <w:instrText xml:space="preserve"> PAGEREF _Toc19601352 \h </w:instrText>
      </w:r>
      <w:r>
        <w:rPr>
          <w:noProof/>
        </w:rPr>
      </w:r>
      <w:r>
        <w:rPr>
          <w:noProof/>
        </w:rPr>
        <w:fldChar w:fldCharType="separate"/>
      </w:r>
      <w:r>
        <w:rPr>
          <w:noProof/>
        </w:rPr>
        <w:t>77</w:t>
      </w:r>
      <w:r>
        <w:rPr>
          <w:noProof/>
        </w:rPr>
        <w:fldChar w:fldCharType="end"/>
      </w:r>
    </w:p>
    <w:p w14:paraId="014FC951" w14:textId="1D734336" w:rsidR="00445950" w:rsidRDefault="002D5B2F" w:rsidP="009A23AA">
      <w:pPr>
        <w:tabs>
          <w:tab w:val="left" w:pos="7513"/>
        </w:tabs>
        <w:rPr>
          <w:rFonts w:asciiTheme="majorHAnsi" w:eastAsia="Times New Roman" w:hAnsiTheme="majorHAnsi" w:cs="Times New Roman"/>
          <w:noProof/>
          <w:sz w:val="20"/>
          <w:szCs w:val="20"/>
          <w:lang w:val="en-US"/>
        </w:rPr>
      </w:pPr>
      <w:r>
        <w:rPr>
          <w:rFonts w:asciiTheme="majorHAnsi" w:eastAsia="Times New Roman" w:hAnsiTheme="majorHAnsi" w:cs="Times New Roman"/>
          <w:noProof/>
          <w:sz w:val="20"/>
          <w:szCs w:val="20"/>
          <w:lang w:val="en-US"/>
        </w:rPr>
        <w:fldChar w:fldCharType="end"/>
      </w:r>
    </w:p>
    <w:p w14:paraId="08997812" w14:textId="77777777" w:rsidR="00A61E4F" w:rsidRDefault="00A61E4F">
      <w:pPr>
        <w:spacing w:before="0"/>
        <w:jc w:val="left"/>
        <w:rPr>
          <w:rFonts w:asciiTheme="majorHAnsi" w:hAnsiTheme="majorHAnsi"/>
          <w:sz w:val="36"/>
          <w:szCs w:val="36"/>
        </w:rPr>
      </w:pPr>
      <w:r>
        <w:rPr>
          <w:rFonts w:asciiTheme="majorHAnsi" w:hAnsiTheme="majorHAnsi"/>
          <w:sz w:val="36"/>
          <w:szCs w:val="36"/>
        </w:rPr>
        <w:br w:type="page"/>
      </w:r>
    </w:p>
    <w:p w14:paraId="3CE5CE37" w14:textId="0A26ABCC" w:rsidR="00941E84" w:rsidRPr="003937A5" w:rsidRDefault="00941E84" w:rsidP="009A23AA">
      <w:pPr>
        <w:tabs>
          <w:tab w:val="left" w:pos="7513"/>
        </w:tabs>
        <w:rPr>
          <w:rFonts w:asciiTheme="majorHAnsi" w:hAnsiTheme="majorHAnsi"/>
          <w:sz w:val="36"/>
          <w:szCs w:val="36"/>
        </w:rPr>
      </w:pPr>
      <w:r w:rsidRPr="003937A5">
        <w:rPr>
          <w:rFonts w:asciiTheme="majorHAnsi" w:hAnsiTheme="majorHAnsi"/>
          <w:sz w:val="36"/>
          <w:szCs w:val="36"/>
        </w:rPr>
        <w:lastRenderedPageBreak/>
        <w:t>List of Tables</w:t>
      </w:r>
    </w:p>
    <w:p w14:paraId="499C5F76" w14:textId="2D3C899C"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b/>
          <w:bCs/>
          <w:noProof/>
          <w:szCs w:val="20"/>
        </w:rPr>
        <w:fldChar w:fldCharType="begin"/>
      </w:r>
      <w:r>
        <w:rPr>
          <w:b/>
          <w:bCs/>
          <w:noProof/>
          <w:szCs w:val="20"/>
        </w:rPr>
        <w:instrText xml:space="preserve"> TOC \c "Table" </w:instrText>
      </w:r>
      <w:r>
        <w:rPr>
          <w:b/>
          <w:bCs/>
          <w:noProof/>
          <w:szCs w:val="20"/>
        </w:rPr>
        <w:fldChar w:fldCharType="separate"/>
      </w:r>
      <w:r>
        <w:rPr>
          <w:noProof/>
        </w:rPr>
        <w:t>Table 1: Stationary air conditioning taxonomy</w:t>
      </w:r>
      <w:r w:rsidRPr="001B727C">
        <w:rPr>
          <w:noProof/>
        </w:rPr>
        <w:t xml:space="preserve"> and stock in 2018.</w:t>
      </w:r>
      <w:r>
        <w:rPr>
          <w:noProof/>
        </w:rPr>
        <w:tab/>
      </w:r>
      <w:r>
        <w:rPr>
          <w:noProof/>
        </w:rPr>
        <w:fldChar w:fldCharType="begin"/>
      </w:r>
      <w:r>
        <w:rPr>
          <w:noProof/>
        </w:rPr>
        <w:instrText xml:space="preserve"> PAGEREF _Toc19601353 \h </w:instrText>
      </w:r>
      <w:r>
        <w:rPr>
          <w:noProof/>
        </w:rPr>
      </w:r>
      <w:r>
        <w:rPr>
          <w:noProof/>
        </w:rPr>
        <w:fldChar w:fldCharType="separate"/>
      </w:r>
      <w:r>
        <w:rPr>
          <w:noProof/>
        </w:rPr>
        <w:t>10</w:t>
      </w:r>
      <w:r>
        <w:rPr>
          <w:noProof/>
        </w:rPr>
        <w:fldChar w:fldCharType="end"/>
      </w:r>
    </w:p>
    <w:p w14:paraId="0F071C58" w14:textId="7AB0917C"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 xml:space="preserve">Table 2: </w:t>
      </w:r>
      <w:r w:rsidRPr="001B727C">
        <w:rPr>
          <w:noProof/>
          <w:lang w:val="en-GB"/>
        </w:rPr>
        <w:t>Stationary air conditioning main metrics: 2018.</w:t>
      </w:r>
      <w:r>
        <w:rPr>
          <w:noProof/>
        </w:rPr>
        <w:tab/>
      </w:r>
      <w:r>
        <w:rPr>
          <w:noProof/>
        </w:rPr>
        <w:fldChar w:fldCharType="begin"/>
      </w:r>
      <w:r>
        <w:rPr>
          <w:noProof/>
        </w:rPr>
        <w:instrText xml:space="preserve"> PAGEREF _Toc19601354 \h </w:instrText>
      </w:r>
      <w:r>
        <w:rPr>
          <w:noProof/>
        </w:rPr>
      </w:r>
      <w:r>
        <w:rPr>
          <w:noProof/>
        </w:rPr>
        <w:fldChar w:fldCharType="separate"/>
      </w:r>
      <w:r>
        <w:rPr>
          <w:noProof/>
        </w:rPr>
        <w:t>13</w:t>
      </w:r>
      <w:r>
        <w:rPr>
          <w:noProof/>
        </w:rPr>
        <w:fldChar w:fldCharType="end"/>
      </w:r>
    </w:p>
    <w:p w14:paraId="1ED713B8" w14:textId="20A692C6"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3: Charge size category and most common stationary AC type.</w:t>
      </w:r>
      <w:r>
        <w:rPr>
          <w:noProof/>
        </w:rPr>
        <w:tab/>
      </w:r>
      <w:r>
        <w:rPr>
          <w:noProof/>
        </w:rPr>
        <w:fldChar w:fldCharType="begin"/>
      </w:r>
      <w:r>
        <w:rPr>
          <w:noProof/>
        </w:rPr>
        <w:instrText xml:space="preserve"> PAGEREF _Toc19601355 \h </w:instrText>
      </w:r>
      <w:r>
        <w:rPr>
          <w:noProof/>
        </w:rPr>
      </w:r>
      <w:r>
        <w:rPr>
          <w:noProof/>
        </w:rPr>
        <w:fldChar w:fldCharType="separate"/>
      </w:r>
      <w:r>
        <w:rPr>
          <w:noProof/>
        </w:rPr>
        <w:t>14</w:t>
      </w:r>
      <w:r>
        <w:rPr>
          <w:noProof/>
        </w:rPr>
        <w:fldChar w:fldCharType="end"/>
      </w:r>
    </w:p>
    <w:p w14:paraId="3C1C32B7" w14:textId="0A80ABB6"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4: Pre-charged equipment imports reported in 2017 and 2018 (charge greater than 2.6 kg and less than 12 kg).</w:t>
      </w:r>
      <w:r>
        <w:rPr>
          <w:noProof/>
        </w:rPr>
        <w:tab/>
      </w:r>
      <w:r>
        <w:rPr>
          <w:noProof/>
        </w:rPr>
        <w:fldChar w:fldCharType="begin"/>
      </w:r>
      <w:r>
        <w:rPr>
          <w:noProof/>
        </w:rPr>
        <w:instrText xml:space="preserve"> PAGEREF _Toc19601356 \h </w:instrText>
      </w:r>
      <w:r>
        <w:rPr>
          <w:noProof/>
        </w:rPr>
      </w:r>
      <w:r>
        <w:rPr>
          <w:noProof/>
        </w:rPr>
        <w:fldChar w:fldCharType="separate"/>
      </w:r>
      <w:r>
        <w:rPr>
          <w:noProof/>
        </w:rPr>
        <w:t>19</w:t>
      </w:r>
      <w:r>
        <w:rPr>
          <w:noProof/>
        </w:rPr>
        <w:fldChar w:fldCharType="end"/>
      </w:r>
    </w:p>
    <w:p w14:paraId="20D26B27" w14:textId="3F9D475A"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5: Pre-charged equipment imports reported in in 2017 and 2018 (charge greater than 12 kg).</w:t>
      </w:r>
      <w:r>
        <w:rPr>
          <w:noProof/>
        </w:rPr>
        <w:tab/>
      </w:r>
      <w:r>
        <w:rPr>
          <w:noProof/>
        </w:rPr>
        <w:fldChar w:fldCharType="begin"/>
      </w:r>
      <w:r>
        <w:rPr>
          <w:noProof/>
        </w:rPr>
        <w:instrText xml:space="preserve"> PAGEREF _Toc19601357 \h </w:instrText>
      </w:r>
      <w:r>
        <w:rPr>
          <w:noProof/>
        </w:rPr>
      </w:r>
      <w:r>
        <w:rPr>
          <w:noProof/>
        </w:rPr>
        <w:fldChar w:fldCharType="separate"/>
      </w:r>
      <w:r>
        <w:rPr>
          <w:noProof/>
        </w:rPr>
        <w:t>20</w:t>
      </w:r>
      <w:r>
        <w:rPr>
          <w:noProof/>
        </w:rPr>
        <w:fldChar w:fldCharType="end"/>
      </w:r>
    </w:p>
    <w:p w14:paraId="43657462" w14:textId="2BEF5906"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6: Mobile air conditioning main metrics: 2018.</w:t>
      </w:r>
      <w:r>
        <w:rPr>
          <w:noProof/>
        </w:rPr>
        <w:tab/>
      </w:r>
      <w:r>
        <w:rPr>
          <w:noProof/>
        </w:rPr>
        <w:fldChar w:fldCharType="begin"/>
      </w:r>
      <w:r>
        <w:rPr>
          <w:noProof/>
        </w:rPr>
        <w:instrText xml:space="preserve"> PAGEREF _Toc19601358 \h </w:instrText>
      </w:r>
      <w:r>
        <w:rPr>
          <w:noProof/>
        </w:rPr>
      </w:r>
      <w:r>
        <w:rPr>
          <w:noProof/>
        </w:rPr>
        <w:fldChar w:fldCharType="separate"/>
      </w:r>
      <w:r>
        <w:rPr>
          <w:noProof/>
        </w:rPr>
        <w:t>25</w:t>
      </w:r>
      <w:r>
        <w:rPr>
          <w:noProof/>
        </w:rPr>
        <w:fldChar w:fldCharType="end"/>
      </w:r>
    </w:p>
    <w:p w14:paraId="262EBCCE" w14:textId="29C776A6"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sidRPr="001B727C">
        <w:rPr>
          <w:noProof/>
          <w:color w:val="000000" w:themeColor="text1"/>
        </w:rPr>
        <w:t>Table 7: New vehicles sales and local manufacture from 2012 to 2018.</w:t>
      </w:r>
      <w:r>
        <w:rPr>
          <w:noProof/>
        </w:rPr>
        <w:tab/>
      </w:r>
      <w:r>
        <w:rPr>
          <w:noProof/>
        </w:rPr>
        <w:fldChar w:fldCharType="begin"/>
      </w:r>
      <w:r>
        <w:rPr>
          <w:noProof/>
        </w:rPr>
        <w:instrText xml:space="preserve"> PAGEREF _Toc19601359 \h </w:instrText>
      </w:r>
      <w:r>
        <w:rPr>
          <w:noProof/>
        </w:rPr>
      </w:r>
      <w:r>
        <w:rPr>
          <w:noProof/>
        </w:rPr>
        <w:fldChar w:fldCharType="separate"/>
      </w:r>
      <w:r>
        <w:rPr>
          <w:noProof/>
        </w:rPr>
        <w:t>26</w:t>
      </w:r>
      <w:r>
        <w:rPr>
          <w:noProof/>
        </w:rPr>
        <w:fldChar w:fldCharType="end"/>
      </w:r>
    </w:p>
    <w:p w14:paraId="6A0DDF35" w14:textId="095E0515"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sidRPr="001B727C">
        <w:rPr>
          <w:noProof/>
          <w:color w:val="000000" w:themeColor="text1"/>
        </w:rPr>
        <w:t xml:space="preserve">Table 8: </w:t>
      </w:r>
      <w:r w:rsidRPr="001B727C">
        <w:rPr>
          <w:noProof/>
          <w:color w:val="000000" w:themeColor="text1"/>
          <w:lang w:val="en-AU"/>
        </w:rPr>
        <w:t>Volumes of HFC-134a sold by calendar year (kilograms) based on aftermarket supplier survey.</w:t>
      </w:r>
      <w:r>
        <w:rPr>
          <w:noProof/>
        </w:rPr>
        <w:tab/>
      </w:r>
      <w:r>
        <w:rPr>
          <w:noProof/>
        </w:rPr>
        <w:fldChar w:fldCharType="begin"/>
      </w:r>
      <w:r>
        <w:rPr>
          <w:noProof/>
        </w:rPr>
        <w:instrText xml:space="preserve"> PAGEREF _Toc19601360 \h </w:instrText>
      </w:r>
      <w:r>
        <w:rPr>
          <w:noProof/>
        </w:rPr>
      </w:r>
      <w:r>
        <w:rPr>
          <w:noProof/>
        </w:rPr>
        <w:fldChar w:fldCharType="separate"/>
      </w:r>
      <w:r>
        <w:rPr>
          <w:noProof/>
        </w:rPr>
        <w:t>31</w:t>
      </w:r>
      <w:r>
        <w:rPr>
          <w:noProof/>
        </w:rPr>
        <w:fldChar w:fldCharType="end"/>
      </w:r>
    </w:p>
    <w:p w14:paraId="3138F32F" w14:textId="29F2510A"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9: Refrigerated cold food chain taxonomy.</w:t>
      </w:r>
      <w:r>
        <w:rPr>
          <w:noProof/>
        </w:rPr>
        <w:tab/>
      </w:r>
      <w:r>
        <w:rPr>
          <w:noProof/>
        </w:rPr>
        <w:fldChar w:fldCharType="begin"/>
      </w:r>
      <w:r>
        <w:rPr>
          <w:noProof/>
        </w:rPr>
        <w:instrText xml:space="preserve"> PAGEREF _Toc19601361 \h </w:instrText>
      </w:r>
      <w:r>
        <w:rPr>
          <w:noProof/>
        </w:rPr>
      </w:r>
      <w:r>
        <w:rPr>
          <w:noProof/>
        </w:rPr>
        <w:fldChar w:fldCharType="separate"/>
      </w:r>
      <w:r>
        <w:rPr>
          <w:noProof/>
        </w:rPr>
        <w:t>34</w:t>
      </w:r>
      <w:r>
        <w:rPr>
          <w:noProof/>
        </w:rPr>
        <w:fldChar w:fldCharType="end"/>
      </w:r>
    </w:p>
    <w:p w14:paraId="70D6205F" w14:textId="0FA61E8A"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10: Refrigerated cold food chain main metrics: 2018.</w:t>
      </w:r>
      <w:r>
        <w:rPr>
          <w:noProof/>
        </w:rPr>
        <w:tab/>
      </w:r>
      <w:r>
        <w:rPr>
          <w:noProof/>
        </w:rPr>
        <w:fldChar w:fldCharType="begin"/>
      </w:r>
      <w:r>
        <w:rPr>
          <w:noProof/>
        </w:rPr>
        <w:instrText xml:space="preserve"> PAGEREF _Toc19601362 \h </w:instrText>
      </w:r>
      <w:r>
        <w:rPr>
          <w:noProof/>
        </w:rPr>
      </w:r>
      <w:r>
        <w:rPr>
          <w:noProof/>
        </w:rPr>
        <w:fldChar w:fldCharType="separate"/>
      </w:r>
      <w:r>
        <w:rPr>
          <w:noProof/>
        </w:rPr>
        <w:t>36</w:t>
      </w:r>
      <w:r>
        <w:rPr>
          <w:noProof/>
        </w:rPr>
        <w:fldChar w:fldCharType="end"/>
      </w:r>
    </w:p>
    <w:p w14:paraId="61A4D598" w14:textId="4BDFFBD2"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11: Supermarket fleet by brand and size at end of 2018.</w:t>
      </w:r>
      <w:r>
        <w:rPr>
          <w:noProof/>
        </w:rPr>
        <w:tab/>
      </w:r>
      <w:r>
        <w:rPr>
          <w:noProof/>
        </w:rPr>
        <w:fldChar w:fldCharType="begin"/>
      </w:r>
      <w:r>
        <w:rPr>
          <w:noProof/>
        </w:rPr>
        <w:instrText xml:space="preserve"> PAGEREF _Toc19601363 \h </w:instrText>
      </w:r>
      <w:r>
        <w:rPr>
          <w:noProof/>
        </w:rPr>
      </w:r>
      <w:r>
        <w:rPr>
          <w:noProof/>
        </w:rPr>
        <w:fldChar w:fldCharType="separate"/>
      </w:r>
      <w:r>
        <w:rPr>
          <w:noProof/>
        </w:rPr>
        <w:t>41</w:t>
      </w:r>
      <w:r>
        <w:rPr>
          <w:noProof/>
        </w:rPr>
        <w:fldChar w:fldCharType="end"/>
      </w:r>
    </w:p>
    <w:p w14:paraId="0BA31671" w14:textId="2A604E08"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12: Domestic refrigeration main metrics: 2018.</w:t>
      </w:r>
      <w:r>
        <w:rPr>
          <w:noProof/>
        </w:rPr>
        <w:tab/>
      </w:r>
      <w:r>
        <w:rPr>
          <w:noProof/>
        </w:rPr>
        <w:fldChar w:fldCharType="begin"/>
      </w:r>
      <w:r>
        <w:rPr>
          <w:noProof/>
        </w:rPr>
        <w:instrText xml:space="preserve"> PAGEREF _Toc19601364 \h </w:instrText>
      </w:r>
      <w:r>
        <w:rPr>
          <w:noProof/>
        </w:rPr>
      </w:r>
      <w:r>
        <w:rPr>
          <w:noProof/>
        </w:rPr>
        <w:fldChar w:fldCharType="separate"/>
      </w:r>
      <w:r>
        <w:rPr>
          <w:noProof/>
        </w:rPr>
        <w:t>55</w:t>
      </w:r>
      <w:r>
        <w:rPr>
          <w:noProof/>
        </w:rPr>
        <w:fldChar w:fldCharType="end"/>
      </w:r>
    </w:p>
    <w:p w14:paraId="0AA0A7F3" w14:textId="60A87878"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13: Refrigerant bank 2006, 2012, 2016 and 2018 by mass in tonnes and share in percent.</w:t>
      </w:r>
      <w:r>
        <w:rPr>
          <w:noProof/>
        </w:rPr>
        <w:tab/>
      </w:r>
      <w:r>
        <w:rPr>
          <w:noProof/>
        </w:rPr>
        <w:fldChar w:fldCharType="begin"/>
      </w:r>
      <w:r>
        <w:rPr>
          <w:noProof/>
        </w:rPr>
        <w:instrText xml:space="preserve"> PAGEREF _Toc19601365 \h </w:instrText>
      </w:r>
      <w:r>
        <w:rPr>
          <w:noProof/>
        </w:rPr>
      </w:r>
      <w:r>
        <w:rPr>
          <w:noProof/>
        </w:rPr>
        <w:fldChar w:fldCharType="separate"/>
      </w:r>
      <w:r>
        <w:rPr>
          <w:noProof/>
        </w:rPr>
        <w:t>64</w:t>
      </w:r>
      <w:r>
        <w:rPr>
          <w:noProof/>
        </w:rPr>
        <w:fldChar w:fldCharType="end"/>
      </w:r>
    </w:p>
    <w:p w14:paraId="5057BFE9" w14:textId="41A38A32"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14</w:t>
      </w:r>
      <w:r w:rsidRPr="001B727C">
        <w:rPr>
          <w:noProof/>
          <w:color w:val="000000" w:themeColor="text1"/>
        </w:rPr>
        <w:t>: Pieces of pre-charged equipment imported from 2013 to 2018.</w:t>
      </w:r>
      <w:r>
        <w:rPr>
          <w:noProof/>
        </w:rPr>
        <w:tab/>
      </w:r>
      <w:r>
        <w:rPr>
          <w:noProof/>
        </w:rPr>
        <w:fldChar w:fldCharType="begin"/>
      </w:r>
      <w:r>
        <w:rPr>
          <w:noProof/>
        </w:rPr>
        <w:instrText xml:space="preserve"> PAGEREF _Toc19601366 \h </w:instrText>
      </w:r>
      <w:r>
        <w:rPr>
          <w:noProof/>
        </w:rPr>
      </w:r>
      <w:r>
        <w:rPr>
          <w:noProof/>
        </w:rPr>
        <w:fldChar w:fldCharType="separate"/>
      </w:r>
      <w:r>
        <w:rPr>
          <w:noProof/>
        </w:rPr>
        <w:t>67</w:t>
      </w:r>
      <w:r>
        <w:rPr>
          <w:noProof/>
        </w:rPr>
        <w:fldChar w:fldCharType="end"/>
      </w:r>
    </w:p>
    <w:p w14:paraId="516A350B" w14:textId="62413665"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15: HCFC and HFC refrigerant usage in tonnes.</w:t>
      </w:r>
      <w:r>
        <w:rPr>
          <w:noProof/>
        </w:rPr>
        <w:tab/>
      </w:r>
      <w:r>
        <w:rPr>
          <w:noProof/>
        </w:rPr>
        <w:fldChar w:fldCharType="begin"/>
      </w:r>
      <w:r>
        <w:rPr>
          <w:noProof/>
        </w:rPr>
        <w:instrText xml:space="preserve"> PAGEREF _Toc19601367 \h </w:instrText>
      </w:r>
      <w:r>
        <w:rPr>
          <w:noProof/>
        </w:rPr>
      </w:r>
      <w:r>
        <w:rPr>
          <w:noProof/>
        </w:rPr>
        <w:fldChar w:fldCharType="separate"/>
      </w:r>
      <w:r>
        <w:rPr>
          <w:noProof/>
        </w:rPr>
        <w:t>75</w:t>
      </w:r>
      <w:r>
        <w:rPr>
          <w:noProof/>
        </w:rPr>
        <w:fldChar w:fldCharType="end"/>
      </w:r>
    </w:p>
    <w:p w14:paraId="7281DA4F" w14:textId="742CD56E"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 xml:space="preserve">Table 16: </w:t>
      </w:r>
      <w:r w:rsidRPr="001B727C">
        <w:rPr>
          <w:noProof/>
          <w:lang w:val="en-AU"/>
        </w:rPr>
        <w:t>Volumes of ammonia sold by calendar year (tonnes) based on supplier survey.</w:t>
      </w:r>
      <w:r>
        <w:rPr>
          <w:noProof/>
        </w:rPr>
        <w:tab/>
      </w:r>
      <w:r>
        <w:rPr>
          <w:noProof/>
        </w:rPr>
        <w:fldChar w:fldCharType="begin"/>
      </w:r>
      <w:r>
        <w:rPr>
          <w:noProof/>
        </w:rPr>
        <w:instrText xml:space="preserve"> PAGEREF _Toc19601368 \h </w:instrText>
      </w:r>
      <w:r>
        <w:rPr>
          <w:noProof/>
        </w:rPr>
      </w:r>
      <w:r>
        <w:rPr>
          <w:noProof/>
        </w:rPr>
        <w:fldChar w:fldCharType="separate"/>
      </w:r>
      <w:r>
        <w:rPr>
          <w:noProof/>
        </w:rPr>
        <w:t>80</w:t>
      </w:r>
      <w:r>
        <w:rPr>
          <w:noProof/>
        </w:rPr>
        <w:fldChar w:fldCharType="end"/>
      </w:r>
    </w:p>
    <w:p w14:paraId="7AA0F771" w14:textId="28FFB964"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Pr>
          <w:noProof/>
        </w:rPr>
        <w:t>Table 17: H</w:t>
      </w:r>
      <w:r w:rsidRPr="001B727C">
        <w:rPr>
          <w:noProof/>
          <w:lang w:val="en-AU"/>
        </w:rPr>
        <w:t>ydrocarbon refrigerant sold by calendar year (tonnes) based on supplier survey.</w:t>
      </w:r>
      <w:r>
        <w:rPr>
          <w:noProof/>
        </w:rPr>
        <w:tab/>
      </w:r>
      <w:r>
        <w:rPr>
          <w:noProof/>
        </w:rPr>
        <w:fldChar w:fldCharType="begin"/>
      </w:r>
      <w:r>
        <w:rPr>
          <w:noProof/>
        </w:rPr>
        <w:instrText xml:space="preserve"> PAGEREF _Toc19601369 \h </w:instrText>
      </w:r>
      <w:r>
        <w:rPr>
          <w:noProof/>
        </w:rPr>
      </w:r>
      <w:r>
        <w:rPr>
          <w:noProof/>
        </w:rPr>
        <w:fldChar w:fldCharType="separate"/>
      </w:r>
      <w:r>
        <w:rPr>
          <w:noProof/>
        </w:rPr>
        <w:t>82</w:t>
      </w:r>
      <w:r>
        <w:rPr>
          <w:noProof/>
        </w:rPr>
        <w:fldChar w:fldCharType="end"/>
      </w:r>
    </w:p>
    <w:p w14:paraId="0C4195E0" w14:textId="34221B32" w:rsidR="002D5B2F" w:rsidRDefault="002D5B2F">
      <w:pPr>
        <w:pStyle w:val="TableofFigures"/>
        <w:tabs>
          <w:tab w:val="right" w:leader="dot" w:pos="9487"/>
        </w:tabs>
        <w:rPr>
          <w:rFonts w:asciiTheme="minorHAnsi" w:eastAsiaTheme="minorEastAsia" w:hAnsiTheme="minorHAnsi" w:cstheme="minorBidi"/>
          <w:noProof/>
          <w:sz w:val="24"/>
          <w:lang w:val="en-AU" w:eastAsia="en-GB"/>
        </w:rPr>
      </w:pPr>
      <w:r w:rsidRPr="001B727C">
        <w:rPr>
          <w:rFonts w:eastAsiaTheme="minorEastAsia"/>
          <w:iCs/>
          <w:noProof/>
          <w:lang w:val="en-GB"/>
        </w:rPr>
        <w:t>Table 18: Low GWP refrigerant bank in 2018 in tonnes.</w:t>
      </w:r>
      <w:r>
        <w:rPr>
          <w:noProof/>
        </w:rPr>
        <w:tab/>
      </w:r>
      <w:r>
        <w:rPr>
          <w:noProof/>
        </w:rPr>
        <w:fldChar w:fldCharType="begin"/>
      </w:r>
      <w:r>
        <w:rPr>
          <w:noProof/>
        </w:rPr>
        <w:instrText xml:space="preserve"> PAGEREF _Toc19601370 \h </w:instrText>
      </w:r>
      <w:r>
        <w:rPr>
          <w:noProof/>
        </w:rPr>
      </w:r>
      <w:r>
        <w:rPr>
          <w:noProof/>
        </w:rPr>
        <w:fldChar w:fldCharType="separate"/>
      </w:r>
      <w:r>
        <w:rPr>
          <w:noProof/>
        </w:rPr>
        <w:t>83</w:t>
      </w:r>
      <w:r>
        <w:rPr>
          <w:noProof/>
        </w:rPr>
        <w:fldChar w:fldCharType="end"/>
      </w:r>
    </w:p>
    <w:p w14:paraId="09E40CF6" w14:textId="6D9CA9F1" w:rsidR="003937A5" w:rsidRPr="003937A5" w:rsidRDefault="002D5B2F" w:rsidP="009A23AA">
      <w:pPr>
        <w:tabs>
          <w:tab w:val="left" w:pos="7513"/>
        </w:tabs>
        <w:rPr>
          <w:rFonts w:asciiTheme="majorHAnsi" w:hAnsiTheme="majorHAnsi"/>
          <w:sz w:val="20"/>
          <w:szCs w:val="20"/>
        </w:rPr>
      </w:pPr>
      <w:r>
        <w:rPr>
          <w:rFonts w:asciiTheme="majorHAnsi" w:eastAsia="Times New Roman" w:hAnsiTheme="majorHAnsi" w:cs="Times New Roman"/>
          <w:b/>
          <w:bCs/>
          <w:noProof/>
          <w:sz w:val="20"/>
          <w:szCs w:val="20"/>
          <w:lang w:val="en-US"/>
        </w:rPr>
        <w:fldChar w:fldCharType="end"/>
      </w:r>
      <w:r w:rsidR="003937A5" w:rsidRPr="000006BF">
        <w:rPr>
          <w:rFonts w:ascii="Verdana" w:hAnsi="Verdana"/>
          <w:color w:val="548DD4"/>
          <w:szCs w:val="20"/>
        </w:rPr>
        <w:br w:type="page"/>
      </w:r>
      <w:r w:rsidR="003937A5" w:rsidRPr="003937A5">
        <w:rPr>
          <w:rFonts w:asciiTheme="majorHAnsi" w:hAnsiTheme="majorHAnsi"/>
          <w:sz w:val="20"/>
          <w:szCs w:val="20"/>
        </w:rPr>
        <w:t xml:space="preserve">This paper has been prepared for the Australian Government, Department of </w:t>
      </w:r>
      <w:r w:rsidR="00BA3DC3">
        <w:rPr>
          <w:rFonts w:asciiTheme="majorHAnsi" w:hAnsiTheme="majorHAnsi"/>
          <w:sz w:val="20"/>
          <w:szCs w:val="20"/>
        </w:rPr>
        <w:t>the</w:t>
      </w:r>
      <w:r w:rsidR="003937A5" w:rsidRPr="003937A5">
        <w:rPr>
          <w:rFonts w:asciiTheme="majorHAnsi" w:hAnsiTheme="majorHAnsi"/>
          <w:sz w:val="20"/>
          <w:szCs w:val="20"/>
        </w:rPr>
        <w:t xml:space="preserve"> Environment</w:t>
      </w:r>
      <w:r w:rsidR="00442990">
        <w:rPr>
          <w:rFonts w:asciiTheme="majorHAnsi" w:hAnsiTheme="majorHAnsi"/>
          <w:sz w:val="20"/>
          <w:szCs w:val="20"/>
        </w:rPr>
        <w:t xml:space="preserve"> and Energy</w:t>
      </w:r>
      <w:r w:rsidR="003937A5" w:rsidRPr="003937A5">
        <w:rPr>
          <w:rFonts w:asciiTheme="majorHAnsi" w:hAnsiTheme="majorHAnsi"/>
          <w:sz w:val="20"/>
          <w:szCs w:val="20"/>
        </w:rPr>
        <w:t>, (</w:t>
      </w:r>
      <w:proofErr w:type="spellStart"/>
      <w:r w:rsidR="00BA3DC3">
        <w:rPr>
          <w:rFonts w:asciiTheme="majorHAnsi" w:hAnsiTheme="majorHAnsi"/>
          <w:sz w:val="20"/>
          <w:szCs w:val="20"/>
        </w:rPr>
        <w:t>Do</w:t>
      </w:r>
      <w:r w:rsidR="00442990">
        <w:rPr>
          <w:rFonts w:asciiTheme="majorHAnsi" w:hAnsiTheme="majorHAnsi"/>
          <w:sz w:val="20"/>
          <w:szCs w:val="20"/>
        </w:rPr>
        <w:t>E</w:t>
      </w:r>
      <w:r w:rsidR="00BA3DC3">
        <w:rPr>
          <w:rFonts w:asciiTheme="majorHAnsi" w:hAnsiTheme="majorHAnsi"/>
          <w:sz w:val="20"/>
          <w:szCs w:val="20"/>
        </w:rPr>
        <w:t>E</w:t>
      </w:r>
      <w:proofErr w:type="spellEnd"/>
      <w:r w:rsidR="003937A5" w:rsidRPr="003937A5">
        <w:rPr>
          <w:rFonts w:asciiTheme="majorHAnsi" w:hAnsiTheme="majorHAnsi"/>
          <w:sz w:val="20"/>
          <w:szCs w:val="20"/>
        </w:rPr>
        <w:t xml:space="preserve">) </w:t>
      </w:r>
      <w:r w:rsidR="00CD696F">
        <w:rPr>
          <w:rFonts w:asciiTheme="majorHAnsi" w:hAnsiTheme="majorHAnsi"/>
          <w:sz w:val="20"/>
          <w:szCs w:val="20"/>
        </w:rPr>
        <w:t>Energy Innovation and Ozone Protection Branch, International Climate Change and Energy Innovation Division</w:t>
      </w:r>
      <w:r w:rsidR="003937A5" w:rsidRPr="003937A5">
        <w:rPr>
          <w:rFonts w:asciiTheme="majorHAnsi" w:hAnsiTheme="majorHAnsi"/>
          <w:sz w:val="20"/>
          <w:szCs w:val="20"/>
        </w:rPr>
        <w:t>.</w:t>
      </w:r>
    </w:p>
    <w:p w14:paraId="0CD1E50E" w14:textId="77777777" w:rsidR="003937A5" w:rsidRPr="003937A5" w:rsidRDefault="003937A5" w:rsidP="009A23AA">
      <w:pPr>
        <w:rPr>
          <w:rFonts w:asciiTheme="majorHAnsi" w:hAnsiTheme="majorHAnsi"/>
          <w:sz w:val="20"/>
          <w:szCs w:val="20"/>
        </w:rPr>
      </w:pPr>
      <w:r w:rsidRPr="003937A5">
        <w:rPr>
          <w:rFonts w:asciiTheme="majorHAnsi" w:hAnsiTheme="majorHAnsi"/>
          <w:sz w:val="20"/>
          <w:szCs w:val="20"/>
        </w:rPr>
        <w:t xml:space="preserve">Prepared by Peter </w:t>
      </w:r>
      <w:proofErr w:type="spellStart"/>
      <w:r w:rsidRPr="003937A5">
        <w:rPr>
          <w:rFonts w:asciiTheme="majorHAnsi" w:hAnsiTheme="majorHAnsi"/>
          <w:sz w:val="20"/>
          <w:szCs w:val="20"/>
        </w:rPr>
        <w:t>Brodribb</w:t>
      </w:r>
      <w:proofErr w:type="spellEnd"/>
      <w:r w:rsidRPr="003937A5">
        <w:rPr>
          <w:rFonts w:asciiTheme="majorHAnsi" w:hAnsiTheme="majorHAnsi"/>
          <w:sz w:val="20"/>
          <w:szCs w:val="20"/>
        </w:rPr>
        <w:t xml:space="preserve"> of the Expert Group (A.C.N. </w:t>
      </w:r>
      <w:r w:rsidR="00206CD4">
        <w:rPr>
          <w:rFonts w:asciiTheme="majorHAnsi" w:hAnsiTheme="majorHAnsi"/>
          <w:sz w:val="20"/>
          <w:szCs w:val="20"/>
        </w:rPr>
        <w:t>122 581 159) and</w:t>
      </w:r>
      <w:r w:rsidRPr="003937A5">
        <w:rPr>
          <w:rFonts w:asciiTheme="majorHAnsi" w:hAnsiTheme="majorHAnsi"/>
          <w:sz w:val="20"/>
          <w:szCs w:val="20"/>
        </w:rPr>
        <w:t xml:space="preserve"> Michael McCann of </w:t>
      </w:r>
      <w:proofErr w:type="spellStart"/>
      <w:r w:rsidRPr="003937A5">
        <w:rPr>
          <w:rFonts w:asciiTheme="majorHAnsi" w:hAnsiTheme="majorHAnsi"/>
          <w:sz w:val="20"/>
          <w:szCs w:val="20"/>
        </w:rPr>
        <w:t>Thinkwell</w:t>
      </w:r>
      <w:proofErr w:type="spellEnd"/>
      <w:r w:rsidRPr="003937A5">
        <w:rPr>
          <w:rFonts w:asciiTheme="majorHAnsi" w:hAnsiTheme="majorHAnsi"/>
          <w:sz w:val="20"/>
          <w:szCs w:val="20"/>
        </w:rPr>
        <w:t xml:space="preserve"> Australia Pty Ltd (A.C.N. 113 454 112)</w:t>
      </w:r>
      <w:r w:rsidR="00982EF0">
        <w:rPr>
          <w:rFonts w:asciiTheme="majorHAnsi" w:hAnsiTheme="majorHAnsi"/>
          <w:sz w:val="20"/>
          <w:szCs w:val="20"/>
        </w:rPr>
        <w:t>.</w:t>
      </w:r>
    </w:p>
    <w:p w14:paraId="6B4CF997" w14:textId="77777777" w:rsidR="007B0C64" w:rsidRDefault="007B0C64" w:rsidP="009A23AA">
      <w:pPr>
        <w:rPr>
          <w:rFonts w:asciiTheme="majorHAnsi" w:hAnsiTheme="majorHAnsi"/>
          <w:sz w:val="20"/>
          <w:szCs w:val="20"/>
        </w:rPr>
      </w:pPr>
      <w:r>
        <w:rPr>
          <w:rFonts w:asciiTheme="majorHAnsi" w:hAnsiTheme="majorHAnsi"/>
          <w:sz w:val="20"/>
          <w:szCs w:val="20"/>
        </w:rPr>
        <w:t>Level 1, 181 Bay Street, Brighton, Victoria 3186</w:t>
      </w:r>
    </w:p>
    <w:p w14:paraId="030FF5D8" w14:textId="77777777" w:rsidR="007B0C64" w:rsidRPr="003937A5" w:rsidRDefault="007B0C64" w:rsidP="009A23AA">
      <w:pPr>
        <w:rPr>
          <w:rFonts w:asciiTheme="majorHAnsi" w:hAnsiTheme="majorHAnsi"/>
          <w:sz w:val="20"/>
          <w:szCs w:val="20"/>
        </w:rPr>
      </w:pPr>
      <w:proofErr w:type="spellStart"/>
      <w:r w:rsidRPr="003937A5">
        <w:rPr>
          <w:rFonts w:asciiTheme="majorHAnsi" w:hAnsiTheme="majorHAnsi"/>
          <w:sz w:val="20"/>
          <w:szCs w:val="20"/>
        </w:rPr>
        <w:t>Ph</w:t>
      </w:r>
      <w:proofErr w:type="spellEnd"/>
      <w:r w:rsidRPr="003937A5">
        <w:rPr>
          <w:rFonts w:asciiTheme="majorHAnsi" w:hAnsiTheme="majorHAnsi"/>
          <w:sz w:val="20"/>
          <w:szCs w:val="20"/>
        </w:rPr>
        <w:t xml:space="preserve">: +61 3 9592 9111 </w:t>
      </w:r>
    </w:p>
    <w:p w14:paraId="165706CF" w14:textId="77777777" w:rsidR="003937A5" w:rsidRPr="003937A5" w:rsidRDefault="003937A5" w:rsidP="009A23AA">
      <w:pPr>
        <w:rPr>
          <w:rFonts w:asciiTheme="majorHAnsi" w:hAnsiTheme="majorHAnsi"/>
          <w:sz w:val="20"/>
          <w:szCs w:val="20"/>
        </w:rPr>
      </w:pPr>
      <w:r w:rsidRPr="003937A5">
        <w:rPr>
          <w:rFonts w:asciiTheme="majorHAnsi" w:hAnsiTheme="majorHAnsi"/>
          <w:sz w:val="20"/>
          <w:szCs w:val="20"/>
        </w:rPr>
        <w:t xml:space="preserve">Email: inquiries@expertgroup.com.au </w:t>
      </w:r>
    </w:p>
    <w:p w14:paraId="23ACF48B" w14:textId="77777777" w:rsidR="003937A5" w:rsidRPr="003937A5" w:rsidRDefault="003937A5" w:rsidP="009A23AA">
      <w:pPr>
        <w:rPr>
          <w:rFonts w:asciiTheme="majorHAnsi" w:hAnsiTheme="majorHAnsi"/>
          <w:sz w:val="20"/>
          <w:szCs w:val="20"/>
        </w:rPr>
      </w:pPr>
      <w:r w:rsidRPr="003937A5">
        <w:rPr>
          <w:rFonts w:asciiTheme="majorHAnsi" w:hAnsiTheme="majorHAnsi"/>
          <w:sz w:val="20"/>
          <w:szCs w:val="20"/>
        </w:rPr>
        <w:t>Web address: www.expertgroup.com.au</w:t>
      </w:r>
    </w:p>
    <w:p w14:paraId="3D2E2B99" w14:textId="77777777" w:rsidR="003937A5" w:rsidRPr="003937A5" w:rsidRDefault="003937A5" w:rsidP="009A23AA">
      <w:pPr>
        <w:rPr>
          <w:rFonts w:asciiTheme="majorHAnsi" w:hAnsiTheme="majorHAnsi"/>
          <w:sz w:val="20"/>
          <w:szCs w:val="20"/>
        </w:rPr>
      </w:pPr>
    </w:p>
    <w:p w14:paraId="2F4B61C7" w14:textId="77777777" w:rsidR="003937A5" w:rsidRPr="003937A5" w:rsidRDefault="003937A5" w:rsidP="009A23AA">
      <w:pPr>
        <w:rPr>
          <w:rFonts w:asciiTheme="majorHAnsi" w:hAnsiTheme="majorHAnsi"/>
          <w:b/>
          <w:sz w:val="20"/>
          <w:szCs w:val="20"/>
        </w:rPr>
      </w:pPr>
      <w:r w:rsidRPr="003937A5">
        <w:rPr>
          <w:rFonts w:asciiTheme="majorHAnsi" w:hAnsiTheme="majorHAnsi"/>
          <w:b/>
          <w:sz w:val="20"/>
          <w:szCs w:val="20"/>
        </w:rPr>
        <w:t>Disclaimer</w:t>
      </w:r>
    </w:p>
    <w:p w14:paraId="6E358620" w14:textId="35B2CDCB" w:rsidR="00290508" w:rsidRPr="00B46E11" w:rsidRDefault="00290508" w:rsidP="00290508">
      <w:pPr>
        <w:pStyle w:val="NormalWeb"/>
        <w:shd w:val="clear" w:color="auto" w:fill="FFFFFF"/>
        <w:textAlignment w:val="top"/>
        <w:rPr>
          <w:rFonts w:asciiTheme="majorHAnsi" w:eastAsiaTheme="minorEastAsia" w:hAnsiTheme="majorHAnsi" w:cstheme="minorBidi"/>
          <w:color w:val="000000" w:themeColor="text1"/>
          <w:sz w:val="20"/>
          <w:szCs w:val="20"/>
          <w:lang w:val="en-GB"/>
        </w:rPr>
      </w:pPr>
      <w:r w:rsidRPr="00B46E11">
        <w:rPr>
          <w:rFonts w:asciiTheme="majorHAnsi" w:eastAsiaTheme="minorEastAsia" w:hAnsiTheme="majorHAnsi" w:cstheme="minorBidi"/>
          <w:color w:val="000000" w:themeColor="text1"/>
          <w:sz w:val="20"/>
          <w:szCs w:val="20"/>
          <w:lang w:val="en-GB"/>
        </w:rPr>
        <w:t>The views and opinions expressed in this publication are those of the authors and do not necessarily reflect those of the Australian Government</w:t>
      </w:r>
      <w:r w:rsidR="00610FF4">
        <w:rPr>
          <w:rFonts w:asciiTheme="majorHAnsi" w:eastAsiaTheme="minorEastAsia" w:hAnsiTheme="majorHAnsi" w:cstheme="minorBidi"/>
          <w:color w:val="000000" w:themeColor="text1"/>
          <w:sz w:val="20"/>
          <w:szCs w:val="20"/>
          <w:lang w:val="en-GB"/>
        </w:rPr>
        <w:t>, the</w:t>
      </w:r>
      <w:r w:rsidRPr="00B46E11">
        <w:rPr>
          <w:rFonts w:asciiTheme="majorHAnsi" w:eastAsiaTheme="minorEastAsia" w:hAnsiTheme="majorHAnsi" w:cstheme="minorBidi"/>
          <w:color w:val="000000" w:themeColor="text1"/>
          <w:sz w:val="20"/>
          <w:szCs w:val="20"/>
          <w:lang w:val="en-GB"/>
        </w:rPr>
        <w:t xml:space="preserve"> </w:t>
      </w:r>
      <w:r w:rsidRPr="00962169">
        <w:rPr>
          <w:rFonts w:asciiTheme="majorHAnsi" w:eastAsiaTheme="minorEastAsia" w:hAnsiTheme="majorHAnsi" w:cstheme="minorBidi"/>
          <w:color w:val="000000" w:themeColor="text1"/>
          <w:sz w:val="20"/>
          <w:szCs w:val="20"/>
          <w:lang w:val="en-GB"/>
        </w:rPr>
        <w:t xml:space="preserve">Minister for the Environment </w:t>
      </w:r>
      <w:r w:rsidR="00610FF4">
        <w:rPr>
          <w:rFonts w:asciiTheme="majorHAnsi" w:eastAsiaTheme="minorEastAsia" w:hAnsiTheme="majorHAnsi" w:cstheme="minorBidi"/>
          <w:color w:val="000000" w:themeColor="text1"/>
          <w:sz w:val="20"/>
          <w:szCs w:val="20"/>
          <w:lang w:val="en-GB"/>
        </w:rPr>
        <w:t>or</w:t>
      </w:r>
      <w:r w:rsidRPr="00962169">
        <w:rPr>
          <w:rFonts w:asciiTheme="majorHAnsi" w:eastAsiaTheme="minorEastAsia" w:hAnsiTheme="majorHAnsi" w:cstheme="minorBidi"/>
          <w:color w:val="000000" w:themeColor="text1"/>
          <w:sz w:val="20"/>
          <w:szCs w:val="20"/>
          <w:lang w:val="en-GB"/>
        </w:rPr>
        <w:t xml:space="preserve"> the Minister for Energy and Emissions Reduction.</w:t>
      </w:r>
    </w:p>
    <w:p w14:paraId="5D330BF9" w14:textId="492874AF" w:rsidR="00993B4F" w:rsidRPr="00B46E11" w:rsidRDefault="00993B4F" w:rsidP="009A23AA">
      <w:pPr>
        <w:pStyle w:val="NormalWeb"/>
        <w:shd w:val="clear" w:color="auto" w:fill="FFFFFF"/>
        <w:jc w:val="both"/>
        <w:textAlignment w:val="top"/>
        <w:rPr>
          <w:rFonts w:asciiTheme="majorHAnsi" w:eastAsiaTheme="minorEastAsia" w:hAnsiTheme="majorHAnsi" w:cstheme="minorBidi"/>
          <w:color w:val="000000" w:themeColor="text1"/>
          <w:sz w:val="20"/>
          <w:szCs w:val="20"/>
          <w:lang w:val="en-GB"/>
        </w:rPr>
      </w:pPr>
      <w:r w:rsidRPr="00B46E11">
        <w:rPr>
          <w:rFonts w:asciiTheme="majorHAnsi" w:eastAsiaTheme="minorEastAsia" w:hAnsiTheme="majorHAnsi" w:cstheme="minorBidi"/>
          <w:color w:val="000000" w:themeColor="text1"/>
          <w:sz w:val="20"/>
          <w:szCs w:val="20"/>
          <w:lang w:val="en-G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9332F36" w14:textId="77777777" w:rsidR="00D93F9C" w:rsidRDefault="00C31982" w:rsidP="009A23AA">
      <w:pPr>
        <w:rPr>
          <w:rFonts w:asciiTheme="majorHAnsi" w:hAnsiTheme="majorHAnsi"/>
          <w:sz w:val="20"/>
          <w:szCs w:val="20"/>
        </w:rPr>
      </w:pPr>
      <w:r>
        <w:rPr>
          <w:rFonts w:asciiTheme="majorHAnsi" w:hAnsiTheme="majorHAnsi"/>
          <w:sz w:val="20"/>
          <w:szCs w:val="20"/>
        </w:rPr>
        <w:t>ISBN</w:t>
      </w:r>
      <w:r w:rsidRPr="007249E8">
        <w:rPr>
          <w:rFonts w:asciiTheme="majorHAnsi" w:hAnsiTheme="majorHAnsi"/>
          <w:sz w:val="20"/>
          <w:szCs w:val="20"/>
        </w:rPr>
        <w:t>: XX</w:t>
      </w:r>
    </w:p>
    <w:p w14:paraId="1BA717F1" w14:textId="600A9036" w:rsidR="003937A5" w:rsidRDefault="003937A5" w:rsidP="009A23AA">
      <w:pPr>
        <w:rPr>
          <w:rFonts w:asciiTheme="majorHAnsi" w:hAnsiTheme="majorHAnsi"/>
          <w:sz w:val="20"/>
          <w:szCs w:val="20"/>
        </w:rPr>
      </w:pPr>
      <w:r w:rsidRPr="003937A5">
        <w:rPr>
          <w:rFonts w:asciiTheme="majorHAnsi" w:hAnsiTheme="majorHAnsi"/>
          <w:sz w:val="20"/>
          <w:szCs w:val="20"/>
        </w:rPr>
        <w:t>For bibliographic purposes this report may be cited as:</w:t>
      </w:r>
      <w:r w:rsidR="00442990">
        <w:rPr>
          <w:rFonts w:asciiTheme="majorHAnsi" w:hAnsiTheme="majorHAnsi"/>
          <w:sz w:val="20"/>
          <w:szCs w:val="20"/>
        </w:rPr>
        <w:t xml:space="preserve"> Cold Hard Facts </w:t>
      </w:r>
      <w:r w:rsidR="001B73B4">
        <w:rPr>
          <w:rFonts w:asciiTheme="majorHAnsi" w:hAnsiTheme="majorHAnsi"/>
          <w:sz w:val="20"/>
          <w:szCs w:val="20"/>
        </w:rPr>
        <w:t>2019</w:t>
      </w:r>
      <w:r w:rsidR="00C31982">
        <w:rPr>
          <w:rFonts w:asciiTheme="majorHAnsi" w:hAnsiTheme="majorHAnsi"/>
          <w:sz w:val="20"/>
          <w:szCs w:val="20"/>
        </w:rPr>
        <w:t>,</w:t>
      </w:r>
      <w:r w:rsidR="007B0C64">
        <w:rPr>
          <w:rFonts w:asciiTheme="majorHAnsi" w:hAnsiTheme="majorHAnsi"/>
          <w:sz w:val="20"/>
          <w:szCs w:val="20"/>
        </w:rPr>
        <w:t xml:space="preserve"> </w:t>
      </w:r>
      <w:r w:rsidRPr="003937A5">
        <w:rPr>
          <w:rFonts w:asciiTheme="majorHAnsi" w:hAnsiTheme="majorHAnsi"/>
          <w:sz w:val="20"/>
          <w:szCs w:val="20"/>
        </w:rPr>
        <w:t xml:space="preserve">Peter </w:t>
      </w:r>
      <w:proofErr w:type="spellStart"/>
      <w:r w:rsidRPr="003937A5">
        <w:rPr>
          <w:rFonts w:asciiTheme="majorHAnsi" w:hAnsiTheme="majorHAnsi"/>
          <w:sz w:val="20"/>
          <w:szCs w:val="20"/>
        </w:rPr>
        <w:t>Brodribb</w:t>
      </w:r>
      <w:proofErr w:type="spellEnd"/>
      <w:r w:rsidRPr="003937A5">
        <w:rPr>
          <w:rFonts w:asciiTheme="majorHAnsi" w:hAnsiTheme="majorHAnsi"/>
          <w:sz w:val="20"/>
          <w:szCs w:val="20"/>
        </w:rPr>
        <w:t xml:space="preserve"> and Michael McCann </w:t>
      </w:r>
      <w:r w:rsidR="00D66920">
        <w:rPr>
          <w:rFonts w:asciiTheme="majorHAnsi" w:hAnsiTheme="majorHAnsi"/>
          <w:sz w:val="20"/>
          <w:szCs w:val="20"/>
        </w:rPr>
        <w:t>2019</w:t>
      </w:r>
      <w:r w:rsidRPr="003937A5">
        <w:rPr>
          <w:rFonts w:asciiTheme="majorHAnsi" w:hAnsiTheme="majorHAnsi"/>
          <w:sz w:val="20"/>
          <w:szCs w:val="20"/>
        </w:rPr>
        <w:t>, Canberra.</w:t>
      </w:r>
    </w:p>
    <w:p w14:paraId="744E2C8C" w14:textId="77777777" w:rsidR="00D93F9C" w:rsidRPr="003937A5" w:rsidRDefault="00D93F9C" w:rsidP="009A23AA">
      <w:pPr>
        <w:rPr>
          <w:rFonts w:asciiTheme="majorHAnsi" w:hAnsiTheme="majorHAnsi"/>
          <w:sz w:val="20"/>
          <w:szCs w:val="20"/>
        </w:rPr>
      </w:pPr>
    </w:p>
    <w:p w14:paraId="760FF94E" w14:textId="0BB2DE68" w:rsidR="00D93F9C" w:rsidRPr="00D93F9C" w:rsidRDefault="00D93F9C" w:rsidP="009A23AA">
      <w:pPr>
        <w:rPr>
          <w:rFonts w:asciiTheme="majorHAnsi" w:hAnsiTheme="majorHAnsi"/>
          <w:color w:val="000000" w:themeColor="text1"/>
          <w:sz w:val="20"/>
          <w:szCs w:val="20"/>
        </w:rPr>
      </w:pPr>
      <w:r w:rsidRPr="00D93F9C">
        <w:rPr>
          <w:rFonts w:asciiTheme="majorHAnsi" w:hAnsiTheme="majorHAnsi"/>
          <w:color w:val="000000" w:themeColor="text1"/>
          <w:sz w:val="20"/>
          <w:szCs w:val="20"/>
        </w:rPr>
        <w:t>© Commonwealth of Australia 201</w:t>
      </w:r>
      <w:r w:rsidR="001A4C9D">
        <w:rPr>
          <w:rFonts w:asciiTheme="majorHAnsi" w:hAnsiTheme="majorHAnsi"/>
          <w:color w:val="000000" w:themeColor="text1"/>
          <w:sz w:val="20"/>
          <w:szCs w:val="20"/>
        </w:rPr>
        <w:t>9</w:t>
      </w:r>
    </w:p>
    <w:p w14:paraId="5DDC2EAE" w14:textId="13DE4427" w:rsidR="00D93F9C" w:rsidRPr="008635DC" w:rsidRDefault="00D93F9C" w:rsidP="009A23AA">
      <w:pPr>
        <w:rPr>
          <w:rFonts w:asciiTheme="majorHAnsi" w:hAnsiTheme="majorHAnsi"/>
          <w:color w:val="000000" w:themeColor="text1"/>
          <w:sz w:val="20"/>
          <w:szCs w:val="20"/>
        </w:rPr>
      </w:pPr>
      <w:r w:rsidRPr="00D93F9C">
        <w:rPr>
          <w:rFonts w:asciiTheme="majorHAnsi" w:hAnsiTheme="majorHAnsi"/>
          <w:color w:val="000000" w:themeColor="text1"/>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w:t>
      </w:r>
      <w:r w:rsidR="00BA3DC3">
        <w:rPr>
          <w:rFonts w:asciiTheme="majorHAnsi" w:hAnsiTheme="majorHAnsi"/>
          <w:color w:val="000000" w:themeColor="text1"/>
          <w:sz w:val="20"/>
          <w:szCs w:val="20"/>
        </w:rPr>
        <w:t>the</w:t>
      </w:r>
      <w:r w:rsidRPr="00D93F9C">
        <w:rPr>
          <w:rFonts w:asciiTheme="majorHAnsi" w:hAnsiTheme="majorHAnsi"/>
          <w:color w:val="000000" w:themeColor="text1"/>
          <w:sz w:val="20"/>
          <w:szCs w:val="20"/>
        </w:rPr>
        <w:t xml:space="preserve"> Environment</w:t>
      </w:r>
      <w:r w:rsidR="00FC65F2">
        <w:rPr>
          <w:rFonts w:asciiTheme="majorHAnsi" w:hAnsiTheme="majorHAnsi"/>
          <w:color w:val="000000" w:themeColor="text1"/>
          <w:sz w:val="20"/>
          <w:szCs w:val="20"/>
        </w:rPr>
        <w:t xml:space="preserve"> and Energy</w:t>
      </w:r>
      <w:r w:rsidRPr="00D93F9C">
        <w:rPr>
          <w:rFonts w:asciiTheme="majorHAnsi" w:hAnsiTheme="majorHAnsi"/>
          <w:color w:val="000000" w:themeColor="text1"/>
          <w:sz w:val="20"/>
          <w:szCs w:val="20"/>
        </w:rPr>
        <w:t xml:space="preserve">, Public Affairs, GPO Box 787 Canberra ACT 2601 or email </w:t>
      </w:r>
      <w:hyperlink r:id="rId16" w:history="1">
        <w:r w:rsidRPr="00D93F9C">
          <w:rPr>
            <w:rStyle w:val="Hyperlink"/>
            <w:rFonts w:ascii="Verdana" w:hAnsi="Verdana"/>
            <w:sz w:val="17"/>
            <w:szCs w:val="17"/>
          </w:rPr>
          <w:t>public.affairs@environment.gov.au</w:t>
        </w:r>
      </w:hyperlink>
      <w:r w:rsidRPr="00D93F9C">
        <w:rPr>
          <w:rFonts w:ascii="Verdana" w:hAnsi="Verdana"/>
          <w:color w:val="000000"/>
          <w:sz w:val="17"/>
          <w:szCs w:val="17"/>
        </w:rPr>
        <w:t>.</w:t>
      </w:r>
    </w:p>
    <w:p w14:paraId="62F7A11A" w14:textId="77777777" w:rsidR="00D93F9C" w:rsidRPr="003937A5" w:rsidRDefault="00D93F9C" w:rsidP="009A23AA">
      <w:pPr>
        <w:spacing w:before="0"/>
        <w:rPr>
          <w:rFonts w:asciiTheme="majorHAnsi" w:hAnsiTheme="majorHAnsi"/>
          <w:sz w:val="20"/>
          <w:szCs w:val="20"/>
        </w:rPr>
      </w:pPr>
    </w:p>
    <w:p w14:paraId="50EC3EC2" w14:textId="77777777" w:rsidR="00CC6F76" w:rsidRDefault="00CC6F76" w:rsidP="009A23AA">
      <w:pPr>
        <w:spacing w:before="0"/>
      </w:pPr>
    </w:p>
    <w:p w14:paraId="123069ED" w14:textId="77777777" w:rsidR="00CC6F76" w:rsidRDefault="00CC6F76" w:rsidP="009A23AA">
      <w:pPr>
        <w:spacing w:before="0"/>
      </w:pPr>
      <w:r>
        <w:br w:type="page"/>
      </w:r>
    </w:p>
    <w:p w14:paraId="5391B932" w14:textId="199B9A6D" w:rsidR="003937A5" w:rsidRPr="006B5B2D" w:rsidRDefault="00AF3794" w:rsidP="009A23AA">
      <w:pPr>
        <w:pStyle w:val="Heading1"/>
        <w:jc w:val="both"/>
      </w:pPr>
      <w:bookmarkStart w:id="1" w:name="_Toc19601280"/>
      <w:r>
        <w:t xml:space="preserve">Executive </w:t>
      </w:r>
      <w:r w:rsidR="001B0EF1">
        <w:t>s</w:t>
      </w:r>
      <w:r>
        <w:t>ummary</w:t>
      </w:r>
      <w:bookmarkEnd w:id="1"/>
    </w:p>
    <w:p w14:paraId="37441D2E" w14:textId="6C1CD56A" w:rsidR="007D32C4" w:rsidRDefault="007D32C4" w:rsidP="009A23AA">
      <w:pPr>
        <w:rPr>
          <w:rFonts w:cs="Times New Roman"/>
          <w:szCs w:val="22"/>
        </w:rPr>
      </w:pPr>
      <w:r>
        <w:rPr>
          <w:rFonts w:cs="Times New Roman"/>
          <w:szCs w:val="22"/>
        </w:rPr>
        <w:t>This edition of Cold Hard Facts updates the Cold Hard Facts 3 RAC Stock Model</w:t>
      </w:r>
      <w:r w:rsidR="007A2889">
        <w:rPr>
          <w:rFonts w:cs="Times New Roman"/>
          <w:szCs w:val="22"/>
        </w:rPr>
        <w:t>, adding</w:t>
      </w:r>
      <w:r>
        <w:rPr>
          <w:rFonts w:cs="Times New Roman"/>
          <w:szCs w:val="22"/>
        </w:rPr>
        <w:t xml:space="preserve"> data collected during 2017 and 2018. </w:t>
      </w:r>
    </w:p>
    <w:p w14:paraId="1730CA3D" w14:textId="23452CC7" w:rsidR="00200A75" w:rsidRDefault="00D64AB4" w:rsidP="009A23AA">
      <w:pPr>
        <w:rPr>
          <w:rFonts w:cs="Times New Roman"/>
          <w:szCs w:val="22"/>
        </w:rPr>
      </w:pPr>
      <w:r>
        <w:rPr>
          <w:rFonts w:cs="Times New Roman"/>
          <w:szCs w:val="22"/>
        </w:rPr>
        <w:t>The bank of high GWP</w:t>
      </w:r>
      <w:r w:rsidR="007D32C4">
        <w:rPr>
          <w:rStyle w:val="FootnoteReference"/>
          <w:rFonts w:cs="Times New Roman"/>
          <w:szCs w:val="22"/>
        </w:rPr>
        <w:footnoteReference w:id="2"/>
      </w:r>
      <w:r>
        <w:rPr>
          <w:rFonts w:cs="Times New Roman"/>
          <w:szCs w:val="22"/>
        </w:rPr>
        <w:t xml:space="preserve"> refrigerants in Australia increased </w:t>
      </w:r>
      <w:r w:rsidR="007D32C4">
        <w:rPr>
          <w:rFonts w:cs="Times New Roman"/>
          <w:szCs w:val="22"/>
        </w:rPr>
        <w:t xml:space="preserve">by </w:t>
      </w:r>
      <w:r w:rsidR="005B2BFC">
        <w:rPr>
          <w:rFonts w:cs="Times New Roman"/>
          <w:szCs w:val="22"/>
        </w:rPr>
        <w:t xml:space="preserve">five per cent </w:t>
      </w:r>
      <w:r w:rsidR="00200A75">
        <w:rPr>
          <w:rFonts w:cs="Times New Roman"/>
          <w:szCs w:val="22"/>
        </w:rPr>
        <w:t xml:space="preserve">from 2016 to 2018, </w:t>
      </w:r>
      <w:r>
        <w:rPr>
          <w:rFonts w:cs="Times New Roman"/>
          <w:szCs w:val="22"/>
        </w:rPr>
        <w:t xml:space="preserve">from </w:t>
      </w:r>
      <w:r w:rsidR="00643A6C">
        <w:rPr>
          <w:rFonts w:cs="Times New Roman"/>
          <w:szCs w:val="22"/>
        </w:rPr>
        <w:t>around 5</w:t>
      </w:r>
      <w:r w:rsidR="0002408B">
        <w:rPr>
          <w:rFonts w:cs="Times New Roman"/>
          <w:szCs w:val="22"/>
        </w:rPr>
        <w:t>0</w:t>
      </w:r>
      <w:r w:rsidR="00643A6C">
        <w:rPr>
          <w:rFonts w:cs="Times New Roman"/>
          <w:szCs w:val="22"/>
        </w:rPr>
        <w:t>,</w:t>
      </w:r>
      <w:r w:rsidR="0002408B">
        <w:rPr>
          <w:rFonts w:cs="Times New Roman"/>
          <w:szCs w:val="22"/>
        </w:rPr>
        <w:t>800</w:t>
      </w:r>
      <w:r>
        <w:rPr>
          <w:rFonts w:cs="Times New Roman"/>
          <w:szCs w:val="22"/>
        </w:rPr>
        <w:t xml:space="preserve"> tonnes in 2016 to an estimated 5</w:t>
      </w:r>
      <w:r w:rsidR="0002408B">
        <w:rPr>
          <w:rFonts w:cs="Times New Roman"/>
          <w:szCs w:val="22"/>
        </w:rPr>
        <w:t>3</w:t>
      </w:r>
      <w:r>
        <w:rPr>
          <w:rFonts w:cs="Times New Roman"/>
          <w:szCs w:val="22"/>
        </w:rPr>
        <w:t>,</w:t>
      </w:r>
      <w:r w:rsidR="0002408B">
        <w:rPr>
          <w:rFonts w:cs="Times New Roman"/>
          <w:szCs w:val="22"/>
        </w:rPr>
        <w:t>300</w:t>
      </w:r>
      <w:r>
        <w:rPr>
          <w:rFonts w:cs="Times New Roman"/>
          <w:szCs w:val="22"/>
        </w:rPr>
        <w:t xml:space="preserve"> tonnes in 2018.</w:t>
      </w:r>
      <w:r w:rsidR="00FD314C">
        <w:rPr>
          <w:rFonts w:cs="Times New Roman"/>
          <w:szCs w:val="22"/>
        </w:rPr>
        <w:t xml:space="preserve"> </w:t>
      </w:r>
      <w:r w:rsidR="007D32C4">
        <w:rPr>
          <w:rFonts w:cs="Times New Roman"/>
          <w:szCs w:val="22"/>
        </w:rPr>
        <w:t>Continued g</w:t>
      </w:r>
      <w:r>
        <w:rPr>
          <w:rFonts w:cs="Times New Roman"/>
          <w:szCs w:val="22"/>
        </w:rPr>
        <w:t xml:space="preserve">rowth in the bank employed in </w:t>
      </w:r>
      <w:r w:rsidR="00200A75">
        <w:rPr>
          <w:rFonts w:cs="Times New Roman"/>
          <w:szCs w:val="22"/>
        </w:rPr>
        <w:t>stationary air conditioning</w:t>
      </w:r>
      <w:r>
        <w:rPr>
          <w:rFonts w:cs="Times New Roman"/>
          <w:szCs w:val="22"/>
        </w:rPr>
        <w:t xml:space="preserve">, particularly in the smaller split systems and small commercial systems, contributed most to </w:t>
      </w:r>
      <w:r w:rsidR="00312A0A">
        <w:rPr>
          <w:rFonts w:cs="Times New Roman"/>
          <w:szCs w:val="22"/>
        </w:rPr>
        <w:t>the overall</w:t>
      </w:r>
      <w:r w:rsidR="002A1D47">
        <w:rPr>
          <w:rFonts w:cs="Times New Roman"/>
          <w:szCs w:val="22"/>
        </w:rPr>
        <w:t xml:space="preserve"> </w:t>
      </w:r>
      <w:r>
        <w:rPr>
          <w:rFonts w:cs="Times New Roman"/>
          <w:szCs w:val="22"/>
        </w:rPr>
        <w:t>growth</w:t>
      </w:r>
      <w:r w:rsidR="00312A0A">
        <w:rPr>
          <w:rFonts w:cs="Times New Roman"/>
          <w:szCs w:val="22"/>
        </w:rPr>
        <w:t xml:space="preserve"> of the bank</w:t>
      </w:r>
      <w:r>
        <w:rPr>
          <w:rFonts w:cs="Times New Roman"/>
          <w:szCs w:val="22"/>
        </w:rPr>
        <w:t xml:space="preserve">. </w:t>
      </w:r>
    </w:p>
    <w:p w14:paraId="55645DE6" w14:textId="09D75E8A" w:rsidR="00D64AB4" w:rsidRDefault="00D64AB4" w:rsidP="009A23AA">
      <w:pPr>
        <w:rPr>
          <w:rFonts w:cs="Times New Roman"/>
          <w:szCs w:val="22"/>
        </w:rPr>
      </w:pPr>
      <w:r>
        <w:rPr>
          <w:rFonts w:cs="Times New Roman"/>
          <w:szCs w:val="22"/>
        </w:rPr>
        <w:t xml:space="preserve">Analysis of equipment imports confirmed a rapid transition to the use of HFC-32 in small </w:t>
      </w:r>
      <w:r w:rsidR="00200A75">
        <w:rPr>
          <w:rFonts w:cs="Times New Roman"/>
          <w:szCs w:val="22"/>
        </w:rPr>
        <w:t xml:space="preserve">air conditioning </w:t>
      </w:r>
      <w:r>
        <w:rPr>
          <w:rFonts w:cs="Times New Roman"/>
          <w:szCs w:val="22"/>
        </w:rPr>
        <w:t>systems</w:t>
      </w:r>
      <w:r w:rsidR="005B2BFC">
        <w:rPr>
          <w:rFonts w:cs="Times New Roman"/>
          <w:szCs w:val="22"/>
        </w:rPr>
        <w:t xml:space="preserve">. In 2018, HFC-32 systems made up </w:t>
      </w:r>
      <w:r>
        <w:rPr>
          <w:rFonts w:cs="Times New Roman"/>
          <w:szCs w:val="22"/>
        </w:rPr>
        <w:t>5</w:t>
      </w:r>
      <w:r w:rsidR="004A204F">
        <w:rPr>
          <w:rFonts w:cs="Times New Roman"/>
          <w:szCs w:val="22"/>
        </w:rPr>
        <w:t>3</w:t>
      </w:r>
      <w:r>
        <w:rPr>
          <w:rFonts w:cs="Times New Roman"/>
          <w:szCs w:val="22"/>
        </w:rPr>
        <w:t xml:space="preserve">% of all </w:t>
      </w:r>
      <w:r w:rsidR="00200A75">
        <w:rPr>
          <w:rFonts w:cs="Times New Roman"/>
          <w:szCs w:val="22"/>
        </w:rPr>
        <w:t>pre-charged small air conditioning units imported</w:t>
      </w:r>
      <w:r>
        <w:rPr>
          <w:rFonts w:cs="Times New Roman"/>
          <w:szCs w:val="22"/>
        </w:rPr>
        <w:t xml:space="preserve">, an increase </w:t>
      </w:r>
      <w:r w:rsidR="004A204F">
        <w:rPr>
          <w:rFonts w:cs="Times New Roman"/>
          <w:szCs w:val="22"/>
        </w:rPr>
        <w:t>from 39% in</w:t>
      </w:r>
      <w:r>
        <w:rPr>
          <w:rFonts w:cs="Times New Roman"/>
          <w:szCs w:val="22"/>
        </w:rPr>
        <w:t xml:space="preserve"> 2016</w:t>
      </w:r>
      <w:r w:rsidR="00117375">
        <w:rPr>
          <w:rFonts w:cs="Times New Roman"/>
          <w:szCs w:val="22"/>
        </w:rPr>
        <w:t xml:space="preserve"> and up from effectively zero in 2012</w:t>
      </w:r>
      <w:r>
        <w:rPr>
          <w:rFonts w:cs="Times New Roman"/>
          <w:szCs w:val="22"/>
        </w:rPr>
        <w:t>.</w:t>
      </w:r>
    </w:p>
    <w:p w14:paraId="596205C5" w14:textId="02C612E3" w:rsidR="00271C15" w:rsidRDefault="007A2889" w:rsidP="009A23AA">
      <w:pPr>
        <w:rPr>
          <w:rFonts w:cs="Times New Roman"/>
          <w:szCs w:val="22"/>
        </w:rPr>
      </w:pPr>
      <w:r>
        <w:rPr>
          <w:rFonts w:cs="Times New Roman"/>
          <w:szCs w:val="22"/>
        </w:rPr>
        <w:t>S</w:t>
      </w:r>
      <w:r w:rsidR="00271C15">
        <w:rPr>
          <w:rFonts w:cs="Times New Roman"/>
          <w:szCs w:val="22"/>
        </w:rPr>
        <w:t xml:space="preserve">ales of small single split </w:t>
      </w:r>
      <w:r w:rsidR="005B2BFC">
        <w:rPr>
          <w:rFonts w:cs="Times New Roman"/>
          <w:szCs w:val="22"/>
        </w:rPr>
        <w:t xml:space="preserve">system </w:t>
      </w:r>
      <w:r w:rsidR="00200A75">
        <w:rPr>
          <w:rFonts w:cs="Times New Roman"/>
          <w:szCs w:val="22"/>
        </w:rPr>
        <w:t>a</w:t>
      </w:r>
      <w:r w:rsidR="005B2BFC">
        <w:rPr>
          <w:rFonts w:cs="Times New Roman"/>
          <w:szCs w:val="22"/>
        </w:rPr>
        <w:t>ir conditioners</w:t>
      </w:r>
      <w:r w:rsidR="00200A75">
        <w:rPr>
          <w:rFonts w:cs="Times New Roman"/>
          <w:szCs w:val="22"/>
        </w:rPr>
        <w:t xml:space="preserve"> </w:t>
      </w:r>
      <w:r w:rsidR="00271C15">
        <w:rPr>
          <w:rFonts w:cs="Times New Roman"/>
          <w:szCs w:val="22"/>
        </w:rPr>
        <w:t xml:space="preserve">in 2018 have seen annual sales soften for the first time since the </w:t>
      </w:r>
      <w:r w:rsidR="005B2BFC">
        <w:rPr>
          <w:rFonts w:cs="Times New Roman"/>
          <w:szCs w:val="22"/>
        </w:rPr>
        <w:t xml:space="preserve">Cold Hard Facts </w:t>
      </w:r>
      <w:r w:rsidR="00271C15">
        <w:rPr>
          <w:rFonts w:cs="Times New Roman"/>
          <w:szCs w:val="22"/>
        </w:rPr>
        <w:t xml:space="preserve">series began in 2006. </w:t>
      </w:r>
      <w:r w:rsidR="00271C15" w:rsidRPr="00F936A9">
        <w:rPr>
          <w:szCs w:val="22"/>
        </w:rPr>
        <w:t xml:space="preserve">The split system market experienced solid annual growth rates of around </w:t>
      </w:r>
      <w:r w:rsidR="005B2BFC">
        <w:rPr>
          <w:szCs w:val="22"/>
        </w:rPr>
        <w:t>five per cent</w:t>
      </w:r>
      <w:r w:rsidR="00271C15" w:rsidRPr="00F936A9">
        <w:rPr>
          <w:szCs w:val="22"/>
        </w:rPr>
        <w:t xml:space="preserve"> from 2012 to 2018. In 2017 a record number of 1,</w:t>
      </w:r>
      <w:r w:rsidR="00271C15">
        <w:rPr>
          <w:szCs w:val="22"/>
        </w:rPr>
        <w:t>258</w:t>
      </w:r>
      <w:r w:rsidR="00271C15" w:rsidRPr="00F936A9">
        <w:rPr>
          <w:szCs w:val="22"/>
        </w:rPr>
        <w:t xml:space="preserve">,000 single split systems were sold in Australia. </w:t>
      </w:r>
      <w:r w:rsidR="00BD034A">
        <w:rPr>
          <w:szCs w:val="22"/>
        </w:rPr>
        <w:t xml:space="preserve">Sales </w:t>
      </w:r>
      <w:r w:rsidR="00433B5D">
        <w:rPr>
          <w:szCs w:val="22"/>
        </w:rPr>
        <w:t>reduced</w:t>
      </w:r>
      <w:r w:rsidR="00271C15">
        <w:rPr>
          <w:szCs w:val="22"/>
        </w:rPr>
        <w:t xml:space="preserve"> noticeably</w:t>
      </w:r>
      <w:r w:rsidR="00271C15" w:rsidRPr="00F936A9">
        <w:rPr>
          <w:szCs w:val="22"/>
        </w:rPr>
        <w:t xml:space="preserve"> in 2018 </w:t>
      </w:r>
      <w:r w:rsidR="00BD034A">
        <w:rPr>
          <w:szCs w:val="22"/>
        </w:rPr>
        <w:t>with total sales</w:t>
      </w:r>
      <w:r w:rsidR="00271C15" w:rsidRPr="00F936A9">
        <w:rPr>
          <w:szCs w:val="22"/>
        </w:rPr>
        <w:t xml:space="preserve"> around 1,</w:t>
      </w:r>
      <w:r w:rsidR="00271C15">
        <w:rPr>
          <w:szCs w:val="22"/>
        </w:rPr>
        <w:t>158</w:t>
      </w:r>
      <w:r w:rsidR="00271C15" w:rsidRPr="00F936A9">
        <w:rPr>
          <w:szCs w:val="22"/>
        </w:rPr>
        <w:t>,000</w:t>
      </w:r>
      <w:r w:rsidR="00200A75">
        <w:rPr>
          <w:szCs w:val="22"/>
        </w:rPr>
        <w:t xml:space="preserve">; </w:t>
      </w:r>
      <w:r w:rsidR="00271C15">
        <w:rPr>
          <w:szCs w:val="22"/>
        </w:rPr>
        <w:t>a year</w:t>
      </w:r>
      <w:r w:rsidR="00200A75">
        <w:rPr>
          <w:szCs w:val="22"/>
        </w:rPr>
        <w:noBreakHyphen/>
      </w:r>
      <w:r w:rsidR="00271C15">
        <w:rPr>
          <w:szCs w:val="22"/>
        </w:rPr>
        <w:t>on</w:t>
      </w:r>
      <w:r w:rsidR="00200A75">
        <w:rPr>
          <w:szCs w:val="22"/>
        </w:rPr>
        <w:noBreakHyphen/>
      </w:r>
      <w:r w:rsidR="00271C15">
        <w:rPr>
          <w:szCs w:val="22"/>
        </w:rPr>
        <w:t xml:space="preserve">year decline of nearly </w:t>
      </w:r>
      <w:r w:rsidR="005B2BFC">
        <w:rPr>
          <w:szCs w:val="22"/>
        </w:rPr>
        <w:t>eight per cent</w:t>
      </w:r>
      <w:r w:rsidR="00271C15" w:rsidRPr="00F936A9">
        <w:rPr>
          <w:szCs w:val="22"/>
        </w:rPr>
        <w:t xml:space="preserve">. </w:t>
      </w:r>
      <w:r w:rsidR="000D75F5">
        <w:rPr>
          <w:rFonts w:cs="Times New Roman"/>
          <w:szCs w:val="22"/>
        </w:rPr>
        <w:t xml:space="preserve">Sales of multi-head systems, and sales of medium </w:t>
      </w:r>
      <w:r w:rsidR="005B2BFC">
        <w:rPr>
          <w:rFonts w:cs="Times New Roman"/>
          <w:szCs w:val="22"/>
        </w:rPr>
        <w:t xml:space="preserve">air conditioning systems </w:t>
      </w:r>
      <w:r w:rsidR="000D75F5">
        <w:rPr>
          <w:rFonts w:cs="Times New Roman"/>
          <w:szCs w:val="22"/>
        </w:rPr>
        <w:t>all experienced continued growth through 2017 and 2018.</w:t>
      </w:r>
    </w:p>
    <w:p w14:paraId="04D57C02" w14:textId="4CF1EBE6" w:rsidR="00312A0A" w:rsidRDefault="005B2BFC" w:rsidP="009A23AA">
      <w:pPr>
        <w:rPr>
          <w:rFonts w:cs="Times New Roman"/>
          <w:szCs w:val="22"/>
        </w:rPr>
      </w:pPr>
      <w:proofErr w:type="spellStart"/>
      <w:r>
        <w:rPr>
          <w:rFonts w:cs="Times New Roman"/>
          <w:szCs w:val="22"/>
        </w:rPr>
        <w:t>Hydrofluoro</w:t>
      </w:r>
      <w:proofErr w:type="spellEnd"/>
      <w:r w:rsidR="00B518DB">
        <w:rPr>
          <w:rFonts w:cs="Times New Roman"/>
          <w:szCs w:val="22"/>
        </w:rPr>
        <w:t>-</w:t>
      </w:r>
      <w:r>
        <w:rPr>
          <w:rFonts w:cs="Times New Roman"/>
          <w:szCs w:val="22"/>
        </w:rPr>
        <w:t xml:space="preserve">olefin (HFO) refrigerants </w:t>
      </w:r>
      <w:r w:rsidR="00312A0A">
        <w:rPr>
          <w:rFonts w:cs="Times New Roman"/>
          <w:szCs w:val="22"/>
        </w:rPr>
        <w:t xml:space="preserve">have begun to be employed in </w:t>
      </w:r>
      <w:r w:rsidR="00BD034A">
        <w:rPr>
          <w:rFonts w:cs="Times New Roman"/>
          <w:szCs w:val="22"/>
        </w:rPr>
        <w:t xml:space="preserve">some </w:t>
      </w:r>
      <w:r w:rsidR="002736EB">
        <w:rPr>
          <w:rFonts w:cs="Times New Roman"/>
          <w:szCs w:val="22"/>
        </w:rPr>
        <w:t xml:space="preserve">stationary </w:t>
      </w:r>
      <w:r>
        <w:rPr>
          <w:rFonts w:cs="Times New Roman"/>
          <w:szCs w:val="22"/>
        </w:rPr>
        <w:t xml:space="preserve">refrigeration and air conditioning </w:t>
      </w:r>
      <w:r w:rsidR="00312A0A">
        <w:rPr>
          <w:rFonts w:cs="Times New Roman"/>
          <w:szCs w:val="22"/>
        </w:rPr>
        <w:t>equipment in Australia, but not in vehicles as was initially expected. Sales of vehicles employing HFOs were statistically irrelevant in 2018</w:t>
      </w:r>
      <w:r w:rsidR="001E28AA">
        <w:rPr>
          <w:rFonts w:cs="Times New Roman"/>
          <w:szCs w:val="22"/>
        </w:rPr>
        <w:t>.</w:t>
      </w:r>
      <w:r w:rsidR="00312A0A">
        <w:rPr>
          <w:rFonts w:cs="Times New Roman"/>
          <w:szCs w:val="22"/>
        </w:rPr>
        <w:t xml:space="preserve"> </w:t>
      </w:r>
      <w:r>
        <w:rPr>
          <w:rFonts w:cs="Times New Roman"/>
          <w:szCs w:val="22"/>
        </w:rPr>
        <w:t>In the stationary air conditioning sector, e</w:t>
      </w:r>
      <w:r w:rsidR="00312A0A">
        <w:rPr>
          <w:rFonts w:cs="Times New Roman"/>
          <w:szCs w:val="22"/>
        </w:rPr>
        <w:t>very major global chiller manufacturer now offers chiller models employing HFO</w:t>
      </w:r>
      <w:r w:rsidR="004A204F">
        <w:rPr>
          <w:rFonts w:cs="Times New Roman"/>
          <w:szCs w:val="22"/>
        </w:rPr>
        <w:t>-</w:t>
      </w:r>
      <w:r w:rsidR="00312A0A">
        <w:rPr>
          <w:rFonts w:cs="Times New Roman"/>
          <w:szCs w:val="22"/>
        </w:rPr>
        <w:t>1234</w:t>
      </w:r>
      <w:r w:rsidR="00885289">
        <w:rPr>
          <w:rFonts w:cs="Times New Roman"/>
          <w:szCs w:val="22"/>
        </w:rPr>
        <w:t>ze</w:t>
      </w:r>
      <w:r w:rsidR="00433EF6">
        <w:rPr>
          <w:rFonts w:cs="Times New Roman"/>
          <w:szCs w:val="22"/>
        </w:rPr>
        <w:t xml:space="preserve">. </w:t>
      </w:r>
      <w:r w:rsidR="00433EF6">
        <w:rPr>
          <w:szCs w:val="22"/>
        </w:rPr>
        <w:t>Notably t</w:t>
      </w:r>
      <w:r w:rsidR="00885289">
        <w:rPr>
          <w:szCs w:val="22"/>
        </w:rPr>
        <w:t>he HFO refrigerant of choice for l</w:t>
      </w:r>
      <w:r w:rsidR="00885289" w:rsidRPr="00356682">
        <w:rPr>
          <w:szCs w:val="22"/>
        </w:rPr>
        <w:t xml:space="preserve">arge </w:t>
      </w:r>
      <w:r w:rsidR="00885289">
        <w:rPr>
          <w:szCs w:val="22"/>
        </w:rPr>
        <w:t>c</w:t>
      </w:r>
      <w:r w:rsidR="00885289" w:rsidRPr="00356682">
        <w:rPr>
          <w:szCs w:val="22"/>
        </w:rPr>
        <w:t xml:space="preserve">entrifugal chillers </w:t>
      </w:r>
      <w:r w:rsidR="00885289">
        <w:rPr>
          <w:szCs w:val="22"/>
        </w:rPr>
        <w:t xml:space="preserve">has become </w:t>
      </w:r>
      <w:r w:rsidR="00885289" w:rsidRPr="00356682">
        <w:rPr>
          <w:szCs w:val="22"/>
        </w:rPr>
        <w:t>HFO-1233zd</w:t>
      </w:r>
      <w:r w:rsidR="00433EF6">
        <w:rPr>
          <w:szCs w:val="22"/>
        </w:rPr>
        <w:t>,</w:t>
      </w:r>
      <w:r w:rsidR="00885289" w:rsidRPr="00356682">
        <w:rPr>
          <w:szCs w:val="22"/>
        </w:rPr>
        <w:t xml:space="preserve"> </w:t>
      </w:r>
      <w:r w:rsidR="00885289">
        <w:rPr>
          <w:szCs w:val="22"/>
        </w:rPr>
        <w:t xml:space="preserve">which </w:t>
      </w:r>
      <w:r w:rsidR="0002591A">
        <w:rPr>
          <w:szCs w:val="22"/>
        </w:rPr>
        <w:t xml:space="preserve">can </w:t>
      </w:r>
      <w:r w:rsidR="00885289">
        <w:rPr>
          <w:szCs w:val="22"/>
        </w:rPr>
        <w:t>provide meaningful financial benefits to equipment owners due to energy efficiency gains.</w:t>
      </w:r>
    </w:p>
    <w:p w14:paraId="7EE4601B" w14:textId="698725CE" w:rsidR="005B2BFC" w:rsidRDefault="00643A6C" w:rsidP="009A23AA">
      <w:pPr>
        <w:rPr>
          <w:rFonts w:cs="Times New Roman"/>
          <w:szCs w:val="22"/>
        </w:rPr>
      </w:pPr>
      <w:r>
        <w:rPr>
          <w:rFonts w:cs="Times New Roman"/>
          <w:szCs w:val="22"/>
        </w:rPr>
        <w:t xml:space="preserve">Leading supermarket chains continue </w:t>
      </w:r>
      <w:r w:rsidR="00433EF6">
        <w:rPr>
          <w:rFonts w:cs="Times New Roman"/>
          <w:szCs w:val="22"/>
        </w:rPr>
        <w:t xml:space="preserve">active programs </w:t>
      </w:r>
      <w:r>
        <w:rPr>
          <w:rFonts w:cs="Times New Roman"/>
          <w:szCs w:val="22"/>
        </w:rPr>
        <w:t>reduci</w:t>
      </w:r>
      <w:r w:rsidR="005B2BFC">
        <w:rPr>
          <w:rFonts w:cs="Times New Roman"/>
          <w:szCs w:val="22"/>
        </w:rPr>
        <w:t>ng leaks</w:t>
      </w:r>
      <w:r>
        <w:rPr>
          <w:rFonts w:cs="Times New Roman"/>
          <w:szCs w:val="22"/>
        </w:rPr>
        <w:t xml:space="preserve"> of high GWP </w:t>
      </w:r>
      <w:r w:rsidR="005B2BFC">
        <w:rPr>
          <w:rFonts w:cs="Times New Roman"/>
          <w:szCs w:val="22"/>
        </w:rPr>
        <w:t xml:space="preserve">(HFC) </w:t>
      </w:r>
      <w:r w:rsidR="0006755E">
        <w:rPr>
          <w:rFonts w:cs="Times New Roman"/>
          <w:szCs w:val="22"/>
        </w:rPr>
        <w:t>refrigerants and</w:t>
      </w:r>
      <w:r>
        <w:rPr>
          <w:rFonts w:cs="Times New Roman"/>
          <w:szCs w:val="22"/>
        </w:rPr>
        <w:t xml:space="preserve"> </w:t>
      </w:r>
      <w:r w:rsidR="00433EF6">
        <w:rPr>
          <w:rFonts w:cs="Times New Roman"/>
          <w:szCs w:val="22"/>
        </w:rPr>
        <w:t>lead the way with</w:t>
      </w:r>
      <w:r>
        <w:rPr>
          <w:rFonts w:cs="Times New Roman"/>
          <w:szCs w:val="22"/>
        </w:rPr>
        <w:t xml:space="preserve"> concerted move</w:t>
      </w:r>
      <w:r w:rsidR="00433EF6">
        <w:rPr>
          <w:rFonts w:cs="Times New Roman"/>
          <w:szCs w:val="22"/>
        </w:rPr>
        <w:t>s</w:t>
      </w:r>
      <w:r>
        <w:rPr>
          <w:rFonts w:cs="Times New Roman"/>
          <w:szCs w:val="22"/>
        </w:rPr>
        <w:t xml:space="preserve"> to HFC alternatives. </w:t>
      </w:r>
      <w:r w:rsidR="0002408B">
        <w:rPr>
          <w:rFonts w:cs="Times New Roman"/>
          <w:szCs w:val="22"/>
        </w:rPr>
        <w:t xml:space="preserve">The emergence of </w:t>
      </w:r>
      <w:r w:rsidR="005B2BFC">
        <w:rPr>
          <w:rFonts w:cs="Times New Roman"/>
          <w:szCs w:val="22"/>
        </w:rPr>
        <w:t>carbon dioxide (</w:t>
      </w:r>
      <w:r w:rsidR="0002408B">
        <w:rPr>
          <w:rFonts w:cs="Times New Roman"/>
          <w:szCs w:val="22"/>
        </w:rPr>
        <w:t>CO</w:t>
      </w:r>
      <w:r w:rsidR="0002408B" w:rsidRPr="0002408B">
        <w:rPr>
          <w:rFonts w:cs="Times New Roman"/>
          <w:szCs w:val="22"/>
          <w:vertAlign w:val="subscript"/>
        </w:rPr>
        <w:t>2</w:t>
      </w:r>
      <w:r w:rsidR="00DE24B8">
        <w:rPr>
          <w:rFonts w:cs="Times New Roman"/>
          <w:szCs w:val="22"/>
        </w:rPr>
        <w:t xml:space="preserve">) </w:t>
      </w:r>
      <w:r w:rsidR="00D64AB4">
        <w:rPr>
          <w:rFonts w:cs="Times New Roman"/>
          <w:szCs w:val="22"/>
        </w:rPr>
        <w:t xml:space="preserve">cascade </w:t>
      </w:r>
      <w:r w:rsidR="0002408B">
        <w:rPr>
          <w:rFonts w:cs="Times New Roman"/>
          <w:szCs w:val="22"/>
        </w:rPr>
        <w:t xml:space="preserve">and trans-critical </w:t>
      </w:r>
      <w:r w:rsidR="00D64AB4">
        <w:rPr>
          <w:rFonts w:cs="Times New Roman"/>
          <w:szCs w:val="22"/>
        </w:rPr>
        <w:t xml:space="preserve">systems in commercial refrigeration saw rapid growth </w:t>
      </w:r>
      <w:r w:rsidR="005B2BFC">
        <w:rPr>
          <w:rFonts w:cs="Times New Roman"/>
          <w:szCs w:val="22"/>
        </w:rPr>
        <w:t>of CO</w:t>
      </w:r>
      <w:r w:rsidR="005B2BFC" w:rsidRPr="002A1D47">
        <w:rPr>
          <w:rFonts w:cs="Times New Roman"/>
          <w:szCs w:val="22"/>
          <w:vertAlign w:val="subscript"/>
        </w:rPr>
        <w:t>2</w:t>
      </w:r>
      <w:r w:rsidR="00BD034A">
        <w:rPr>
          <w:rFonts w:cs="Times New Roman"/>
          <w:szCs w:val="22"/>
        </w:rPr>
        <w:t xml:space="preserve"> systems employed</w:t>
      </w:r>
      <w:r w:rsidR="005B2BFC">
        <w:rPr>
          <w:rFonts w:cs="Times New Roman"/>
          <w:szCs w:val="22"/>
        </w:rPr>
        <w:t xml:space="preserve"> in the cold food chain</w:t>
      </w:r>
      <w:r w:rsidR="00BD034A">
        <w:rPr>
          <w:rFonts w:cs="Times New Roman"/>
          <w:szCs w:val="22"/>
        </w:rPr>
        <w:t>,</w:t>
      </w:r>
      <w:r w:rsidR="005B2BFC">
        <w:rPr>
          <w:rFonts w:cs="Times New Roman"/>
          <w:szCs w:val="22"/>
        </w:rPr>
        <w:t xml:space="preserve"> </w:t>
      </w:r>
      <w:r w:rsidR="004B274E">
        <w:rPr>
          <w:rFonts w:cs="Times New Roman"/>
          <w:szCs w:val="22"/>
        </w:rPr>
        <w:t xml:space="preserve">although </w:t>
      </w:r>
      <w:r w:rsidR="005B2BFC">
        <w:rPr>
          <w:rFonts w:cs="Times New Roman"/>
          <w:szCs w:val="22"/>
        </w:rPr>
        <w:t xml:space="preserve">from </w:t>
      </w:r>
      <w:r w:rsidR="00D64AB4">
        <w:rPr>
          <w:rFonts w:cs="Times New Roman"/>
          <w:szCs w:val="22"/>
        </w:rPr>
        <w:t>a low base. Innovation in the use of low</w:t>
      </w:r>
      <w:r w:rsidR="005B2BFC">
        <w:rPr>
          <w:rFonts w:cs="Times New Roman"/>
          <w:szCs w:val="22"/>
        </w:rPr>
        <w:t>-</w:t>
      </w:r>
      <w:r w:rsidR="00D64AB4">
        <w:rPr>
          <w:rFonts w:cs="Times New Roman"/>
          <w:szCs w:val="22"/>
        </w:rPr>
        <w:t>charge ammonia systems added to the highly energy efficient options for new build commercial refrigeration</w:t>
      </w:r>
      <w:r w:rsidR="00DE24B8">
        <w:rPr>
          <w:rFonts w:cs="Times New Roman"/>
          <w:szCs w:val="22"/>
        </w:rPr>
        <w:t xml:space="preserve"> systems with a </w:t>
      </w:r>
      <w:r w:rsidR="00ED434B">
        <w:rPr>
          <w:rFonts w:cs="Times New Roman"/>
          <w:szCs w:val="22"/>
        </w:rPr>
        <w:t xml:space="preserve">cooling </w:t>
      </w:r>
      <w:r w:rsidR="00DE24B8">
        <w:rPr>
          <w:rFonts w:cs="Times New Roman"/>
          <w:szCs w:val="22"/>
        </w:rPr>
        <w:t xml:space="preserve">capacity greater than </w:t>
      </w:r>
      <w:r w:rsidR="001D5B2F">
        <w:rPr>
          <w:rFonts w:cs="Times New Roman"/>
          <w:szCs w:val="22"/>
        </w:rPr>
        <w:t>50</w:t>
      </w:r>
      <w:r w:rsidR="00D64AB4">
        <w:rPr>
          <w:rFonts w:cs="Times New Roman"/>
          <w:szCs w:val="22"/>
        </w:rPr>
        <w:t xml:space="preserve"> </w:t>
      </w:r>
      <w:proofErr w:type="spellStart"/>
      <w:r w:rsidR="00ED434B">
        <w:rPr>
          <w:rFonts w:cs="Times New Roman"/>
          <w:szCs w:val="22"/>
        </w:rPr>
        <w:t>kWr</w:t>
      </w:r>
      <w:proofErr w:type="spellEnd"/>
      <w:r w:rsidR="00ED434B">
        <w:rPr>
          <w:rFonts w:cs="Times New Roman"/>
          <w:szCs w:val="22"/>
        </w:rPr>
        <w:t>.</w:t>
      </w:r>
    </w:p>
    <w:p w14:paraId="4FB07ACF" w14:textId="39524C8E" w:rsidR="001666A2" w:rsidRDefault="00D64AB4" w:rsidP="009A23AA">
      <w:pPr>
        <w:rPr>
          <w:rFonts w:cs="Times New Roman"/>
          <w:szCs w:val="22"/>
        </w:rPr>
      </w:pPr>
      <w:r>
        <w:rPr>
          <w:rFonts w:cs="Times New Roman"/>
          <w:szCs w:val="22"/>
        </w:rPr>
        <w:t xml:space="preserve">Migration of new domestic refrigeration </w:t>
      </w:r>
      <w:r w:rsidR="00B75BEE">
        <w:rPr>
          <w:rFonts w:cs="Times New Roman"/>
          <w:szCs w:val="22"/>
        </w:rPr>
        <w:t>models</w:t>
      </w:r>
      <w:r>
        <w:rPr>
          <w:rFonts w:cs="Times New Roman"/>
          <w:szCs w:val="22"/>
        </w:rPr>
        <w:t xml:space="preserve"> to a </w:t>
      </w:r>
      <w:r w:rsidR="005B2BFC">
        <w:rPr>
          <w:rFonts w:cs="Times New Roman"/>
          <w:szCs w:val="22"/>
        </w:rPr>
        <w:t xml:space="preserve">hydrocarbon refrigerant </w:t>
      </w:r>
      <w:r>
        <w:rPr>
          <w:rFonts w:cs="Times New Roman"/>
          <w:szCs w:val="22"/>
        </w:rPr>
        <w:t xml:space="preserve">is effectively complete with more than 99% of domestic refrigeration models surveyed </w:t>
      </w:r>
      <w:r w:rsidR="00B75BEE">
        <w:rPr>
          <w:rFonts w:cs="Times New Roman"/>
          <w:szCs w:val="22"/>
        </w:rPr>
        <w:t xml:space="preserve">on a retail shop floor found to be </w:t>
      </w:r>
      <w:r w:rsidR="005B2BFC">
        <w:rPr>
          <w:rFonts w:cs="Times New Roman"/>
          <w:szCs w:val="22"/>
        </w:rPr>
        <w:t>using hydrocarbons</w:t>
      </w:r>
      <w:r>
        <w:rPr>
          <w:rFonts w:cs="Times New Roman"/>
          <w:szCs w:val="22"/>
        </w:rPr>
        <w:t>. Adoption of hydrocarbons in other parts of the cold food chain continued with the introduction of numerous small</w:t>
      </w:r>
      <w:r w:rsidR="00B75BEE">
        <w:rPr>
          <w:rFonts w:cs="Times New Roman"/>
          <w:szCs w:val="22"/>
        </w:rPr>
        <w:t>,</w:t>
      </w:r>
      <w:r>
        <w:rPr>
          <w:rFonts w:cs="Times New Roman"/>
          <w:szCs w:val="22"/>
        </w:rPr>
        <w:t xml:space="preserve"> self</w:t>
      </w:r>
      <w:r w:rsidR="005B2BFC">
        <w:rPr>
          <w:rFonts w:cs="Times New Roman"/>
          <w:szCs w:val="22"/>
        </w:rPr>
        <w:noBreakHyphen/>
      </w:r>
      <w:r>
        <w:rPr>
          <w:rFonts w:cs="Times New Roman"/>
          <w:szCs w:val="22"/>
        </w:rPr>
        <w:t xml:space="preserve">contained </w:t>
      </w:r>
      <w:r w:rsidR="001666A2">
        <w:rPr>
          <w:rFonts w:cs="Times New Roman"/>
          <w:szCs w:val="22"/>
        </w:rPr>
        <w:t xml:space="preserve">commercial refrigeration models </w:t>
      </w:r>
      <w:r w:rsidR="00B75BEE">
        <w:rPr>
          <w:rFonts w:cs="Times New Roman"/>
          <w:szCs w:val="22"/>
        </w:rPr>
        <w:t>employing</w:t>
      </w:r>
      <w:r w:rsidR="001666A2">
        <w:rPr>
          <w:rFonts w:cs="Times New Roman"/>
          <w:szCs w:val="22"/>
        </w:rPr>
        <w:t xml:space="preserve"> hydrocarbons.</w:t>
      </w:r>
    </w:p>
    <w:p w14:paraId="2D37A043" w14:textId="254FB02A" w:rsidR="00ED434B" w:rsidRDefault="00E548D0" w:rsidP="009A23AA">
      <w:pPr>
        <w:rPr>
          <w:rFonts w:cs="Times New Roman"/>
          <w:szCs w:val="22"/>
        </w:rPr>
      </w:pPr>
      <w:r w:rsidRPr="000A3EE8">
        <w:rPr>
          <w:rFonts w:cs="Times New Roman"/>
          <w:szCs w:val="22"/>
        </w:rPr>
        <w:t xml:space="preserve">These </w:t>
      </w:r>
      <w:r w:rsidR="00D64AB4" w:rsidRPr="000A3EE8">
        <w:rPr>
          <w:rFonts w:cs="Times New Roman"/>
          <w:szCs w:val="22"/>
        </w:rPr>
        <w:t>trend</w:t>
      </w:r>
      <w:r w:rsidRPr="000A3EE8">
        <w:rPr>
          <w:rFonts w:cs="Times New Roman"/>
          <w:szCs w:val="22"/>
        </w:rPr>
        <w:t xml:space="preserve">s </w:t>
      </w:r>
      <w:r w:rsidR="007653EE" w:rsidRPr="000A3EE8">
        <w:rPr>
          <w:rFonts w:cs="Times New Roman"/>
          <w:szCs w:val="22"/>
        </w:rPr>
        <w:t>with CO</w:t>
      </w:r>
      <w:r w:rsidR="007653EE" w:rsidRPr="000A3EE8">
        <w:rPr>
          <w:rFonts w:cs="Times New Roman"/>
          <w:szCs w:val="22"/>
          <w:vertAlign w:val="subscript"/>
        </w:rPr>
        <w:t>2</w:t>
      </w:r>
      <w:r w:rsidR="007653EE" w:rsidRPr="000A3EE8">
        <w:rPr>
          <w:rFonts w:cs="Times New Roman"/>
          <w:szCs w:val="22"/>
        </w:rPr>
        <w:t xml:space="preserve">, ammonia and hydrocarbon refrigerants </w:t>
      </w:r>
      <w:r w:rsidR="00D64AB4" w:rsidRPr="000A3EE8">
        <w:rPr>
          <w:rFonts w:cs="Times New Roman"/>
          <w:szCs w:val="22"/>
        </w:rPr>
        <w:t>resulted in the share</w:t>
      </w:r>
      <w:r w:rsidR="008A63DD" w:rsidRPr="000A3EE8">
        <w:rPr>
          <w:rFonts w:cs="Times New Roman"/>
          <w:szCs w:val="22"/>
        </w:rPr>
        <w:t xml:space="preserve"> (in metric tonnes)</w:t>
      </w:r>
      <w:r w:rsidR="00D64AB4" w:rsidRPr="000A3EE8">
        <w:rPr>
          <w:rFonts w:cs="Times New Roman"/>
          <w:szCs w:val="22"/>
        </w:rPr>
        <w:t xml:space="preserve"> of the </w:t>
      </w:r>
      <w:r w:rsidR="00524ADB">
        <w:rPr>
          <w:rFonts w:cs="Times New Roman"/>
          <w:szCs w:val="22"/>
        </w:rPr>
        <w:t>HCFC and HFC</w:t>
      </w:r>
      <w:r w:rsidR="00D64AB4" w:rsidRPr="000A3EE8">
        <w:rPr>
          <w:rFonts w:cs="Times New Roman"/>
          <w:szCs w:val="22"/>
        </w:rPr>
        <w:t xml:space="preserve"> </w:t>
      </w:r>
      <w:r w:rsidRPr="000A3EE8">
        <w:rPr>
          <w:rFonts w:cs="Times New Roman"/>
          <w:szCs w:val="22"/>
        </w:rPr>
        <w:t xml:space="preserve">refrigerant </w:t>
      </w:r>
      <w:r w:rsidR="00D64AB4" w:rsidRPr="000A3EE8">
        <w:rPr>
          <w:rFonts w:cs="Times New Roman"/>
          <w:szCs w:val="22"/>
        </w:rPr>
        <w:t>bank</w:t>
      </w:r>
      <w:r w:rsidR="008A63DD" w:rsidRPr="000A3EE8">
        <w:rPr>
          <w:rFonts w:cs="Times New Roman"/>
          <w:szCs w:val="22"/>
        </w:rPr>
        <w:t xml:space="preserve"> </w:t>
      </w:r>
      <w:r w:rsidRPr="000A3EE8">
        <w:rPr>
          <w:rFonts w:cs="Times New Roman"/>
          <w:szCs w:val="22"/>
        </w:rPr>
        <w:t>use</w:t>
      </w:r>
      <w:r w:rsidR="008A63DD" w:rsidRPr="000A3EE8">
        <w:rPr>
          <w:rFonts w:cs="Times New Roman"/>
          <w:szCs w:val="22"/>
        </w:rPr>
        <w:t>d</w:t>
      </w:r>
      <w:r w:rsidRPr="000A3EE8">
        <w:rPr>
          <w:rFonts w:cs="Times New Roman"/>
          <w:szCs w:val="22"/>
        </w:rPr>
        <w:t xml:space="preserve"> in the refrigerated cold food chain</w:t>
      </w:r>
      <w:r w:rsidR="001666A2" w:rsidRPr="000A3EE8">
        <w:rPr>
          <w:rFonts w:cs="Times New Roman"/>
          <w:szCs w:val="22"/>
        </w:rPr>
        <w:t xml:space="preserve"> falling again from 14% in 2016 to 13%</w:t>
      </w:r>
      <w:r w:rsidR="00B75BEE">
        <w:rPr>
          <w:rFonts w:cs="Times New Roman"/>
          <w:szCs w:val="22"/>
        </w:rPr>
        <w:t xml:space="preserve"> in 2018,</w:t>
      </w:r>
      <w:r w:rsidRPr="000A3EE8">
        <w:rPr>
          <w:rFonts w:cs="Times New Roman"/>
          <w:szCs w:val="22"/>
        </w:rPr>
        <w:t xml:space="preserve"> </w:t>
      </w:r>
      <w:r w:rsidR="001666A2" w:rsidRPr="000A3EE8">
        <w:rPr>
          <w:rFonts w:cs="Times New Roman"/>
          <w:szCs w:val="22"/>
        </w:rPr>
        <w:t>even though the absolute mass</w:t>
      </w:r>
      <w:r w:rsidR="00B75BEE">
        <w:rPr>
          <w:rFonts w:cs="Times New Roman"/>
          <w:szCs w:val="22"/>
        </w:rPr>
        <w:t xml:space="preserve"> of HCFCs and HFCs</w:t>
      </w:r>
      <w:r w:rsidR="001666A2" w:rsidRPr="000A3EE8">
        <w:rPr>
          <w:rFonts w:cs="Times New Roman"/>
          <w:szCs w:val="22"/>
        </w:rPr>
        <w:t xml:space="preserve"> employed in </w:t>
      </w:r>
      <w:r w:rsidR="00B75BEE">
        <w:rPr>
          <w:rFonts w:cs="Times New Roman"/>
          <w:szCs w:val="22"/>
        </w:rPr>
        <w:t xml:space="preserve">the </w:t>
      </w:r>
      <w:r w:rsidRPr="000A3EE8">
        <w:rPr>
          <w:rFonts w:cs="Times New Roman"/>
          <w:szCs w:val="22"/>
        </w:rPr>
        <w:t xml:space="preserve">cold food chain </w:t>
      </w:r>
      <w:r w:rsidR="001666A2" w:rsidRPr="000A3EE8">
        <w:rPr>
          <w:rFonts w:cs="Times New Roman"/>
          <w:szCs w:val="22"/>
        </w:rPr>
        <w:t xml:space="preserve">increased slightly to </w:t>
      </w:r>
      <w:r w:rsidR="00643A6C" w:rsidRPr="000A3EE8">
        <w:rPr>
          <w:rFonts w:cs="Times New Roman"/>
          <w:szCs w:val="22"/>
        </w:rPr>
        <w:t xml:space="preserve">around 7,100 </w:t>
      </w:r>
      <w:r w:rsidR="001666A2" w:rsidRPr="000A3EE8">
        <w:rPr>
          <w:rFonts w:cs="Times New Roman"/>
          <w:szCs w:val="22"/>
        </w:rPr>
        <w:t>metric tonnes.</w:t>
      </w:r>
      <w:r w:rsidR="00524ADB">
        <w:rPr>
          <w:rFonts w:cs="Times New Roman"/>
          <w:szCs w:val="22"/>
        </w:rPr>
        <w:t xml:space="preserve"> The </w:t>
      </w:r>
      <w:r w:rsidR="00524ADB" w:rsidRPr="000A3EE8">
        <w:rPr>
          <w:rFonts w:cs="Times New Roman"/>
          <w:szCs w:val="22"/>
        </w:rPr>
        <w:t>refrigerated cold food chain</w:t>
      </w:r>
      <w:r w:rsidR="00524ADB">
        <w:rPr>
          <w:rFonts w:cs="Times New Roman"/>
          <w:szCs w:val="22"/>
        </w:rPr>
        <w:t xml:space="preserve"> represents 21% of the bank in CO</w:t>
      </w:r>
      <w:r w:rsidR="00524ADB" w:rsidRPr="00524ADB">
        <w:rPr>
          <w:rFonts w:cs="Times New Roman"/>
          <w:szCs w:val="22"/>
          <w:vertAlign w:val="subscript"/>
        </w:rPr>
        <w:t>2</w:t>
      </w:r>
      <w:r w:rsidR="00524ADB">
        <w:rPr>
          <w:rFonts w:cs="Times New Roman"/>
          <w:szCs w:val="22"/>
        </w:rPr>
        <w:t>e terms both in 2016 and 2018.</w:t>
      </w:r>
    </w:p>
    <w:p w14:paraId="32FDDEEA" w14:textId="62F82BA3" w:rsidR="00D64AB4" w:rsidRDefault="00FD314C" w:rsidP="000A3EE8">
      <w:pPr>
        <w:rPr>
          <w:rFonts w:cs="Times New Roman"/>
          <w:szCs w:val="22"/>
        </w:rPr>
      </w:pPr>
      <w:r w:rsidRPr="00FD314C">
        <w:rPr>
          <w:rFonts w:cs="Times New Roman"/>
          <w:szCs w:val="22"/>
        </w:rPr>
        <w:t>The portion of total electricity consum</w:t>
      </w:r>
      <w:r w:rsidR="00B75BEE">
        <w:rPr>
          <w:rFonts w:cs="Times New Roman"/>
          <w:szCs w:val="22"/>
        </w:rPr>
        <w:t>ed by RAC</w:t>
      </w:r>
      <w:r w:rsidRPr="00FD314C">
        <w:rPr>
          <w:rFonts w:cs="Times New Roman"/>
          <w:szCs w:val="22"/>
        </w:rPr>
        <w:t xml:space="preserve"> in 2018 was around 24% of all Australian electricity generat</w:t>
      </w:r>
      <w:r w:rsidR="00B75BEE">
        <w:rPr>
          <w:rFonts w:cs="Times New Roman"/>
          <w:szCs w:val="22"/>
        </w:rPr>
        <w:t>ed</w:t>
      </w:r>
      <w:r w:rsidRPr="00FD314C">
        <w:rPr>
          <w:rFonts w:cs="Times New Roman"/>
          <w:szCs w:val="22"/>
        </w:rPr>
        <w:t>.</w:t>
      </w:r>
      <w:r>
        <w:rPr>
          <w:rStyle w:val="FootnoteReference"/>
          <w:rFonts w:cs="Times New Roman"/>
          <w:szCs w:val="22"/>
        </w:rPr>
        <w:footnoteReference w:id="3"/>
      </w:r>
      <w:r>
        <w:rPr>
          <w:rFonts w:cs="Times New Roman"/>
          <w:szCs w:val="22"/>
        </w:rPr>
        <w:t xml:space="preserve"> </w:t>
      </w:r>
      <w:r w:rsidR="000A3EE8" w:rsidRPr="000A3EE8">
        <w:rPr>
          <w:rFonts w:cs="Times New Roman"/>
          <w:szCs w:val="22"/>
        </w:rPr>
        <w:t xml:space="preserve">Electricity price increases of more than 30% </w:t>
      </w:r>
      <w:r w:rsidR="002A019B">
        <w:rPr>
          <w:rFonts w:cs="Times New Roman"/>
          <w:szCs w:val="22"/>
        </w:rPr>
        <w:t xml:space="preserve">from </w:t>
      </w:r>
      <w:r w:rsidR="000A3EE8" w:rsidRPr="000A3EE8">
        <w:rPr>
          <w:rFonts w:cs="Times New Roman"/>
          <w:szCs w:val="22"/>
        </w:rPr>
        <w:t>2016 to 2018 have</w:t>
      </w:r>
      <w:r w:rsidR="000A3EE8">
        <w:rPr>
          <w:rFonts w:cs="Times New Roman"/>
          <w:szCs w:val="22"/>
        </w:rPr>
        <w:t xml:space="preserve"> </w:t>
      </w:r>
      <w:r w:rsidR="000A3EE8" w:rsidRPr="000A3EE8">
        <w:rPr>
          <w:rFonts w:cs="Times New Roman"/>
          <w:szCs w:val="22"/>
        </w:rPr>
        <w:t>placed significant emphasis on energy saving initiatives, particularly with</w:t>
      </w:r>
      <w:r w:rsidR="000A3EE8">
        <w:rPr>
          <w:rFonts w:cs="Times New Roman"/>
          <w:szCs w:val="22"/>
        </w:rPr>
        <w:t xml:space="preserve"> </w:t>
      </w:r>
      <w:r w:rsidR="000A3EE8" w:rsidRPr="000A3EE8">
        <w:rPr>
          <w:rFonts w:cs="Times New Roman"/>
          <w:szCs w:val="22"/>
        </w:rPr>
        <w:t xml:space="preserve">large air conditioning </w:t>
      </w:r>
      <w:r w:rsidR="000A3EE8">
        <w:rPr>
          <w:rFonts w:cs="Times New Roman"/>
          <w:szCs w:val="22"/>
        </w:rPr>
        <w:t xml:space="preserve">systems </w:t>
      </w:r>
      <w:r w:rsidR="000A3EE8" w:rsidRPr="000A3EE8">
        <w:rPr>
          <w:rFonts w:cs="Times New Roman"/>
          <w:szCs w:val="22"/>
        </w:rPr>
        <w:t>in commercial buildings, and refrigeration equipment</w:t>
      </w:r>
      <w:r w:rsidR="000A3EE8">
        <w:rPr>
          <w:rFonts w:cs="Times New Roman"/>
          <w:szCs w:val="22"/>
        </w:rPr>
        <w:t xml:space="preserve"> and plant </w:t>
      </w:r>
      <w:r w:rsidR="000A3EE8" w:rsidRPr="000A3EE8">
        <w:rPr>
          <w:rFonts w:cs="Times New Roman"/>
          <w:szCs w:val="22"/>
        </w:rPr>
        <w:t>in the supermarket and cold storage industries</w:t>
      </w:r>
      <w:r w:rsidR="00C56A04">
        <w:rPr>
          <w:rFonts w:cs="Times New Roman"/>
          <w:szCs w:val="22"/>
        </w:rPr>
        <w:t>.</w:t>
      </w:r>
      <w:r w:rsidR="00ED434B">
        <w:rPr>
          <w:rStyle w:val="FootnoteReference"/>
          <w:rFonts w:cs="Times New Roman"/>
          <w:szCs w:val="22"/>
        </w:rPr>
        <w:footnoteReference w:id="4"/>
      </w:r>
    </w:p>
    <w:p w14:paraId="46CD3C8D" w14:textId="77777777" w:rsidR="0006755E" w:rsidRDefault="0006755E" w:rsidP="000A3EE8">
      <w:pPr>
        <w:rPr>
          <w:rFonts w:cs="Times New Roman"/>
          <w:szCs w:val="22"/>
        </w:rPr>
      </w:pPr>
    </w:p>
    <w:p w14:paraId="7381AD33" w14:textId="1625CDC2" w:rsidR="00F765DA" w:rsidRPr="00034FD9" w:rsidRDefault="00F765DA" w:rsidP="009A23AA">
      <w:pPr>
        <w:pStyle w:val="Heading1"/>
        <w:jc w:val="both"/>
      </w:pPr>
      <w:bookmarkStart w:id="2" w:name="_Toc19601281"/>
      <w:r w:rsidRPr="00034FD9">
        <w:t>Introduction</w:t>
      </w:r>
      <w:bookmarkEnd w:id="2"/>
    </w:p>
    <w:p w14:paraId="6444F20C" w14:textId="44FC9DD2" w:rsidR="00637320" w:rsidRDefault="00637320" w:rsidP="009A23AA">
      <w:pPr>
        <w:rPr>
          <w:szCs w:val="22"/>
        </w:rPr>
      </w:pPr>
      <w:r>
        <w:rPr>
          <w:szCs w:val="22"/>
        </w:rPr>
        <w:t>Welcome to Cold Hard Facts 2019, the fourth edition in the Cold Hard Facts series that</w:t>
      </w:r>
      <w:r w:rsidR="00B75BEE">
        <w:rPr>
          <w:szCs w:val="22"/>
        </w:rPr>
        <w:t xml:space="preserve"> began</w:t>
      </w:r>
      <w:r>
        <w:rPr>
          <w:szCs w:val="22"/>
        </w:rPr>
        <w:t xml:space="preserve"> in 2006</w:t>
      </w:r>
      <w:r w:rsidR="00A607B8">
        <w:rPr>
          <w:szCs w:val="22"/>
        </w:rPr>
        <w:t xml:space="preserve">. Cold Hard Facts 2019 updates the </w:t>
      </w:r>
      <w:r w:rsidR="001E75FD">
        <w:rPr>
          <w:szCs w:val="22"/>
        </w:rPr>
        <w:t xml:space="preserve">findings of Cold Hard Facts </w:t>
      </w:r>
      <w:r w:rsidR="002372BA">
        <w:rPr>
          <w:szCs w:val="22"/>
        </w:rPr>
        <w:t>3</w:t>
      </w:r>
      <w:r w:rsidR="00A607B8">
        <w:rPr>
          <w:szCs w:val="22"/>
        </w:rPr>
        <w:t xml:space="preserve"> </w:t>
      </w:r>
      <w:r w:rsidR="007F77DC">
        <w:rPr>
          <w:szCs w:val="22"/>
        </w:rPr>
        <w:t xml:space="preserve">by </w:t>
      </w:r>
      <w:r w:rsidR="00A607B8">
        <w:rPr>
          <w:szCs w:val="22"/>
        </w:rPr>
        <w:t>incorporat</w:t>
      </w:r>
      <w:r w:rsidR="007F77DC">
        <w:rPr>
          <w:szCs w:val="22"/>
        </w:rPr>
        <w:t>ing</w:t>
      </w:r>
      <w:r w:rsidR="00A607B8">
        <w:rPr>
          <w:szCs w:val="22"/>
        </w:rPr>
        <w:t xml:space="preserve"> industry data from 2017 and 2018. </w:t>
      </w:r>
    </w:p>
    <w:p w14:paraId="2FA8EEBE" w14:textId="3DF68C59" w:rsidR="00EE1786" w:rsidRDefault="002372BA" w:rsidP="009A23AA">
      <w:pPr>
        <w:rPr>
          <w:szCs w:val="22"/>
        </w:rPr>
      </w:pPr>
      <w:r>
        <w:rPr>
          <w:szCs w:val="22"/>
        </w:rPr>
        <w:t xml:space="preserve">The Cold Hard Fact </w:t>
      </w:r>
      <w:r w:rsidR="00F25D84">
        <w:rPr>
          <w:szCs w:val="22"/>
        </w:rPr>
        <w:t>series</w:t>
      </w:r>
      <w:r>
        <w:rPr>
          <w:szCs w:val="22"/>
        </w:rPr>
        <w:t xml:space="preserve"> is underpinned by a techno-economic model of the refrigeration and air conditioning sector that has been developed</w:t>
      </w:r>
      <w:r w:rsidR="00B75BEE">
        <w:rPr>
          <w:szCs w:val="22"/>
        </w:rPr>
        <w:t xml:space="preserve"> over the course of completing dozens of research projects into the sector</w:t>
      </w:r>
      <w:r>
        <w:rPr>
          <w:szCs w:val="22"/>
        </w:rPr>
        <w:t>. The primary output</w:t>
      </w:r>
      <w:r w:rsidR="007D32C4">
        <w:rPr>
          <w:szCs w:val="22"/>
        </w:rPr>
        <w:t xml:space="preserve"> of</w:t>
      </w:r>
      <w:r w:rsidR="00F25D84">
        <w:rPr>
          <w:szCs w:val="22"/>
        </w:rPr>
        <w:t xml:space="preserve"> </w:t>
      </w:r>
      <w:r w:rsidR="00D415B3">
        <w:rPr>
          <w:szCs w:val="22"/>
        </w:rPr>
        <w:t xml:space="preserve">this model </w:t>
      </w:r>
      <w:r w:rsidR="00F25D84">
        <w:rPr>
          <w:szCs w:val="22"/>
        </w:rPr>
        <w:t xml:space="preserve">is to track changes in the </w:t>
      </w:r>
      <w:r w:rsidR="002A1D47">
        <w:rPr>
          <w:szCs w:val="22"/>
        </w:rPr>
        <w:t>make-up</w:t>
      </w:r>
      <w:r w:rsidR="00F25D84">
        <w:rPr>
          <w:szCs w:val="22"/>
        </w:rPr>
        <w:t xml:space="preserve"> of the working bank of refrigerants in Australia, and to report mass flows of refrigerants </w:t>
      </w:r>
      <w:r w:rsidR="00EE1786">
        <w:rPr>
          <w:szCs w:val="22"/>
        </w:rPr>
        <w:t>through their life cycle</w:t>
      </w:r>
      <w:r w:rsidR="00F25D84">
        <w:rPr>
          <w:szCs w:val="22"/>
        </w:rPr>
        <w:t xml:space="preserve"> from import, to utilisation</w:t>
      </w:r>
      <w:r w:rsidR="003B4AA0">
        <w:rPr>
          <w:szCs w:val="22"/>
        </w:rPr>
        <w:t>,</w:t>
      </w:r>
      <w:r w:rsidR="00F25D84">
        <w:rPr>
          <w:szCs w:val="22"/>
        </w:rPr>
        <w:t xml:space="preserve"> to disposal and destruction or loss to atmosphere. This work supports Australia in meeting its international commitments under the Montreal Protocol</w:t>
      </w:r>
      <w:r w:rsidR="003B4AA0">
        <w:rPr>
          <w:szCs w:val="22"/>
        </w:rPr>
        <w:t xml:space="preserve"> to phase out </w:t>
      </w:r>
      <w:r w:rsidR="00F25D84">
        <w:rPr>
          <w:szCs w:val="22"/>
        </w:rPr>
        <w:t>ozone depleting substances</w:t>
      </w:r>
      <w:r w:rsidR="00D415B3">
        <w:rPr>
          <w:szCs w:val="22"/>
        </w:rPr>
        <w:t>,</w:t>
      </w:r>
      <w:r w:rsidR="003B4AA0">
        <w:rPr>
          <w:szCs w:val="22"/>
        </w:rPr>
        <w:t xml:space="preserve"> and </w:t>
      </w:r>
      <w:r w:rsidR="00D415B3">
        <w:rPr>
          <w:szCs w:val="22"/>
        </w:rPr>
        <w:t xml:space="preserve">to </w:t>
      </w:r>
      <w:r w:rsidR="003B4AA0">
        <w:rPr>
          <w:szCs w:val="22"/>
        </w:rPr>
        <w:t>phase down HFCs.</w:t>
      </w:r>
    </w:p>
    <w:p w14:paraId="66EFCC33" w14:textId="76CF03D8" w:rsidR="00F25D84" w:rsidRDefault="00F25D84" w:rsidP="009A23AA">
      <w:pPr>
        <w:rPr>
          <w:szCs w:val="22"/>
        </w:rPr>
      </w:pPr>
      <w:r>
        <w:rPr>
          <w:szCs w:val="22"/>
        </w:rPr>
        <w:t xml:space="preserve">In providing </w:t>
      </w:r>
      <w:r w:rsidR="00866C5E">
        <w:rPr>
          <w:szCs w:val="22"/>
        </w:rPr>
        <w:t xml:space="preserve">this </w:t>
      </w:r>
      <w:r>
        <w:rPr>
          <w:szCs w:val="22"/>
        </w:rPr>
        <w:t>data to policy makers and industry participants, the RAC Stock Model</w:t>
      </w:r>
      <w:r w:rsidR="00D415B3">
        <w:rPr>
          <w:szCs w:val="22"/>
        </w:rPr>
        <w:t>, as it is known,</w:t>
      </w:r>
      <w:r>
        <w:rPr>
          <w:szCs w:val="22"/>
        </w:rPr>
        <w:t xml:space="preserve"> also allows analysis and monitoring of trends in the industry across equipment sales, energy consumption, </w:t>
      </w:r>
      <w:proofErr w:type="gramStart"/>
      <w:r>
        <w:rPr>
          <w:szCs w:val="22"/>
        </w:rPr>
        <w:t>energy</w:t>
      </w:r>
      <w:proofErr w:type="gramEnd"/>
      <w:r>
        <w:rPr>
          <w:szCs w:val="22"/>
        </w:rPr>
        <w:t xml:space="preserve"> related greenhouse emissions, </w:t>
      </w:r>
      <w:r w:rsidR="00B067BA">
        <w:rPr>
          <w:szCs w:val="22"/>
        </w:rPr>
        <w:t xml:space="preserve">and </w:t>
      </w:r>
      <w:r>
        <w:rPr>
          <w:szCs w:val="22"/>
        </w:rPr>
        <w:t>changes in technology</w:t>
      </w:r>
      <w:r w:rsidR="00866C5E">
        <w:rPr>
          <w:szCs w:val="22"/>
        </w:rPr>
        <w:t>.</w:t>
      </w:r>
      <w:r>
        <w:rPr>
          <w:szCs w:val="22"/>
        </w:rPr>
        <w:t xml:space="preserve"> </w:t>
      </w:r>
      <w:r w:rsidR="00866C5E">
        <w:rPr>
          <w:szCs w:val="22"/>
        </w:rPr>
        <w:t>It may</w:t>
      </w:r>
      <w:r w:rsidR="00B067BA">
        <w:rPr>
          <w:szCs w:val="22"/>
        </w:rPr>
        <w:t xml:space="preserve"> also</w:t>
      </w:r>
      <w:r w:rsidR="00866C5E">
        <w:rPr>
          <w:szCs w:val="22"/>
        </w:rPr>
        <w:t xml:space="preserve"> inform considerations on</w:t>
      </w:r>
      <w:r>
        <w:rPr>
          <w:szCs w:val="22"/>
        </w:rPr>
        <w:t xml:space="preserve"> training and </w:t>
      </w:r>
      <w:r w:rsidR="002736EB">
        <w:rPr>
          <w:szCs w:val="22"/>
        </w:rPr>
        <w:t xml:space="preserve">occupational health and safety </w:t>
      </w:r>
      <w:r>
        <w:rPr>
          <w:szCs w:val="22"/>
        </w:rPr>
        <w:t xml:space="preserve">requirements for the </w:t>
      </w:r>
      <w:r w:rsidR="00D415B3">
        <w:rPr>
          <w:szCs w:val="22"/>
        </w:rPr>
        <w:t xml:space="preserve">wide range of specialised skills required in the </w:t>
      </w:r>
      <w:r w:rsidR="002736EB">
        <w:rPr>
          <w:szCs w:val="22"/>
        </w:rPr>
        <w:t xml:space="preserve">refrigeration and air conditioning </w:t>
      </w:r>
      <w:r>
        <w:rPr>
          <w:szCs w:val="22"/>
        </w:rPr>
        <w:t>workforce.</w:t>
      </w:r>
    </w:p>
    <w:p w14:paraId="54731672" w14:textId="18F01D41" w:rsidR="00FF36CF" w:rsidRDefault="00D415B3" w:rsidP="009A23AA">
      <w:pPr>
        <w:rPr>
          <w:szCs w:val="22"/>
        </w:rPr>
      </w:pPr>
      <w:r>
        <w:rPr>
          <w:szCs w:val="22"/>
        </w:rPr>
        <w:t>Since this research series began t</w:t>
      </w:r>
      <w:r w:rsidR="00FF36CF">
        <w:rPr>
          <w:szCs w:val="22"/>
        </w:rPr>
        <w:t xml:space="preserve">he </w:t>
      </w:r>
      <w:r w:rsidR="002736EB">
        <w:rPr>
          <w:szCs w:val="22"/>
        </w:rPr>
        <w:t xml:space="preserve">refrigeration and air conditioning </w:t>
      </w:r>
      <w:r w:rsidR="00FF36CF">
        <w:rPr>
          <w:szCs w:val="22"/>
        </w:rPr>
        <w:t xml:space="preserve">industry has become </w:t>
      </w:r>
      <w:r>
        <w:rPr>
          <w:szCs w:val="22"/>
        </w:rPr>
        <w:t xml:space="preserve">much </w:t>
      </w:r>
      <w:r w:rsidR="00FF36CF">
        <w:rPr>
          <w:szCs w:val="22"/>
        </w:rPr>
        <w:t xml:space="preserve">more complex in terms of the technological options available to meet the growing requirements from users across the economy. </w:t>
      </w:r>
      <w:r w:rsidR="00913AEE">
        <w:rPr>
          <w:szCs w:val="22"/>
        </w:rPr>
        <w:t xml:space="preserve">The gradual phase down of HFCs </w:t>
      </w:r>
      <w:r w:rsidR="002736EB">
        <w:rPr>
          <w:szCs w:val="22"/>
        </w:rPr>
        <w:t xml:space="preserve">under the Montreal Protocol </w:t>
      </w:r>
      <w:r w:rsidR="00913AEE">
        <w:rPr>
          <w:szCs w:val="22"/>
        </w:rPr>
        <w:t xml:space="preserve">is expected to </w:t>
      </w:r>
      <w:r>
        <w:rPr>
          <w:szCs w:val="22"/>
        </w:rPr>
        <w:t xml:space="preserve">further </w:t>
      </w:r>
      <w:r w:rsidR="00913AEE">
        <w:rPr>
          <w:szCs w:val="22"/>
        </w:rPr>
        <w:t xml:space="preserve">accelerate innovation and </w:t>
      </w:r>
      <w:r w:rsidR="002372BA">
        <w:rPr>
          <w:szCs w:val="22"/>
        </w:rPr>
        <w:t xml:space="preserve">the </w:t>
      </w:r>
      <w:r w:rsidR="00913AEE">
        <w:rPr>
          <w:szCs w:val="22"/>
        </w:rPr>
        <w:t xml:space="preserve">diversification of refrigerants and </w:t>
      </w:r>
      <w:r w:rsidR="002736EB">
        <w:rPr>
          <w:szCs w:val="22"/>
        </w:rPr>
        <w:t xml:space="preserve">refrigeration and air conditioning </w:t>
      </w:r>
      <w:r w:rsidR="00913AEE">
        <w:rPr>
          <w:szCs w:val="22"/>
        </w:rPr>
        <w:t>technology.</w:t>
      </w:r>
      <w:r w:rsidR="00FF36CF" w:rsidDel="00FF36CF">
        <w:rPr>
          <w:szCs w:val="22"/>
        </w:rPr>
        <w:t xml:space="preserve"> </w:t>
      </w:r>
      <w:r w:rsidR="00FF36CF">
        <w:rPr>
          <w:szCs w:val="22"/>
        </w:rPr>
        <w:t>The C</w:t>
      </w:r>
      <w:r w:rsidR="002736EB">
        <w:rPr>
          <w:szCs w:val="22"/>
        </w:rPr>
        <w:t>old Hard Facts</w:t>
      </w:r>
      <w:r w:rsidR="00FF36CF">
        <w:rPr>
          <w:szCs w:val="22"/>
        </w:rPr>
        <w:t xml:space="preserve"> series is intended to provide </w:t>
      </w:r>
      <w:r>
        <w:rPr>
          <w:szCs w:val="22"/>
        </w:rPr>
        <w:t>hard data</w:t>
      </w:r>
      <w:r w:rsidR="00FF36CF">
        <w:rPr>
          <w:szCs w:val="22"/>
        </w:rPr>
        <w:t xml:space="preserve"> for</w:t>
      </w:r>
      <w:r w:rsidR="00FF36CF" w:rsidRPr="00FF36CF">
        <w:rPr>
          <w:szCs w:val="22"/>
        </w:rPr>
        <w:t xml:space="preserve"> </w:t>
      </w:r>
      <w:r w:rsidR="00FF36CF">
        <w:rPr>
          <w:szCs w:val="22"/>
        </w:rPr>
        <w:t>industry and policy makers in the sector</w:t>
      </w:r>
      <w:r>
        <w:rPr>
          <w:szCs w:val="22"/>
        </w:rPr>
        <w:t xml:space="preserve"> to</w:t>
      </w:r>
      <w:r w:rsidR="00FF36CF">
        <w:rPr>
          <w:szCs w:val="22"/>
        </w:rPr>
        <w:t xml:space="preserve"> </w:t>
      </w:r>
      <w:r w:rsidR="00B067BA">
        <w:rPr>
          <w:szCs w:val="22"/>
        </w:rPr>
        <w:t xml:space="preserve">facilitate </w:t>
      </w:r>
      <w:r>
        <w:rPr>
          <w:szCs w:val="22"/>
        </w:rPr>
        <w:t xml:space="preserve">technological </w:t>
      </w:r>
      <w:r w:rsidR="00B067BA">
        <w:rPr>
          <w:szCs w:val="22"/>
        </w:rPr>
        <w:t xml:space="preserve">transition and </w:t>
      </w:r>
      <w:r w:rsidR="00FF36CF">
        <w:rPr>
          <w:szCs w:val="22"/>
        </w:rPr>
        <w:t>assist in minimising</w:t>
      </w:r>
      <w:r w:rsidR="00FF36CF" w:rsidRPr="00FF36CF">
        <w:rPr>
          <w:szCs w:val="22"/>
        </w:rPr>
        <w:t xml:space="preserve"> </w:t>
      </w:r>
      <w:r w:rsidR="00FF36CF">
        <w:rPr>
          <w:szCs w:val="22"/>
        </w:rPr>
        <w:t>market distortions or unintended policy outcomes.</w:t>
      </w:r>
    </w:p>
    <w:p w14:paraId="36A913FA" w14:textId="17E49120" w:rsidR="00F765DA" w:rsidRPr="002A019B" w:rsidRDefault="00CF61BD" w:rsidP="009A23AA">
      <w:pPr>
        <w:rPr>
          <w:szCs w:val="22"/>
        </w:rPr>
      </w:pPr>
      <w:r>
        <w:rPr>
          <w:szCs w:val="22"/>
        </w:rPr>
        <w:t xml:space="preserve">The </w:t>
      </w:r>
      <w:r w:rsidR="002736EB">
        <w:rPr>
          <w:szCs w:val="22"/>
        </w:rPr>
        <w:t xml:space="preserve">Cold Hard Facts </w:t>
      </w:r>
      <w:r>
        <w:rPr>
          <w:szCs w:val="22"/>
        </w:rPr>
        <w:t xml:space="preserve">series </w:t>
      </w:r>
      <w:r w:rsidR="002372BA">
        <w:rPr>
          <w:szCs w:val="22"/>
        </w:rPr>
        <w:t>benefits from</w:t>
      </w:r>
      <w:r w:rsidR="00B67753">
        <w:rPr>
          <w:szCs w:val="22"/>
        </w:rPr>
        <w:t xml:space="preserve"> the</w:t>
      </w:r>
      <w:r>
        <w:rPr>
          <w:szCs w:val="22"/>
        </w:rPr>
        <w:t xml:space="preserve"> participation of industry in the provision of market intelligence and response to surveys and questionnaires</w:t>
      </w:r>
      <w:r w:rsidR="00B67753">
        <w:rPr>
          <w:szCs w:val="22"/>
        </w:rPr>
        <w:t xml:space="preserve">, as well as </w:t>
      </w:r>
      <w:r w:rsidR="00D415B3">
        <w:rPr>
          <w:szCs w:val="22"/>
        </w:rPr>
        <w:t xml:space="preserve">from </w:t>
      </w:r>
      <w:r w:rsidR="00B67753">
        <w:rPr>
          <w:szCs w:val="22"/>
        </w:rPr>
        <w:t>government data collections</w:t>
      </w:r>
      <w:r>
        <w:rPr>
          <w:szCs w:val="22"/>
        </w:rPr>
        <w:t>. As new and unregulated refrigerants are introduced to the market</w:t>
      </w:r>
      <w:r w:rsidR="00D415B3">
        <w:rPr>
          <w:szCs w:val="22"/>
        </w:rPr>
        <w:t xml:space="preserve"> (such as HFOs)</w:t>
      </w:r>
      <w:r w:rsidR="002A019B">
        <w:rPr>
          <w:szCs w:val="22"/>
        </w:rPr>
        <w:t>,</w:t>
      </w:r>
      <w:r>
        <w:rPr>
          <w:szCs w:val="22"/>
        </w:rPr>
        <w:t xml:space="preserve"> some of the current import data collected on </w:t>
      </w:r>
      <w:r w:rsidR="002A019B">
        <w:rPr>
          <w:szCs w:val="22"/>
        </w:rPr>
        <w:t>regulated refrigerants</w:t>
      </w:r>
      <w:r>
        <w:rPr>
          <w:szCs w:val="22"/>
        </w:rPr>
        <w:t xml:space="preserve"> will </w:t>
      </w:r>
      <w:r w:rsidR="00D415B3">
        <w:rPr>
          <w:szCs w:val="22"/>
        </w:rPr>
        <w:t>capture</w:t>
      </w:r>
      <w:r>
        <w:rPr>
          <w:szCs w:val="22"/>
        </w:rPr>
        <w:t xml:space="preserve"> a declining portion of </w:t>
      </w:r>
      <w:r w:rsidR="00263424">
        <w:rPr>
          <w:szCs w:val="22"/>
        </w:rPr>
        <w:t>refrigeration and air conditioning</w:t>
      </w:r>
      <w:r>
        <w:rPr>
          <w:szCs w:val="22"/>
        </w:rPr>
        <w:t xml:space="preserve"> activity. New sources of data will have to be developed to track changes in the sector. Industry will need to be part of those collections to assist </w:t>
      </w:r>
      <w:r w:rsidR="0002408B">
        <w:rPr>
          <w:szCs w:val="22"/>
        </w:rPr>
        <w:t xml:space="preserve">and </w:t>
      </w:r>
      <w:r>
        <w:rPr>
          <w:szCs w:val="22"/>
        </w:rPr>
        <w:t>maintain the validity and value of the series.</w:t>
      </w:r>
    </w:p>
    <w:p w14:paraId="32DA4E5D" w14:textId="46823848" w:rsidR="00110088" w:rsidRDefault="00110088" w:rsidP="009A23AA">
      <w:pPr>
        <w:spacing w:before="0"/>
        <w:rPr>
          <w:rFonts w:ascii="Calibri" w:eastAsia="Times New Roman" w:hAnsi="Calibri" w:cs="Times New Roman"/>
          <w:b/>
          <w:bCs/>
          <w:kern w:val="32"/>
          <w:sz w:val="32"/>
          <w:szCs w:val="32"/>
          <w:lang w:val="en-US"/>
        </w:rPr>
      </w:pPr>
      <w:bookmarkStart w:id="3" w:name="_Toc494661733"/>
    </w:p>
    <w:p w14:paraId="281EE252" w14:textId="77777777" w:rsidR="0006755E" w:rsidRDefault="0006755E">
      <w:pPr>
        <w:spacing w:before="0"/>
        <w:jc w:val="left"/>
        <w:rPr>
          <w:rFonts w:ascii="Calibri" w:eastAsia="Times New Roman" w:hAnsi="Calibri" w:cs="Times New Roman"/>
          <w:b/>
          <w:bCs/>
          <w:kern w:val="32"/>
          <w:sz w:val="32"/>
          <w:szCs w:val="32"/>
          <w:lang w:val="en-US"/>
        </w:rPr>
      </w:pPr>
      <w:r>
        <w:br w:type="page"/>
      </w:r>
    </w:p>
    <w:p w14:paraId="14B82B42" w14:textId="3D1D4CFA" w:rsidR="00F765DA" w:rsidRPr="00625A6A" w:rsidRDefault="00F765DA" w:rsidP="009A23AA">
      <w:pPr>
        <w:pStyle w:val="Heading1"/>
        <w:ind w:left="450"/>
        <w:jc w:val="both"/>
      </w:pPr>
      <w:bookmarkStart w:id="4" w:name="_Toc19601282"/>
      <w:r w:rsidRPr="00625A6A">
        <w:t xml:space="preserve">Taxonomy of a </w:t>
      </w:r>
      <w:r w:rsidR="00A7009B">
        <w:t>t</w:t>
      </w:r>
      <w:r w:rsidRPr="00625A6A">
        <w:t>echnology</w:t>
      </w:r>
      <w:bookmarkEnd w:id="3"/>
      <w:bookmarkEnd w:id="4"/>
    </w:p>
    <w:p w14:paraId="39AB7494" w14:textId="742A6A2B" w:rsidR="00F765DA" w:rsidRPr="001D6D59" w:rsidRDefault="00F765DA" w:rsidP="009A23AA">
      <w:pPr>
        <w:rPr>
          <w:szCs w:val="22"/>
        </w:rPr>
      </w:pPr>
      <w:r>
        <w:rPr>
          <w:szCs w:val="22"/>
        </w:rPr>
        <w:t xml:space="preserve">This RAC Taxonomy uses a system of classification </w:t>
      </w:r>
      <w:r w:rsidRPr="001D6D59">
        <w:rPr>
          <w:szCs w:val="22"/>
        </w:rPr>
        <w:t xml:space="preserve">that involves four </w:t>
      </w:r>
      <w:r>
        <w:rPr>
          <w:szCs w:val="22"/>
        </w:rPr>
        <w:t>broad ‘classes’ as a starting point,</w:t>
      </w:r>
      <w:r w:rsidRPr="001D6D59">
        <w:rPr>
          <w:szCs w:val="22"/>
        </w:rPr>
        <w:t xml:space="preserve"> </w:t>
      </w:r>
      <w:r>
        <w:rPr>
          <w:szCs w:val="22"/>
        </w:rPr>
        <w:t xml:space="preserve">comprised of fourteen </w:t>
      </w:r>
      <w:r w:rsidRPr="001D6D59">
        <w:rPr>
          <w:szCs w:val="22"/>
        </w:rPr>
        <w:t>‘</w:t>
      </w:r>
      <w:r>
        <w:rPr>
          <w:szCs w:val="22"/>
        </w:rPr>
        <w:t>segments</w:t>
      </w:r>
      <w:r w:rsidRPr="001D6D59">
        <w:rPr>
          <w:szCs w:val="22"/>
        </w:rPr>
        <w:t xml:space="preserve">’, which </w:t>
      </w:r>
      <w:r>
        <w:rPr>
          <w:szCs w:val="22"/>
        </w:rPr>
        <w:t xml:space="preserve">cover </w:t>
      </w:r>
      <w:r w:rsidR="002E34B1">
        <w:rPr>
          <w:szCs w:val="22"/>
        </w:rPr>
        <w:t>more than</w:t>
      </w:r>
      <w:r>
        <w:rPr>
          <w:szCs w:val="22"/>
        </w:rPr>
        <w:t xml:space="preserve"> fifty ‘product categories</w:t>
      </w:r>
      <w:r w:rsidRPr="001D6D59">
        <w:rPr>
          <w:szCs w:val="22"/>
        </w:rPr>
        <w:t>’.</w:t>
      </w:r>
      <w:r w:rsidR="001A4C9D">
        <w:rPr>
          <w:szCs w:val="22"/>
        </w:rPr>
        <w:t xml:space="preserve"> </w:t>
      </w:r>
    </w:p>
    <w:p w14:paraId="01A426BD" w14:textId="77777777" w:rsidR="00F765DA" w:rsidRPr="001D6D59" w:rsidRDefault="00F765DA" w:rsidP="009A23AA">
      <w:pPr>
        <w:rPr>
          <w:szCs w:val="22"/>
        </w:rPr>
      </w:pPr>
      <w:r w:rsidRPr="001D6D59">
        <w:rPr>
          <w:szCs w:val="22"/>
        </w:rPr>
        <w:t>The classes of RAC equipment</w:t>
      </w:r>
      <w:r>
        <w:rPr>
          <w:szCs w:val="22"/>
        </w:rPr>
        <w:t xml:space="preserve"> are</w:t>
      </w:r>
      <w:r w:rsidRPr="001D6D59">
        <w:rPr>
          <w:szCs w:val="22"/>
        </w:rPr>
        <w:t>:</w:t>
      </w:r>
    </w:p>
    <w:p w14:paraId="116ED364" w14:textId="603D633D" w:rsidR="00F765DA" w:rsidRPr="001D6D59" w:rsidRDefault="00F765DA" w:rsidP="009A23AA">
      <w:pPr>
        <w:pStyle w:val="ListBullet"/>
        <w:numPr>
          <w:ilvl w:val="0"/>
          <w:numId w:val="9"/>
        </w:numPr>
        <w:ind w:left="357" w:hanging="357"/>
        <w:contextualSpacing w:val="0"/>
      </w:pPr>
      <w:r w:rsidRPr="001D6D59">
        <w:rPr>
          <w:b/>
        </w:rPr>
        <w:t>Stationary air conditioning</w:t>
      </w:r>
      <w:r>
        <w:rPr>
          <w:b/>
        </w:rPr>
        <w:t xml:space="preserve"> </w:t>
      </w:r>
      <w:r>
        <w:t>(</w:t>
      </w:r>
      <w:r w:rsidRPr="00005A41">
        <w:t>AC)</w:t>
      </w:r>
      <w:r>
        <w:t>, the largest class in the stock</w:t>
      </w:r>
      <w:r w:rsidR="00545A97">
        <w:t xml:space="preserve"> model</w:t>
      </w:r>
      <w:r>
        <w:t xml:space="preserve">, </w:t>
      </w:r>
      <w:r w:rsidRPr="001D6D59">
        <w:t xml:space="preserve">providing comfort conditions and </w:t>
      </w:r>
      <w:r>
        <w:t>technical services using systems that range</w:t>
      </w:r>
      <w:r w:rsidRPr="001D6D59">
        <w:t xml:space="preserve"> </w:t>
      </w:r>
      <w:r>
        <w:t xml:space="preserve">from </w:t>
      </w:r>
      <w:r w:rsidRPr="001D6D59">
        <w:t xml:space="preserve">small split air conditioning systems </w:t>
      </w:r>
      <w:r>
        <w:t>and portable units</w:t>
      </w:r>
      <w:r w:rsidR="0083397C">
        <w:t>,</w:t>
      </w:r>
      <w:r>
        <w:t xml:space="preserve"> </w:t>
      </w:r>
      <w:r w:rsidRPr="001D6D59">
        <w:t>up to very large chiller driven systems used for space cooling, with exten</w:t>
      </w:r>
      <w:r>
        <w:t>sive ducted distribution of air. This class includes</w:t>
      </w:r>
      <w:r w:rsidRPr="001D6D59">
        <w:t xml:space="preserve"> close temperature control and extremely fine air quality systems </w:t>
      </w:r>
      <w:r w:rsidR="002E34B1">
        <w:t xml:space="preserve">employed </w:t>
      </w:r>
      <w:r w:rsidRPr="001D6D59">
        <w:t xml:space="preserve">in infrastructure, laboratories, hospitals and other specialised </w:t>
      </w:r>
      <w:r>
        <w:t xml:space="preserve">controlled </w:t>
      </w:r>
      <w:r w:rsidRPr="001D6D59">
        <w:t>environments;</w:t>
      </w:r>
    </w:p>
    <w:p w14:paraId="63B055AE" w14:textId="66831AC2" w:rsidR="00F765DA" w:rsidRPr="001D6D59" w:rsidRDefault="00F765DA" w:rsidP="009A23AA">
      <w:pPr>
        <w:pStyle w:val="ListBullet"/>
        <w:numPr>
          <w:ilvl w:val="0"/>
          <w:numId w:val="9"/>
        </w:numPr>
        <w:ind w:left="357" w:hanging="357"/>
        <w:contextualSpacing w:val="0"/>
      </w:pPr>
      <w:r w:rsidRPr="001D6D59">
        <w:rPr>
          <w:b/>
        </w:rPr>
        <w:t>Mobile air conditioning</w:t>
      </w:r>
      <w:r>
        <w:rPr>
          <w:b/>
        </w:rPr>
        <w:t xml:space="preserve"> </w:t>
      </w:r>
      <w:r w:rsidRPr="00005A41">
        <w:t>(MAC)</w:t>
      </w:r>
      <w:r w:rsidRPr="001D6D59">
        <w:t xml:space="preserve">, </w:t>
      </w:r>
      <w:r>
        <w:t xml:space="preserve">a class </w:t>
      </w:r>
      <w:r w:rsidR="002E34B1">
        <w:t xml:space="preserve">that </w:t>
      </w:r>
      <w:r>
        <w:t>includ</w:t>
      </w:r>
      <w:r w:rsidR="002E34B1">
        <w:t>es</w:t>
      </w:r>
      <w:r>
        <w:t xml:space="preserve"> large numbers of very small systems for passenger cars</w:t>
      </w:r>
      <w:r w:rsidR="00D11BA2">
        <w:t xml:space="preserve">, </w:t>
      </w:r>
      <w:r w:rsidR="009F5EAE">
        <w:t>incorporating</w:t>
      </w:r>
      <w:r w:rsidRPr="001D6D59">
        <w:t xml:space="preserve"> air conditioning in </w:t>
      </w:r>
      <w:r>
        <w:t xml:space="preserve">all </w:t>
      </w:r>
      <w:r w:rsidRPr="001D6D59">
        <w:t>private and commercial, registered and unregistered road, rail, marine and aviation transport;</w:t>
      </w:r>
    </w:p>
    <w:p w14:paraId="7ED3DBF2" w14:textId="1CA09DC8" w:rsidR="00F765DA" w:rsidRPr="001D6D59" w:rsidRDefault="00F765DA" w:rsidP="009A23AA">
      <w:pPr>
        <w:pStyle w:val="ListBullet"/>
        <w:numPr>
          <w:ilvl w:val="0"/>
          <w:numId w:val="9"/>
        </w:numPr>
        <w:ind w:left="357" w:hanging="357"/>
        <w:contextualSpacing w:val="0"/>
      </w:pPr>
      <w:r>
        <w:rPr>
          <w:b/>
        </w:rPr>
        <w:t xml:space="preserve">Refrigerated cold food chain </w:t>
      </w:r>
      <w:r w:rsidRPr="00005A41">
        <w:t>(RCFC)</w:t>
      </w:r>
      <w:r>
        <w:t>, a</w:t>
      </w:r>
      <w:r w:rsidRPr="001D6D59">
        <w:t xml:space="preserve"> broad </w:t>
      </w:r>
      <w:r>
        <w:t>and complex class</w:t>
      </w:r>
      <w:r w:rsidRPr="001D6D59">
        <w:t xml:space="preserve"> </w:t>
      </w:r>
      <w:r>
        <w:t xml:space="preserve">of equipment involved in preserving perishable food stuffs </w:t>
      </w:r>
      <w:r w:rsidR="002E34B1">
        <w:t xml:space="preserve">and </w:t>
      </w:r>
      <w:r w:rsidRPr="001D6D59">
        <w:t>captures all commercial, process and industrial refrigeration</w:t>
      </w:r>
      <w:r>
        <w:t xml:space="preserve"> employed from farm</w:t>
      </w:r>
      <w:r w:rsidR="00052486">
        <w:t>, through transport refrigeration,</w:t>
      </w:r>
      <w:r>
        <w:t xml:space="preserve"> to the final retail food outlet; and,</w:t>
      </w:r>
    </w:p>
    <w:p w14:paraId="20A9D272" w14:textId="047CE65B" w:rsidR="00F765DA" w:rsidRPr="001D6D59" w:rsidRDefault="00F765DA" w:rsidP="009A23AA">
      <w:pPr>
        <w:pStyle w:val="ListBullet"/>
        <w:numPr>
          <w:ilvl w:val="0"/>
          <w:numId w:val="9"/>
        </w:numPr>
        <w:ind w:left="357" w:hanging="357"/>
        <w:contextualSpacing w:val="0"/>
      </w:pPr>
      <w:r w:rsidRPr="001D6D59">
        <w:rPr>
          <w:b/>
        </w:rPr>
        <w:t>Domestic refrigeration</w:t>
      </w:r>
      <w:r>
        <w:rPr>
          <w:b/>
        </w:rPr>
        <w:t xml:space="preserve"> </w:t>
      </w:r>
      <w:r w:rsidRPr="00005A41">
        <w:t>(DR)</w:t>
      </w:r>
      <w:r>
        <w:t xml:space="preserve">, a class of small equipment </w:t>
      </w:r>
      <w:r w:rsidRPr="001D6D59">
        <w:t>that ranges from the tiny portable refrigerators found in caravans, the small ‘bar fridges’ found in nearly every hotel room an</w:t>
      </w:r>
      <w:r>
        <w:t>d</w:t>
      </w:r>
      <w:r w:rsidRPr="001D6D59">
        <w:t xml:space="preserve"> workplace, to the ‘tub’ freezer and the sometimes very large double door fridge freezer combinati</w:t>
      </w:r>
      <w:r>
        <w:t>ons that are</w:t>
      </w:r>
      <w:r w:rsidR="0083397C">
        <w:t xml:space="preserve"> found in homes but</w:t>
      </w:r>
      <w:r>
        <w:t xml:space="preserve"> also </w:t>
      </w:r>
      <w:r w:rsidR="0083397C">
        <w:t>in commercial kitchens,</w:t>
      </w:r>
      <w:r w:rsidRPr="001D6D59">
        <w:t xml:space="preserve"> restaurants, takeaways and sandwich shops. </w:t>
      </w:r>
    </w:p>
    <w:p w14:paraId="21A69A3E" w14:textId="31463E59" w:rsidR="002E34B1" w:rsidRDefault="001A4C9D" w:rsidP="009A23AA">
      <w:pPr>
        <w:rPr>
          <w:szCs w:val="22"/>
        </w:rPr>
      </w:pPr>
      <w:r>
        <w:rPr>
          <w:szCs w:val="22"/>
        </w:rPr>
        <w:t xml:space="preserve">Refer to </w:t>
      </w:r>
      <w:r w:rsidR="001A3258">
        <w:rPr>
          <w:i/>
          <w:szCs w:val="22"/>
        </w:rPr>
        <w:t xml:space="preserve">Appendix </w:t>
      </w:r>
      <w:proofErr w:type="gramStart"/>
      <w:r w:rsidR="001A3258">
        <w:rPr>
          <w:i/>
          <w:szCs w:val="22"/>
        </w:rPr>
        <w:t>A</w:t>
      </w:r>
      <w:proofErr w:type="gramEnd"/>
      <w:r w:rsidR="001A3258">
        <w:rPr>
          <w:i/>
          <w:szCs w:val="22"/>
        </w:rPr>
        <w:t xml:space="preserve">, </w:t>
      </w:r>
      <w:r w:rsidR="00F765DA">
        <w:rPr>
          <w:i/>
          <w:szCs w:val="22"/>
        </w:rPr>
        <w:t xml:space="preserve">Section </w:t>
      </w:r>
      <w:r w:rsidR="00C35063">
        <w:rPr>
          <w:i/>
          <w:szCs w:val="22"/>
        </w:rPr>
        <w:t>1.1</w:t>
      </w:r>
      <w:r w:rsidR="00F765DA">
        <w:rPr>
          <w:i/>
          <w:szCs w:val="22"/>
        </w:rPr>
        <w:t xml:space="preserve">: </w:t>
      </w:r>
      <w:r w:rsidR="00F765DA" w:rsidRPr="003D382B">
        <w:rPr>
          <w:i/>
          <w:szCs w:val="22"/>
        </w:rPr>
        <w:t>Taxonomy of a technology</w:t>
      </w:r>
      <w:r w:rsidR="001A3258">
        <w:rPr>
          <w:szCs w:val="22"/>
        </w:rPr>
        <w:t xml:space="preserve"> </w:t>
      </w:r>
      <w:r>
        <w:rPr>
          <w:szCs w:val="22"/>
        </w:rPr>
        <w:t>for further details.</w:t>
      </w:r>
    </w:p>
    <w:p w14:paraId="0548DFB4" w14:textId="77777777" w:rsidR="00F765DA" w:rsidRDefault="00F765DA" w:rsidP="009A23AA">
      <w:pPr>
        <w:spacing w:before="0"/>
        <w:rPr>
          <w:rFonts w:ascii="Calibri" w:eastAsia="Times New Roman" w:hAnsi="Calibri" w:cs="Times New Roman"/>
          <w:b/>
          <w:bCs/>
          <w:kern w:val="32"/>
          <w:sz w:val="32"/>
          <w:szCs w:val="32"/>
          <w:lang w:val="en-US"/>
        </w:rPr>
      </w:pPr>
      <w:bookmarkStart w:id="5" w:name="_Toc494190145"/>
      <w:r>
        <w:br w:type="page"/>
      </w:r>
    </w:p>
    <w:p w14:paraId="57BAA96C" w14:textId="77777777" w:rsidR="00F765DA" w:rsidRPr="004E5B78" w:rsidRDefault="00F765DA" w:rsidP="009A23AA">
      <w:pPr>
        <w:pStyle w:val="Heading1"/>
        <w:jc w:val="both"/>
      </w:pPr>
      <w:bookmarkStart w:id="6" w:name="_Toc19601283"/>
      <w:r>
        <w:t>The stock of equipment</w:t>
      </w:r>
      <w:bookmarkEnd w:id="5"/>
      <w:bookmarkEnd w:id="6"/>
    </w:p>
    <w:p w14:paraId="2F027472" w14:textId="77777777" w:rsidR="00F765DA" w:rsidRDefault="00F765DA" w:rsidP="009A23AA">
      <w:pPr>
        <w:pStyle w:val="Heading2"/>
        <w:ind w:left="567" w:hanging="567"/>
        <w:jc w:val="both"/>
      </w:pPr>
      <w:bookmarkStart w:id="7" w:name="_Toc494190146"/>
      <w:bookmarkStart w:id="8" w:name="_Toc19601284"/>
      <w:r>
        <w:t>The scale of events</w:t>
      </w:r>
      <w:bookmarkEnd w:id="7"/>
      <w:bookmarkEnd w:id="8"/>
    </w:p>
    <w:p w14:paraId="5934C22F" w14:textId="61B8A0F4" w:rsidR="002028B3" w:rsidRDefault="002028B3" w:rsidP="009A23AA">
      <w:pPr>
        <w:rPr>
          <w:szCs w:val="22"/>
        </w:rPr>
      </w:pPr>
      <w:r w:rsidRPr="0035353E">
        <w:rPr>
          <w:szCs w:val="22"/>
        </w:rPr>
        <w:t xml:space="preserve">The Expert Group RAC </w:t>
      </w:r>
      <w:r w:rsidRPr="00C45435">
        <w:rPr>
          <w:szCs w:val="22"/>
        </w:rPr>
        <w:t xml:space="preserve">Age-Cohort Mass Balance </w:t>
      </w:r>
      <w:r w:rsidRPr="0035353E">
        <w:rPr>
          <w:szCs w:val="22"/>
        </w:rPr>
        <w:t xml:space="preserve">Stock Model </w:t>
      </w:r>
      <w:r>
        <w:rPr>
          <w:szCs w:val="22"/>
        </w:rPr>
        <w:t xml:space="preserve">(RAC Stock </w:t>
      </w:r>
      <w:r w:rsidR="00F25D84">
        <w:rPr>
          <w:szCs w:val="22"/>
        </w:rPr>
        <w:t>M</w:t>
      </w:r>
      <w:r>
        <w:rPr>
          <w:szCs w:val="22"/>
        </w:rPr>
        <w:t xml:space="preserve">odel) </w:t>
      </w:r>
      <w:r w:rsidR="00157C3B">
        <w:rPr>
          <w:szCs w:val="22"/>
        </w:rPr>
        <w:t>calculates</w:t>
      </w:r>
      <w:r w:rsidRPr="0035353E">
        <w:rPr>
          <w:szCs w:val="22"/>
        </w:rPr>
        <w:t xml:space="preserve"> that RAC </w:t>
      </w:r>
      <w:r w:rsidR="00157C3B">
        <w:rPr>
          <w:szCs w:val="22"/>
        </w:rPr>
        <w:t>services</w:t>
      </w:r>
      <w:r w:rsidRPr="0035353E">
        <w:rPr>
          <w:szCs w:val="22"/>
        </w:rPr>
        <w:t xml:space="preserve"> in all its forms </w:t>
      </w:r>
      <w:r w:rsidR="00157C3B">
        <w:rPr>
          <w:szCs w:val="22"/>
        </w:rPr>
        <w:t>w</w:t>
      </w:r>
      <w:r w:rsidR="00965FDA">
        <w:rPr>
          <w:szCs w:val="22"/>
        </w:rPr>
        <w:t>ere</w:t>
      </w:r>
      <w:r w:rsidRPr="0035353E">
        <w:rPr>
          <w:szCs w:val="22"/>
        </w:rPr>
        <w:t xml:space="preserve"> delivered </w:t>
      </w:r>
      <w:r w:rsidR="002A1D47">
        <w:rPr>
          <w:szCs w:val="22"/>
        </w:rPr>
        <w:t xml:space="preserve">by </w:t>
      </w:r>
      <w:r w:rsidRPr="0035353E">
        <w:rPr>
          <w:szCs w:val="22"/>
        </w:rPr>
        <w:t xml:space="preserve">over </w:t>
      </w:r>
      <w:r w:rsidR="00554283">
        <w:rPr>
          <w:szCs w:val="22"/>
        </w:rPr>
        <w:t>56</w:t>
      </w:r>
      <w:r w:rsidRPr="0035353E">
        <w:rPr>
          <w:szCs w:val="22"/>
        </w:rPr>
        <w:t xml:space="preserve"> million </w:t>
      </w:r>
      <w:r w:rsidR="00E35544">
        <w:rPr>
          <w:szCs w:val="22"/>
        </w:rPr>
        <w:t xml:space="preserve">individual pieces of equipment in Australia during 2018 </w:t>
      </w:r>
      <w:r w:rsidR="002A1D47">
        <w:rPr>
          <w:szCs w:val="22"/>
        </w:rPr>
        <w:t>(</w:t>
      </w:r>
      <w:r w:rsidR="002A1D47" w:rsidRPr="009E4D44">
        <w:rPr>
          <w:i/>
          <w:szCs w:val="22"/>
        </w:rPr>
        <w:t>CHF</w:t>
      </w:r>
      <w:r w:rsidR="002A1D47">
        <w:rPr>
          <w:i/>
          <w:szCs w:val="22"/>
        </w:rPr>
        <w:t>3 2016</w:t>
      </w:r>
      <w:r w:rsidR="002A1D47" w:rsidRPr="009E4D44">
        <w:rPr>
          <w:i/>
          <w:szCs w:val="22"/>
        </w:rPr>
        <w:t xml:space="preserve">, </w:t>
      </w:r>
      <w:r w:rsidR="002A1D47">
        <w:rPr>
          <w:i/>
          <w:szCs w:val="22"/>
        </w:rPr>
        <w:t>54</w:t>
      </w:r>
      <w:r w:rsidR="002A1D47" w:rsidRPr="009E4D44">
        <w:rPr>
          <w:i/>
          <w:szCs w:val="22"/>
        </w:rPr>
        <w:t xml:space="preserve"> million</w:t>
      </w:r>
      <w:r w:rsidR="002A1D47" w:rsidRPr="009E4D44">
        <w:rPr>
          <w:szCs w:val="22"/>
        </w:rPr>
        <w:t>)</w:t>
      </w:r>
      <w:r w:rsidRPr="009E4D44">
        <w:rPr>
          <w:szCs w:val="22"/>
        </w:rPr>
        <w:t>.</w:t>
      </w:r>
      <w:r w:rsidRPr="00B37F8A">
        <w:rPr>
          <w:szCs w:val="22"/>
        </w:rPr>
        <w:t xml:space="preserve"> </w:t>
      </w:r>
      <w:r w:rsidRPr="008A63DD">
        <w:rPr>
          <w:szCs w:val="22"/>
        </w:rPr>
        <w:t xml:space="preserve">The stock model also estimates that in the last few years Australians have spent around </w:t>
      </w:r>
      <w:r w:rsidRPr="000A3EE8">
        <w:rPr>
          <w:szCs w:val="22"/>
        </w:rPr>
        <w:t>$</w:t>
      </w:r>
      <w:r w:rsidR="000A3EE8" w:rsidRPr="000A3EE8">
        <w:rPr>
          <w:szCs w:val="22"/>
        </w:rPr>
        <w:t>9.3</w:t>
      </w:r>
      <w:r w:rsidRPr="000A3EE8">
        <w:rPr>
          <w:szCs w:val="22"/>
        </w:rPr>
        <w:t xml:space="preserve"> billion (</w:t>
      </w:r>
      <w:r w:rsidRPr="000A3EE8">
        <w:rPr>
          <w:i/>
          <w:szCs w:val="22"/>
        </w:rPr>
        <w:t>CHF3</w:t>
      </w:r>
      <w:r w:rsidR="002A1D47" w:rsidRPr="000A3EE8">
        <w:rPr>
          <w:i/>
          <w:szCs w:val="22"/>
        </w:rPr>
        <w:t xml:space="preserve"> 2016</w:t>
      </w:r>
      <w:r w:rsidRPr="000A3EE8">
        <w:rPr>
          <w:i/>
          <w:szCs w:val="22"/>
        </w:rPr>
        <w:t>, $8.2 billion</w:t>
      </w:r>
      <w:r w:rsidRPr="000A3EE8">
        <w:rPr>
          <w:szCs w:val="22"/>
        </w:rPr>
        <w:t xml:space="preserve">) </w:t>
      </w:r>
      <w:r w:rsidRPr="008A63DD">
        <w:rPr>
          <w:szCs w:val="22"/>
        </w:rPr>
        <w:t>every year buying and installing new devices across all classes of RAC equipment.</w:t>
      </w:r>
    </w:p>
    <w:p w14:paraId="580A6FD9" w14:textId="0361644C" w:rsidR="002028B3" w:rsidRPr="00B37F8A" w:rsidRDefault="008A63DD" w:rsidP="009A23AA">
      <w:pPr>
        <w:rPr>
          <w:szCs w:val="22"/>
        </w:rPr>
      </w:pPr>
      <w:r w:rsidRPr="008A63DD">
        <w:rPr>
          <w:szCs w:val="22"/>
        </w:rPr>
        <w:t xml:space="preserve">In both </w:t>
      </w:r>
      <w:r w:rsidR="00F25D84" w:rsidRPr="008A63DD">
        <w:rPr>
          <w:szCs w:val="22"/>
        </w:rPr>
        <w:t xml:space="preserve">2017 and 2018, </w:t>
      </w:r>
      <w:r w:rsidR="002028B3" w:rsidRPr="008A63DD">
        <w:rPr>
          <w:szCs w:val="22"/>
        </w:rPr>
        <w:t xml:space="preserve">an estimated 2 million devices containing </w:t>
      </w:r>
      <w:r w:rsidR="002A1D47" w:rsidRPr="00C35063">
        <w:rPr>
          <w:szCs w:val="22"/>
        </w:rPr>
        <w:t>around 2,</w:t>
      </w:r>
      <w:r w:rsidR="009238AD">
        <w:rPr>
          <w:szCs w:val="22"/>
        </w:rPr>
        <w:t>27</w:t>
      </w:r>
      <w:r w:rsidR="002A1D47" w:rsidRPr="00C35063">
        <w:rPr>
          <w:szCs w:val="22"/>
        </w:rPr>
        <w:t>0</w:t>
      </w:r>
      <w:r w:rsidR="002028B3" w:rsidRPr="00C35063">
        <w:rPr>
          <w:szCs w:val="22"/>
        </w:rPr>
        <w:t xml:space="preserve"> tonnes of</w:t>
      </w:r>
      <w:r w:rsidR="002028B3" w:rsidRPr="008A63DD">
        <w:rPr>
          <w:szCs w:val="22"/>
        </w:rPr>
        <w:t xml:space="preserve"> </w:t>
      </w:r>
      <w:r w:rsidRPr="008A63DD">
        <w:rPr>
          <w:szCs w:val="22"/>
        </w:rPr>
        <w:t xml:space="preserve">residual </w:t>
      </w:r>
      <w:r w:rsidR="002028B3" w:rsidRPr="008A63DD">
        <w:rPr>
          <w:szCs w:val="22"/>
        </w:rPr>
        <w:t>refrigerant reach</w:t>
      </w:r>
      <w:r w:rsidR="002A1D47" w:rsidRPr="008A63DD">
        <w:rPr>
          <w:szCs w:val="22"/>
        </w:rPr>
        <w:t>ed</w:t>
      </w:r>
      <w:r w:rsidR="002028B3" w:rsidRPr="008A63DD">
        <w:rPr>
          <w:szCs w:val="22"/>
        </w:rPr>
        <w:t xml:space="preserve"> the end of their useful life</w:t>
      </w:r>
      <w:r w:rsidR="00F25D84" w:rsidRPr="008A63DD">
        <w:rPr>
          <w:szCs w:val="22"/>
        </w:rPr>
        <w:t>. This</w:t>
      </w:r>
      <w:r w:rsidR="002028B3" w:rsidRPr="008A63DD">
        <w:rPr>
          <w:szCs w:val="22"/>
        </w:rPr>
        <w:t xml:space="preserve"> includ</w:t>
      </w:r>
      <w:r w:rsidR="00F25D84" w:rsidRPr="008A63DD">
        <w:rPr>
          <w:szCs w:val="22"/>
        </w:rPr>
        <w:t>ed</w:t>
      </w:r>
      <w:r w:rsidR="002028B3" w:rsidRPr="008A63DD">
        <w:rPr>
          <w:szCs w:val="22"/>
        </w:rPr>
        <w:t xml:space="preserve"> </w:t>
      </w:r>
      <w:r w:rsidR="009238AD">
        <w:rPr>
          <w:szCs w:val="22"/>
        </w:rPr>
        <w:t xml:space="preserve">around </w:t>
      </w:r>
      <w:r w:rsidR="002028B3" w:rsidRPr="008A63DD">
        <w:rPr>
          <w:szCs w:val="22"/>
        </w:rPr>
        <w:t>1</w:t>
      </w:r>
      <w:r w:rsidR="009238AD">
        <w:rPr>
          <w:szCs w:val="22"/>
        </w:rPr>
        <w:t>2</w:t>
      </w:r>
      <w:r w:rsidR="002028B3" w:rsidRPr="008A63DD">
        <w:rPr>
          <w:szCs w:val="22"/>
        </w:rPr>
        <w:t>0 tonnes</w:t>
      </w:r>
      <w:r w:rsidR="00F25D84" w:rsidRPr="008A63DD">
        <w:rPr>
          <w:szCs w:val="22"/>
        </w:rPr>
        <w:t xml:space="preserve"> of refrigerant</w:t>
      </w:r>
      <w:r w:rsidR="002028B3" w:rsidRPr="008A63DD">
        <w:rPr>
          <w:szCs w:val="22"/>
        </w:rPr>
        <w:t xml:space="preserve"> in domestic refrigerators and freezers, 1,</w:t>
      </w:r>
      <w:r w:rsidR="00F31D4E">
        <w:rPr>
          <w:szCs w:val="22"/>
        </w:rPr>
        <w:t>480</w:t>
      </w:r>
      <w:r w:rsidR="002028B3" w:rsidRPr="008A63DD">
        <w:rPr>
          <w:szCs w:val="22"/>
        </w:rPr>
        <w:t xml:space="preserve"> tonnes in air conditioners, 4</w:t>
      </w:r>
      <w:r w:rsidR="00F31D4E">
        <w:rPr>
          <w:szCs w:val="22"/>
        </w:rPr>
        <w:t>3</w:t>
      </w:r>
      <w:r w:rsidR="002028B3" w:rsidRPr="008A63DD">
        <w:rPr>
          <w:szCs w:val="22"/>
        </w:rPr>
        <w:t>0 tonnes in motor vehicles of all types, and 2</w:t>
      </w:r>
      <w:r w:rsidR="00F31D4E">
        <w:rPr>
          <w:szCs w:val="22"/>
        </w:rPr>
        <w:t>4</w:t>
      </w:r>
      <w:r w:rsidR="002028B3" w:rsidRPr="008A63DD">
        <w:rPr>
          <w:szCs w:val="22"/>
        </w:rPr>
        <w:t>0 tonnes in commercial refrigeration equipment.</w:t>
      </w:r>
    </w:p>
    <w:p w14:paraId="2371AB74" w14:textId="77777777" w:rsidR="002028B3" w:rsidRPr="00B37F8A" w:rsidRDefault="002028B3" w:rsidP="009A23AA">
      <w:pPr>
        <w:rPr>
          <w:szCs w:val="22"/>
        </w:rPr>
      </w:pPr>
      <w:r>
        <w:rPr>
          <w:szCs w:val="22"/>
        </w:rPr>
        <w:t>The authors note</w:t>
      </w:r>
      <w:r w:rsidRPr="00B37F8A">
        <w:rPr>
          <w:szCs w:val="22"/>
        </w:rPr>
        <w:t xml:space="preserve"> frequent anecdota</w:t>
      </w:r>
      <w:r>
        <w:rPr>
          <w:szCs w:val="22"/>
        </w:rPr>
        <w:t xml:space="preserve">l reports of </w:t>
      </w:r>
      <w:r w:rsidRPr="00B37F8A">
        <w:rPr>
          <w:szCs w:val="22"/>
        </w:rPr>
        <w:t xml:space="preserve">refrigeration and air </w:t>
      </w:r>
      <w:r>
        <w:rPr>
          <w:szCs w:val="22"/>
        </w:rPr>
        <w:t>conditioning equipment that continues</w:t>
      </w:r>
      <w:r w:rsidRPr="00B37F8A">
        <w:rPr>
          <w:szCs w:val="22"/>
        </w:rPr>
        <w:t xml:space="preserve"> to operate for many</w:t>
      </w:r>
      <w:r>
        <w:rPr>
          <w:szCs w:val="22"/>
        </w:rPr>
        <w:t xml:space="preserve"> decades, well beyond the average life used in the stock model.</w:t>
      </w:r>
      <w:r>
        <w:rPr>
          <w:rStyle w:val="FootnoteReference"/>
          <w:szCs w:val="22"/>
        </w:rPr>
        <w:footnoteReference w:id="5"/>
      </w:r>
      <w:r w:rsidRPr="00B37F8A">
        <w:rPr>
          <w:szCs w:val="22"/>
        </w:rPr>
        <w:t xml:space="preserve"> </w:t>
      </w:r>
    </w:p>
    <w:p w14:paraId="5ACB4FE4" w14:textId="36A03BD9" w:rsidR="002028B3" w:rsidRPr="00B37F8A" w:rsidRDefault="002028B3" w:rsidP="009A23AA">
      <w:pPr>
        <w:rPr>
          <w:szCs w:val="22"/>
        </w:rPr>
      </w:pPr>
      <w:r w:rsidRPr="00B37F8A">
        <w:rPr>
          <w:szCs w:val="22"/>
        </w:rPr>
        <w:t>Many people</w:t>
      </w:r>
      <w:r>
        <w:rPr>
          <w:szCs w:val="22"/>
        </w:rPr>
        <w:t>, for instance, are likely to have encountered a</w:t>
      </w:r>
      <w:r w:rsidRPr="00B37F8A">
        <w:rPr>
          <w:szCs w:val="22"/>
        </w:rPr>
        <w:t xml:space="preserve"> </w:t>
      </w:r>
      <w:r>
        <w:rPr>
          <w:szCs w:val="22"/>
        </w:rPr>
        <w:t>25, 30</w:t>
      </w:r>
      <w:r w:rsidRPr="00B37F8A">
        <w:rPr>
          <w:szCs w:val="22"/>
        </w:rPr>
        <w:t xml:space="preserve"> </w:t>
      </w:r>
      <w:r>
        <w:rPr>
          <w:szCs w:val="22"/>
        </w:rPr>
        <w:t xml:space="preserve">or even 40 </w:t>
      </w:r>
      <w:r w:rsidRPr="00B37F8A">
        <w:rPr>
          <w:szCs w:val="22"/>
        </w:rPr>
        <w:t xml:space="preserve">year old domestic </w:t>
      </w:r>
      <w:r>
        <w:rPr>
          <w:szCs w:val="22"/>
        </w:rPr>
        <w:t>refrigerator</w:t>
      </w:r>
      <w:r w:rsidRPr="00B37F8A">
        <w:rPr>
          <w:szCs w:val="22"/>
        </w:rPr>
        <w:t xml:space="preserve"> that still runs, possibly as a ‘beer fridge’ in someone’s garage. Industry participants also report </w:t>
      </w:r>
      <w:r>
        <w:rPr>
          <w:szCs w:val="22"/>
        </w:rPr>
        <w:t xml:space="preserve">exceptional </w:t>
      </w:r>
      <w:r w:rsidRPr="00B37F8A">
        <w:rPr>
          <w:szCs w:val="22"/>
        </w:rPr>
        <w:t xml:space="preserve">longevity </w:t>
      </w:r>
      <w:r>
        <w:rPr>
          <w:szCs w:val="22"/>
        </w:rPr>
        <w:t>of</w:t>
      </w:r>
      <w:r w:rsidRPr="00B37F8A">
        <w:rPr>
          <w:szCs w:val="22"/>
        </w:rPr>
        <w:t xml:space="preserve"> some well-made commercial refrigerators and </w:t>
      </w:r>
      <w:r>
        <w:rPr>
          <w:szCs w:val="22"/>
        </w:rPr>
        <w:t>of some types of</w:t>
      </w:r>
      <w:r w:rsidRPr="00B37F8A">
        <w:rPr>
          <w:szCs w:val="22"/>
        </w:rPr>
        <w:t xml:space="preserve"> medium sized </w:t>
      </w:r>
      <w:r>
        <w:rPr>
          <w:szCs w:val="22"/>
        </w:rPr>
        <w:t xml:space="preserve">commercial space </w:t>
      </w:r>
      <w:r w:rsidRPr="00B37F8A">
        <w:rPr>
          <w:szCs w:val="22"/>
        </w:rPr>
        <w:t xml:space="preserve">chillers. </w:t>
      </w:r>
    </w:p>
    <w:p w14:paraId="44C4B3FF" w14:textId="42A04470" w:rsidR="002028B3" w:rsidRPr="00B37F8A" w:rsidRDefault="002028B3" w:rsidP="009A23AA">
      <w:pPr>
        <w:rPr>
          <w:szCs w:val="22"/>
        </w:rPr>
      </w:pPr>
      <w:r w:rsidRPr="00B37F8A">
        <w:rPr>
          <w:szCs w:val="22"/>
        </w:rPr>
        <w:t xml:space="preserve">Another indicator </w:t>
      </w:r>
      <w:r>
        <w:rPr>
          <w:szCs w:val="22"/>
        </w:rPr>
        <w:t>of some classes of</w:t>
      </w:r>
      <w:r w:rsidRPr="00B37F8A">
        <w:rPr>
          <w:szCs w:val="22"/>
        </w:rPr>
        <w:t xml:space="preserve"> long</w:t>
      </w:r>
      <w:r w:rsidR="00E3476E">
        <w:rPr>
          <w:szCs w:val="22"/>
        </w:rPr>
        <w:t>-</w:t>
      </w:r>
      <w:r w:rsidRPr="00B37F8A">
        <w:rPr>
          <w:szCs w:val="22"/>
        </w:rPr>
        <w:t>lasting equipment</w:t>
      </w:r>
      <w:r>
        <w:rPr>
          <w:szCs w:val="22"/>
        </w:rPr>
        <w:t xml:space="preserve"> still operating </w:t>
      </w:r>
      <w:r w:rsidRPr="00B37F8A">
        <w:rPr>
          <w:szCs w:val="22"/>
        </w:rPr>
        <w:t xml:space="preserve">is the continuing presence of </w:t>
      </w:r>
      <w:r>
        <w:rPr>
          <w:szCs w:val="22"/>
        </w:rPr>
        <w:t>chlorofluorocarbons (</w:t>
      </w:r>
      <w:r w:rsidRPr="00B37F8A">
        <w:rPr>
          <w:szCs w:val="22"/>
        </w:rPr>
        <w:t>CFCs</w:t>
      </w:r>
      <w:r>
        <w:rPr>
          <w:szCs w:val="22"/>
        </w:rPr>
        <w:t>)</w:t>
      </w:r>
      <w:r w:rsidRPr="00B37F8A">
        <w:rPr>
          <w:szCs w:val="22"/>
        </w:rPr>
        <w:t xml:space="preserve"> in the stream of waste </w:t>
      </w:r>
      <w:r>
        <w:rPr>
          <w:szCs w:val="22"/>
        </w:rPr>
        <w:t>refrigerant</w:t>
      </w:r>
      <w:r w:rsidRPr="00B37F8A">
        <w:rPr>
          <w:szCs w:val="22"/>
        </w:rPr>
        <w:t xml:space="preserve"> delivered for destruction. </w:t>
      </w:r>
      <w:r w:rsidRPr="008A63DD">
        <w:rPr>
          <w:szCs w:val="22"/>
        </w:rPr>
        <w:t>The importation and manufacture of CFCs was banned from 1996, and while some of the waste CFCs delivered for destruction may arrive in old 44 gallon drums (i.e. still in the bulk container that it was purchased in), some of it is</w:t>
      </w:r>
      <w:r w:rsidR="008A63DD">
        <w:rPr>
          <w:szCs w:val="22"/>
        </w:rPr>
        <w:t xml:space="preserve"> </w:t>
      </w:r>
      <w:r w:rsidRPr="008A63DD">
        <w:rPr>
          <w:szCs w:val="22"/>
        </w:rPr>
        <w:t>being recovered from equipment only now being decommissioned at end-of-life (or possibly even old equipment being refurbished and having the gas charge replaced).</w:t>
      </w:r>
      <w:r w:rsidRPr="00B37F8A">
        <w:rPr>
          <w:szCs w:val="22"/>
        </w:rPr>
        <w:t xml:space="preserve">  </w:t>
      </w:r>
    </w:p>
    <w:p w14:paraId="493A1321" w14:textId="6E5EEB73" w:rsidR="002028B3" w:rsidRDefault="002028B3" w:rsidP="009A23AA">
      <w:pPr>
        <w:rPr>
          <w:szCs w:val="22"/>
        </w:rPr>
      </w:pPr>
      <w:r>
        <w:rPr>
          <w:szCs w:val="22"/>
        </w:rPr>
        <w:t xml:space="preserve">What this illustrates is that some of the millions of pieces of RAC equipment introduced to the economy every year will continue to be operational for decades and that, even while global agreements are driving the industry towards the use of lower GWP refrigerants, </w:t>
      </w:r>
      <w:r w:rsidR="00965FDA">
        <w:rPr>
          <w:szCs w:val="22"/>
        </w:rPr>
        <w:t xml:space="preserve">Australia will continue to employ tens of thousands of tonnes of </w:t>
      </w:r>
      <w:r>
        <w:rPr>
          <w:szCs w:val="22"/>
        </w:rPr>
        <w:t>older generations of refrigerants</w:t>
      </w:r>
      <w:r w:rsidR="00965FDA">
        <w:rPr>
          <w:szCs w:val="22"/>
        </w:rPr>
        <w:t>,</w:t>
      </w:r>
      <w:r>
        <w:rPr>
          <w:szCs w:val="22"/>
        </w:rPr>
        <w:t xml:space="preserve"> </w:t>
      </w:r>
      <w:r w:rsidR="00965FDA">
        <w:rPr>
          <w:szCs w:val="22"/>
        </w:rPr>
        <w:t xml:space="preserve">that </w:t>
      </w:r>
      <w:r>
        <w:rPr>
          <w:szCs w:val="22"/>
        </w:rPr>
        <w:t>will still be either lost to the atmosphere or recovered for destruction</w:t>
      </w:r>
      <w:r w:rsidR="00965FDA">
        <w:rPr>
          <w:szCs w:val="22"/>
        </w:rPr>
        <w:t>,</w:t>
      </w:r>
      <w:r>
        <w:rPr>
          <w:szCs w:val="22"/>
        </w:rPr>
        <w:t xml:space="preserve"> for many years into the future.</w:t>
      </w:r>
    </w:p>
    <w:p w14:paraId="75CF7C6D" w14:textId="5CC89ABF" w:rsidR="00F765DA" w:rsidRDefault="002028B3" w:rsidP="009A23AA">
      <w:pPr>
        <w:rPr>
          <w:szCs w:val="22"/>
        </w:rPr>
      </w:pPr>
      <w:r w:rsidRPr="00B37F8A">
        <w:rPr>
          <w:szCs w:val="22"/>
        </w:rPr>
        <w:t xml:space="preserve">Each of the four main classes of equipment is </w:t>
      </w:r>
      <w:r>
        <w:rPr>
          <w:szCs w:val="22"/>
        </w:rPr>
        <w:t xml:space="preserve">discussed in </w:t>
      </w:r>
      <w:r w:rsidR="00E3476E">
        <w:rPr>
          <w:szCs w:val="22"/>
        </w:rPr>
        <w:t xml:space="preserve">more </w:t>
      </w:r>
      <w:r>
        <w:rPr>
          <w:szCs w:val="22"/>
        </w:rPr>
        <w:t xml:space="preserve">detail in the sections that follow. </w:t>
      </w:r>
      <w:r w:rsidR="00F765DA">
        <w:rPr>
          <w:szCs w:val="22"/>
        </w:rPr>
        <w:t xml:space="preserve"> </w:t>
      </w:r>
    </w:p>
    <w:p w14:paraId="33E55344" w14:textId="77777777" w:rsidR="00F765DA" w:rsidRDefault="00F765DA" w:rsidP="009A23AA">
      <w:pPr>
        <w:spacing w:before="0"/>
        <w:rPr>
          <w:rFonts w:cs="Times New Roman"/>
          <w:szCs w:val="22"/>
        </w:rPr>
      </w:pPr>
    </w:p>
    <w:p w14:paraId="14D68F54" w14:textId="77777777" w:rsidR="0056567F" w:rsidRDefault="0056567F" w:rsidP="009A23AA">
      <w:pPr>
        <w:spacing w:before="0"/>
        <w:rPr>
          <w:rFonts w:cs="Times New Roman"/>
          <w:szCs w:val="22"/>
        </w:rPr>
      </w:pPr>
      <w:r>
        <w:rPr>
          <w:rFonts w:cs="Times New Roman"/>
          <w:szCs w:val="22"/>
        </w:rPr>
        <w:br w:type="page"/>
      </w:r>
    </w:p>
    <w:p w14:paraId="28BB853A" w14:textId="77777777" w:rsidR="00E42FBC" w:rsidRDefault="00E42FBC" w:rsidP="009A23AA">
      <w:pPr>
        <w:pStyle w:val="Heading1"/>
        <w:jc w:val="both"/>
      </w:pPr>
      <w:bookmarkStart w:id="9" w:name="_Toc19601285"/>
      <w:bookmarkStart w:id="10" w:name="_Toc494190147"/>
      <w:r>
        <w:t>Main equipment classes</w:t>
      </w:r>
      <w:bookmarkEnd w:id="9"/>
    </w:p>
    <w:p w14:paraId="10F8A537" w14:textId="58B3A983" w:rsidR="00E42FBC" w:rsidRDefault="00E42FBC" w:rsidP="009A23AA">
      <w:pPr>
        <w:pStyle w:val="Heading2"/>
        <w:ind w:left="567" w:hanging="567"/>
        <w:jc w:val="both"/>
      </w:pPr>
      <w:bookmarkStart w:id="11" w:name="_Toc19601286"/>
      <w:r>
        <w:t>Stationary air conditioning</w:t>
      </w:r>
      <w:bookmarkEnd w:id="10"/>
      <w:bookmarkEnd w:id="11"/>
    </w:p>
    <w:p w14:paraId="60974404" w14:textId="77777777" w:rsidR="00597996" w:rsidRDefault="00597996" w:rsidP="009A23AA">
      <w:pPr>
        <w:rPr>
          <w:szCs w:val="22"/>
        </w:rPr>
      </w:pPr>
      <w:r w:rsidRPr="00D6789F">
        <w:rPr>
          <w:szCs w:val="22"/>
        </w:rPr>
        <w:t>Stationary air conditioning and heat pumps</w:t>
      </w:r>
      <w:r>
        <w:rPr>
          <w:szCs w:val="22"/>
        </w:rPr>
        <w:t>,</w:t>
      </w:r>
      <w:r w:rsidRPr="00D6789F">
        <w:rPr>
          <w:szCs w:val="22"/>
        </w:rPr>
        <w:t xml:space="preserve"> as a broad class of equipment</w:t>
      </w:r>
      <w:r>
        <w:rPr>
          <w:szCs w:val="22"/>
        </w:rPr>
        <w:t>,</w:t>
      </w:r>
      <w:r w:rsidRPr="00D6789F">
        <w:rPr>
          <w:szCs w:val="22"/>
        </w:rPr>
        <w:t xml:space="preserve"> includes all forms of stationary equipment that use the vapour compression cycle to provide human comfort</w:t>
      </w:r>
      <w:r>
        <w:rPr>
          <w:szCs w:val="22"/>
        </w:rPr>
        <w:t xml:space="preserve"> in buildings</w:t>
      </w:r>
      <w:r w:rsidRPr="00D6789F">
        <w:rPr>
          <w:szCs w:val="22"/>
        </w:rPr>
        <w:t xml:space="preserve">, and to provide close temperature control in </w:t>
      </w:r>
      <w:r>
        <w:rPr>
          <w:szCs w:val="22"/>
        </w:rPr>
        <w:t xml:space="preserve">medical and scientific facilities, and in </w:t>
      </w:r>
      <w:r w:rsidRPr="00D6789F">
        <w:rPr>
          <w:szCs w:val="22"/>
        </w:rPr>
        <w:t>data processing</w:t>
      </w:r>
      <w:r>
        <w:rPr>
          <w:szCs w:val="22"/>
        </w:rPr>
        <w:t xml:space="preserve"> centres.</w:t>
      </w:r>
    </w:p>
    <w:p w14:paraId="261944AA" w14:textId="77777777" w:rsidR="00597996" w:rsidRDefault="00597996" w:rsidP="009A23AA">
      <w:pPr>
        <w:spacing w:before="60" w:after="60"/>
        <w:rPr>
          <w:szCs w:val="22"/>
        </w:rPr>
      </w:pPr>
      <w:r w:rsidRPr="00144ADA">
        <w:rPr>
          <w:szCs w:val="22"/>
        </w:rPr>
        <w:t>The four major segments and eighteen product categories that make up this class</w:t>
      </w:r>
      <w:r>
        <w:rPr>
          <w:szCs w:val="22"/>
        </w:rPr>
        <w:t xml:space="preserve"> </w:t>
      </w:r>
      <w:r w:rsidRPr="00144ADA">
        <w:rPr>
          <w:szCs w:val="22"/>
        </w:rPr>
        <w:t xml:space="preserve">account for approximately 61% of the bank of refrigerant in Australia, around 31,200 tonnes, </w:t>
      </w:r>
      <w:r>
        <w:rPr>
          <w:szCs w:val="22"/>
        </w:rPr>
        <w:t xml:space="preserve">contained </w:t>
      </w:r>
      <w:r w:rsidRPr="00144ADA">
        <w:rPr>
          <w:szCs w:val="22"/>
        </w:rPr>
        <w:t>in more than 14.4 million devices</w:t>
      </w:r>
      <w:r>
        <w:rPr>
          <w:szCs w:val="22"/>
        </w:rPr>
        <w:t xml:space="preserve">. </w:t>
      </w:r>
    </w:p>
    <w:p w14:paraId="326C0739" w14:textId="3B5267B2" w:rsidR="00597996" w:rsidRDefault="00597996" w:rsidP="009A23AA">
      <w:pPr>
        <w:spacing w:before="60" w:after="60"/>
        <w:rPr>
          <w:szCs w:val="22"/>
        </w:rPr>
      </w:pPr>
      <w:r>
        <w:rPr>
          <w:szCs w:val="22"/>
        </w:rPr>
        <w:t>Stationary air conditioning consumed</w:t>
      </w:r>
      <w:r w:rsidRPr="00144ADA">
        <w:rPr>
          <w:szCs w:val="22"/>
        </w:rPr>
        <w:t xml:space="preserve"> </w:t>
      </w:r>
      <w:r>
        <w:rPr>
          <w:szCs w:val="22"/>
        </w:rPr>
        <w:t xml:space="preserve">the largest portion of imported bulk refrigerants for service use in 2018, </w:t>
      </w:r>
      <w:r w:rsidRPr="00144ADA">
        <w:rPr>
          <w:szCs w:val="22"/>
        </w:rPr>
        <w:t xml:space="preserve">an </w:t>
      </w:r>
      <w:r w:rsidRPr="00B55197">
        <w:rPr>
          <w:szCs w:val="22"/>
        </w:rPr>
        <w:t>estimated 1,</w:t>
      </w:r>
      <w:r w:rsidR="00B55197" w:rsidRPr="00B55197">
        <w:rPr>
          <w:szCs w:val="22"/>
        </w:rPr>
        <w:t>350</w:t>
      </w:r>
      <w:r w:rsidRPr="00B55197">
        <w:rPr>
          <w:szCs w:val="22"/>
        </w:rPr>
        <w:t xml:space="preserve"> tonnes</w:t>
      </w:r>
      <w:r w:rsidRPr="00144ADA">
        <w:rPr>
          <w:szCs w:val="22"/>
        </w:rPr>
        <w:t xml:space="preserve"> of HFC</w:t>
      </w:r>
      <w:r>
        <w:rPr>
          <w:szCs w:val="22"/>
        </w:rPr>
        <w:t>s</w:t>
      </w:r>
      <w:r w:rsidRPr="00144ADA">
        <w:rPr>
          <w:szCs w:val="22"/>
        </w:rPr>
        <w:t xml:space="preserve"> for service, charging new equipment, retrofitting existing equipment, and use by original equipment manufacturers (OEMs)</w:t>
      </w:r>
      <w:r>
        <w:rPr>
          <w:szCs w:val="22"/>
        </w:rPr>
        <w:t>.</w:t>
      </w:r>
    </w:p>
    <w:p w14:paraId="755DEAE6" w14:textId="6C322C88" w:rsidR="00597996" w:rsidRPr="00D6789F" w:rsidRDefault="00597996" w:rsidP="009A23AA">
      <w:pPr>
        <w:rPr>
          <w:szCs w:val="22"/>
        </w:rPr>
      </w:pPr>
      <w:r w:rsidRPr="00D6789F">
        <w:rPr>
          <w:szCs w:val="22"/>
        </w:rPr>
        <w:t xml:space="preserve">Stationary air conditioning </w:t>
      </w:r>
      <w:r>
        <w:rPr>
          <w:szCs w:val="22"/>
        </w:rPr>
        <w:t>consumes</w:t>
      </w:r>
      <w:r w:rsidRPr="00D6789F">
        <w:rPr>
          <w:szCs w:val="22"/>
        </w:rPr>
        <w:t xml:space="preserve"> more electricity than a</w:t>
      </w:r>
      <w:r>
        <w:rPr>
          <w:szCs w:val="22"/>
        </w:rPr>
        <w:t>ll</w:t>
      </w:r>
      <w:r w:rsidRPr="00D6789F">
        <w:rPr>
          <w:szCs w:val="22"/>
        </w:rPr>
        <w:t xml:space="preserve"> of the other classes of equipment in the RAC industry</w:t>
      </w:r>
      <w:r w:rsidR="00E3476E">
        <w:rPr>
          <w:szCs w:val="22"/>
        </w:rPr>
        <w:t xml:space="preserve"> </w:t>
      </w:r>
      <w:r w:rsidR="0076089F">
        <w:rPr>
          <w:szCs w:val="22"/>
        </w:rPr>
        <w:t>collectively</w:t>
      </w:r>
      <w:r w:rsidRPr="00D6789F">
        <w:rPr>
          <w:szCs w:val="22"/>
        </w:rPr>
        <w:t>.</w:t>
      </w:r>
    </w:p>
    <w:p w14:paraId="2F09678D" w14:textId="4A515B20" w:rsidR="00597996" w:rsidRPr="00811D8F" w:rsidRDefault="00597996" w:rsidP="009A23AA">
      <w:pPr>
        <w:rPr>
          <w:szCs w:val="22"/>
        </w:rPr>
      </w:pPr>
      <w:r w:rsidRPr="00811D8F">
        <w:rPr>
          <w:szCs w:val="22"/>
        </w:rPr>
        <w:t xml:space="preserve">This class of equipment includes equipment that can operate in reverse-cycle (heating and cooling) or cooling only, on single phase or </w:t>
      </w:r>
      <w:r>
        <w:rPr>
          <w:szCs w:val="22"/>
        </w:rPr>
        <w:t xml:space="preserve">on </w:t>
      </w:r>
      <w:r w:rsidRPr="00811D8F">
        <w:rPr>
          <w:szCs w:val="22"/>
        </w:rPr>
        <w:t>three phase power</w:t>
      </w:r>
      <w:r>
        <w:rPr>
          <w:szCs w:val="22"/>
        </w:rPr>
        <w:t>. Equipment in this class r</w:t>
      </w:r>
      <w:r w:rsidRPr="00811D8F">
        <w:rPr>
          <w:szCs w:val="22"/>
        </w:rPr>
        <w:t>ange</w:t>
      </w:r>
      <w:r>
        <w:rPr>
          <w:szCs w:val="22"/>
        </w:rPr>
        <w:t>s</w:t>
      </w:r>
      <w:r w:rsidRPr="00811D8F">
        <w:rPr>
          <w:szCs w:val="22"/>
        </w:rPr>
        <w:t xml:space="preserve"> in size from small 2</w:t>
      </w:r>
      <w:r>
        <w:rPr>
          <w:szCs w:val="22"/>
        </w:rPr>
        <w:t> </w:t>
      </w:r>
      <w:proofErr w:type="spellStart"/>
      <w:r w:rsidRPr="00811D8F">
        <w:rPr>
          <w:szCs w:val="22"/>
        </w:rPr>
        <w:t>kWr</w:t>
      </w:r>
      <w:proofErr w:type="spellEnd"/>
      <w:r w:rsidRPr="00811D8F">
        <w:rPr>
          <w:szCs w:val="22"/>
        </w:rPr>
        <w:t xml:space="preserve"> portable air conditioner</w:t>
      </w:r>
      <w:r>
        <w:rPr>
          <w:szCs w:val="22"/>
        </w:rPr>
        <w:t>s</w:t>
      </w:r>
      <w:r w:rsidRPr="00811D8F">
        <w:rPr>
          <w:szCs w:val="22"/>
        </w:rPr>
        <w:t>, with a refrigerant charge of less than 600 grams, to large 4,000</w:t>
      </w:r>
      <w:r>
        <w:rPr>
          <w:szCs w:val="22"/>
        </w:rPr>
        <w:t> </w:t>
      </w:r>
      <w:proofErr w:type="spellStart"/>
      <w:r w:rsidRPr="00811D8F">
        <w:rPr>
          <w:szCs w:val="22"/>
        </w:rPr>
        <w:t>kWr</w:t>
      </w:r>
      <w:proofErr w:type="spellEnd"/>
      <w:r w:rsidRPr="00811D8F">
        <w:rPr>
          <w:szCs w:val="22"/>
        </w:rPr>
        <w:t xml:space="preserve"> commercial space chillers containing more than a tonne of refrigerant in a single machine.</w:t>
      </w:r>
    </w:p>
    <w:p w14:paraId="16D65894" w14:textId="5A51435D" w:rsidR="00597996" w:rsidRPr="00D6789F" w:rsidRDefault="00597996" w:rsidP="009A23AA">
      <w:pPr>
        <w:rPr>
          <w:szCs w:val="22"/>
        </w:rPr>
      </w:pPr>
      <w:r>
        <w:rPr>
          <w:szCs w:val="22"/>
        </w:rPr>
        <w:t>This class includes stationary equipment such as heat pumps used for applications such as heating water, heating swimming pools, and drying clothes. Evaporative air conditioning that does not use a vapour compression cycle is not included.</w:t>
      </w:r>
    </w:p>
    <w:p w14:paraId="3810DCC4" w14:textId="77777777" w:rsidR="00597996" w:rsidRDefault="00597996" w:rsidP="009A23AA">
      <w:pPr>
        <w:spacing w:before="0"/>
        <w:rPr>
          <w:rFonts w:eastAsia="Times New Roman" w:cs="Times New Roman"/>
          <w:bCs/>
          <w:i/>
          <w:szCs w:val="20"/>
          <w:lang w:val="en-US"/>
        </w:rPr>
      </w:pPr>
      <w:bookmarkStart w:id="12" w:name="_Toc525141391"/>
    </w:p>
    <w:p w14:paraId="79F20B1D" w14:textId="60C3FAE9" w:rsidR="00597996" w:rsidRPr="009E3FA3" w:rsidRDefault="00597996" w:rsidP="009A23AA">
      <w:pPr>
        <w:pStyle w:val="Caption"/>
        <w:keepNext/>
        <w:rPr>
          <w:i w:val="0"/>
          <w:szCs w:val="22"/>
        </w:rPr>
      </w:pPr>
      <w:bookmarkStart w:id="13" w:name="_Toc19601353"/>
      <w:r w:rsidRPr="009E3FA3">
        <w:t xml:space="preserve">Table </w:t>
      </w:r>
      <w:r w:rsidRPr="009E3FA3">
        <w:rPr>
          <w:noProof/>
        </w:rPr>
        <w:fldChar w:fldCharType="begin"/>
      </w:r>
      <w:r w:rsidRPr="009E3FA3">
        <w:rPr>
          <w:noProof/>
        </w:rPr>
        <w:instrText xml:space="preserve"> SEQ Table \* ARABIC </w:instrText>
      </w:r>
      <w:r w:rsidRPr="009E3FA3">
        <w:rPr>
          <w:noProof/>
        </w:rPr>
        <w:fldChar w:fldCharType="separate"/>
      </w:r>
      <w:r w:rsidR="001D0DA3">
        <w:rPr>
          <w:noProof/>
        </w:rPr>
        <w:t>1</w:t>
      </w:r>
      <w:r w:rsidRPr="009E3FA3">
        <w:rPr>
          <w:noProof/>
        </w:rPr>
        <w:fldChar w:fldCharType="end"/>
      </w:r>
      <w:r w:rsidRPr="009E3FA3">
        <w:rPr>
          <w:szCs w:val="22"/>
        </w:rPr>
        <w:t>: Stationary air conditioning taxonomy</w:t>
      </w:r>
      <w:bookmarkEnd w:id="12"/>
      <w:r>
        <w:rPr>
          <w:i w:val="0"/>
          <w:szCs w:val="22"/>
        </w:rPr>
        <w:t xml:space="preserve"> and stock in 2018.</w:t>
      </w:r>
      <w:bookmarkEnd w:id="13"/>
    </w:p>
    <w:tbl>
      <w:tblPr>
        <w:tblStyle w:val="TableGrid"/>
        <w:tblW w:w="0" w:type="auto"/>
        <w:tblInd w:w="-5" w:type="dxa"/>
        <w:tblLook w:val="04A0" w:firstRow="1" w:lastRow="0" w:firstColumn="1" w:lastColumn="0" w:noHBand="0" w:noVBand="1"/>
      </w:tblPr>
      <w:tblGrid>
        <w:gridCol w:w="709"/>
        <w:gridCol w:w="1134"/>
        <w:gridCol w:w="2268"/>
        <w:gridCol w:w="1418"/>
        <w:gridCol w:w="2194"/>
        <w:gridCol w:w="1769"/>
      </w:tblGrid>
      <w:tr w:rsidR="00597996" w:rsidRPr="009E3FA3" w14:paraId="2956A358" w14:textId="77777777" w:rsidTr="00597996">
        <w:trPr>
          <w:trHeight w:val="680"/>
          <w:tblHeader/>
        </w:trPr>
        <w:tc>
          <w:tcPr>
            <w:tcW w:w="9492" w:type="dxa"/>
            <w:gridSpan w:val="6"/>
            <w:shd w:val="clear" w:color="auto" w:fill="B6DDE8" w:themeFill="accent5" w:themeFillTint="66"/>
            <w:vAlign w:val="center"/>
          </w:tcPr>
          <w:p w14:paraId="55A1556A" w14:textId="77777777" w:rsidR="00597996" w:rsidRPr="009E3FA3" w:rsidRDefault="00597996" w:rsidP="001D5B2F">
            <w:pPr>
              <w:spacing w:after="120"/>
            </w:pPr>
            <w:r w:rsidRPr="009E3FA3">
              <w:t>STATIONARY AIR CONDITIONING</w:t>
            </w:r>
          </w:p>
        </w:tc>
      </w:tr>
      <w:tr w:rsidR="00597996" w:rsidRPr="009E3FA3" w14:paraId="61A34DCB" w14:textId="77777777" w:rsidTr="00597996">
        <w:trPr>
          <w:tblHeader/>
        </w:trPr>
        <w:tc>
          <w:tcPr>
            <w:tcW w:w="709" w:type="dxa"/>
            <w:shd w:val="clear" w:color="auto" w:fill="B6DDE8" w:themeFill="accent5" w:themeFillTint="66"/>
            <w:vAlign w:val="center"/>
          </w:tcPr>
          <w:p w14:paraId="7BC526A8" w14:textId="77777777" w:rsidR="00597996" w:rsidRPr="009E3FA3" w:rsidRDefault="00597996" w:rsidP="00FD314C">
            <w:pPr>
              <w:spacing w:before="60" w:after="60"/>
              <w:jc w:val="center"/>
            </w:pPr>
            <w:r w:rsidRPr="009E3FA3">
              <w:t>Item no</w:t>
            </w:r>
          </w:p>
        </w:tc>
        <w:tc>
          <w:tcPr>
            <w:tcW w:w="1134" w:type="dxa"/>
            <w:shd w:val="clear" w:color="auto" w:fill="B6DDE8" w:themeFill="accent5" w:themeFillTint="66"/>
            <w:vAlign w:val="center"/>
          </w:tcPr>
          <w:p w14:paraId="5568E401" w14:textId="77777777" w:rsidR="00597996" w:rsidRPr="009E3FA3" w:rsidRDefault="00597996" w:rsidP="009A23AA">
            <w:pPr>
              <w:spacing w:before="60" w:after="60"/>
            </w:pPr>
            <w:r w:rsidRPr="009E3FA3">
              <w:t>Segment</w:t>
            </w:r>
          </w:p>
        </w:tc>
        <w:tc>
          <w:tcPr>
            <w:tcW w:w="2268" w:type="dxa"/>
            <w:shd w:val="clear" w:color="auto" w:fill="B6DDE8" w:themeFill="accent5" w:themeFillTint="66"/>
            <w:vAlign w:val="center"/>
          </w:tcPr>
          <w:p w14:paraId="33FFE6A3" w14:textId="77777777" w:rsidR="00597996" w:rsidRPr="009E3FA3" w:rsidRDefault="00597996" w:rsidP="009A23AA">
            <w:pPr>
              <w:spacing w:before="60" w:after="60"/>
            </w:pPr>
            <w:r w:rsidRPr="009E3FA3">
              <w:t>Application</w:t>
            </w:r>
          </w:p>
        </w:tc>
        <w:tc>
          <w:tcPr>
            <w:tcW w:w="1418" w:type="dxa"/>
            <w:shd w:val="clear" w:color="auto" w:fill="B6DDE8" w:themeFill="accent5" w:themeFillTint="66"/>
            <w:vAlign w:val="center"/>
          </w:tcPr>
          <w:p w14:paraId="7B3FC0BF" w14:textId="77777777" w:rsidR="00597996" w:rsidRPr="009E3FA3" w:rsidRDefault="00597996" w:rsidP="009A23AA">
            <w:pPr>
              <w:spacing w:before="60" w:after="60"/>
            </w:pPr>
            <w:r w:rsidRPr="009E3FA3">
              <w:t>Category code</w:t>
            </w:r>
          </w:p>
        </w:tc>
        <w:tc>
          <w:tcPr>
            <w:tcW w:w="2194" w:type="dxa"/>
            <w:shd w:val="clear" w:color="auto" w:fill="B6DDE8" w:themeFill="accent5" w:themeFillTint="66"/>
            <w:vAlign w:val="center"/>
          </w:tcPr>
          <w:p w14:paraId="57D24ECE" w14:textId="77777777" w:rsidR="00597996" w:rsidRPr="009E3FA3" w:rsidRDefault="00597996" w:rsidP="009A23AA">
            <w:pPr>
              <w:spacing w:before="60" w:after="60"/>
            </w:pPr>
            <w:r w:rsidRPr="009E3FA3">
              <w:t>Product category</w:t>
            </w:r>
          </w:p>
        </w:tc>
        <w:tc>
          <w:tcPr>
            <w:tcW w:w="1769" w:type="dxa"/>
            <w:shd w:val="clear" w:color="auto" w:fill="B6DDE8" w:themeFill="accent5" w:themeFillTint="66"/>
            <w:vAlign w:val="center"/>
          </w:tcPr>
          <w:p w14:paraId="3A261292" w14:textId="77777777" w:rsidR="00597996" w:rsidRPr="009E3FA3" w:rsidRDefault="00597996" w:rsidP="00FD314C">
            <w:pPr>
              <w:spacing w:before="60" w:after="60"/>
              <w:jc w:val="center"/>
            </w:pPr>
            <w:r>
              <w:t>Stock 2018</w:t>
            </w:r>
          </w:p>
        </w:tc>
      </w:tr>
      <w:tr w:rsidR="00597996" w:rsidRPr="009E3FA3" w14:paraId="1C5FA4B7" w14:textId="77777777" w:rsidTr="00597996">
        <w:trPr>
          <w:cantSplit/>
          <w:trHeight w:val="624"/>
        </w:trPr>
        <w:tc>
          <w:tcPr>
            <w:tcW w:w="709" w:type="dxa"/>
            <w:vAlign w:val="center"/>
          </w:tcPr>
          <w:p w14:paraId="50EC4E05" w14:textId="77777777" w:rsidR="00597996" w:rsidRPr="009E3FA3" w:rsidRDefault="00597996" w:rsidP="00FD314C">
            <w:pPr>
              <w:spacing w:before="60" w:after="60"/>
              <w:jc w:val="center"/>
            </w:pPr>
            <w:r w:rsidRPr="009E3FA3">
              <w:t>1</w:t>
            </w:r>
          </w:p>
        </w:tc>
        <w:tc>
          <w:tcPr>
            <w:tcW w:w="1134" w:type="dxa"/>
            <w:vMerge w:val="restart"/>
            <w:textDirection w:val="btLr"/>
            <w:vAlign w:val="center"/>
          </w:tcPr>
          <w:p w14:paraId="1479F787" w14:textId="77777777" w:rsidR="00597996" w:rsidRPr="009E3FA3" w:rsidRDefault="00597996" w:rsidP="00C05376">
            <w:pPr>
              <w:spacing w:before="60" w:after="60"/>
              <w:jc w:val="center"/>
            </w:pPr>
            <w:r w:rsidRPr="009E3FA3">
              <w:t>AC1: Small AC: Self-contained</w:t>
            </w:r>
          </w:p>
        </w:tc>
        <w:tc>
          <w:tcPr>
            <w:tcW w:w="2268" w:type="dxa"/>
            <w:vAlign w:val="center"/>
          </w:tcPr>
          <w:p w14:paraId="2619A420" w14:textId="77777777" w:rsidR="00597996" w:rsidRPr="009E3FA3" w:rsidRDefault="00597996" w:rsidP="00F31D4E">
            <w:pPr>
              <w:spacing w:before="60" w:after="60"/>
              <w:jc w:val="left"/>
            </w:pPr>
            <w:r w:rsidRPr="009E3FA3">
              <w:t>Window/wall</w:t>
            </w:r>
          </w:p>
        </w:tc>
        <w:tc>
          <w:tcPr>
            <w:tcW w:w="1418" w:type="dxa"/>
            <w:vAlign w:val="center"/>
          </w:tcPr>
          <w:p w14:paraId="40BA2E4D" w14:textId="77777777" w:rsidR="00597996" w:rsidRPr="009E3FA3" w:rsidRDefault="00597996" w:rsidP="009A23AA">
            <w:pPr>
              <w:spacing w:before="60" w:after="60"/>
            </w:pPr>
            <w:r w:rsidRPr="009E3FA3">
              <w:t>AC1-1</w:t>
            </w:r>
          </w:p>
        </w:tc>
        <w:tc>
          <w:tcPr>
            <w:tcW w:w="2194" w:type="dxa"/>
            <w:vAlign w:val="center"/>
          </w:tcPr>
          <w:p w14:paraId="418F0F2C" w14:textId="77777777" w:rsidR="00597996" w:rsidRPr="009E3FA3" w:rsidRDefault="00597996" w:rsidP="009A23AA">
            <w:pPr>
              <w:spacing w:before="60" w:after="60"/>
            </w:pPr>
            <w:r w:rsidRPr="009E3FA3">
              <w:t xml:space="preserve">Non-Ducted: Unitary 0-10 </w:t>
            </w:r>
            <w:proofErr w:type="spellStart"/>
            <w:r w:rsidRPr="009E3FA3">
              <w:t>kWr</w:t>
            </w:r>
            <w:proofErr w:type="spellEnd"/>
            <w:r w:rsidRPr="009E3FA3">
              <w:t xml:space="preserve"> </w:t>
            </w:r>
          </w:p>
        </w:tc>
        <w:tc>
          <w:tcPr>
            <w:tcW w:w="1769" w:type="dxa"/>
            <w:vAlign w:val="center"/>
          </w:tcPr>
          <w:p w14:paraId="2845E49A" w14:textId="77777777" w:rsidR="00597996" w:rsidRPr="009E3FA3" w:rsidRDefault="00597996" w:rsidP="00F31D4E">
            <w:pPr>
              <w:spacing w:before="60" w:after="60"/>
              <w:jc w:val="center"/>
            </w:pPr>
            <w:r w:rsidRPr="009E3FA3">
              <w:t>1,</w:t>
            </w:r>
            <w:r>
              <w:t>336</w:t>
            </w:r>
            <w:r w:rsidRPr="009E3FA3">
              <w:t xml:space="preserve"> ,000</w:t>
            </w:r>
          </w:p>
        </w:tc>
      </w:tr>
      <w:tr w:rsidR="00597996" w:rsidRPr="009E3FA3" w14:paraId="0C5603CF" w14:textId="77777777" w:rsidTr="00597996">
        <w:trPr>
          <w:cantSplit/>
          <w:trHeight w:val="624"/>
        </w:trPr>
        <w:tc>
          <w:tcPr>
            <w:tcW w:w="709" w:type="dxa"/>
            <w:vAlign w:val="center"/>
          </w:tcPr>
          <w:p w14:paraId="1C3EBFDF" w14:textId="77777777" w:rsidR="00597996" w:rsidRPr="009E3FA3" w:rsidRDefault="00597996" w:rsidP="00FD314C">
            <w:pPr>
              <w:spacing w:before="60" w:after="60"/>
              <w:jc w:val="center"/>
            </w:pPr>
            <w:r w:rsidRPr="009E3FA3">
              <w:t>2</w:t>
            </w:r>
          </w:p>
        </w:tc>
        <w:tc>
          <w:tcPr>
            <w:tcW w:w="1134" w:type="dxa"/>
            <w:vMerge/>
            <w:vAlign w:val="center"/>
          </w:tcPr>
          <w:p w14:paraId="2E539B1D" w14:textId="77777777" w:rsidR="00597996" w:rsidRPr="009E3FA3" w:rsidRDefault="00597996" w:rsidP="009A23AA">
            <w:pPr>
              <w:spacing w:before="60" w:after="60"/>
            </w:pPr>
          </w:p>
        </w:tc>
        <w:tc>
          <w:tcPr>
            <w:tcW w:w="2268" w:type="dxa"/>
            <w:vAlign w:val="center"/>
          </w:tcPr>
          <w:p w14:paraId="58727DDA" w14:textId="77777777" w:rsidR="00597996" w:rsidRPr="009E3FA3" w:rsidRDefault="00597996" w:rsidP="00F31D4E">
            <w:pPr>
              <w:spacing w:before="60" w:after="60"/>
              <w:jc w:val="left"/>
            </w:pPr>
            <w:r w:rsidRPr="009E3FA3">
              <w:t>Portable AC</w:t>
            </w:r>
          </w:p>
        </w:tc>
        <w:tc>
          <w:tcPr>
            <w:tcW w:w="1418" w:type="dxa"/>
            <w:vAlign w:val="center"/>
          </w:tcPr>
          <w:p w14:paraId="3B52F7A0" w14:textId="77777777" w:rsidR="00597996" w:rsidRPr="009E3FA3" w:rsidRDefault="00597996" w:rsidP="009A23AA">
            <w:pPr>
              <w:spacing w:before="60" w:after="60"/>
            </w:pPr>
            <w:r w:rsidRPr="009E3FA3">
              <w:t>AC1-2</w:t>
            </w:r>
          </w:p>
        </w:tc>
        <w:tc>
          <w:tcPr>
            <w:tcW w:w="2194" w:type="dxa"/>
            <w:vAlign w:val="center"/>
          </w:tcPr>
          <w:p w14:paraId="78F29062" w14:textId="77777777" w:rsidR="00597996" w:rsidRPr="009E3FA3" w:rsidRDefault="00597996" w:rsidP="009A23AA">
            <w:pPr>
              <w:spacing w:before="60" w:after="60"/>
            </w:pPr>
            <w:r w:rsidRPr="009E3FA3">
              <w:t xml:space="preserve">Portable AC: 0-10 </w:t>
            </w:r>
            <w:proofErr w:type="spellStart"/>
            <w:r w:rsidRPr="009E3FA3">
              <w:t>kWr</w:t>
            </w:r>
            <w:proofErr w:type="spellEnd"/>
          </w:p>
        </w:tc>
        <w:tc>
          <w:tcPr>
            <w:tcW w:w="1769" w:type="dxa"/>
            <w:vAlign w:val="center"/>
          </w:tcPr>
          <w:p w14:paraId="0C9A08F3" w14:textId="77777777" w:rsidR="00597996" w:rsidRPr="009E3FA3" w:rsidRDefault="00597996" w:rsidP="00F31D4E">
            <w:pPr>
              <w:spacing w:before="60" w:after="60"/>
              <w:jc w:val="center"/>
            </w:pPr>
            <w:r w:rsidRPr="009E3FA3">
              <w:t>8</w:t>
            </w:r>
            <w:r>
              <w:t>74</w:t>
            </w:r>
            <w:r w:rsidRPr="009E3FA3">
              <w:t>,000</w:t>
            </w:r>
          </w:p>
        </w:tc>
      </w:tr>
      <w:tr w:rsidR="00597996" w:rsidRPr="009E3FA3" w14:paraId="12ADA53E" w14:textId="77777777" w:rsidTr="00597996">
        <w:trPr>
          <w:cantSplit/>
          <w:trHeight w:val="624"/>
        </w:trPr>
        <w:tc>
          <w:tcPr>
            <w:tcW w:w="709" w:type="dxa"/>
            <w:vAlign w:val="center"/>
          </w:tcPr>
          <w:p w14:paraId="5ADCD225" w14:textId="77777777" w:rsidR="00597996" w:rsidRPr="009E3FA3" w:rsidRDefault="00597996" w:rsidP="00FD314C">
            <w:pPr>
              <w:spacing w:before="60" w:after="60"/>
              <w:jc w:val="center"/>
            </w:pPr>
            <w:r w:rsidRPr="009E3FA3">
              <w:t>3</w:t>
            </w:r>
          </w:p>
        </w:tc>
        <w:tc>
          <w:tcPr>
            <w:tcW w:w="1134" w:type="dxa"/>
            <w:vMerge w:val="restart"/>
            <w:textDirection w:val="btLr"/>
            <w:vAlign w:val="center"/>
          </w:tcPr>
          <w:p w14:paraId="6476CD40" w14:textId="77777777" w:rsidR="00597996" w:rsidRPr="009E3FA3" w:rsidRDefault="00597996" w:rsidP="00C05376">
            <w:pPr>
              <w:spacing w:before="60" w:after="60"/>
              <w:jc w:val="center"/>
            </w:pPr>
            <w:r w:rsidRPr="009E3FA3">
              <w:t>AC2: Small AC: Split</w:t>
            </w:r>
          </w:p>
        </w:tc>
        <w:tc>
          <w:tcPr>
            <w:tcW w:w="2268" w:type="dxa"/>
            <w:vAlign w:val="center"/>
          </w:tcPr>
          <w:p w14:paraId="3CACFB19" w14:textId="77777777" w:rsidR="00597996" w:rsidRPr="009E3FA3" w:rsidRDefault="00597996" w:rsidP="00F31D4E">
            <w:pPr>
              <w:spacing w:before="60" w:after="60"/>
              <w:jc w:val="left"/>
            </w:pPr>
            <w:r w:rsidRPr="009E3FA3">
              <w:t>Single split: non-ducted</w:t>
            </w:r>
          </w:p>
        </w:tc>
        <w:tc>
          <w:tcPr>
            <w:tcW w:w="1418" w:type="dxa"/>
            <w:vAlign w:val="center"/>
          </w:tcPr>
          <w:p w14:paraId="5329C8AB" w14:textId="77777777" w:rsidR="00597996" w:rsidRPr="009E3FA3" w:rsidRDefault="00597996" w:rsidP="009A23AA">
            <w:pPr>
              <w:spacing w:before="60" w:after="60"/>
            </w:pPr>
            <w:r w:rsidRPr="009E3FA3">
              <w:t>AC2-1</w:t>
            </w:r>
          </w:p>
        </w:tc>
        <w:tc>
          <w:tcPr>
            <w:tcW w:w="2194" w:type="dxa"/>
            <w:vAlign w:val="center"/>
          </w:tcPr>
          <w:p w14:paraId="0504391E" w14:textId="77777777" w:rsidR="00597996" w:rsidRPr="009E3FA3" w:rsidRDefault="00597996" w:rsidP="009A23AA">
            <w:pPr>
              <w:spacing w:before="60" w:after="60"/>
            </w:pPr>
            <w:r w:rsidRPr="009E3FA3">
              <w:t>Single split system: Non-ducted: 1-phase</w:t>
            </w:r>
          </w:p>
        </w:tc>
        <w:tc>
          <w:tcPr>
            <w:tcW w:w="1769" w:type="dxa"/>
            <w:vMerge w:val="restart"/>
            <w:vAlign w:val="center"/>
          </w:tcPr>
          <w:p w14:paraId="0E0FE415" w14:textId="77777777" w:rsidR="00597996" w:rsidRPr="009E3FA3" w:rsidRDefault="00597996" w:rsidP="00F31D4E">
            <w:pPr>
              <w:spacing w:before="60" w:after="60"/>
              <w:jc w:val="center"/>
            </w:pPr>
            <w:r w:rsidRPr="00D5366E">
              <w:t>10,248,</w:t>
            </w:r>
            <w:r>
              <w:t>000</w:t>
            </w:r>
          </w:p>
        </w:tc>
      </w:tr>
      <w:tr w:rsidR="00597996" w:rsidRPr="009E3FA3" w14:paraId="6E399C79" w14:textId="77777777" w:rsidTr="00597996">
        <w:trPr>
          <w:cantSplit/>
          <w:trHeight w:val="624"/>
        </w:trPr>
        <w:tc>
          <w:tcPr>
            <w:tcW w:w="709" w:type="dxa"/>
            <w:vAlign w:val="center"/>
          </w:tcPr>
          <w:p w14:paraId="2AA8E410" w14:textId="77777777" w:rsidR="00597996" w:rsidRPr="009E3FA3" w:rsidRDefault="00597996" w:rsidP="00FD314C">
            <w:pPr>
              <w:spacing w:before="60" w:after="60"/>
              <w:jc w:val="center"/>
            </w:pPr>
            <w:r w:rsidRPr="009E3FA3">
              <w:t>4</w:t>
            </w:r>
          </w:p>
        </w:tc>
        <w:tc>
          <w:tcPr>
            <w:tcW w:w="1134" w:type="dxa"/>
            <w:vMerge/>
            <w:vAlign w:val="center"/>
          </w:tcPr>
          <w:p w14:paraId="2C41F78E" w14:textId="77777777" w:rsidR="00597996" w:rsidRPr="009E3FA3" w:rsidRDefault="00597996" w:rsidP="009A23AA">
            <w:pPr>
              <w:spacing w:before="60" w:after="60"/>
            </w:pPr>
          </w:p>
        </w:tc>
        <w:tc>
          <w:tcPr>
            <w:tcW w:w="2268" w:type="dxa"/>
            <w:vAlign w:val="center"/>
          </w:tcPr>
          <w:p w14:paraId="79C2CFD5" w14:textId="77777777" w:rsidR="00597996" w:rsidRPr="009E3FA3" w:rsidRDefault="00597996" w:rsidP="00F31D4E">
            <w:pPr>
              <w:spacing w:before="60" w:after="60"/>
              <w:jc w:val="left"/>
            </w:pPr>
            <w:r w:rsidRPr="009E3FA3">
              <w:t>Single split: non-ducted</w:t>
            </w:r>
          </w:p>
        </w:tc>
        <w:tc>
          <w:tcPr>
            <w:tcW w:w="1418" w:type="dxa"/>
            <w:vAlign w:val="center"/>
          </w:tcPr>
          <w:p w14:paraId="41AC28FF" w14:textId="77777777" w:rsidR="00597996" w:rsidRPr="009E3FA3" w:rsidRDefault="00597996" w:rsidP="009A23AA">
            <w:pPr>
              <w:spacing w:before="60" w:after="60"/>
            </w:pPr>
            <w:r w:rsidRPr="009E3FA3">
              <w:t>AC2-2</w:t>
            </w:r>
          </w:p>
        </w:tc>
        <w:tc>
          <w:tcPr>
            <w:tcW w:w="2194" w:type="dxa"/>
            <w:vAlign w:val="center"/>
          </w:tcPr>
          <w:p w14:paraId="04AD99FA" w14:textId="77777777" w:rsidR="00597996" w:rsidRPr="009E3FA3" w:rsidRDefault="00597996" w:rsidP="009A23AA">
            <w:pPr>
              <w:spacing w:before="60" w:after="60"/>
            </w:pPr>
            <w:r w:rsidRPr="009E3FA3">
              <w:t>Single split system: Non-ducted: 3-phase</w:t>
            </w:r>
          </w:p>
        </w:tc>
        <w:tc>
          <w:tcPr>
            <w:tcW w:w="1769" w:type="dxa"/>
            <w:vMerge/>
            <w:vAlign w:val="center"/>
          </w:tcPr>
          <w:p w14:paraId="12F8CF69" w14:textId="77777777" w:rsidR="00597996" w:rsidRPr="009E3FA3" w:rsidRDefault="00597996" w:rsidP="00F31D4E">
            <w:pPr>
              <w:spacing w:before="60" w:after="60"/>
              <w:jc w:val="center"/>
            </w:pPr>
          </w:p>
        </w:tc>
      </w:tr>
      <w:tr w:rsidR="00597996" w:rsidRPr="009E3FA3" w14:paraId="579A9BA5" w14:textId="77777777" w:rsidTr="00597996">
        <w:trPr>
          <w:cantSplit/>
          <w:trHeight w:val="624"/>
        </w:trPr>
        <w:tc>
          <w:tcPr>
            <w:tcW w:w="709" w:type="dxa"/>
            <w:vAlign w:val="center"/>
          </w:tcPr>
          <w:p w14:paraId="3334CA0A" w14:textId="77777777" w:rsidR="00597996" w:rsidRPr="009E3FA3" w:rsidRDefault="00597996" w:rsidP="00FD314C">
            <w:pPr>
              <w:spacing w:before="60" w:after="60"/>
              <w:jc w:val="center"/>
            </w:pPr>
            <w:r w:rsidRPr="009E3FA3">
              <w:t>5</w:t>
            </w:r>
          </w:p>
        </w:tc>
        <w:tc>
          <w:tcPr>
            <w:tcW w:w="1134" w:type="dxa"/>
            <w:vMerge w:val="restart"/>
            <w:textDirection w:val="btLr"/>
            <w:vAlign w:val="center"/>
          </w:tcPr>
          <w:p w14:paraId="0B37B3AF" w14:textId="77777777" w:rsidR="00597996" w:rsidRPr="009E3FA3" w:rsidRDefault="00597996" w:rsidP="00C05376">
            <w:pPr>
              <w:spacing w:before="60" w:after="60"/>
              <w:jc w:val="center"/>
            </w:pPr>
            <w:r w:rsidRPr="009E3FA3">
              <w:t>AC3: Medium AC: Ducted           &amp; light commercial</w:t>
            </w:r>
          </w:p>
        </w:tc>
        <w:tc>
          <w:tcPr>
            <w:tcW w:w="2268" w:type="dxa"/>
            <w:vAlign w:val="center"/>
          </w:tcPr>
          <w:p w14:paraId="72F4F013" w14:textId="77777777" w:rsidR="00597996" w:rsidRPr="009E3FA3" w:rsidRDefault="00597996" w:rsidP="00F31D4E">
            <w:pPr>
              <w:spacing w:before="60" w:after="60"/>
              <w:jc w:val="left"/>
            </w:pPr>
            <w:r w:rsidRPr="009E3FA3">
              <w:t>Domestic &amp; light commercial</w:t>
            </w:r>
          </w:p>
        </w:tc>
        <w:tc>
          <w:tcPr>
            <w:tcW w:w="1418" w:type="dxa"/>
            <w:vAlign w:val="center"/>
          </w:tcPr>
          <w:p w14:paraId="39AB0F40" w14:textId="77777777" w:rsidR="00597996" w:rsidRPr="009E3FA3" w:rsidRDefault="00597996" w:rsidP="009A23AA">
            <w:pPr>
              <w:spacing w:before="60" w:after="60"/>
            </w:pPr>
            <w:r w:rsidRPr="009E3FA3">
              <w:t>AC3-1</w:t>
            </w:r>
          </w:p>
        </w:tc>
        <w:tc>
          <w:tcPr>
            <w:tcW w:w="2194" w:type="dxa"/>
            <w:vAlign w:val="center"/>
          </w:tcPr>
          <w:p w14:paraId="7274D7F3" w14:textId="77777777" w:rsidR="00597996" w:rsidRPr="009E3FA3" w:rsidRDefault="00597996" w:rsidP="009A23AA">
            <w:pPr>
              <w:spacing w:before="60" w:after="60"/>
            </w:pPr>
            <w:r w:rsidRPr="009E3FA3">
              <w:t>Single split system: Ducted: 1-phase</w:t>
            </w:r>
          </w:p>
        </w:tc>
        <w:tc>
          <w:tcPr>
            <w:tcW w:w="1769" w:type="dxa"/>
            <w:vMerge w:val="restart"/>
            <w:vAlign w:val="center"/>
          </w:tcPr>
          <w:p w14:paraId="078D6CFB" w14:textId="04F0A073" w:rsidR="00597996" w:rsidRPr="009E3FA3" w:rsidRDefault="00EA65D9" w:rsidP="00F31D4E">
            <w:pPr>
              <w:spacing w:before="60" w:after="60"/>
              <w:jc w:val="center"/>
            </w:pPr>
            <w:r>
              <w:t>2,125,000</w:t>
            </w:r>
          </w:p>
        </w:tc>
      </w:tr>
      <w:tr w:rsidR="00597996" w:rsidRPr="009E3FA3" w14:paraId="44C4F6E4" w14:textId="77777777" w:rsidTr="00597996">
        <w:trPr>
          <w:cantSplit/>
          <w:trHeight w:val="624"/>
        </w:trPr>
        <w:tc>
          <w:tcPr>
            <w:tcW w:w="709" w:type="dxa"/>
            <w:vAlign w:val="center"/>
          </w:tcPr>
          <w:p w14:paraId="6151E733" w14:textId="77777777" w:rsidR="00597996" w:rsidRPr="009E3FA3" w:rsidRDefault="00597996" w:rsidP="00FD314C">
            <w:pPr>
              <w:spacing w:before="60" w:after="60"/>
              <w:jc w:val="center"/>
            </w:pPr>
            <w:r w:rsidRPr="009E3FA3">
              <w:t>6</w:t>
            </w:r>
          </w:p>
        </w:tc>
        <w:tc>
          <w:tcPr>
            <w:tcW w:w="1134" w:type="dxa"/>
            <w:vMerge/>
            <w:vAlign w:val="center"/>
          </w:tcPr>
          <w:p w14:paraId="1E1F7CB3" w14:textId="77777777" w:rsidR="00597996" w:rsidRPr="009E3FA3" w:rsidRDefault="00597996" w:rsidP="009A23AA"/>
        </w:tc>
        <w:tc>
          <w:tcPr>
            <w:tcW w:w="2268" w:type="dxa"/>
            <w:vAlign w:val="center"/>
          </w:tcPr>
          <w:p w14:paraId="38FFAB74" w14:textId="77777777" w:rsidR="00597996" w:rsidRPr="009E3FA3" w:rsidRDefault="00597996" w:rsidP="00F31D4E">
            <w:pPr>
              <w:spacing w:before="60" w:after="60"/>
              <w:jc w:val="left"/>
            </w:pPr>
            <w:r w:rsidRPr="009E3FA3">
              <w:t>Domestic &amp; light commercial</w:t>
            </w:r>
          </w:p>
        </w:tc>
        <w:tc>
          <w:tcPr>
            <w:tcW w:w="1418" w:type="dxa"/>
            <w:vAlign w:val="center"/>
          </w:tcPr>
          <w:p w14:paraId="43616578" w14:textId="77777777" w:rsidR="00597996" w:rsidRPr="009E3FA3" w:rsidRDefault="00597996" w:rsidP="009A23AA">
            <w:pPr>
              <w:spacing w:before="60" w:after="60"/>
            </w:pPr>
            <w:r w:rsidRPr="009E3FA3">
              <w:t>AC3-2</w:t>
            </w:r>
          </w:p>
        </w:tc>
        <w:tc>
          <w:tcPr>
            <w:tcW w:w="2194" w:type="dxa"/>
            <w:vAlign w:val="center"/>
          </w:tcPr>
          <w:p w14:paraId="0A7E8EC1" w14:textId="77777777" w:rsidR="00597996" w:rsidRPr="009E3FA3" w:rsidRDefault="00597996" w:rsidP="009A23AA">
            <w:pPr>
              <w:spacing w:before="60" w:after="60"/>
            </w:pPr>
            <w:r w:rsidRPr="009E3FA3">
              <w:t>Single split system: Ducted: 3-phase</w:t>
            </w:r>
          </w:p>
        </w:tc>
        <w:tc>
          <w:tcPr>
            <w:tcW w:w="1769" w:type="dxa"/>
            <w:vMerge/>
            <w:vAlign w:val="center"/>
          </w:tcPr>
          <w:p w14:paraId="343733A4" w14:textId="77777777" w:rsidR="00597996" w:rsidRPr="009E3FA3" w:rsidRDefault="00597996" w:rsidP="00F31D4E">
            <w:pPr>
              <w:spacing w:before="60" w:after="60"/>
              <w:jc w:val="center"/>
            </w:pPr>
          </w:p>
        </w:tc>
      </w:tr>
      <w:tr w:rsidR="00597996" w:rsidRPr="009E3FA3" w14:paraId="4B0A89A5" w14:textId="77777777" w:rsidTr="00597996">
        <w:trPr>
          <w:cantSplit/>
          <w:trHeight w:val="624"/>
        </w:trPr>
        <w:tc>
          <w:tcPr>
            <w:tcW w:w="709" w:type="dxa"/>
            <w:vAlign w:val="center"/>
          </w:tcPr>
          <w:p w14:paraId="53405A46" w14:textId="77777777" w:rsidR="00597996" w:rsidRPr="009E3FA3" w:rsidRDefault="00597996" w:rsidP="00FD314C">
            <w:pPr>
              <w:spacing w:before="60" w:after="60"/>
              <w:jc w:val="center"/>
            </w:pPr>
            <w:r w:rsidRPr="009E3FA3">
              <w:t>7</w:t>
            </w:r>
          </w:p>
        </w:tc>
        <w:tc>
          <w:tcPr>
            <w:tcW w:w="1134" w:type="dxa"/>
            <w:vMerge/>
            <w:vAlign w:val="center"/>
          </w:tcPr>
          <w:p w14:paraId="66D41A46" w14:textId="77777777" w:rsidR="00597996" w:rsidRPr="009E3FA3" w:rsidRDefault="00597996" w:rsidP="009A23AA"/>
        </w:tc>
        <w:tc>
          <w:tcPr>
            <w:tcW w:w="2268" w:type="dxa"/>
            <w:vAlign w:val="center"/>
          </w:tcPr>
          <w:p w14:paraId="7200F061" w14:textId="77777777" w:rsidR="00597996" w:rsidRPr="009E3FA3" w:rsidRDefault="00597996" w:rsidP="00F31D4E">
            <w:pPr>
              <w:spacing w:before="60" w:after="60"/>
              <w:jc w:val="left"/>
            </w:pPr>
            <w:r w:rsidRPr="009E3FA3">
              <w:t>Light commercial</w:t>
            </w:r>
          </w:p>
        </w:tc>
        <w:tc>
          <w:tcPr>
            <w:tcW w:w="1418" w:type="dxa"/>
            <w:vAlign w:val="center"/>
          </w:tcPr>
          <w:p w14:paraId="2912AA3B" w14:textId="77777777" w:rsidR="00597996" w:rsidRPr="009E3FA3" w:rsidRDefault="00597996" w:rsidP="009A23AA">
            <w:pPr>
              <w:spacing w:before="60" w:after="60"/>
            </w:pPr>
            <w:r w:rsidRPr="009E3FA3">
              <w:t>AC3-3</w:t>
            </w:r>
          </w:p>
        </w:tc>
        <w:tc>
          <w:tcPr>
            <w:tcW w:w="2194" w:type="dxa"/>
            <w:vAlign w:val="center"/>
          </w:tcPr>
          <w:p w14:paraId="4C196FFA" w14:textId="77777777" w:rsidR="00597996" w:rsidRPr="009E3FA3" w:rsidRDefault="00597996" w:rsidP="009A23AA">
            <w:pPr>
              <w:spacing w:before="60" w:after="60"/>
            </w:pPr>
            <w:r w:rsidRPr="009E3FA3">
              <w:t>RT Packaged systems</w:t>
            </w:r>
          </w:p>
        </w:tc>
        <w:tc>
          <w:tcPr>
            <w:tcW w:w="1769" w:type="dxa"/>
            <w:vAlign w:val="center"/>
          </w:tcPr>
          <w:p w14:paraId="06E99BCC" w14:textId="4D50045B" w:rsidR="00597996" w:rsidRPr="009E3FA3" w:rsidRDefault="00597996" w:rsidP="00F31D4E">
            <w:pPr>
              <w:spacing w:before="60" w:after="60"/>
              <w:jc w:val="center"/>
            </w:pPr>
            <w:r w:rsidRPr="00EA65D9">
              <w:t>12</w:t>
            </w:r>
            <w:r w:rsidR="00EA65D9" w:rsidRPr="00EA65D9">
              <w:t>8</w:t>
            </w:r>
            <w:r w:rsidRPr="00EA65D9">
              <w:t>,000</w:t>
            </w:r>
          </w:p>
        </w:tc>
      </w:tr>
      <w:tr w:rsidR="00597996" w:rsidRPr="009E3FA3" w14:paraId="51A53082" w14:textId="77777777" w:rsidTr="00597996">
        <w:trPr>
          <w:cantSplit/>
          <w:trHeight w:val="624"/>
        </w:trPr>
        <w:tc>
          <w:tcPr>
            <w:tcW w:w="709" w:type="dxa"/>
            <w:vAlign w:val="center"/>
          </w:tcPr>
          <w:p w14:paraId="6E4F630B" w14:textId="77777777" w:rsidR="00597996" w:rsidRPr="009E3FA3" w:rsidRDefault="00597996" w:rsidP="00FD314C">
            <w:pPr>
              <w:spacing w:before="60" w:after="60"/>
              <w:jc w:val="center"/>
            </w:pPr>
            <w:r w:rsidRPr="009E3FA3">
              <w:t>8</w:t>
            </w:r>
          </w:p>
        </w:tc>
        <w:tc>
          <w:tcPr>
            <w:tcW w:w="1134" w:type="dxa"/>
            <w:vMerge/>
            <w:vAlign w:val="center"/>
          </w:tcPr>
          <w:p w14:paraId="7697909C" w14:textId="77777777" w:rsidR="00597996" w:rsidRPr="009E3FA3" w:rsidRDefault="00597996" w:rsidP="009A23AA"/>
        </w:tc>
        <w:tc>
          <w:tcPr>
            <w:tcW w:w="2268" w:type="dxa"/>
            <w:vAlign w:val="center"/>
          </w:tcPr>
          <w:p w14:paraId="2F939501" w14:textId="77777777" w:rsidR="00597996" w:rsidRPr="009E3FA3" w:rsidRDefault="00597996" w:rsidP="00F31D4E">
            <w:pPr>
              <w:spacing w:before="60" w:after="60"/>
              <w:jc w:val="left"/>
            </w:pPr>
            <w:r w:rsidRPr="009E3FA3">
              <w:t>Domestic &amp; light commercial</w:t>
            </w:r>
          </w:p>
        </w:tc>
        <w:tc>
          <w:tcPr>
            <w:tcW w:w="1418" w:type="dxa"/>
            <w:vAlign w:val="center"/>
          </w:tcPr>
          <w:p w14:paraId="4BC8033B" w14:textId="77777777" w:rsidR="00597996" w:rsidRPr="009E3FA3" w:rsidRDefault="00597996" w:rsidP="009A23AA">
            <w:pPr>
              <w:spacing w:before="60" w:after="60"/>
            </w:pPr>
            <w:r w:rsidRPr="009E3FA3">
              <w:t>AC3-4</w:t>
            </w:r>
          </w:p>
        </w:tc>
        <w:tc>
          <w:tcPr>
            <w:tcW w:w="2194" w:type="dxa"/>
            <w:vAlign w:val="center"/>
          </w:tcPr>
          <w:p w14:paraId="5330CD4B" w14:textId="77777777" w:rsidR="00597996" w:rsidRPr="009E3FA3" w:rsidRDefault="00597996" w:rsidP="009A23AA">
            <w:pPr>
              <w:spacing w:before="60" w:after="60"/>
            </w:pPr>
            <w:r w:rsidRPr="009E3FA3">
              <w:t>Multi split</w:t>
            </w:r>
          </w:p>
        </w:tc>
        <w:tc>
          <w:tcPr>
            <w:tcW w:w="1769" w:type="dxa"/>
            <w:vAlign w:val="center"/>
          </w:tcPr>
          <w:p w14:paraId="12408E71" w14:textId="2A0FA1AE" w:rsidR="00597996" w:rsidRPr="009E3FA3" w:rsidRDefault="00EA65D9" w:rsidP="00F31D4E">
            <w:pPr>
              <w:spacing w:before="60" w:after="60"/>
              <w:jc w:val="center"/>
            </w:pPr>
            <w:r w:rsidRPr="00EA65D9">
              <w:t>412</w:t>
            </w:r>
            <w:r w:rsidR="00597996" w:rsidRPr="00EA65D9">
              <w:t>,000</w:t>
            </w:r>
          </w:p>
        </w:tc>
      </w:tr>
      <w:tr w:rsidR="00597996" w:rsidRPr="009E3FA3" w14:paraId="0BE51295" w14:textId="77777777" w:rsidTr="00EA65D9">
        <w:trPr>
          <w:cantSplit/>
          <w:trHeight w:val="624"/>
        </w:trPr>
        <w:tc>
          <w:tcPr>
            <w:tcW w:w="709" w:type="dxa"/>
            <w:vAlign w:val="center"/>
          </w:tcPr>
          <w:p w14:paraId="4942D28D" w14:textId="77777777" w:rsidR="00597996" w:rsidRPr="009E3FA3" w:rsidRDefault="00597996" w:rsidP="00FD314C">
            <w:pPr>
              <w:spacing w:before="60" w:after="60"/>
              <w:jc w:val="center"/>
            </w:pPr>
            <w:r w:rsidRPr="009E3FA3">
              <w:t>9</w:t>
            </w:r>
          </w:p>
        </w:tc>
        <w:tc>
          <w:tcPr>
            <w:tcW w:w="1134" w:type="dxa"/>
            <w:vMerge/>
            <w:vAlign w:val="center"/>
          </w:tcPr>
          <w:p w14:paraId="23945792" w14:textId="77777777" w:rsidR="00597996" w:rsidRPr="009E3FA3" w:rsidRDefault="00597996" w:rsidP="009A23AA"/>
        </w:tc>
        <w:tc>
          <w:tcPr>
            <w:tcW w:w="2268" w:type="dxa"/>
            <w:vAlign w:val="center"/>
          </w:tcPr>
          <w:p w14:paraId="0CF0488B" w14:textId="77777777" w:rsidR="00597996" w:rsidRPr="009E3FA3" w:rsidRDefault="00597996" w:rsidP="00F31D4E">
            <w:pPr>
              <w:spacing w:before="60" w:after="60"/>
              <w:jc w:val="left"/>
            </w:pPr>
            <w:r w:rsidRPr="009E3FA3">
              <w:t>Light commercial</w:t>
            </w:r>
          </w:p>
        </w:tc>
        <w:tc>
          <w:tcPr>
            <w:tcW w:w="1418" w:type="dxa"/>
            <w:vAlign w:val="center"/>
          </w:tcPr>
          <w:p w14:paraId="791BC16D" w14:textId="77777777" w:rsidR="00597996" w:rsidRPr="009E3FA3" w:rsidRDefault="00597996" w:rsidP="009A23AA">
            <w:pPr>
              <w:spacing w:before="60" w:after="60"/>
            </w:pPr>
            <w:r w:rsidRPr="009E3FA3">
              <w:t>AC3-5</w:t>
            </w:r>
          </w:p>
        </w:tc>
        <w:tc>
          <w:tcPr>
            <w:tcW w:w="2194" w:type="dxa"/>
            <w:vAlign w:val="center"/>
          </w:tcPr>
          <w:p w14:paraId="38D876FF" w14:textId="77777777" w:rsidR="00597996" w:rsidRPr="009E3FA3" w:rsidRDefault="00597996" w:rsidP="00F31D4E">
            <w:pPr>
              <w:spacing w:before="60" w:after="60"/>
              <w:jc w:val="left"/>
            </w:pPr>
            <w:r w:rsidRPr="009E3FA3">
              <w:t>VRV/VRF split systems</w:t>
            </w:r>
          </w:p>
        </w:tc>
        <w:tc>
          <w:tcPr>
            <w:tcW w:w="1769" w:type="dxa"/>
            <w:shd w:val="clear" w:color="auto" w:fill="auto"/>
            <w:vAlign w:val="center"/>
          </w:tcPr>
          <w:p w14:paraId="6359ECFA" w14:textId="0FB7FE59" w:rsidR="00597996" w:rsidRPr="00EA65D9" w:rsidRDefault="00EA65D9" w:rsidP="00F31D4E">
            <w:pPr>
              <w:spacing w:before="60" w:after="60"/>
              <w:jc w:val="center"/>
            </w:pPr>
            <w:r w:rsidRPr="00EA65D9">
              <w:t>126</w:t>
            </w:r>
            <w:r w:rsidR="00597996" w:rsidRPr="00EA65D9">
              <w:t>,000</w:t>
            </w:r>
          </w:p>
        </w:tc>
      </w:tr>
      <w:tr w:rsidR="00597996" w:rsidRPr="009E3FA3" w14:paraId="11F8BB33" w14:textId="77777777" w:rsidTr="00EA65D9">
        <w:trPr>
          <w:cantSplit/>
          <w:trHeight w:val="624"/>
        </w:trPr>
        <w:tc>
          <w:tcPr>
            <w:tcW w:w="709" w:type="dxa"/>
            <w:vAlign w:val="center"/>
          </w:tcPr>
          <w:p w14:paraId="6E0696D9" w14:textId="77777777" w:rsidR="00597996" w:rsidRPr="009E3FA3" w:rsidRDefault="00597996" w:rsidP="00FD314C">
            <w:pPr>
              <w:spacing w:before="60" w:after="60"/>
              <w:jc w:val="center"/>
            </w:pPr>
            <w:r w:rsidRPr="009E3FA3">
              <w:t>10</w:t>
            </w:r>
          </w:p>
        </w:tc>
        <w:tc>
          <w:tcPr>
            <w:tcW w:w="1134" w:type="dxa"/>
            <w:vMerge w:val="restart"/>
            <w:textDirection w:val="btLr"/>
            <w:vAlign w:val="center"/>
          </w:tcPr>
          <w:p w14:paraId="0DD5EFEE" w14:textId="77777777" w:rsidR="00597996" w:rsidRPr="009E3FA3" w:rsidRDefault="00597996" w:rsidP="00C05376">
            <w:pPr>
              <w:jc w:val="center"/>
            </w:pPr>
            <w:r w:rsidRPr="009E3FA3">
              <w:t>AC3: Medium AC: Ducted  &amp; light commercial</w:t>
            </w:r>
          </w:p>
        </w:tc>
        <w:tc>
          <w:tcPr>
            <w:tcW w:w="2268" w:type="dxa"/>
            <w:vAlign w:val="center"/>
          </w:tcPr>
          <w:p w14:paraId="636242EB" w14:textId="77777777" w:rsidR="00597996" w:rsidRPr="009E3FA3" w:rsidRDefault="00597996" w:rsidP="00F31D4E">
            <w:pPr>
              <w:spacing w:before="60" w:after="60"/>
              <w:jc w:val="left"/>
            </w:pPr>
            <w:r w:rsidRPr="009E3FA3">
              <w:t>Light commercial</w:t>
            </w:r>
          </w:p>
        </w:tc>
        <w:tc>
          <w:tcPr>
            <w:tcW w:w="1418" w:type="dxa"/>
            <w:vAlign w:val="center"/>
          </w:tcPr>
          <w:p w14:paraId="4BAE19D2" w14:textId="77777777" w:rsidR="00597996" w:rsidRPr="009E3FA3" w:rsidRDefault="00597996" w:rsidP="009A23AA">
            <w:pPr>
              <w:spacing w:before="60" w:after="60"/>
            </w:pPr>
            <w:r w:rsidRPr="009E3FA3">
              <w:t>AC3-6</w:t>
            </w:r>
          </w:p>
        </w:tc>
        <w:tc>
          <w:tcPr>
            <w:tcW w:w="2194" w:type="dxa"/>
            <w:vAlign w:val="center"/>
          </w:tcPr>
          <w:p w14:paraId="71216F11" w14:textId="77777777" w:rsidR="00597996" w:rsidRPr="009E3FA3" w:rsidRDefault="00597996" w:rsidP="00F31D4E">
            <w:pPr>
              <w:spacing w:before="60" w:after="60"/>
              <w:jc w:val="left"/>
            </w:pPr>
            <w:r w:rsidRPr="009E3FA3">
              <w:t>Close control</w:t>
            </w:r>
          </w:p>
        </w:tc>
        <w:tc>
          <w:tcPr>
            <w:tcW w:w="1769" w:type="dxa"/>
            <w:shd w:val="clear" w:color="auto" w:fill="auto"/>
            <w:vAlign w:val="center"/>
          </w:tcPr>
          <w:p w14:paraId="2AAEE0F4" w14:textId="1D3F2A5F" w:rsidR="00597996" w:rsidRPr="00EA65D9" w:rsidRDefault="00597996" w:rsidP="00F31D4E">
            <w:pPr>
              <w:spacing w:before="60" w:after="60"/>
              <w:jc w:val="center"/>
            </w:pPr>
            <w:r w:rsidRPr="00EA65D9">
              <w:t>2</w:t>
            </w:r>
            <w:r w:rsidR="00EA65D9" w:rsidRPr="00EA65D9">
              <w:t>2</w:t>
            </w:r>
            <w:r w:rsidRPr="00EA65D9">
              <w:t>,</w:t>
            </w:r>
            <w:r w:rsidR="00EA65D9" w:rsidRPr="00EA65D9">
              <w:t>5</w:t>
            </w:r>
            <w:r w:rsidRPr="00EA65D9">
              <w:t>00</w:t>
            </w:r>
          </w:p>
        </w:tc>
      </w:tr>
      <w:tr w:rsidR="00597996" w:rsidRPr="009E3FA3" w14:paraId="39D6F22F" w14:textId="77777777" w:rsidTr="00EA65D9">
        <w:trPr>
          <w:cantSplit/>
          <w:trHeight w:val="624"/>
        </w:trPr>
        <w:tc>
          <w:tcPr>
            <w:tcW w:w="709" w:type="dxa"/>
            <w:vAlign w:val="center"/>
          </w:tcPr>
          <w:p w14:paraId="0E323CBE" w14:textId="77777777" w:rsidR="00597996" w:rsidRPr="009E3FA3" w:rsidRDefault="00597996" w:rsidP="00FD314C">
            <w:pPr>
              <w:spacing w:before="60" w:after="60"/>
              <w:jc w:val="center"/>
            </w:pPr>
            <w:r w:rsidRPr="009E3FA3">
              <w:t>11</w:t>
            </w:r>
          </w:p>
        </w:tc>
        <w:tc>
          <w:tcPr>
            <w:tcW w:w="1134" w:type="dxa"/>
            <w:vMerge/>
            <w:vAlign w:val="center"/>
          </w:tcPr>
          <w:p w14:paraId="3850F4C1" w14:textId="77777777" w:rsidR="00597996" w:rsidRPr="009E3FA3" w:rsidRDefault="00597996" w:rsidP="009A23AA"/>
        </w:tc>
        <w:tc>
          <w:tcPr>
            <w:tcW w:w="2268" w:type="dxa"/>
            <w:vAlign w:val="center"/>
          </w:tcPr>
          <w:p w14:paraId="14CA5EA4" w14:textId="77777777" w:rsidR="00597996" w:rsidRPr="009E3FA3" w:rsidRDefault="00597996" w:rsidP="00F31D4E">
            <w:pPr>
              <w:spacing w:before="60" w:after="60"/>
              <w:jc w:val="left"/>
            </w:pPr>
            <w:r w:rsidRPr="009E3FA3">
              <w:t>Light commercial</w:t>
            </w:r>
          </w:p>
        </w:tc>
        <w:tc>
          <w:tcPr>
            <w:tcW w:w="1418" w:type="dxa"/>
            <w:vAlign w:val="center"/>
          </w:tcPr>
          <w:p w14:paraId="329D7AD8" w14:textId="77777777" w:rsidR="00597996" w:rsidRPr="009E3FA3" w:rsidRDefault="00597996" w:rsidP="009A23AA">
            <w:pPr>
              <w:spacing w:before="60" w:after="60"/>
            </w:pPr>
            <w:r w:rsidRPr="009E3FA3">
              <w:t>AC3-7</w:t>
            </w:r>
          </w:p>
        </w:tc>
        <w:tc>
          <w:tcPr>
            <w:tcW w:w="2194" w:type="dxa"/>
            <w:vAlign w:val="center"/>
          </w:tcPr>
          <w:p w14:paraId="5E7E6BF6" w14:textId="77777777" w:rsidR="00597996" w:rsidRPr="009E3FA3" w:rsidRDefault="00597996" w:rsidP="00F31D4E">
            <w:pPr>
              <w:spacing w:before="60" w:after="60"/>
              <w:jc w:val="left"/>
            </w:pPr>
            <w:r w:rsidRPr="009E3FA3">
              <w:t>HW heat pump: commercial</w:t>
            </w:r>
          </w:p>
        </w:tc>
        <w:tc>
          <w:tcPr>
            <w:tcW w:w="1769" w:type="dxa"/>
            <w:shd w:val="clear" w:color="auto" w:fill="auto"/>
            <w:vAlign w:val="center"/>
          </w:tcPr>
          <w:p w14:paraId="33009EC0" w14:textId="4C8E947E" w:rsidR="00597996" w:rsidRPr="00EA65D9" w:rsidRDefault="00EA65D9" w:rsidP="00F31D4E">
            <w:pPr>
              <w:spacing w:before="60" w:after="60"/>
              <w:jc w:val="center"/>
            </w:pPr>
            <w:r w:rsidRPr="00EA65D9">
              <w:t>2,200</w:t>
            </w:r>
          </w:p>
        </w:tc>
      </w:tr>
      <w:tr w:rsidR="00597996" w:rsidRPr="009E3FA3" w14:paraId="7CF148B5" w14:textId="77777777" w:rsidTr="00EA65D9">
        <w:trPr>
          <w:cantSplit/>
          <w:trHeight w:val="624"/>
        </w:trPr>
        <w:tc>
          <w:tcPr>
            <w:tcW w:w="709" w:type="dxa"/>
            <w:vAlign w:val="center"/>
          </w:tcPr>
          <w:p w14:paraId="0615C507" w14:textId="77777777" w:rsidR="00597996" w:rsidRPr="009E3FA3" w:rsidRDefault="00597996" w:rsidP="00FD314C">
            <w:pPr>
              <w:spacing w:before="60" w:after="60"/>
              <w:jc w:val="center"/>
            </w:pPr>
            <w:r w:rsidRPr="009E3FA3">
              <w:t>12</w:t>
            </w:r>
          </w:p>
        </w:tc>
        <w:tc>
          <w:tcPr>
            <w:tcW w:w="1134" w:type="dxa"/>
            <w:vMerge/>
            <w:vAlign w:val="center"/>
          </w:tcPr>
          <w:p w14:paraId="0C3449C1" w14:textId="77777777" w:rsidR="00597996" w:rsidRPr="009E3FA3" w:rsidRDefault="00597996" w:rsidP="009A23AA"/>
        </w:tc>
        <w:tc>
          <w:tcPr>
            <w:tcW w:w="2268" w:type="dxa"/>
            <w:vAlign w:val="center"/>
          </w:tcPr>
          <w:p w14:paraId="4CFE2B08" w14:textId="77777777" w:rsidR="00597996" w:rsidRPr="009E3FA3" w:rsidRDefault="00597996" w:rsidP="00F31D4E">
            <w:pPr>
              <w:spacing w:before="60" w:after="60"/>
              <w:jc w:val="left"/>
            </w:pPr>
            <w:r w:rsidRPr="009E3FA3">
              <w:t>Domestic &amp; light commercial</w:t>
            </w:r>
          </w:p>
        </w:tc>
        <w:tc>
          <w:tcPr>
            <w:tcW w:w="1418" w:type="dxa"/>
            <w:vAlign w:val="center"/>
          </w:tcPr>
          <w:p w14:paraId="4DC5BB68" w14:textId="77777777" w:rsidR="00597996" w:rsidRPr="009E3FA3" w:rsidRDefault="00597996" w:rsidP="009A23AA">
            <w:pPr>
              <w:spacing w:before="60" w:after="60"/>
            </w:pPr>
            <w:r w:rsidRPr="009E3FA3">
              <w:t>AC3-8</w:t>
            </w:r>
          </w:p>
        </w:tc>
        <w:tc>
          <w:tcPr>
            <w:tcW w:w="2194" w:type="dxa"/>
            <w:vAlign w:val="center"/>
          </w:tcPr>
          <w:p w14:paraId="35B35508" w14:textId="77777777" w:rsidR="00597996" w:rsidRPr="009E3FA3" w:rsidRDefault="00597996" w:rsidP="00F31D4E">
            <w:pPr>
              <w:spacing w:before="60" w:after="60"/>
              <w:jc w:val="left"/>
            </w:pPr>
            <w:r w:rsidRPr="009E3FA3">
              <w:t>Pool heat pump</w:t>
            </w:r>
          </w:p>
        </w:tc>
        <w:tc>
          <w:tcPr>
            <w:tcW w:w="1769" w:type="dxa"/>
            <w:shd w:val="clear" w:color="auto" w:fill="auto"/>
            <w:vAlign w:val="center"/>
          </w:tcPr>
          <w:p w14:paraId="3BD1DBFD" w14:textId="12C2B496" w:rsidR="00597996" w:rsidRPr="00EA65D9" w:rsidRDefault="00EA65D9" w:rsidP="00F31D4E">
            <w:pPr>
              <w:spacing w:before="60" w:after="60"/>
              <w:jc w:val="center"/>
            </w:pPr>
            <w:r>
              <w:t>42</w:t>
            </w:r>
            <w:r w:rsidR="00597996" w:rsidRPr="00EA65D9">
              <w:t>,</w:t>
            </w:r>
            <w:r>
              <w:t>7</w:t>
            </w:r>
            <w:r w:rsidR="00597996" w:rsidRPr="00EA65D9">
              <w:t>00</w:t>
            </w:r>
          </w:p>
        </w:tc>
      </w:tr>
      <w:tr w:rsidR="00610969" w:rsidRPr="009E3FA3" w14:paraId="6810B375" w14:textId="77777777" w:rsidTr="00610969">
        <w:trPr>
          <w:cantSplit/>
          <w:trHeight w:val="624"/>
        </w:trPr>
        <w:tc>
          <w:tcPr>
            <w:tcW w:w="709" w:type="dxa"/>
            <w:vAlign w:val="center"/>
          </w:tcPr>
          <w:p w14:paraId="4F7F32C0" w14:textId="77777777" w:rsidR="00610969" w:rsidRPr="009E3FA3" w:rsidRDefault="00610969" w:rsidP="00610969">
            <w:pPr>
              <w:spacing w:before="60" w:after="60"/>
              <w:jc w:val="center"/>
            </w:pPr>
            <w:r w:rsidRPr="009E3FA3">
              <w:t>13</w:t>
            </w:r>
          </w:p>
        </w:tc>
        <w:tc>
          <w:tcPr>
            <w:tcW w:w="1134" w:type="dxa"/>
            <w:vMerge w:val="restart"/>
            <w:textDirection w:val="btLr"/>
            <w:vAlign w:val="center"/>
          </w:tcPr>
          <w:p w14:paraId="5DCAD846" w14:textId="77777777" w:rsidR="00610969" w:rsidRPr="009E3FA3" w:rsidRDefault="00610969" w:rsidP="00610969">
            <w:pPr>
              <w:spacing w:before="60" w:after="60"/>
              <w:jc w:val="center"/>
            </w:pPr>
            <w:r w:rsidRPr="009E3FA3">
              <w:t>AC4: Large AC: Chillers</w:t>
            </w:r>
          </w:p>
        </w:tc>
        <w:tc>
          <w:tcPr>
            <w:tcW w:w="2268" w:type="dxa"/>
            <w:vAlign w:val="center"/>
          </w:tcPr>
          <w:p w14:paraId="49D7DE2E" w14:textId="77777777" w:rsidR="00610969" w:rsidRPr="009E3FA3" w:rsidRDefault="00610969" w:rsidP="00610969">
            <w:pPr>
              <w:spacing w:before="60" w:after="60"/>
              <w:jc w:val="left"/>
            </w:pPr>
            <w:r w:rsidRPr="009E3FA3">
              <w:t>Chillers</w:t>
            </w:r>
          </w:p>
        </w:tc>
        <w:tc>
          <w:tcPr>
            <w:tcW w:w="1418" w:type="dxa"/>
            <w:vAlign w:val="center"/>
          </w:tcPr>
          <w:p w14:paraId="79736200" w14:textId="77777777" w:rsidR="00610969" w:rsidRPr="009E3FA3" w:rsidRDefault="00610969" w:rsidP="00610969">
            <w:pPr>
              <w:spacing w:before="60" w:after="60"/>
            </w:pPr>
            <w:r w:rsidRPr="009E3FA3">
              <w:t>AC4-1</w:t>
            </w:r>
          </w:p>
        </w:tc>
        <w:tc>
          <w:tcPr>
            <w:tcW w:w="2194" w:type="dxa"/>
            <w:vAlign w:val="center"/>
          </w:tcPr>
          <w:p w14:paraId="5A838B4A" w14:textId="77777777" w:rsidR="00610969" w:rsidRPr="009E3FA3" w:rsidRDefault="00610969" w:rsidP="00610969">
            <w:pPr>
              <w:spacing w:before="60" w:after="60"/>
              <w:jc w:val="left"/>
            </w:pPr>
            <w:r w:rsidRPr="009E3FA3">
              <w:t xml:space="preserve">&lt;350 </w:t>
            </w:r>
            <w:proofErr w:type="spellStart"/>
            <w:r w:rsidRPr="009E3FA3">
              <w:t>kWr</w:t>
            </w:r>
            <w:proofErr w:type="spellEnd"/>
          </w:p>
        </w:tc>
        <w:tc>
          <w:tcPr>
            <w:tcW w:w="1769" w:type="dxa"/>
            <w:shd w:val="clear" w:color="auto" w:fill="auto"/>
            <w:vAlign w:val="center"/>
          </w:tcPr>
          <w:p w14:paraId="0383884D" w14:textId="2CF32221" w:rsidR="00610969" w:rsidRPr="00EA65D9" w:rsidRDefault="00610969" w:rsidP="00610969">
            <w:pPr>
              <w:spacing w:before="60" w:after="60"/>
              <w:jc w:val="center"/>
            </w:pPr>
            <w:r w:rsidRPr="00507941">
              <w:t>8,550</w:t>
            </w:r>
          </w:p>
        </w:tc>
      </w:tr>
      <w:tr w:rsidR="00610969" w:rsidRPr="009E3FA3" w14:paraId="7F4F8D75" w14:textId="77777777" w:rsidTr="00610969">
        <w:trPr>
          <w:cantSplit/>
          <w:trHeight w:val="624"/>
        </w:trPr>
        <w:tc>
          <w:tcPr>
            <w:tcW w:w="709" w:type="dxa"/>
            <w:vAlign w:val="center"/>
          </w:tcPr>
          <w:p w14:paraId="63C18643" w14:textId="77777777" w:rsidR="00610969" w:rsidRPr="009E3FA3" w:rsidRDefault="00610969" w:rsidP="00610969">
            <w:pPr>
              <w:spacing w:before="60" w:after="60"/>
              <w:jc w:val="center"/>
            </w:pPr>
            <w:r w:rsidRPr="009E3FA3">
              <w:t>14</w:t>
            </w:r>
          </w:p>
        </w:tc>
        <w:tc>
          <w:tcPr>
            <w:tcW w:w="1134" w:type="dxa"/>
            <w:vMerge/>
            <w:vAlign w:val="center"/>
          </w:tcPr>
          <w:p w14:paraId="1248B4B9" w14:textId="77777777" w:rsidR="00610969" w:rsidRPr="009E3FA3" w:rsidRDefault="00610969" w:rsidP="00610969">
            <w:pPr>
              <w:spacing w:before="60" w:after="60"/>
            </w:pPr>
          </w:p>
        </w:tc>
        <w:tc>
          <w:tcPr>
            <w:tcW w:w="2268" w:type="dxa"/>
            <w:vAlign w:val="center"/>
          </w:tcPr>
          <w:p w14:paraId="0A49E4C4" w14:textId="77777777" w:rsidR="00610969" w:rsidRPr="009E3FA3" w:rsidRDefault="00610969" w:rsidP="00610969">
            <w:pPr>
              <w:spacing w:before="60" w:after="60"/>
              <w:jc w:val="left"/>
            </w:pPr>
            <w:r w:rsidRPr="009E3FA3">
              <w:t>Chillers</w:t>
            </w:r>
          </w:p>
        </w:tc>
        <w:tc>
          <w:tcPr>
            <w:tcW w:w="1418" w:type="dxa"/>
            <w:vAlign w:val="center"/>
          </w:tcPr>
          <w:p w14:paraId="4FD9F896" w14:textId="77777777" w:rsidR="00610969" w:rsidRPr="009E3FA3" w:rsidRDefault="00610969" w:rsidP="00610969">
            <w:pPr>
              <w:spacing w:before="60" w:after="60"/>
            </w:pPr>
            <w:r w:rsidRPr="009E3FA3">
              <w:t>AC4-2</w:t>
            </w:r>
          </w:p>
        </w:tc>
        <w:tc>
          <w:tcPr>
            <w:tcW w:w="2194" w:type="dxa"/>
            <w:vAlign w:val="center"/>
          </w:tcPr>
          <w:p w14:paraId="782273F9" w14:textId="39805C2A" w:rsidR="00610969" w:rsidRPr="009E3FA3" w:rsidRDefault="00610969" w:rsidP="00610969">
            <w:pPr>
              <w:spacing w:before="60" w:after="60"/>
              <w:jc w:val="left"/>
            </w:pPr>
            <w:r w:rsidRPr="009E3FA3">
              <w:t>&gt;</w:t>
            </w:r>
            <w:r>
              <w:t>35</w:t>
            </w:r>
            <w:r w:rsidRPr="009E3FA3">
              <w:t>0 &amp; &lt;</w:t>
            </w:r>
            <w:r>
              <w:t>500</w:t>
            </w:r>
            <w:r w:rsidRPr="009E3FA3">
              <w:t xml:space="preserve"> </w:t>
            </w:r>
            <w:proofErr w:type="spellStart"/>
            <w:r w:rsidRPr="009E3FA3">
              <w:t>kWr</w:t>
            </w:r>
            <w:proofErr w:type="spellEnd"/>
          </w:p>
        </w:tc>
        <w:tc>
          <w:tcPr>
            <w:tcW w:w="1769" w:type="dxa"/>
            <w:shd w:val="clear" w:color="auto" w:fill="auto"/>
            <w:vAlign w:val="center"/>
          </w:tcPr>
          <w:p w14:paraId="5CC7FD5C" w14:textId="3C917587" w:rsidR="00610969" w:rsidRPr="00EA65D9" w:rsidRDefault="00610969" w:rsidP="00610969">
            <w:pPr>
              <w:spacing w:before="60" w:after="60"/>
              <w:jc w:val="center"/>
            </w:pPr>
            <w:r w:rsidRPr="00507941">
              <w:t>4,100</w:t>
            </w:r>
          </w:p>
        </w:tc>
      </w:tr>
      <w:tr w:rsidR="00610969" w:rsidRPr="009E3FA3" w14:paraId="644D1A60" w14:textId="77777777" w:rsidTr="00610969">
        <w:trPr>
          <w:cantSplit/>
          <w:trHeight w:val="624"/>
        </w:trPr>
        <w:tc>
          <w:tcPr>
            <w:tcW w:w="709" w:type="dxa"/>
            <w:vAlign w:val="center"/>
          </w:tcPr>
          <w:p w14:paraId="29F2B5F2" w14:textId="77777777" w:rsidR="00610969" w:rsidRPr="009E3FA3" w:rsidRDefault="00610969" w:rsidP="00610969">
            <w:pPr>
              <w:spacing w:before="60" w:after="60"/>
              <w:jc w:val="center"/>
            </w:pPr>
            <w:r w:rsidRPr="009E3FA3">
              <w:t>15</w:t>
            </w:r>
          </w:p>
        </w:tc>
        <w:tc>
          <w:tcPr>
            <w:tcW w:w="1134" w:type="dxa"/>
            <w:vMerge/>
            <w:vAlign w:val="center"/>
          </w:tcPr>
          <w:p w14:paraId="5F3AC2E1" w14:textId="77777777" w:rsidR="00610969" w:rsidRPr="009E3FA3" w:rsidRDefault="00610969" w:rsidP="00610969">
            <w:pPr>
              <w:spacing w:before="60" w:after="60"/>
            </w:pPr>
          </w:p>
        </w:tc>
        <w:tc>
          <w:tcPr>
            <w:tcW w:w="2268" w:type="dxa"/>
            <w:vAlign w:val="center"/>
          </w:tcPr>
          <w:p w14:paraId="6C5313E4" w14:textId="77777777" w:rsidR="00610969" w:rsidRPr="009E3FA3" w:rsidRDefault="00610969" w:rsidP="00610969">
            <w:pPr>
              <w:spacing w:before="60" w:after="60"/>
              <w:jc w:val="left"/>
            </w:pPr>
            <w:r w:rsidRPr="009E3FA3">
              <w:t>Chillers</w:t>
            </w:r>
          </w:p>
        </w:tc>
        <w:tc>
          <w:tcPr>
            <w:tcW w:w="1418" w:type="dxa"/>
            <w:vAlign w:val="center"/>
          </w:tcPr>
          <w:p w14:paraId="4A2F1015" w14:textId="77777777" w:rsidR="00610969" w:rsidRPr="009E3FA3" w:rsidRDefault="00610969" w:rsidP="00610969">
            <w:pPr>
              <w:spacing w:before="60" w:after="60"/>
            </w:pPr>
            <w:r w:rsidRPr="009E3FA3">
              <w:t>AC4-3</w:t>
            </w:r>
          </w:p>
        </w:tc>
        <w:tc>
          <w:tcPr>
            <w:tcW w:w="2194" w:type="dxa"/>
            <w:vAlign w:val="center"/>
          </w:tcPr>
          <w:p w14:paraId="0A88D205" w14:textId="77777777" w:rsidR="00610969" w:rsidRPr="009E3FA3" w:rsidRDefault="00610969" w:rsidP="00610969">
            <w:pPr>
              <w:spacing w:before="60" w:after="60"/>
              <w:jc w:val="left"/>
            </w:pPr>
            <w:r w:rsidRPr="009E3FA3">
              <w:t xml:space="preserve">&gt;500 &amp; &lt;1000 </w:t>
            </w:r>
            <w:proofErr w:type="spellStart"/>
            <w:r w:rsidRPr="009E3FA3">
              <w:t>kWr</w:t>
            </w:r>
            <w:proofErr w:type="spellEnd"/>
          </w:p>
        </w:tc>
        <w:tc>
          <w:tcPr>
            <w:tcW w:w="1769" w:type="dxa"/>
            <w:shd w:val="clear" w:color="auto" w:fill="auto"/>
            <w:vAlign w:val="center"/>
          </w:tcPr>
          <w:p w14:paraId="3DEDBBDE" w14:textId="18C7130C" w:rsidR="00610969" w:rsidRPr="00EA65D9" w:rsidRDefault="00610969" w:rsidP="00610969">
            <w:pPr>
              <w:spacing w:before="60" w:after="60"/>
              <w:jc w:val="center"/>
            </w:pPr>
            <w:r w:rsidRPr="00507941">
              <w:t>7,500</w:t>
            </w:r>
          </w:p>
        </w:tc>
      </w:tr>
      <w:tr w:rsidR="00610969" w:rsidRPr="009E3FA3" w14:paraId="1414E1CE" w14:textId="77777777" w:rsidTr="00610969">
        <w:trPr>
          <w:cantSplit/>
          <w:trHeight w:val="624"/>
        </w:trPr>
        <w:tc>
          <w:tcPr>
            <w:tcW w:w="709" w:type="dxa"/>
            <w:vAlign w:val="center"/>
          </w:tcPr>
          <w:p w14:paraId="7CF9AFD6" w14:textId="77777777" w:rsidR="00610969" w:rsidRPr="009E3FA3" w:rsidRDefault="00610969" w:rsidP="00610969">
            <w:pPr>
              <w:spacing w:before="60" w:after="60"/>
              <w:jc w:val="center"/>
            </w:pPr>
            <w:r w:rsidRPr="009E3FA3">
              <w:t>16</w:t>
            </w:r>
          </w:p>
        </w:tc>
        <w:tc>
          <w:tcPr>
            <w:tcW w:w="1134" w:type="dxa"/>
            <w:vMerge/>
            <w:vAlign w:val="center"/>
          </w:tcPr>
          <w:p w14:paraId="11DB9237" w14:textId="77777777" w:rsidR="00610969" w:rsidRPr="009E3FA3" w:rsidRDefault="00610969" w:rsidP="00610969">
            <w:pPr>
              <w:spacing w:before="60" w:after="60"/>
            </w:pPr>
          </w:p>
        </w:tc>
        <w:tc>
          <w:tcPr>
            <w:tcW w:w="2268" w:type="dxa"/>
            <w:vAlign w:val="center"/>
          </w:tcPr>
          <w:p w14:paraId="2F8509FE" w14:textId="77777777" w:rsidR="00610969" w:rsidRPr="009E3FA3" w:rsidRDefault="00610969" w:rsidP="00610969">
            <w:pPr>
              <w:spacing w:before="60" w:after="60"/>
              <w:jc w:val="left"/>
            </w:pPr>
            <w:r w:rsidRPr="009E3FA3">
              <w:t>Chillers</w:t>
            </w:r>
          </w:p>
        </w:tc>
        <w:tc>
          <w:tcPr>
            <w:tcW w:w="1418" w:type="dxa"/>
            <w:vAlign w:val="center"/>
          </w:tcPr>
          <w:p w14:paraId="1DDD3017" w14:textId="77777777" w:rsidR="00610969" w:rsidRPr="009E3FA3" w:rsidRDefault="00610969" w:rsidP="00610969">
            <w:pPr>
              <w:spacing w:before="60" w:after="60"/>
            </w:pPr>
            <w:r w:rsidRPr="009E3FA3">
              <w:t>AC4-4</w:t>
            </w:r>
          </w:p>
        </w:tc>
        <w:tc>
          <w:tcPr>
            <w:tcW w:w="2194" w:type="dxa"/>
            <w:vAlign w:val="center"/>
          </w:tcPr>
          <w:p w14:paraId="498A9B87" w14:textId="77777777" w:rsidR="00610969" w:rsidRPr="009E3FA3" w:rsidRDefault="00610969" w:rsidP="00610969">
            <w:pPr>
              <w:spacing w:before="60" w:after="60"/>
              <w:jc w:val="left"/>
            </w:pPr>
            <w:r w:rsidRPr="009E3FA3">
              <w:t xml:space="preserve">&gt;1000 </w:t>
            </w:r>
            <w:proofErr w:type="spellStart"/>
            <w:r w:rsidRPr="009E3FA3">
              <w:t>kWr</w:t>
            </w:r>
            <w:proofErr w:type="spellEnd"/>
          </w:p>
        </w:tc>
        <w:tc>
          <w:tcPr>
            <w:tcW w:w="1769" w:type="dxa"/>
            <w:shd w:val="clear" w:color="auto" w:fill="auto"/>
            <w:vAlign w:val="center"/>
          </w:tcPr>
          <w:p w14:paraId="657D5438" w14:textId="333DB348" w:rsidR="00610969" w:rsidRPr="00EA65D9" w:rsidRDefault="00610969" w:rsidP="00610969">
            <w:pPr>
              <w:spacing w:before="60" w:after="60"/>
              <w:jc w:val="center"/>
            </w:pPr>
            <w:r w:rsidRPr="00507941">
              <w:t>3,450</w:t>
            </w:r>
          </w:p>
        </w:tc>
      </w:tr>
      <w:tr w:rsidR="00597996" w:rsidRPr="009E3FA3" w14:paraId="1AD99961" w14:textId="77777777" w:rsidTr="00597996">
        <w:trPr>
          <w:cantSplit/>
          <w:trHeight w:val="624"/>
        </w:trPr>
        <w:tc>
          <w:tcPr>
            <w:tcW w:w="709" w:type="dxa"/>
            <w:vAlign w:val="center"/>
          </w:tcPr>
          <w:p w14:paraId="0027602D" w14:textId="77777777" w:rsidR="00597996" w:rsidRPr="009E3FA3" w:rsidRDefault="00597996" w:rsidP="00FD314C">
            <w:pPr>
              <w:spacing w:before="60" w:after="60"/>
              <w:jc w:val="center"/>
            </w:pPr>
            <w:r w:rsidRPr="009E3FA3">
              <w:t>17</w:t>
            </w:r>
          </w:p>
        </w:tc>
        <w:tc>
          <w:tcPr>
            <w:tcW w:w="1134" w:type="dxa"/>
            <w:vMerge w:val="restart"/>
            <w:textDirection w:val="btLr"/>
            <w:vAlign w:val="center"/>
          </w:tcPr>
          <w:p w14:paraId="01A144A4" w14:textId="77777777" w:rsidR="00597996" w:rsidRPr="009E3FA3" w:rsidRDefault="00597996" w:rsidP="00C05376">
            <w:pPr>
              <w:spacing w:before="60" w:after="60"/>
              <w:jc w:val="center"/>
            </w:pPr>
            <w:r w:rsidRPr="009E3FA3">
              <w:t>AC5: Other</w:t>
            </w:r>
          </w:p>
        </w:tc>
        <w:tc>
          <w:tcPr>
            <w:tcW w:w="2268" w:type="dxa"/>
            <w:tcBorders>
              <w:bottom w:val="single" w:sz="4" w:space="0" w:color="000000"/>
            </w:tcBorders>
            <w:vAlign w:val="center"/>
          </w:tcPr>
          <w:p w14:paraId="22D2F417" w14:textId="77777777" w:rsidR="00597996" w:rsidRPr="009E3FA3" w:rsidRDefault="00597996" w:rsidP="00F31D4E">
            <w:pPr>
              <w:spacing w:before="60" w:after="60"/>
              <w:jc w:val="left"/>
            </w:pPr>
            <w:r w:rsidRPr="009E3FA3">
              <w:t>HW Heat pump</w:t>
            </w:r>
          </w:p>
        </w:tc>
        <w:tc>
          <w:tcPr>
            <w:tcW w:w="1418" w:type="dxa"/>
            <w:tcBorders>
              <w:bottom w:val="single" w:sz="4" w:space="0" w:color="000000"/>
            </w:tcBorders>
            <w:vAlign w:val="center"/>
          </w:tcPr>
          <w:p w14:paraId="11EAD429" w14:textId="77777777" w:rsidR="00597996" w:rsidRPr="009E3FA3" w:rsidRDefault="00597996" w:rsidP="009A23AA">
            <w:pPr>
              <w:spacing w:before="60" w:after="60"/>
            </w:pPr>
            <w:r w:rsidRPr="009E3FA3">
              <w:t>AC5-1</w:t>
            </w:r>
          </w:p>
        </w:tc>
        <w:tc>
          <w:tcPr>
            <w:tcW w:w="2194" w:type="dxa"/>
            <w:tcBorders>
              <w:bottom w:val="single" w:sz="4" w:space="0" w:color="000000"/>
            </w:tcBorders>
            <w:vAlign w:val="center"/>
          </w:tcPr>
          <w:p w14:paraId="78D9F1B9" w14:textId="77777777" w:rsidR="00597996" w:rsidRPr="009E3FA3" w:rsidRDefault="00597996" w:rsidP="00F31D4E">
            <w:pPr>
              <w:spacing w:before="60" w:after="60"/>
              <w:jc w:val="left"/>
            </w:pPr>
            <w:r w:rsidRPr="009E3FA3">
              <w:t>HW heat pump: domestic</w:t>
            </w:r>
          </w:p>
        </w:tc>
        <w:tc>
          <w:tcPr>
            <w:tcW w:w="1769" w:type="dxa"/>
            <w:tcBorders>
              <w:bottom w:val="single" w:sz="4" w:space="0" w:color="000000"/>
            </w:tcBorders>
            <w:vAlign w:val="center"/>
          </w:tcPr>
          <w:p w14:paraId="5C1B3553" w14:textId="77777777" w:rsidR="00597996" w:rsidRPr="009E3FA3" w:rsidRDefault="00597996" w:rsidP="00F31D4E">
            <w:pPr>
              <w:spacing w:before="60" w:after="60"/>
              <w:jc w:val="center"/>
            </w:pPr>
            <w:r w:rsidRPr="009E3FA3">
              <w:t>2</w:t>
            </w:r>
            <w:r>
              <w:t>50</w:t>
            </w:r>
            <w:r w:rsidRPr="009E3FA3">
              <w:t>,000</w:t>
            </w:r>
          </w:p>
        </w:tc>
      </w:tr>
      <w:tr w:rsidR="00597996" w:rsidRPr="009E3FA3" w14:paraId="286EA77B" w14:textId="77777777" w:rsidTr="00597996">
        <w:trPr>
          <w:cantSplit/>
          <w:trHeight w:val="624"/>
        </w:trPr>
        <w:tc>
          <w:tcPr>
            <w:tcW w:w="709" w:type="dxa"/>
            <w:vAlign w:val="center"/>
          </w:tcPr>
          <w:p w14:paraId="28DDEB1E" w14:textId="77777777" w:rsidR="00597996" w:rsidRPr="009E3FA3" w:rsidRDefault="00597996" w:rsidP="00FD314C">
            <w:pPr>
              <w:spacing w:before="60" w:after="60"/>
              <w:jc w:val="center"/>
            </w:pPr>
            <w:r w:rsidRPr="009E3FA3">
              <w:t>18</w:t>
            </w:r>
          </w:p>
        </w:tc>
        <w:tc>
          <w:tcPr>
            <w:tcW w:w="1134" w:type="dxa"/>
            <w:vMerge/>
          </w:tcPr>
          <w:p w14:paraId="64919F4F" w14:textId="77777777" w:rsidR="00597996" w:rsidRPr="009E3FA3" w:rsidRDefault="00597996" w:rsidP="009A23AA"/>
        </w:tc>
        <w:tc>
          <w:tcPr>
            <w:tcW w:w="2268" w:type="dxa"/>
            <w:shd w:val="clear" w:color="auto" w:fill="auto"/>
            <w:vAlign w:val="center"/>
          </w:tcPr>
          <w:p w14:paraId="4199897E" w14:textId="77777777" w:rsidR="00597996" w:rsidRPr="009E3FA3" w:rsidRDefault="00597996" w:rsidP="00F31D4E">
            <w:pPr>
              <w:spacing w:before="60" w:after="60"/>
              <w:jc w:val="left"/>
            </w:pPr>
            <w:r w:rsidRPr="009E3FA3">
              <w:t>Heat pump clothes dryers</w:t>
            </w:r>
          </w:p>
        </w:tc>
        <w:tc>
          <w:tcPr>
            <w:tcW w:w="1418" w:type="dxa"/>
            <w:shd w:val="clear" w:color="auto" w:fill="auto"/>
            <w:vAlign w:val="center"/>
          </w:tcPr>
          <w:p w14:paraId="3A3C80EA" w14:textId="77777777" w:rsidR="00597996" w:rsidRPr="009E3FA3" w:rsidRDefault="00597996" w:rsidP="009A23AA">
            <w:pPr>
              <w:spacing w:before="60" w:after="60"/>
            </w:pPr>
            <w:r w:rsidRPr="009E3FA3">
              <w:t>AC5-2</w:t>
            </w:r>
          </w:p>
        </w:tc>
        <w:tc>
          <w:tcPr>
            <w:tcW w:w="2194" w:type="dxa"/>
            <w:shd w:val="clear" w:color="auto" w:fill="auto"/>
            <w:vAlign w:val="center"/>
          </w:tcPr>
          <w:p w14:paraId="3E2A5831" w14:textId="77777777" w:rsidR="00597996" w:rsidRPr="009E3FA3" w:rsidRDefault="00597996" w:rsidP="00F31D4E">
            <w:pPr>
              <w:spacing w:before="60" w:after="60"/>
              <w:jc w:val="left"/>
            </w:pPr>
            <w:r w:rsidRPr="009E3FA3">
              <w:t>Heat pump clothes dryers</w:t>
            </w:r>
          </w:p>
        </w:tc>
        <w:tc>
          <w:tcPr>
            <w:tcW w:w="1769" w:type="dxa"/>
            <w:shd w:val="clear" w:color="auto" w:fill="auto"/>
            <w:vAlign w:val="center"/>
          </w:tcPr>
          <w:p w14:paraId="798618B4" w14:textId="77777777" w:rsidR="00597996" w:rsidRPr="009E3FA3" w:rsidRDefault="00597996" w:rsidP="00F31D4E">
            <w:pPr>
              <w:spacing w:before="60" w:after="60"/>
              <w:jc w:val="center"/>
            </w:pPr>
            <w:r>
              <w:t>140</w:t>
            </w:r>
            <w:r w:rsidRPr="009E3FA3">
              <w:t>,000</w:t>
            </w:r>
          </w:p>
        </w:tc>
      </w:tr>
    </w:tbl>
    <w:p w14:paraId="381BD75A" w14:textId="77777777" w:rsidR="00597996" w:rsidRPr="009E3FA3" w:rsidRDefault="00597996" w:rsidP="009A23AA">
      <w:pPr>
        <w:rPr>
          <w:szCs w:val="22"/>
        </w:rPr>
      </w:pPr>
    </w:p>
    <w:p w14:paraId="1F215DFB" w14:textId="77777777" w:rsidR="00597996" w:rsidRPr="009E3FA3" w:rsidRDefault="00597996" w:rsidP="009A23AA">
      <w:pPr>
        <w:rPr>
          <w:szCs w:val="22"/>
        </w:rPr>
      </w:pPr>
      <w:r w:rsidRPr="009E3FA3">
        <w:rPr>
          <w:szCs w:val="22"/>
        </w:rPr>
        <w:t>The technology covered by each product category i</w:t>
      </w:r>
      <w:r>
        <w:rPr>
          <w:szCs w:val="22"/>
        </w:rPr>
        <w:t>s</w:t>
      </w:r>
      <w:r w:rsidRPr="009E3FA3">
        <w:rPr>
          <w:szCs w:val="22"/>
        </w:rPr>
        <w:t xml:space="preserve"> expanded upon below. </w:t>
      </w:r>
    </w:p>
    <w:p w14:paraId="5E1F2832" w14:textId="77777777" w:rsidR="00597996" w:rsidRPr="009E3FA3" w:rsidRDefault="00597996" w:rsidP="009A23AA">
      <w:pPr>
        <w:pStyle w:val="ListParagraph"/>
        <w:numPr>
          <w:ilvl w:val="0"/>
          <w:numId w:val="12"/>
        </w:numPr>
        <w:spacing w:before="120" w:after="0" w:line="240" w:lineRule="auto"/>
        <w:contextualSpacing w:val="0"/>
        <w:jc w:val="both"/>
        <w:rPr>
          <w:rFonts w:ascii="Times New Roman" w:hAnsi="Times New Roman"/>
        </w:rPr>
      </w:pPr>
      <w:r w:rsidRPr="009E3FA3">
        <w:rPr>
          <w:rFonts w:ascii="Times New Roman" w:hAnsi="Times New Roman"/>
        </w:rPr>
        <w:t>AC1-1: Packaged room air conditioning units intended to be inserted through a hole in a wall or through a window aperture of a home, shop or worksite demountable building. This is a declining and now predominately a replacement market and generally referred to as ‘window/wall’ units;</w:t>
      </w:r>
    </w:p>
    <w:p w14:paraId="6C55E0FA" w14:textId="77777777" w:rsidR="00597996" w:rsidRPr="009E3FA3" w:rsidRDefault="00597996" w:rsidP="009A23AA">
      <w:pPr>
        <w:pStyle w:val="ListParagraph"/>
        <w:numPr>
          <w:ilvl w:val="0"/>
          <w:numId w:val="12"/>
        </w:numPr>
        <w:spacing w:before="120" w:after="0" w:line="240" w:lineRule="auto"/>
        <w:contextualSpacing w:val="0"/>
        <w:jc w:val="both"/>
        <w:rPr>
          <w:rFonts w:ascii="Times New Roman" w:hAnsi="Times New Roman"/>
        </w:rPr>
      </w:pPr>
      <w:r w:rsidRPr="009E3FA3">
        <w:rPr>
          <w:rFonts w:ascii="Times New Roman" w:hAnsi="Times New Roman"/>
        </w:rPr>
        <w:t>AC1-2: Dehumidifiers and portable air conditioning for domestic use, and portable space coolers for spot cooling in commercial and industrial applications, or to provide temporary relief where normal air conditioning systems are inadequate or have broken down;</w:t>
      </w:r>
    </w:p>
    <w:p w14:paraId="35A4B65B" w14:textId="77777777" w:rsidR="00597996" w:rsidRPr="009E3FA3" w:rsidRDefault="00597996" w:rsidP="009A23AA">
      <w:pPr>
        <w:pStyle w:val="ListParagraph"/>
        <w:numPr>
          <w:ilvl w:val="0"/>
          <w:numId w:val="12"/>
        </w:numPr>
        <w:spacing w:before="120" w:after="0" w:line="240" w:lineRule="auto"/>
        <w:contextualSpacing w:val="0"/>
        <w:jc w:val="both"/>
        <w:rPr>
          <w:rFonts w:ascii="Times New Roman" w:hAnsi="Times New Roman"/>
        </w:rPr>
      </w:pPr>
      <w:r w:rsidRPr="009E3FA3">
        <w:rPr>
          <w:rFonts w:ascii="Times New Roman" w:hAnsi="Times New Roman"/>
        </w:rPr>
        <w:t>AC2: Non-ducted split systems covering a broad class of equipment including an outdoor unit combined with single or multiple indoor units in a variety of styles such as wall hung, cassette, console and under ceiling units, all designed for different applications;</w:t>
      </w:r>
    </w:p>
    <w:p w14:paraId="0AF48B51" w14:textId="77777777" w:rsidR="00597996" w:rsidRPr="009E3FA3" w:rsidRDefault="00597996" w:rsidP="009A23AA">
      <w:pPr>
        <w:pStyle w:val="ListParagraph"/>
        <w:numPr>
          <w:ilvl w:val="0"/>
          <w:numId w:val="12"/>
        </w:numPr>
        <w:spacing w:before="120" w:after="0" w:line="240" w:lineRule="auto"/>
        <w:contextualSpacing w:val="0"/>
        <w:jc w:val="both"/>
        <w:rPr>
          <w:rFonts w:ascii="Times New Roman" w:hAnsi="Times New Roman"/>
        </w:rPr>
      </w:pPr>
      <w:r w:rsidRPr="009E3FA3">
        <w:rPr>
          <w:rFonts w:ascii="Times New Roman" w:hAnsi="Times New Roman"/>
        </w:rPr>
        <w:t>AC3-1 and AC3-2: Ducted split systems used in domestic and light commercial applications where the indoor unit is connected to rigid or flexible duct which is ducted around the building to supply air to the conditioned space;</w:t>
      </w:r>
    </w:p>
    <w:p w14:paraId="62915620" w14:textId="77777777" w:rsidR="00597996" w:rsidRPr="009E3FA3" w:rsidRDefault="00597996" w:rsidP="009A23AA">
      <w:pPr>
        <w:pStyle w:val="ListParagraph"/>
        <w:numPr>
          <w:ilvl w:val="0"/>
          <w:numId w:val="12"/>
        </w:numPr>
        <w:spacing w:before="120" w:after="0" w:line="240" w:lineRule="auto"/>
        <w:contextualSpacing w:val="0"/>
        <w:jc w:val="both"/>
        <w:rPr>
          <w:rFonts w:ascii="Times New Roman" w:hAnsi="Times New Roman"/>
        </w:rPr>
      </w:pPr>
      <w:r w:rsidRPr="009E3FA3">
        <w:rPr>
          <w:rFonts w:ascii="Times New Roman" w:hAnsi="Times New Roman"/>
        </w:rPr>
        <w:t>AC3-3: Roof top packaged air conditioning systems, with generally larger capacities than the previous categories, and that use high static pressure fans which allow long duct runs. In recent times these systems have been redesigned with variable speed compressors (i.e. digital scroll), electric commutated plug fans and advanced controls to improve efficiency levels to compete with other technology platforms sold into commercial buildings;</w:t>
      </w:r>
    </w:p>
    <w:p w14:paraId="7CA1F033" w14:textId="77777777" w:rsidR="00597996" w:rsidRPr="009E3FA3" w:rsidRDefault="00597996" w:rsidP="009A23AA">
      <w:pPr>
        <w:pStyle w:val="ListParagraph"/>
        <w:numPr>
          <w:ilvl w:val="0"/>
          <w:numId w:val="12"/>
        </w:numPr>
        <w:spacing w:before="120" w:after="0" w:line="240" w:lineRule="auto"/>
        <w:contextualSpacing w:val="0"/>
        <w:jc w:val="both"/>
        <w:rPr>
          <w:rFonts w:ascii="Times New Roman" w:hAnsi="Times New Roman"/>
        </w:rPr>
      </w:pPr>
      <w:r w:rsidRPr="009E3FA3">
        <w:rPr>
          <w:rFonts w:ascii="Times New Roman" w:hAnsi="Times New Roman"/>
        </w:rPr>
        <w:t>AC3-4 and AC3-5: Multi split systems and variable refrigerant volume/flow (VRV/F) split systems with multiple indoor units, which is emerging as the preferred technology for medium sized commercial buildings, schools and other multi-purpose buildings;</w:t>
      </w:r>
    </w:p>
    <w:p w14:paraId="6B88C7EA" w14:textId="77777777" w:rsidR="00597996" w:rsidRPr="009E3FA3" w:rsidRDefault="00597996" w:rsidP="009A23AA">
      <w:pPr>
        <w:pStyle w:val="ListParagraph"/>
        <w:numPr>
          <w:ilvl w:val="0"/>
          <w:numId w:val="13"/>
        </w:numPr>
        <w:spacing w:before="120" w:after="0" w:line="240" w:lineRule="auto"/>
        <w:contextualSpacing w:val="0"/>
        <w:jc w:val="both"/>
        <w:rPr>
          <w:rFonts w:ascii="Times New Roman" w:hAnsi="Times New Roman"/>
        </w:rPr>
      </w:pPr>
      <w:r w:rsidRPr="009E3FA3">
        <w:rPr>
          <w:rFonts w:ascii="Times New Roman" w:hAnsi="Times New Roman"/>
        </w:rPr>
        <w:t>AC3-6: Close control or precision air conditioning systems employed in applications where air quality requirements are specified such as in computer rooms, data processing centres, telecommunication facilities, medical technology, clean rooms for production of electronic components and pharmaceuticals, and other industrial process areas;</w:t>
      </w:r>
    </w:p>
    <w:p w14:paraId="796A51B8" w14:textId="77777777" w:rsidR="00597996" w:rsidRPr="009E3FA3" w:rsidRDefault="00597996" w:rsidP="009A23AA">
      <w:pPr>
        <w:pStyle w:val="ListParagraph"/>
        <w:numPr>
          <w:ilvl w:val="0"/>
          <w:numId w:val="13"/>
        </w:numPr>
        <w:spacing w:before="120" w:after="0" w:line="240" w:lineRule="auto"/>
        <w:contextualSpacing w:val="0"/>
        <w:jc w:val="both"/>
        <w:rPr>
          <w:rFonts w:ascii="Times New Roman" w:hAnsi="Times New Roman"/>
        </w:rPr>
      </w:pPr>
      <w:r w:rsidRPr="009E3FA3">
        <w:rPr>
          <w:rFonts w:ascii="Times New Roman" w:hAnsi="Times New Roman"/>
        </w:rPr>
        <w:t>AC3-7 and AC3-8: Hot water heat pumps for commercial applications and swimming pool heat pumps;</w:t>
      </w:r>
      <w:r w:rsidRPr="009E3FA3">
        <w:rPr>
          <w:rStyle w:val="FootnoteReference"/>
        </w:rPr>
        <w:footnoteReference w:id="6"/>
      </w:r>
    </w:p>
    <w:p w14:paraId="7ECDE777" w14:textId="77777777" w:rsidR="00597996" w:rsidRPr="009E3FA3" w:rsidRDefault="00597996" w:rsidP="009A23AA">
      <w:pPr>
        <w:pStyle w:val="ListParagraph"/>
        <w:numPr>
          <w:ilvl w:val="0"/>
          <w:numId w:val="13"/>
        </w:numPr>
        <w:spacing w:before="120" w:after="0" w:line="240" w:lineRule="auto"/>
        <w:contextualSpacing w:val="0"/>
        <w:jc w:val="both"/>
        <w:rPr>
          <w:rFonts w:ascii="Times New Roman" w:hAnsi="Times New Roman"/>
        </w:rPr>
      </w:pPr>
      <w:r w:rsidRPr="009E3FA3">
        <w:rPr>
          <w:rFonts w:ascii="Times New Roman" w:hAnsi="Times New Roman"/>
        </w:rPr>
        <w:t>AC4-1 to AC4-4: Chillers for space cooling in large commercial buildings;</w:t>
      </w:r>
    </w:p>
    <w:p w14:paraId="3C35C887" w14:textId="77777777" w:rsidR="00597996" w:rsidRPr="009E3FA3" w:rsidRDefault="00597996" w:rsidP="009A23AA">
      <w:pPr>
        <w:pStyle w:val="ListParagraph"/>
        <w:numPr>
          <w:ilvl w:val="0"/>
          <w:numId w:val="13"/>
        </w:numPr>
        <w:spacing w:before="120" w:after="0" w:line="240" w:lineRule="auto"/>
        <w:contextualSpacing w:val="0"/>
        <w:jc w:val="both"/>
        <w:rPr>
          <w:rFonts w:ascii="Times New Roman" w:hAnsi="Times New Roman"/>
        </w:rPr>
      </w:pPr>
      <w:r w:rsidRPr="009E3FA3">
        <w:rPr>
          <w:rFonts w:ascii="Times New Roman" w:hAnsi="Times New Roman"/>
        </w:rPr>
        <w:t>AC5-1: Hot water heat pumps for domestic applications; and,</w:t>
      </w:r>
    </w:p>
    <w:p w14:paraId="765AA61A" w14:textId="77777777" w:rsidR="00597996" w:rsidRPr="009E3FA3" w:rsidRDefault="00597996" w:rsidP="009A23AA">
      <w:pPr>
        <w:pStyle w:val="ListParagraph"/>
        <w:numPr>
          <w:ilvl w:val="0"/>
          <w:numId w:val="13"/>
        </w:numPr>
        <w:spacing w:before="120" w:after="0" w:line="240" w:lineRule="auto"/>
        <w:contextualSpacing w:val="0"/>
        <w:jc w:val="both"/>
        <w:rPr>
          <w:rFonts w:ascii="Times New Roman" w:hAnsi="Times New Roman"/>
        </w:rPr>
      </w:pPr>
      <w:r w:rsidRPr="009E3FA3">
        <w:rPr>
          <w:rFonts w:ascii="Times New Roman" w:hAnsi="Times New Roman"/>
        </w:rPr>
        <w:t>AC5-2: Heat pump clothes dryers, a type of condenser dryer that use refrigeration technology to remove moisture from clothes and discharge the moisture as condensate to the drain.</w:t>
      </w:r>
    </w:p>
    <w:p w14:paraId="0EA32318" w14:textId="4F7EB507" w:rsidR="00597996" w:rsidRPr="009E3FA3" w:rsidRDefault="00597996" w:rsidP="009A23AA">
      <w:pPr>
        <w:rPr>
          <w:szCs w:val="22"/>
        </w:rPr>
      </w:pPr>
      <w:r w:rsidRPr="009E3FA3">
        <w:rPr>
          <w:szCs w:val="22"/>
        </w:rPr>
        <w:t xml:space="preserve">The stock and the energy consumption estimates </w:t>
      </w:r>
      <w:r>
        <w:rPr>
          <w:szCs w:val="22"/>
        </w:rPr>
        <w:t xml:space="preserve">for Stationary AC </w:t>
      </w:r>
      <w:r w:rsidRPr="009E3FA3">
        <w:rPr>
          <w:szCs w:val="22"/>
        </w:rPr>
        <w:t xml:space="preserve">equipment </w:t>
      </w:r>
      <w:r>
        <w:rPr>
          <w:szCs w:val="22"/>
        </w:rPr>
        <w:t xml:space="preserve">used </w:t>
      </w:r>
      <w:r w:rsidRPr="009E3FA3">
        <w:rPr>
          <w:szCs w:val="22"/>
        </w:rPr>
        <w:t>in this report are broadly consistent with the Australian Government regulatory impact statements</w:t>
      </w:r>
      <w:r>
        <w:rPr>
          <w:szCs w:val="22"/>
        </w:rPr>
        <w:t xml:space="preserve"> (RIS)</w:t>
      </w:r>
      <w:r w:rsidRPr="009E3FA3">
        <w:rPr>
          <w:szCs w:val="22"/>
        </w:rPr>
        <w:t xml:space="preserve"> for split systems, close control air conditioning, chillers and hot water heat pumps (E3 2017a). However, there are some d</w:t>
      </w:r>
      <w:r>
        <w:rPr>
          <w:szCs w:val="22"/>
        </w:rPr>
        <w:t xml:space="preserve">ifferences in </w:t>
      </w:r>
      <w:r w:rsidRPr="009E3FA3">
        <w:rPr>
          <w:szCs w:val="22"/>
        </w:rPr>
        <w:t xml:space="preserve">sales inputs where pre-charged equipment </w:t>
      </w:r>
      <w:r>
        <w:rPr>
          <w:szCs w:val="22"/>
        </w:rPr>
        <w:t xml:space="preserve">import </w:t>
      </w:r>
      <w:r w:rsidRPr="009E3FA3">
        <w:rPr>
          <w:szCs w:val="22"/>
        </w:rPr>
        <w:t>data provide</w:t>
      </w:r>
      <w:r>
        <w:rPr>
          <w:szCs w:val="22"/>
        </w:rPr>
        <w:t>d</w:t>
      </w:r>
      <w:r w:rsidRPr="009E3FA3">
        <w:rPr>
          <w:szCs w:val="22"/>
        </w:rPr>
        <w:t xml:space="preserve"> more accurate estimates for changes in the stock in 2014, 2015 and 2016</w:t>
      </w:r>
      <w:r>
        <w:rPr>
          <w:szCs w:val="22"/>
        </w:rPr>
        <w:t xml:space="preserve"> than were reported in the </w:t>
      </w:r>
      <w:r w:rsidR="00263424" w:rsidRPr="00263424">
        <w:rPr>
          <w:szCs w:val="22"/>
        </w:rPr>
        <w:t>regulatory impact statements</w:t>
      </w:r>
      <w:r w:rsidRPr="009E3FA3">
        <w:rPr>
          <w:szCs w:val="22"/>
        </w:rPr>
        <w:t xml:space="preserve">. These changes lead to differences between CHF3 projections </w:t>
      </w:r>
      <w:r>
        <w:rPr>
          <w:szCs w:val="22"/>
        </w:rPr>
        <w:t xml:space="preserve">(published in CHF3 in 2018) </w:t>
      </w:r>
      <w:r w:rsidRPr="009E3FA3">
        <w:rPr>
          <w:szCs w:val="22"/>
        </w:rPr>
        <w:t xml:space="preserve">and projections published in the </w:t>
      </w:r>
      <w:r w:rsidR="00263424" w:rsidRPr="009E3FA3">
        <w:rPr>
          <w:szCs w:val="22"/>
        </w:rPr>
        <w:t>regulatory impact statements</w:t>
      </w:r>
      <w:r w:rsidR="00263424">
        <w:rPr>
          <w:szCs w:val="22"/>
        </w:rPr>
        <w:t xml:space="preserve"> </w:t>
      </w:r>
      <w:r w:rsidRPr="009E3FA3">
        <w:rPr>
          <w:szCs w:val="22"/>
        </w:rPr>
        <w:t xml:space="preserve">and have flowed through to differences in </w:t>
      </w:r>
      <w:r w:rsidR="00965FDA">
        <w:rPr>
          <w:szCs w:val="22"/>
        </w:rPr>
        <w:t xml:space="preserve">the </w:t>
      </w:r>
      <w:r>
        <w:rPr>
          <w:szCs w:val="22"/>
        </w:rPr>
        <w:t>current model</w:t>
      </w:r>
      <w:r w:rsidR="00E35544">
        <w:rPr>
          <w:szCs w:val="22"/>
        </w:rPr>
        <w:t xml:space="preserve"> and report</w:t>
      </w:r>
      <w:r>
        <w:rPr>
          <w:szCs w:val="22"/>
        </w:rPr>
        <w:t>.</w:t>
      </w:r>
    </w:p>
    <w:p w14:paraId="2385F5B6" w14:textId="3144BAE0" w:rsidR="00597996" w:rsidRDefault="00597996" w:rsidP="009A23AA">
      <w:pPr>
        <w:rPr>
          <w:szCs w:val="22"/>
        </w:rPr>
      </w:pPr>
      <w:r w:rsidRPr="009E3FA3">
        <w:rPr>
          <w:szCs w:val="22"/>
        </w:rPr>
        <w:t>Australia has a declining stock of equipment</w:t>
      </w:r>
      <w:r>
        <w:rPr>
          <w:szCs w:val="22"/>
        </w:rPr>
        <w:t xml:space="preserve"> charged with HCFCs (</w:t>
      </w:r>
      <w:r w:rsidRPr="0076089F">
        <w:rPr>
          <w:szCs w:val="22"/>
        </w:rPr>
        <w:t>i</w:t>
      </w:r>
      <w:r w:rsidR="00965FDA">
        <w:rPr>
          <w:szCs w:val="22"/>
        </w:rPr>
        <w:t xml:space="preserve">mports of which </w:t>
      </w:r>
      <w:r w:rsidR="00263424">
        <w:rPr>
          <w:szCs w:val="22"/>
        </w:rPr>
        <w:t xml:space="preserve">mostly </w:t>
      </w:r>
      <w:r w:rsidR="00965FDA">
        <w:rPr>
          <w:szCs w:val="22"/>
        </w:rPr>
        <w:t xml:space="preserve">ceased </w:t>
      </w:r>
      <w:r w:rsidR="002A019B">
        <w:rPr>
          <w:szCs w:val="22"/>
        </w:rPr>
        <w:t xml:space="preserve">from </w:t>
      </w:r>
      <w:r w:rsidRPr="0076089F">
        <w:rPr>
          <w:szCs w:val="22"/>
        </w:rPr>
        <w:t>2010</w:t>
      </w:r>
      <w:r>
        <w:rPr>
          <w:szCs w:val="22"/>
        </w:rPr>
        <w:t>)</w:t>
      </w:r>
      <w:r w:rsidRPr="009E3FA3">
        <w:rPr>
          <w:szCs w:val="22"/>
        </w:rPr>
        <w:t>, and a large and growing stock of relatively new HFC charged equipment. The main HFCs</w:t>
      </w:r>
      <w:r w:rsidR="00965FDA">
        <w:rPr>
          <w:szCs w:val="22"/>
        </w:rPr>
        <w:t xml:space="preserve"> </w:t>
      </w:r>
      <w:r w:rsidRPr="009E3FA3">
        <w:rPr>
          <w:szCs w:val="22"/>
        </w:rPr>
        <w:t>employed in stationary AC</w:t>
      </w:r>
      <w:r w:rsidR="0076089F">
        <w:rPr>
          <w:szCs w:val="22"/>
        </w:rPr>
        <w:t xml:space="preserve"> </w:t>
      </w:r>
      <w:r w:rsidR="00965FDA">
        <w:rPr>
          <w:szCs w:val="22"/>
        </w:rPr>
        <w:t>since 2010 ha</w:t>
      </w:r>
      <w:r w:rsidR="00E35544">
        <w:rPr>
          <w:szCs w:val="22"/>
        </w:rPr>
        <w:t>ve</w:t>
      </w:r>
      <w:r w:rsidR="00965FDA">
        <w:rPr>
          <w:szCs w:val="22"/>
        </w:rPr>
        <w:t xml:space="preserve"> been</w:t>
      </w:r>
      <w:r w:rsidRPr="009E3FA3">
        <w:rPr>
          <w:szCs w:val="22"/>
        </w:rPr>
        <w:t xml:space="preserve"> HFC-410A, HFC-407C and HFC-134a. </w:t>
      </w:r>
      <w:r w:rsidR="00965FDA">
        <w:rPr>
          <w:szCs w:val="22"/>
        </w:rPr>
        <w:t>However t</w:t>
      </w:r>
      <w:r w:rsidRPr="009E3FA3">
        <w:rPr>
          <w:szCs w:val="22"/>
        </w:rPr>
        <w:t>he</w:t>
      </w:r>
      <w:r>
        <w:rPr>
          <w:szCs w:val="22"/>
        </w:rPr>
        <w:t xml:space="preserve"> more</w:t>
      </w:r>
      <w:r w:rsidRPr="009E3FA3">
        <w:rPr>
          <w:szCs w:val="22"/>
        </w:rPr>
        <w:t xml:space="preserve"> recently </w:t>
      </w:r>
      <w:r w:rsidR="002A019B">
        <w:rPr>
          <w:szCs w:val="22"/>
        </w:rPr>
        <w:t xml:space="preserve">(~2013) </w:t>
      </w:r>
      <w:r w:rsidRPr="009E3FA3">
        <w:rPr>
          <w:szCs w:val="22"/>
        </w:rPr>
        <w:t>commercialised HFC</w:t>
      </w:r>
      <w:r w:rsidRPr="009E3FA3">
        <w:rPr>
          <w:szCs w:val="22"/>
        </w:rPr>
        <w:noBreakHyphen/>
        <w:t>32</w:t>
      </w:r>
      <w:r w:rsidR="00965FDA">
        <w:rPr>
          <w:szCs w:val="22"/>
        </w:rPr>
        <w:t>, with a lower GWP than the other species,</w:t>
      </w:r>
      <w:r w:rsidRPr="009E3FA3">
        <w:rPr>
          <w:szCs w:val="22"/>
        </w:rPr>
        <w:t xml:space="preserve"> </w:t>
      </w:r>
      <w:r>
        <w:rPr>
          <w:szCs w:val="22"/>
        </w:rPr>
        <w:t>ha</w:t>
      </w:r>
      <w:r w:rsidRPr="009E3FA3">
        <w:rPr>
          <w:szCs w:val="22"/>
        </w:rPr>
        <w:t>s</w:t>
      </w:r>
      <w:r w:rsidR="00E35544">
        <w:rPr>
          <w:szCs w:val="22"/>
        </w:rPr>
        <w:t xml:space="preserve"> now</w:t>
      </w:r>
      <w:r>
        <w:rPr>
          <w:szCs w:val="22"/>
        </w:rPr>
        <w:t xml:space="preserve"> become</w:t>
      </w:r>
      <w:r w:rsidRPr="009E3FA3">
        <w:rPr>
          <w:szCs w:val="22"/>
        </w:rPr>
        <w:t xml:space="preserve"> the fastest growing portion of the bank in the small AC product categories.</w:t>
      </w:r>
    </w:p>
    <w:p w14:paraId="652FFE1D" w14:textId="4EECC9B3" w:rsidR="00597996" w:rsidRDefault="00597996" w:rsidP="009A23AA">
      <w:pPr>
        <w:rPr>
          <w:szCs w:val="22"/>
        </w:rPr>
      </w:pPr>
      <w:r w:rsidRPr="00581A4F">
        <w:rPr>
          <w:i/>
          <w:iCs/>
          <w:szCs w:val="22"/>
        </w:rPr>
        <w:t xml:space="preserve">Table </w:t>
      </w:r>
      <w:r w:rsidR="00581A4F" w:rsidRPr="00581A4F">
        <w:rPr>
          <w:i/>
          <w:iCs/>
          <w:szCs w:val="22"/>
        </w:rPr>
        <w:t>2</w:t>
      </w:r>
      <w:r w:rsidRPr="003318AD">
        <w:rPr>
          <w:i/>
          <w:iCs/>
          <w:szCs w:val="22"/>
        </w:rPr>
        <w:t xml:space="preserve"> </w:t>
      </w:r>
      <w:r>
        <w:rPr>
          <w:szCs w:val="22"/>
        </w:rPr>
        <w:t>provides a summary of the main metrics in stationary AC in 201</w:t>
      </w:r>
      <w:r w:rsidR="00965FDA">
        <w:rPr>
          <w:szCs w:val="22"/>
        </w:rPr>
        <w:t>8</w:t>
      </w:r>
      <w:r>
        <w:rPr>
          <w:szCs w:val="22"/>
        </w:rPr>
        <w:t>.</w:t>
      </w:r>
    </w:p>
    <w:p w14:paraId="7D3484CF" w14:textId="77777777" w:rsidR="00597996" w:rsidRDefault="00597996" w:rsidP="009A23AA">
      <w:pPr>
        <w:rPr>
          <w:szCs w:val="22"/>
        </w:rPr>
      </w:pPr>
    </w:p>
    <w:p w14:paraId="7113AA77" w14:textId="77777777" w:rsidR="002A019B" w:rsidRDefault="002A019B">
      <w:pPr>
        <w:spacing w:before="0"/>
        <w:jc w:val="left"/>
        <w:rPr>
          <w:rFonts w:eastAsia="Times New Roman" w:cs="Times New Roman"/>
          <w:bCs/>
          <w:i/>
          <w:szCs w:val="20"/>
          <w:lang w:val="en-US"/>
        </w:rPr>
      </w:pPr>
      <w:bookmarkStart w:id="14" w:name="_Toc525141395"/>
      <w:r>
        <w:br w:type="page"/>
      </w:r>
    </w:p>
    <w:p w14:paraId="62D7F714" w14:textId="30CE2FFC" w:rsidR="00597996" w:rsidRPr="002B2235" w:rsidRDefault="00597996" w:rsidP="009A23AA">
      <w:pPr>
        <w:pStyle w:val="Caption"/>
        <w:keepNext/>
      </w:pPr>
      <w:bookmarkStart w:id="15" w:name="_Toc19601354"/>
      <w:r>
        <w:t xml:space="preserve">Table </w:t>
      </w:r>
      <w:r w:rsidR="00C13218" w:rsidRPr="009E3FA3">
        <w:rPr>
          <w:noProof/>
        </w:rPr>
        <w:fldChar w:fldCharType="begin"/>
      </w:r>
      <w:r w:rsidR="00C13218" w:rsidRPr="009E3FA3">
        <w:rPr>
          <w:noProof/>
        </w:rPr>
        <w:instrText xml:space="preserve"> SEQ Table \* ARABIC </w:instrText>
      </w:r>
      <w:r w:rsidR="00C13218" w:rsidRPr="009E3FA3">
        <w:rPr>
          <w:noProof/>
        </w:rPr>
        <w:fldChar w:fldCharType="separate"/>
      </w:r>
      <w:r w:rsidR="001D0DA3">
        <w:rPr>
          <w:noProof/>
        </w:rPr>
        <w:t>2</w:t>
      </w:r>
      <w:r w:rsidR="00C13218" w:rsidRPr="009E3FA3">
        <w:rPr>
          <w:noProof/>
        </w:rPr>
        <w:fldChar w:fldCharType="end"/>
      </w:r>
      <w:r>
        <w:t xml:space="preserve">: </w:t>
      </w:r>
      <w:r w:rsidRPr="002B2235">
        <w:rPr>
          <w:lang w:val="en-GB"/>
        </w:rPr>
        <w:t>Stationary air conditioning main metrics: 201</w:t>
      </w:r>
      <w:r>
        <w:rPr>
          <w:lang w:val="en-GB"/>
        </w:rPr>
        <w:t>8</w:t>
      </w:r>
      <w:r w:rsidRPr="002B2235">
        <w:rPr>
          <w:lang w:val="en-GB"/>
        </w:rPr>
        <w:t>.</w:t>
      </w:r>
      <w:bookmarkEnd w:id="14"/>
      <w:bookmarkEnd w:id="15"/>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49"/>
        <w:gridCol w:w="4749"/>
      </w:tblGrid>
      <w:tr w:rsidR="00597996" w:rsidRPr="00866793" w14:paraId="7CE4DC53" w14:textId="77777777" w:rsidTr="001D5B2F">
        <w:trPr>
          <w:trHeight w:val="456"/>
        </w:trPr>
        <w:tc>
          <w:tcPr>
            <w:tcW w:w="4749" w:type="dxa"/>
            <w:tcBorders>
              <w:top w:val="single" w:sz="4" w:space="0" w:color="000000"/>
            </w:tcBorders>
            <w:shd w:val="clear" w:color="auto" w:fill="B6DDE8" w:themeFill="accent5" w:themeFillTint="66"/>
          </w:tcPr>
          <w:p w14:paraId="122E9A1A" w14:textId="77777777" w:rsidR="00597996" w:rsidRPr="008109F3" w:rsidRDefault="00597996" w:rsidP="009A23AA">
            <w:pPr>
              <w:snapToGrid w:val="0"/>
              <w:spacing w:after="120"/>
              <w:rPr>
                <w:rFonts w:cs="Times New Roman"/>
                <w:szCs w:val="22"/>
              </w:rPr>
            </w:pPr>
            <w:r w:rsidRPr="008109F3">
              <w:rPr>
                <w:rFonts w:cs="Times New Roman"/>
                <w:szCs w:val="22"/>
              </w:rPr>
              <w:t>Metric</w:t>
            </w:r>
          </w:p>
        </w:tc>
        <w:tc>
          <w:tcPr>
            <w:tcW w:w="4749" w:type="dxa"/>
            <w:tcBorders>
              <w:top w:val="single" w:sz="4" w:space="0" w:color="000000"/>
            </w:tcBorders>
            <w:shd w:val="clear" w:color="auto" w:fill="B6DDE8" w:themeFill="accent5" w:themeFillTint="66"/>
            <w:vAlign w:val="center"/>
          </w:tcPr>
          <w:p w14:paraId="20DA9723" w14:textId="77777777" w:rsidR="00597996" w:rsidRPr="008109F3" w:rsidRDefault="00597996" w:rsidP="00B55197">
            <w:pPr>
              <w:snapToGrid w:val="0"/>
              <w:spacing w:after="120"/>
              <w:jc w:val="center"/>
              <w:rPr>
                <w:rFonts w:cs="Times New Roman"/>
                <w:szCs w:val="22"/>
              </w:rPr>
            </w:pPr>
            <w:r w:rsidRPr="008109F3">
              <w:rPr>
                <w:rFonts w:cs="Times New Roman"/>
                <w:szCs w:val="22"/>
              </w:rPr>
              <w:t>201</w:t>
            </w:r>
            <w:r>
              <w:rPr>
                <w:rFonts w:cs="Times New Roman"/>
                <w:szCs w:val="22"/>
              </w:rPr>
              <w:t>8</w:t>
            </w:r>
          </w:p>
        </w:tc>
      </w:tr>
      <w:tr w:rsidR="00597996" w:rsidRPr="00866793" w14:paraId="0C8DCE98" w14:textId="77777777" w:rsidTr="001D5B2F">
        <w:trPr>
          <w:trHeight w:val="456"/>
        </w:trPr>
        <w:tc>
          <w:tcPr>
            <w:tcW w:w="4749" w:type="dxa"/>
            <w:tcBorders>
              <w:top w:val="single" w:sz="4" w:space="0" w:color="000000"/>
            </w:tcBorders>
            <w:vAlign w:val="center"/>
          </w:tcPr>
          <w:p w14:paraId="72E54859" w14:textId="77777777" w:rsidR="00597996" w:rsidRPr="008109F3" w:rsidRDefault="00597996" w:rsidP="009A23AA">
            <w:pPr>
              <w:snapToGrid w:val="0"/>
              <w:spacing w:before="60" w:after="60"/>
              <w:rPr>
                <w:rFonts w:cs="Times New Roman"/>
                <w:szCs w:val="22"/>
              </w:rPr>
            </w:pPr>
            <w:r w:rsidRPr="008109F3">
              <w:rPr>
                <w:rFonts w:cs="Times New Roman"/>
                <w:szCs w:val="22"/>
              </w:rPr>
              <w:t>Share of refrigerant bank</w:t>
            </w:r>
          </w:p>
        </w:tc>
        <w:tc>
          <w:tcPr>
            <w:tcW w:w="4749" w:type="dxa"/>
            <w:tcBorders>
              <w:top w:val="single" w:sz="4" w:space="0" w:color="000000"/>
            </w:tcBorders>
            <w:vAlign w:val="center"/>
          </w:tcPr>
          <w:p w14:paraId="61156342" w14:textId="303B81AD" w:rsidR="00597996" w:rsidRPr="00AD0F04" w:rsidRDefault="00597996" w:rsidP="00B55197">
            <w:pPr>
              <w:snapToGrid w:val="0"/>
              <w:spacing w:before="60" w:after="60"/>
              <w:jc w:val="center"/>
              <w:rPr>
                <w:rFonts w:cs="Times New Roman"/>
                <w:szCs w:val="22"/>
              </w:rPr>
            </w:pPr>
            <w:r w:rsidRPr="00AD0F04">
              <w:rPr>
                <w:rFonts w:cs="Times New Roman"/>
                <w:szCs w:val="22"/>
              </w:rPr>
              <w:t>6</w:t>
            </w:r>
            <w:r w:rsidR="00AD0F04" w:rsidRPr="00AD0F04">
              <w:rPr>
                <w:rFonts w:cs="Times New Roman"/>
                <w:szCs w:val="22"/>
              </w:rPr>
              <w:t>3</w:t>
            </w:r>
            <w:r w:rsidRPr="00AD0F04">
              <w:rPr>
                <w:rFonts w:cs="Times New Roman"/>
                <w:szCs w:val="22"/>
              </w:rPr>
              <w:t>%</w:t>
            </w:r>
          </w:p>
        </w:tc>
      </w:tr>
      <w:tr w:rsidR="00597996" w:rsidRPr="00866793" w14:paraId="0D03D170" w14:textId="77777777" w:rsidTr="001D5B2F">
        <w:trPr>
          <w:trHeight w:val="456"/>
        </w:trPr>
        <w:tc>
          <w:tcPr>
            <w:tcW w:w="4749" w:type="dxa"/>
            <w:tcBorders>
              <w:top w:val="single" w:sz="4" w:space="0" w:color="000000"/>
            </w:tcBorders>
            <w:vAlign w:val="center"/>
          </w:tcPr>
          <w:p w14:paraId="373B5B1C" w14:textId="77777777" w:rsidR="00597996" w:rsidRPr="008109F3" w:rsidRDefault="00597996" w:rsidP="009A23AA">
            <w:pPr>
              <w:snapToGrid w:val="0"/>
              <w:spacing w:before="60" w:after="60"/>
              <w:rPr>
                <w:rFonts w:cs="Times New Roman"/>
                <w:szCs w:val="22"/>
              </w:rPr>
            </w:pPr>
            <w:r w:rsidRPr="008109F3">
              <w:rPr>
                <w:rFonts w:cs="Times New Roman"/>
                <w:szCs w:val="22"/>
              </w:rPr>
              <w:t>Size of refrigerant bank</w:t>
            </w:r>
          </w:p>
        </w:tc>
        <w:tc>
          <w:tcPr>
            <w:tcW w:w="4749" w:type="dxa"/>
            <w:tcBorders>
              <w:top w:val="single" w:sz="4" w:space="0" w:color="000000"/>
            </w:tcBorders>
            <w:vAlign w:val="center"/>
          </w:tcPr>
          <w:p w14:paraId="7B231C5B" w14:textId="2FF11353" w:rsidR="00597996" w:rsidRPr="00AD0F04" w:rsidRDefault="00597996" w:rsidP="00B55197">
            <w:pPr>
              <w:snapToGrid w:val="0"/>
              <w:spacing w:before="60" w:after="60"/>
              <w:jc w:val="center"/>
              <w:rPr>
                <w:rFonts w:cs="Times New Roman"/>
                <w:szCs w:val="22"/>
              </w:rPr>
            </w:pPr>
            <w:r w:rsidRPr="00AD0F04">
              <w:rPr>
                <w:rFonts w:cs="Times New Roman"/>
                <w:szCs w:val="22"/>
              </w:rPr>
              <w:t>3</w:t>
            </w:r>
            <w:r w:rsidR="00AD0F04">
              <w:rPr>
                <w:rFonts w:cs="Times New Roman"/>
                <w:szCs w:val="22"/>
              </w:rPr>
              <w:t>3</w:t>
            </w:r>
            <w:r w:rsidRPr="00AD0F04">
              <w:rPr>
                <w:rFonts w:cs="Times New Roman"/>
                <w:szCs w:val="22"/>
              </w:rPr>
              <w:t>,</w:t>
            </w:r>
            <w:r w:rsidR="00AD0F04">
              <w:rPr>
                <w:rFonts w:cs="Times New Roman"/>
                <w:szCs w:val="22"/>
              </w:rPr>
              <w:t>550</w:t>
            </w:r>
            <w:r w:rsidRPr="00AD0F04">
              <w:rPr>
                <w:rFonts w:cs="Times New Roman"/>
                <w:szCs w:val="22"/>
              </w:rPr>
              <w:t xml:space="preserve"> tonnes</w:t>
            </w:r>
          </w:p>
        </w:tc>
      </w:tr>
      <w:tr w:rsidR="00597996" w:rsidRPr="00866793" w14:paraId="690AB5C9" w14:textId="77777777" w:rsidTr="001D5B2F">
        <w:trPr>
          <w:trHeight w:val="456"/>
        </w:trPr>
        <w:tc>
          <w:tcPr>
            <w:tcW w:w="4749" w:type="dxa"/>
            <w:tcBorders>
              <w:top w:val="single" w:sz="4" w:space="0" w:color="000000"/>
            </w:tcBorders>
            <w:vAlign w:val="center"/>
          </w:tcPr>
          <w:p w14:paraId="66866B42" w14:textId="77777777" w:rsidR="00597996" w:rsidRPr="008109F3" w:rsidRDefault="00597996" w:rsidP="009A23AA">
            <w:pPr>
              <w:snapToGrid w:val="0"/>
              <w:spacing w:before="60" w:after="60"/>
              <w:rPr>
                <w:rFonts w:cs="Times New Roman"/>
                <w:szCs w:val="22"/>
              </w:rPr>
            </w:pPr>
            <w:r w:rsidRPr="008109F3">
              <w:rPr>
                <w:rFonts w:cs="Times New Roman"/>
                <w:szCs w:val="22"/>
              </w:rPr>
              <w:t xml:space="preserve">Annual </w:t>
            </w:r>
            <w:r>
              <w:rPr>
                <w:rFonts w:cs="Times New Roman"/>
                <w:szCs w:val="22"/>
              </w:rPr>
              <w:t>usage</w:t>
            </w:r>
            <w:r w:rsidRPr="008109F3">
              <w:rPr>
                <w:rFonts w:cs="Times New Roman"/>
                <w:szCs w:val="22"/>
              </w:rPr>
              <w:t xml:space="preserve"> to replace leaks </w:t>
            </w:r>
          </w:p>
        </w:tc>
        <w:tc>
          <w:tcPr>
            <w:tcW w:w="4749" w:type="dxa"/>
            <w:tcBorders>
              <w:top w:val="single" w:sz="4" w:space="0" w:color="000000"/>
            </w:tcBorders>
            <w:vAlign w:val="center"/>
          </w:tcPr>
          <w:p w14:paraId="4DCDBE4F" w14:textId="271211B3" w:rsidR="00597996" w:rsidRPr="008109F3" w:rsidRDefault="00B55197" w:rsidP="00B55197">
            <w:pPr>
              <w:snapToGrid w:val="0"/>
              <w:spacing w:before="60" w:after="60"/>
              <w:jc w:val="center"/>
              <w:rPr>
                <w:rFonts w:cs="Times New Roman"/>
                <w:szCs w:val="22"/>
              </w:rPr>
            </w:pPr>
            <w:r w:rsidRPr="00B55197">
              <w:rPr>
                <w:rFonts w:cs="Times New Roman"/>
                <w:szCs w:val="22"/>
              </w:rPr>
              <w:t>1,350</w:t>
            </w:r>
            <w:r w:rsidR="00597996" w:rsidRPr="00B55197">
              <w:rPr>
                <w:rFonts w:cs="Times New Roman"/>
                <w:szCs w:val="22"/>
              </w:rPr>
              <w:t xml:space="preserve"> tonnes</w:t>
            </w:r>
          </w:p>
        </w:tc>
      </w:tr>
      <w:tr w:rsidR="00597996" w:rsidRPr="00866793" w14:paraId="0CC17A45" w14:textId="77777777" w:rsidTr="001D5B2F">
        <w:trPr>
          <w:trHeight w:val="456"/>
        </w:trPr>
        <w:tc>
          <w:tcPr>
            <w:tcW w:w="4749" w:type="dxa"/>
            <w:tcBorders>
              <w:top w:val="single" w:sz="4" w:space="0" w:color="000000"/>
            </w:tcBorders>
            <w:vAlign w:val="center"/>
          </w:tcPr>
          <w:p w14:paraId="5AECDF19" w14:textId="77777777" w:rsidR="00597996" w:rsidRPr="008109F3" w:rsidRDefault="00597996" w:rsidP="00C05376">
            <w:pPr>
              <w:snapToGrid w:val="0"/>
              <w:spacing w:before="60" w:after="60"/>
              <w:jc w:val="left"/>
              <w:rPr>
                <w:rFonts w:cs="Times New Roman"/>
                <w:szCs w:val="22"/>
              </w:rPr>
            </w:pPr>
            <w:r w:rsidRPr="00641696">
              <w:rPr>
                <w:rFonts w:cs="Times New Roman"/>
                <w:szCs w:val="22"/>
              </w:rPr>
              <w:t>Refrigerant in pre-charged equipment imports 2018</w:t>
            </w:r>
          </w:p>
        </w:tc>
        <w:tc>
          <w:tcPr>
            <w:tcW w:w="4749" w:type="dxa"/>
            <w:tcBorders>
              <w:top w:val="single" w:sz="4" w:space="0" w:color="000000"/>
            </w:tcBorders>
            <w:vAlign w:val="center"/>
          </w:tcPr>
          <w:p w14:paraId="4C379E51" w14:textId="76FB59F2" w:rsidR="00597996" w:rsidRPr="008109F3" w:rsidRDefault="00AD0F04" w:rsidP="00B55197">
            <w:pPr>
              <w:snapToGrid w:val="0"/>
              <w:spacing w:before="60" w:after="60"/>
              <w:jc w:val="center"/>
              <w:rPr>
                <w:rFonts w:cs="Times New Roman"/>
                <w:szCs w:val="22"/>
              </w:rPr>
            </w:pPr>
            <w:r w:rsidRPr="00AD0F04">
              <w:rPr>
                <w:rFonts w:cs="Times New Roman"/>
                <w:szCs w:val="22"/>
              </w:rPr>
              <w:t>2,</w:t>
            </w:r>
            <w:r>
              <w:rPr>
                <w:rFonts w:cs="Times New Roman"/>
                <w:szCs w:val="22"/>
              </w:rPr>
              <w:t>722</w:t>
            </w:r>
            <w:r w:rsidR="00597996" w:rsidRPr="00AD0F04">
              <w:rPr>
                <w:rFonts w:cs="Times New Roman"/>
                <w:szCs w:val="22"/>
              </w:rPr>
              <w:t xml:space="preserve"> tonnes</w:t>
            </w:r>
          </w:p>
        </w:tc>
      </w:tr>
      <w:tr w:rsidR="00597996" w:rsidRPr="00866793" w14:paraId="21117A2E" w14:textId="77777777" w:rsidTr="001D5B2F">
        <w:trPr>
          <w:trHeight w:val="456"/>
        </w:trPr>
        <w:tc>
          <w:tcPr>
            <w:tcW w:w="4749" w:type="dxa"/>
            <w:tcBorders>
              <w:top w:val="single" w:sz="4" w:space="0" w:color="000000"/>
            </w:tcBorders>
            <w:vAlign w:val="center"/>
          </w:tcPr>
          <w:p w14:paraId="757C71AB" w14:textId="77777777" w:rsidR="00597996" w:rsidRPr="008109F3" w:rsidRDefault="00597996" w:rsidP="009A23AA">
            <w:pPr>
              <w:snapToGrid w:val="0"/>
              <w:spacing w:before="60" w:after="60"/>
              <w:rPr>
                <w:rFonts w:cs="Times New Roman"/>
                <w:szCs w:val="22"/>
              </w:rPr>
            </w:pPr>
            <w:r w:rsidRPr="008109F3">
              <w:rPr>
                <w:rFonts w:cs="Times New Roman"/>
                <w:szCs w:val="22"/>
              </w:rPr>
              <w:t>Estimated stock of equipment</w:t>
            </w:r>
          </w:p>
        </w:tc>
        <w:tc>
          <w:tcPr>
            <w:tcW w:w="4749" w:type="dxa"/>
            <w:tcBorders>
              <w:top w:val="single" w:sz="4" w:space="0" w:color="000000"/>
            </w:tcBorders>
            <w:vAlign w:val="center"/>
          </w:tcPr>
          <w:p w14:paraId="4221ADB3" w14:textId="27FFDA57" w:rsidR="00597996" w:rsidRPr="008109F3" w:rsidRDefault="00597996" w:rsidP="00B55197">
            <w:pPr>
              <w:snapToGrid w:val="0"/>
              <w:spacing w:before="60" w:after="60"/>
              <w:jc w:val="center"/>
              <w:rPr>
                <w:rFonts w:cs="Times New Roman"/>
                <w:szCs w:val="22"/>
              </w:rPr>
            </w:pPr>
            <w:r w:rsidRPr="00AD0F04">
              <w:rPr>
                <w:rFonts w:cs="Times New Roman"/>
                <w:szCs w:val="22"/>
              </w:rPr>
              <w:t>&gt; 1</w:t>
            </w:r>
            <w:r w:rsidR="00AD0F04" w:rsidRPr="00AD0F04">
              <w:rPr>
                <w:rFonts w:cs="Times New Roman"/>
                <w:szCs w:val="22"/>
              </w:rPr>
              <w:t>5</w:t>
            </w:r>
            <w:r w:rsidRPr="00AD0F04">
              <w:rPr>
                <w:rFonts w:cs="Times New Roman"/>
                <w:szCs w:val="22"/>
              </w:rPr>
              <w:t>.</w:t>
            </w:r>
            <w:r w:rsidR="00AD0F04" w:rsidRPr="00AD0F04">
              <w:rPr>
                <w:rFonts w:cs="Times New Roman"/>
                <w:szCs w:val="22"/>
              </w:rPr>
              <w:t>7</w:t>
            </w:r>
            <w:r w:rsidRPr="00AD0F04">
              <w:rPr>
                <w:rFonts w:cs="Times New Roman"/>
                <w:szCs w:val="22"/>
              </w:rPr>
              <w:t xml:space="preserve"> million units</w:t>
            </w:r>
          </w:p>
        </w:tc>
      </w:tr>
      <w:tr w:rsidR="00597996" w:rsidRPr="00866793" w14:paraId="6793694D" w14:textId="77777777" w:rsidTr="001D5B2F">
        <w:trPr>
          <w:trHeight w:val="456"/>
        </w:trPr>
        <w:tc>
          <w:tcPr>
            <w:tcW w:w="4749" w:type="dxa"/>
            <w:tcBorders>
              <w:top w:val="single" w:sz="4" w:space="0" w:color="000000"/>
            </w:tcBorders>
            <w:vAlign w:val="center"/>
          </w:tcPr>
          <w:p w14:paraId="3688FB7F" w14:textId="77777777" w:rsidR="00597996" w:rsidRPr="008109F3" w:rsidRDefault="00597996" w:rsidP="009A23AA">
            <w:pPr>
              <w:snapToGrid w:val="0"/>
              <w:spacing w:before="60" w:after="60"/>
              <w:rPr>
                <w:rFonts w:cs="Times New Roman"/>
                <w:szCs w:val="22"/>
              </w:rPr>
            </w:pPr>
            <w:r w:rsidRPr="008109F3">
              <w:rPr>
                <w:rFonts w:cs="Times New Roman"/>
                <w:szCs w:val="22"/>
              </w:rPr>
              <w:t>Annual electricity consumption</w:t>
            </w:r>
          </w:p>
        </w:tc>
        <w:tc>
          <w:tcPr>
            <w:tcW w:w="4749" w:type="dxa"/>
            <w:tcBorders>
              <w:top w:val="single" w:sz="4" w:space="0" w:color="000000"/>
            </w:tcBorders>
            <w:vAlign w:val="center"/>
          </w:tcPr>
          <w:p w14:paraId="4025073C" w14:textId="1A7F81DB" w:rsidR="00597996" w:rsidRPr="00FA514B" w:rsidRDefault="00597996" w:rsidP="00B55197">
            <w:pPr>
              <w:snapToGrid w:val="0"/>
              <w:spacing w:before="60" w:after="60"/>
              <w:jc w:val="center"/>
              <w:rPr>
                <w:rFonts w:cs="Times New Roman"/>
                <w:szCs w:val="22"/>
                <w:highlight w:val="yellow"/>
              </w:rPr>
            </w:pPr>
            <w:r w:rsidRPr="00AD0F04">
              <w:rPr>
                <w:rFonts w:cs="Times New Roman"/>
                <w:szCs w:val="22"/>
              </w:rPr>
              <w:t>3</w:t>
            </w:r>
            <w:r w:rsidR="00AD0F04" w:rsidRPr="00AD0F04">
              <w:rPr>
                <w:rFonts w:cs="Times New Roman"/>
                <w:szCs w:val="22"/>
              </w:rPr>
              <w:t>5</w:t>
            </w:r>
            <w:r w:rsidRPr="00AD0F04">
              <w:rPr>
                <w:rFonts w:cs="Times New Roman"/>
                <w:szCs w:val="22"/>
              </w:rPr>
              <w:t>,</w:t>
            </w:r>
            <w:r w:rsidR="00AD0F04" w:rsidRPr="00AD0F04">
              <w:rPr>
                <w:rFonts w:cs="Times New Roman"/>
                <w:szCs w:val="22"/>
              </w:rPr>
              <w:t>727</w:t>
            </w:r>
            <w:r w:rsidRPr="00AD0F04">
              <w:rPr>
                <w:rFonts w:cs="Times New Roman"/>
                <w:szCs w:val="22"/>
              </w:rPr>
              <w:t xml:space="preserve"> </w:t>
            </w:r>
            <w:proofErr w:type="spellStart"/>
            <w:r w:rsidRPr="00AD0F04">
              <w:rPr>
                <w:rFonts w:cs="Times New Roman"/>
                <w:szCs w:val="22"/>
              </w:rPr>
              <w:t>GWh</w:t>
            </w:r>
            <w:proofErr w:type="spellEnd"/>
            <w:r w:rsidR="002A019B">
              <w:rPr>
                <w:rFonts w:cs="Times New Roman"/>
                <w:szCs w:val="22"/>
              </w:rPr>
              <w:t xml:space="preserve"> </w:t>
            </w:r>
            <w:r w:rsidR="00B5198B" w:rsidRPr="00B5198B">
              <w:rPr>
                <w:rFonts w:cs="Times New Roman"/>
                <w:szCs w:val="22"/>
                <w:vertAlign w:val="superscript"/>
              </w:rPr>
              <w:t>(1)</w:t>
            </w:r>
          </w:p>
        </w:tc>
      </w:tr>
      <w:tr w:rsidR="00597996" w:rsidRPr="00866793" w14:paraId="16FE62D5" w14:textId="77777777" w:rsidTr="001D5B2F">
        <w:trPr>
          <w:trHeight w:val="456"/>
        </w:trPr>
        <w:tc>
          <w:tcPr>
            <w:tcW w:w="4749" w:type="dxa"/>
            <w:tcBorders>
              <w:top w:val="single" w:sz="4" w:space="0" w:color="000000"/>
            </w:tcBorders>
            <w:vAlign w:val="center"/>
          </w:tcPr>
          <w:p w14:paraId="1D3BAD61" w14:textId="0DD49E6B" w:rsidR="00597996" w:rsidRPr="008109F3" w:rsidRDefault="00597996" w:rsidP="009A23AA">
            <w:pPr>
              <w:snapToGrid w:val="0"/>
              <w:spacing w:before="60" w:after="60"/>
              <w:rPr>
                <w:rFonts w:cs="Times New Roman"/>
                <w:szCs w:val="22"/>
              </w:rPr>
            </w:pPr>
            <w:r w:rsidRPr="008109F3">
              <w:rPr>
                <w:rFonts w:cs="Times New Roman"/>
                <w:szCs w:val="22"/>
              </w:rPr>
              <w:t xml:space="preserve">Share of HVAC&amp;R </w:t>
            </w:r>
            <w:r w:rsidR="002A019B">
              <w:rPr>
                <w:rFonts w:cs="Times New Roman"/>
                <w:szCs w:val="22"/>
              </w:rPr>
              <w:t>e</w:t>
            </w:r>
            <w:r w:rsidRPr="008109F3">
              <w:rPr>
                <w:rFonts w:cs="Times New Roman"/>
                <w:szCs w:val="22"/>
              </w:rPr>
              <w:t>lectricity consumption</w:t>
            </w:r>
          </w:p>
        </w:tc>
        <w:tc>
          <w:tcPr>
            <w:tcW w:w="4749" w:type="dxa"/>
            <w:tcBorders>
              <w:top w:val="single" w:sz="4" w:space="0" w:color="000000"/>
            </w:tcBorders>
            <w:vAlign w:val="center"/>
          </w:tcPr>
          <w:p w14:paraId="15772620" w14:textId="507CC253" w:rsidR="00597996" w:rsidRPr="00AD0F04" w:rsidRDefault="00597996" w:rsidP="00B55197">
            <w:pPr>
              <w:snapToGrid w:val="0"/>
              <w:spacing w:before="60" w:after="60"/>
              <w:jc w:val="center"/>
              <w:rPr>
                <w:rFonts w:cs="Times New Roman"/>
                <w:szCs w:val="22"/>
              </w:rPr>
            </w:pPr>
            <w:r w:rsidRPr="00AD0F04">
              <w:rPr>
                <w:rFonts w:cs="Times New Roman"/>
                <w:szCs w:val="22"/>
              </w:rPr>
              <w:t>5</w:t>
            </w:r>
            <w:r w:rsidR="00B5198B">
              <w:rPr>
                <w:rFonts w:cs="Times New Roman"/>
                <w:szCs w:val="22"/>
              </w:rPr>
              <w:t>6</w:t>
            </w:r>
            <w:r w:rsidRPr="00AD0F04">
              <w:rPr>
                <w:rFonts w:cs="Times New Roman"/>
                <w:szCs w:val="22"/>
              </w:rPr>
              <w:t>%</w:t>
            </w:r>
          </w:p>
        </w:tc>
      </w:tr>
      <w:tr w:rsidR="00597996" w:rsidRPr="00866793" w14:paraId="7641E7E8" w14:textId="77777777" w:rsidTr="001D5B2F">
        <w:trPr>
          <w:trHeight w:val="456"/>
        </w:trPr>
        <w:tc>
          <w:tcPr>
            <w:tcW w:w="4749" w:type="dxa"/>
            <w:tcBorders>
              <w:top w:val="single" w:sz="4" w:space="0" w:color="000000"/>
            </w:tcBorders>
            <w:vAlign w:val="center"/>
          </w:tcPr>
          <w:p w14:paraId="38224A9D" w14:textId="77777777" w:rsidR="00597996" w:rsidRPr="008109F3" w:rsidRDefault="00597996" w:rsidP="009A23AA">
            <w:pPr>
              <w:snapToGrid w:val="0"/>
              <w:spacing w:before="60" w:after="60"/>
              <w:rPr>
                <w:rFonts w:cs="Times New Roman"/>
                <w:szCs w:val="22"/>
              </w:rPr>
            </w:pPr>
            <w:r w:rsidRPr="008109F3">
              <w:rPr>
                <w:rFonts w:cs="Times New Roman"/>
                <w:szCs w:val="22"/>
              </w:rPr>
              <w:t>Annual GHG indirect emissions</w:t>
            </w:r>
          </w:p>
        </w:tc>
        <w:tc>
          <w:tcPr>
            <w:tcW w:w="4749" w:type="dxa"/>
            <w:tcBorders>
              <w:top w:val="single" w:sz="4" w:space="0" w:color="000000"/>
            </w:tcBorders>
            <w:vAlign w:val="center"/>
          </w:tcPr>
          <w:p w14:paraId="16953C95" w14:textId="3D8910A8" w:rsidR="00597996" w:rsidRPr="00AD0F04" w:rsidRDefault="009560FA" w:rsidP="00B55197">
            <w:pPr>
              <w:snapToGrid w:val="0"/>
              <w:spacing w:before="60" w:after="60"/>
              <w:jc w:val="center"/>
              <w:rPr>
                <w:rFonts w:cs="Times New Roman"/>
                <w:szCs w:val="22"/>
              </w:rPr>
            </w:pPr>
            <w:r>
              <w:rPr>
                <w:rFonts w:cs="Times New Roman"/>
                <w:szCs w:val="22"/>
              </w:rPr>
              <w:t>28.58</w:t>
            </w:r>
            <w:r w:rsidR="00597996" w:rsidRPr="00AD0F04">
              <w:rPr>
                <w:rFonts w:cs="Times New Roman"/>
                <w:szCs w:val="22"/>
              </w:rPr>
              <w:t xml:space="preserve"> Mt CO</w:t>
            </w:r>
            <w:r w:rsidR="00597996" w:rsidRPr="00AD0F04">
              <w:rPr>
                <w:rFonts w:cs="Times New Roman"/>
                <w:szCs w:val="22"/>
                <w:vertAlign w:val="subscript"/>
              </w:rPr>
              <w:t>2</w:t>
            </w:r>
            <w:r w:rsidR="00597996" w:rsidRPr="00AD0F04">
              <w:rPr>
                <w:rFonts w:cs="Times New Roman"/>
                <w:szCs w:val="22"/>
              </w:rPr>
              <w:t>e</w:t>
            </w:r>
          </w:p>
        </w:tc>
      </w:tr>
      <w:tr w:rsidR="00597996" w:rsidRPr="00866793" w14:paraId="3D543C73" w14:textId="77777777" w:rsidTr="001D5B2F">
        <w:trPr>
          <w:trHeight w:val="456"/>
        </w:trPr>
        <w:tc>
          <w:tcPr>
            <w:tcW w:w="4749" w:type="dxa"/>
            <w:tcBorders>
              <w:top w:val="single" w:sz="4" w:space="0" w:color="000000"/>
            </w:tcBorders>
            <w:vAlign w:val="center"/>
          </w:tcPr>
          <w:p w14:paraId="596AAFEF" w14:textId="77777777" w:rsidR="00597996" w:rsidRPr="00AD0F04" w:rsidRDefault="00597996" w:rsidP="009A23AA">
            <w:pPr>
              <w:snapToGrid w:val="0"/>
              <w:spacing w:before="60" w:after="60"/>
              <w:rPr>
                <w:rFonts w:cs="Times New Roman"/>
                <w:color w:val="000000" w:themeColor="text1"/>
                <w:szCs w:val="22"/>
              </w:rPr>
            </w:pPr>
            <w:r w:rsidRPr="00AD0F04">
              <w:rPr>
                <w:rFonts w:cs="Times New Roman"/>
                <w:color w:val="000000" w:themeColor="text1"/>
                <w:szCs w:val="22"/>
              </w:rPr>
              <w:t>Share of HVAC&amp;R indirect emissions</w:t>
            </w:r>
          </w:p>
        </w:tc>
        <w:tc>
          <w:tcPr>
            <w:tcW w:w="4749" w:type="dxa"/>
            <w:tcBorders>
              <w:top w:val="single" w:sz="4" w:space="0" w:color="000000"/>
            </w:tcBorders>
            <w:vAlign w:val="center"/>
          </w:tcPr>
          <w:p w14:paraId="6CEC3904" w14:textId="144E3993" w:rsidR="00597996" w:rsidRPr="00AD0F04" w:rsidRDefault="00597996" w:rsidP="00B55197">
            <w:pPr>
              <w:snapToGrid w:val="0"/>
              <w:spacing w:before="60" w:after="60"/>
              <w:jc w:val="center"/>
              <w:rPr>
                <w:rFonts w:cs="Times New Roman"/>
                <w:color w:val="000000" w:themeColor="text1"/>
                <w:szCs w:val="22"/>
              </w:rPr>
            </w:pPr>
            <w:r w:rsidRPr="00AD0F04">
              <w:rPr>
                <w:rFonts w:cs="Times New Roman"/>
                <w:color w:val="000000" w:themeColor="text1"/>
                <w:szCs w:val="22"/>
              </w:rPr>
              <w:t>5</w:t>
            </w:r>
            <w:r w:rsidR="00AD0F04" w:rsidRPr="00AD0F04">
              <w:rPr>
                <w:rFonts w:cs="Times New Roman"/>
                <w:color w:val="000000" w:themeColor="text1"/>
                <w:szCs w:val="22"/>
              </w:rPr>
              <w:t>3</w:t>
            </w:r>
            <w:r w:rsidRPr="00AD0F04">
              <w:rPr>
                <w:rFonts w:cs="Times New Roman"/>
                <w:color w:val="000000" w:themeColor="text1"/>
                <w:szCs w:val="22"/>
              </w:rPr>
              <w:t>%</w:t>
            </w:r>
          </w:p>
        </w:tc>
      </w:tr>
      <w:tr w:rsidR="00597996" w:rsidRPr="00866793" w14:paraId="794DE39B" w14:textId="77777777" w:rsidTr="001D5B2F">
        <w:trPr>
          <w:trHeight w:val="456"/>
        </w:trPr>
        <w:tc>
          <w:tcPr>
            <w:tcW w:w="4749" w:type="dxa"/>
            <w:tcBorders>
              <w:top w:val="single" w:sz="4" w:space="0" w:color="000000"/>
            </w:tcBorders>
            <w:vAlign w:val="center"/>
          </w:tcPr>
          <w:p w14:paraId="639FD421" w14:textId="53D49A26" w:rsidR="00597996" w:rsidRPr="00AD0F04" w:rsidRDefault="00597996" w:rsidP="009A23AA">
            <w:pPr>
              <w:snapToGrid w:val="0"/>
              <w:spacing w:before="60" w:after="60"/>
              <w:rPr>
                <w:rFonts w:cs="Times New Roman"/>
                <w:color w:val="000000" w:themeColor="text1"/>
                <w:szCs w:val="22"/>
              </w:rPr>
            </w:pPr>
            <w:r w:rsidRPr="00AD0F04">
              <w:rPr>
                <w:rFonts w:cs="Times New Roman"/>
                <w:color w:val="000000" w:themeColor="text1"/>
                <w:szCs w:val="22"/>
              </w:rPr>
              <w:t>Annual GHG direct emissions (ODS)</w:t>
            </w:r>
          </w:p>
        </w:tc>
        <w:tc>
          <w:tcPr>
            <w:tcW w:w="4749" w:type="dxa"/>
            <w:tcBorders>
              <w:top w:val="single" w:sz="4" w:space="0" w:color="000000"/>
            </w:tcBorders>
            <w:vAlign w:val="center"/>
          </w:tcPr>
          <w:p w14:paraId="0599D35A" w14:textId="258FB683" w:rsidR="00597996" w:rsidRPr="00AE64A9" w:rsidRDefault="00597996" w:rsidP="00B55197">
            <w:pPr>
              <w:snapToGrid w:val="0"/>
              <w:spacing w:before="60" w:after="60"/>
              <w:jc w:val="center"/>
              <w:rPr>
                <w:rFonts w:cs="Times New Roman"/>
                <w:color w:val="000000" w:themeColor="text1"/>
                <w:szCs w:val="22"/>
              </w:rPr>
            </w:pPr>
            <w:r w:rsidRPr="00AE64A9">
              <w:rPr>
                <w:rFonts w:cs="Times New Roman"/>
                <w:color w:val="000000" w:themeColor="text1"/>
                <w:szCs w:val="22"/>
              </w:rPr>
              <w:t>0.</w:t>
            </w:r>
            <w:r w:rsidR="00AE64A9" w:rsidRPr="00AE64A9">
              <w:rPr>
                <w:rFonts w:cs="Times New Roman"/>
                <w:color w:val="000000" w:themeColor="text1"/>
                <w:szCs w:val="22"/>
              </w:rPr>
              <w:t>48</w:t>
            </w:r>
            <w:r w:rsidRPr="00AE64A9">
              <w:rPr>
                <w:rFonts w:cs="Times New Roman"/>
                <w:color w:val="000000" w:themeColor="text1"/>
                <w:szCs w:val="22"/>
              </w:rPr>
              <w:t xml:space="preserve"> </w:t>
            </w:r>
            <w:r w:rsidR="00C05376">
              <w:rPr>
                <w:rFonts w:cs="Times New Roman"/>
                <w:color w:val="000000" w:themeColor="text1"/>
                <w:szCs w:val="22"/>
              </w:rPr>
              <w:t xml:space="preserve">million tonnes </w:t>
            </w:r>
            <w:r w:rsidRPr="00AE64A9">
              <w:rPr>
                <w:rFonts w:cs="Times New Roman"/>
                <w:color w:val="000000" w:themeColor="text1"/>
                <w:szCs w:val="22"/>
              </w:rPr>
              <w:t>CO</w:t>
            </w:r>
            <w:r w:rsidRPr="00AE64A9">
              <w:rPr>
                <w:rFonts w:cs="Times New Roman"/>
                <w:color w:val="000000" w:themeColor="text1"/>
                <w:szCs w:val="22"/>
                <w:vertAlign w:val="subscript"/>
              </w:rPr>
              <w:t>2</w:t>
            </w:r>
            <w:r w:rsidRPr="00AE64A9">
              <w:rPr>
                <w:rFonts w:cs="Times New Roman"/>
                <w:color w:val="000000" w:themeColor="text1"/>
                <w:szCs w:val="22"/>
              </w:rPr>
              <w:t>e</w:t>
            </w:r>
            <w:r w:rsidR="002A019B">
              <w:rPr>
                <w:rFonts w:cs="Times New Roman"/>
                <w:color w:val="000000" w:themeColor="text1"/>
                <w:szCs w:val="22"/>
              </w:rPr>
              <w:t xml:space="preserve"> </w:t>
            </w:r>
            <w:r w:rsidR="002A019B" w:rsidRPr="00B5198B">
              <w:rPr>
                <w:rFonts w:cs="Times New Roman"/>
                <w:szCs w:val="22"/>
                <w:vertAlign w:val="superscript"/>
              </w:rPr>
              <w:t>(</w:t>
            </w:r>
            <w:r w:rsidR="002A019B">
              <w:rPr>
                <w:rFonts w:cs="Times New Roman"/>
                <w:szCs w:val="22"/>
                <w:vertAlign w:val="superscript"/>
              </w:rPr>
              <w:t>2</w:t>
            </w:r>
            <w:r w:rsidR="002A019B" w:rsidRPr="00B5198B">
              <w:rPr>
                <w:rFonts w:cs="Times New Roman"/>
                <w:szCs w:val="22"/>
                <w:vertAlign w:val="superscript"/>
              </w:rPr>
              <w:t>)</w:t>
            </w:r>
          </w:p>
        </w:tc>
      </w:tr>
      <w:tr w:rsidR="00597996" w:rsidRPr="00866793" w14:paraId="118CD11F" w14:textId="77777777" w:rsidTr="001D5B2F">
        <w:trPr>
          <w:trHeight w:val="456"/>
        </w:trPr>
        <w:tc>
          <w:tcPr>
            <w:tcW w:w="4749" w:type="dxa"/>
            <w:tcBorders>
              <w:top w:val="single" w:sz="4" w:space="0" w:color="000000"/>
            </w:tcBorders>
            <w:vAlign w:val="center"/>
          </w:tcPr>
          <w:p w14:paraId="3C21AF30" w14:textId="77777777" w:rsidR="00597996" w:rsidRPr="00AD0F04" w:rsidRDefault="00597996" w:rsidP="009A23AA">
            <w:pPr>
              <w:snapToGrid w:val="0"/>
              <w:spacing w:before="60" w:after="60"/>
              <w:rPr>
                <w:rFonts w:cs="Times New Roman"/>
                <w:color w:val="000000" w:themeColor="text1"/>
                <w:szCs w:val="22"/>
              </w:rPr>
            </w:pPr>
            <w:r w:rsidRPr="00AD0F04">
              <w:rPr>
                <w:rFonts w:cs="Times New Roman"/>
                <w:color w:val="000000" w:themeColor="text1"/>
                <w:szCs w:val="22"/>
              </w:rPr>
              <w:t>Annual GHG direct emissions (SGG)</w:t>
            </w:r>
          </w:p>
        </w:tc>
        <w:tc>
          <w:tcPr>
            <w:tcW w:w="4749" w:type="dxa"/>
            <w:tcBorders>
              <w:top w:val="single" w:sz="4" w:space="0" w:color="000000"/>
            </w:tcBorders>
            <w:vAlign w:val="center"/>
          </w:tcPr>
          <w:p w14:paraId="734AA445" w14:textId="2D59C850" w:rsidR="00597996" w:rsidRPr="00AE64A9" w:rsidRDefault="00597996" w:rsidP="00B55197">
            <w:pPr>
              <w:snapToGrid w:val="0"/>
              <w:spacing w:before="60" w:after="60"/>
              <w:jc w:val="center"/>
              <w:rPr>
                <w:rFonts w:cs="Times New Roman"/>
                <w:color w:val="000000" w:themeColor="text1"/>
                <w:szCs w:val="22"/>
              </w:rPr>
            </w:pPr>
            <w:r w:rsidRPr="00AE64A9">
              <w:rPr>
                <w:rFonts w:cs="Times New Roman"/>
                <w:color w:val="000000" w:themeColor="text1"/>
                <w:szCs w:val="22"/>
              </w:rPr>
              <w:t>1.</w:t>
            </w:r>
            <w:r w:rsidR="00AE64A9" w:rsidRPr="00AE64A9">
              <w:rPr>
                <w:rFonts w:cs="Times New Roman"/>
                <w:color w:val="000000" w:themeColor="text1"/>
                <w:szCs w:val="22"/>
              </w:rPr>
              <w:t>88</w:t>
            </w:r>
            <w:r w:rsidRPr="00AE64A9">
              <w:rPr>
                <w:rFonts w:cs="Times New Roman"/>
                <w:color w:val="000000" w:themeColor="text1"/>
                <w:szCs w:val="22"/>
              </w:rPr>
              <w:t xml:space="preserve"> </w:t>
            </w:r>
            <w:r w:rsidR="00C05376">
              <w:rPr>
                <w:rFonts w:cs="Times New Roman"/>
                <w:color w:val="000000" w:themeColor="text1"/>
                <w:szCs w:val="22"/>
              </w:rPr>
              <w:t>million tonnes</w:t>
            </w:r>
            <w:r w:rsidRPr="00AE64A9">
              <w:rPr>
                <w:rFonts w:cs="Times New Roman"/>
                <w:color w:val="000000" w:themeColor="text1"/>
                <w:szCs w:val="22"/>
              </w:rPr>
              <w:t xml:space="preserve"> CO</w:t>
            </w:r>
            <w:r w:rsidRPr="00AE64A9">
              <w:rPr>
                <w:rFonts w:cs="Times New Roman"/>
                <w:color w:val="000000" w:themeColor="text1"/>
                <w:szCs w:val="22"/>
                <w:vertAlign w:val="subscript"/>
              </w:rPr>
              <w:t>2</w:t>
            </w:r>
            <w:r w:rsidRPr="00AE64A9">
              <w:rPr>
                <w:rFonts w:cs="Times New Roman"/>
                <w:color w:val="000000" w:themeColor="text1"/>
                <w:szCs w:val="22"/>
              </w:rPr>
              <w:t>e</w:t>
            </w:r>
          </w:p>
        </w:tc>
      </w:tr>
      <w:tr w:rsidR="00597996" w:rsidRPr="00866793" w14:paraId="491E38F7" w14:textId="77777777" w:rsidTr="001D5B2F">
        <w:trPr>
          <w:trHeight w:val="456"/>
        </w:trPr>
        <w:tc>
          <w:tcPr>
            <w:tcW w:w="4749" w:type="dxa"/>
            <w:tcBorders>
              <w:top w:val="single" w:sz="4" w:space="0" w:color="000000"/>
            </w:tcBorders>
            <w:vAlign w:val="center"/>
          </w:tcPr>
          <w:p w14:paraId="623F5505" w14:textId="77777777" w:rsidR="00597996" w:rsidRPr="00AD0F04" w:rsidRDefault="00597996" w:rsidP="009A23AA">
            <w:pPr>
              <w:snapToGrid w:val="0"/>
              <w:spacing w:before="60" w:after="60"/>
              <w:rPr>
                <w:rFonts w:cs="Times New Roman"/>
                <w:color w:val="000000" w:themeColor="text1"/>
                <w:szCs w:val="22"/>
              </w:rPr>
            </w:pPr>
            <w:r w:rsidRPr="00AD0F04">
              <w:rPr>
                <w:rFonts w:cs="Times New Roman"/>
                <w:color w:val="000000" w:themeColor="text1"/>
                <w:szCs w:val="22"/>
              </w:rPr>
              <w:t>Share of HVAC&amp;R direct emissions</w:t>
            </w:r>
          </w:p>
        </w:tc>
        <w:tc>
          <w:tcPr>
            <w:tcW w:w="4749" w:type="dxa"/>
            <w:tcBorders>
              <w:top w:val="single" w:sz="4" w:space="0" w:color="000000"/>
            </w:tcBorders>
            <w:vAlign w:val="center"/>
          </w:tcPr>
          <w:p w14:paraId="32AD9AF3" w14:textId="77777777" w:rsidR="00597996" w:rsidRPr="00AD0F04" w:rsidRDefault="00597996" w:rsidP="00B55197">
            <w:pPr>
              <w:snapToGrid w:val="0"/>
              <w:spacing w:before="60" w:after="60"/>
              <w:jc w:val="center"/>
              <w:rPr>
                <w:rFonts w:cs="Times New Roman"/>
                <w:color w:val="000000" w:themeColor="text1"/>
                <w:szCs w:val="22"/>
              </w:rPr>
            </w:pPr>
            <w:r w:rsidRPr="00AD0F04">
              <w:rPr>
                <w:rFonts w:cs="Times New Roman"/>
                <w:color w:val="000000" w:themeColor="text1"/>
                <w:szCs w:val="22"/>
              </w:rPr>
              <w:t>34%</w:t>
            </w:r>
          </w:p>
        </w:tc>
      </w:tr>
      <w:tr w:rsidR="00597996" w:rsidRPr="00866793" w14:paraId="5E19A1E4" w14:textId="77777777" w:rsidTr="001D5B2F">
        <w:trPr>
          <w:trHeight w:val="456"/>
        </w:trPr>
        <w:tc>
          <w:tcPr>
            <w:tcW w:w="4749" w:type="dxa"/>
            <w:tcBorders>
              <w:top w:val="single" w:sz="4" w:space="0" w:color="000000"/>
            </w:tcBorders>
            <w:vAlign w:val="center"/>
          </w:tcPr>
          <w:p w14:paraId="277C29A8" w14:textId="77777777" w:rsidR="00597996" w:rsidRPr="00AD0F04" w:rsidRDefault="00597996" w:rsidP="00C05376">
            <w:pPr>
              <w:snapToGrid w:val="0"/>
              <w:spacing w:before="60" w:after="60"/>
              <w:jc w:val="left"/>
              <w:rPr>
                <w:rFonts w:cs="Times New Roman"/>
                <w:color w:val="000000" w:themeColor="text1"/>
                <w:szCs w:val="22"/>
              </w:rPr>
            </w:pPr>
            <w:r w:rsidRPr="00AD0F04">
              <w:rPr>
                <w:rFonts w:cs="Times New Roman"/>
                <w:color w:val="000000" w:themeColor="text1"/>
                <w:szCs w:val="22"/>
              </w:rPr>
              <w:t>Share of HVAC&amp;R total emissions                                                 (direct and indirect, not including EOL)</w:t>
            </w:r>
          </w:p>
        </w:tc>
        <w:tc>
          <w:tcPr>
            <w:tcW w:w="4749" w:type="dxa"/>
            <w:tcBorders>
              <w:top w:val="single" w:sz="4" w:space="0" w:color="000000"/>
            </w:tcBorders>
            <w:vAlign w:val="center"/>
          </w:tcPr>
          <w:p w14:paraId="6156E846" w14:textId="589CC8C0" w:rsidR="00597996" w:rsidRPr="00AD0F04" w:rsidRDefault="00597996" w:rsidP="00B55197">
            <w:pPr>
              <w:snapToGrid w:val="0"/>
              <w:spacing w:before="60" w:after="60"/>
              <w:jc w:val="center"/>
              <w:rPr>
                <w:rFonts w:cs="Times New Roman"/>
                <w:color w:val="000000" w:themeColor="text1"/>
                <w:szCs w:val="22"/>
              </w:rPr>
            </w:pPr>
            <w:r w:rsidRPr="00AD0F04">
              <w:rPr>
                <w:rFonts w:cs="Times New Roman"/>
                <w:color w:val="000000" w:themeColor="text1"/>
                <w:szCs w:val="22"/>
              </w:rPr>
              <w:t>5</w:t>
            </w:r>
            <w:r w:rsidR="00AD0F04">
              <w:rPr>
                <w:rFonts w:cs="Times New Roman"/>
                <w:color w:val="000000" w:themeColor="text1"/>
                <w:szCs w:val="22"/>
              </w:rPr>
              <w:t>1</w:t>
            </w:r>
            <w:r w:rsidRPr="00AD0F04">
              <w:rPr>
                <w:rFonts w:cs="Times New Roman"/>
                <w:color w:val="000000" w:themeColor="text1"/>
                <w:szCs w:val="22"/>
              </w:rPr>
              <w:t>%</w:t>
            </w:r>
          </w:p>
        </w:tc>
      </w:tr>
    </w:tbl>
    <w:p w14:paraId="2D718AF2" w14:textId="32B45D8F" w:rsidR="00597996" w:rsidRPr="00B5198B" w:rsidRDefault="00B5198B" w:rsidP="00B5198B">
      <w:pPr>
        <w:snapToGrid w:val="0"/>
        <w:spacing w:before="60"/>
        <w:rPr>
          <w:rFonts w:cs="Times New Roman"/>
          <w:sz w:val="20"/>
          <w:szCs w:val="20"/>
        </w:rPr>
      </w:pPr>
      <w:r w:rsidRPr="00B5198B">
        <w:rPr>
          <w:rFonts w:cs="Times New Roman"/>
          <w:sz w:val="20"/>
          <w:szCs w:val="20"/>
        </w:rPr>
        <w:t>Notes:</w:t>
      </w:r>
    </w:p>
    <w:p w14:paraId="76D5B1E5" w14:textId="77777777" w:rsidR="002A019B" w:rsidRDefault="00B5198B" w:rsidP="002A019B">
      <w:pPr>
        <w:pStyle w:val="ListParagraph"/>
        <w:numPr>
          <w:ilvl w:val="0"/>
          <w:numId w:val="37"/>
        </w:numPr>
        <w:snapToGrid w:val="0"/>
        <w:spacing w:before="60" w:after="60" w:line="240" w:lineRule="auto"/>
        <w:ind w:left="357" w:hanging="357"/>
        <w:contextualSpacing w:val="0"/>
        <w:jc w:val="both"/>
        <w:rPr>
          <w:rFonts w:ascii="Times New Roman" w:hAnsi="Times New Roman"/>
          <w:sz w:val="20"/>
          <w:szCs w:val="20"/>
        </w:rPr>
      </w:pPr>
      <w:r w:rsidRPr="00B5198B">
        <w:rPr>
          <w:rFonts w:ascii="Times New Roman" w:hAnsi="Times New Roman"/>
          <w:sz w:val="20"/>
          <w:szCs w:val="20"/>
        </w:rPr>
        <w:t xml:space="preserve">The electricity consumption estimate does not take </w:t>
      </w:r>
      <w:r w:rsidR="002A019B">
        <w:rPr>
          <w:rFonts w:ascii="Times New Roman" w:hAnsi="Times New Roman"/>
          <w:sz w:val="20"/>
          <w:szCs w:val="20"/>
        </w:rPr>
        <w:t xml:space="preserve">into account </w:t>
      </w:r>
      <w:r w:rsidRPr="00B5198B">
        <w:rPr>
          <w:rFonts w:ascii="Times New Roman" w:hAnsi="Times New Roman"/>
          <w:sz w:val="20"/>
          <w:szCs w:val="20"/>
        </w:rPr>
        <w:t>efficiency improvements in the fleet of equipment from 2016 to 2018 and is based on assumptions from CHF3.</w:t>
      </w:r>
    </w:p>
    <w:p w14:paraId="4C75F657" w14:textId="0B627D94" w:rsidR="00B5198B" w:rsidRPr="002A019B" w:rsidRDefault="002A019B" w:rsidP="002A019B">
      <w:pPr>
        <w:pStyle w:val="ListParagraph"/>
        <w:numPr>
          <w:ilvl w:val="0"/>
          <w:numId w:val="37"/>
        </w:numPr>
        <w:spacing w:before="60" w:after="60" w:line="240" w:lineRule="auto"/>
        <w:ind w:left="357" w:hanging="357"/>
        <w:contextualSpacing w:val="0"/>
        <w:rPr>
          <w:rFonts w:ascii="Times New Roman" w:hAnsi="Times New Roman"/>
          <w:sz w:val="20"/>
          <w:szCs w:val="20"/>
        </w:rPr>
      </w:pPr>
      <w:r w:rsidRPr="002A019B">
        <w:rPr>
          <w:rFonts w:ascii="Times New Roman" w:hAnsi="Times New Roman"/>
          <w:sz w:val="20"/>
          <w:szCs w:val="20"/>
        </w:rPr>
        <w:t>Emissions of ODS are not counted as part of the GHGs reported under the Kyoto Protocol of the United Nations Framework Convention on Climate Change, as they managed through the Montreal Protocol.</w:t>
      </w:r>
    </w:p>
    <w:p w14:paraId="468F30EA" w14:textId="7E545560" w:rsidR="00B5198B" w:rsidRDefault="00B5198B" w:rsidP="00C05376">
      <w:pPr>
        <w:snapToGrid w:val="0"/>
        <w:spacing w:before="60"/>
        <w:rPr>
          <w:rFonts w:cs="Times New Roman"/>
          <w:sz w:val="20"/>
          <w:szCs w:val="20"/>
        </w:rPr>
      </w:pPr>
    </w:p>
    <w:p w14:paraId="77EC399B" w14:textId="492C6056" w:rsidR="00597996" w:rsidRPr="00BA1087" w:rsidRDefault="00597996" w:rsidP="009A23AA">
      <w:pPr>
        <w:pStyle w:val="Heading3"/>
        <w:jc w:val="both"/>
      </w:pPr>
      <w:bookmarkStart w:id="16" w:name="_Toc19601287"/>
      <w:r w:rsidRPr="00BA1087">
        <w:t xml:space="preserve">Analysis of </w:t>
      </w:r>
      <w:r w:rsidR="002A019B">
        <w:t>p</w:t>
      </w:r>
      <w:r w:rsidRPr="00BA1087">
        <w:t>re-</w:t>
      </w:r>
      <w:r w:rsidR="002A019B">
        <w:t>c</w:t>
      </w:r>
      <w:r w:rsidRPr="00BA1087">
        <w:t xml:space="preserve">harged </w:t>
      </w:r>
      <w:r w:rsidR="002A019B">
        <w:t>e</w:t>
      </w:r>
      <w:r w:rsidRPr="00BA1087">
        <w:t>quipment provides insights into the transitioning bank</w:t>
      </w:r>
      <w:bookmarkEnd w:id="16"/>
    </w:p>
    <w:p w14:paraId="3C6AEB64" w14:textId="77777777" w:rsidR="00597996" w:rsidRPr="009E3FA3" w:rsidRDefault="00597996" w:rsidP="009A23AA">
      <w:pPr>
        <w:rPr>
          <w:szCs w:val="22"/>
          <w:lang w:val="en-AU"/>
        </w:rPr>
      </w:pPr>
      <w:r>
        <w:rPr>
          <w:szCs w:val="22"/>
          <w:lang w:val="en-AU"/>
        </w:rPr>
        <w:t>P</w:t>
      </w:r>
      <w:r w:rsidRPr="009E3FA3">
        <w:rPr>
          <w:szCs w:val="22"/>
          <w:lang w:val="en-AU"/>
        </w:rPr>
        <w:t>re-charged equipment (PCE) imports reported under the Department of the Environment and Energy’s import data, reveals that HFC-32 adopt</w:t>
      </w:r>
      <w:r>
        <w:rPr>
          <w:szCs w:val="22"/>
          <w:lang w:val="en-AU"/>
        </w:rPr>
        <w:t>ion</w:t>
      </w:r>
      <w:r w:rsidRPr="009E3FA3">
        <w:rPr>
          <w:szCs w:val="22"/>
          <w:lang w:val="en-AU"/>
        </w:rPr>
        <w:t xml:space="preserve"> </w:t>
      </w:r>
      <w:r>
        <w:rPr>
          <w:szCs w:val="22"/>
          <w:lang w:val="en-AU"/>
        </w:rPr>
        <w:t xml:space="preserve">has continued to grow </w:t>
      </w:r>
      <w:r w:rsidRPr="009E3FA3">
        <w:rPr>
          <w:szCs w:val="22"/>
          <w:lang w:val="en-AU"/>
        </w:rPr>
        <w:t xml:space="preserve">very quickly in non-ducted split systems designed primarily for residential use. </w:t>
      </w:r>
    </w:p>
    <w:p w14:paraId="6CD52D5F" w14:textId="47EF82B0" w:rsidR="00597996" w:rsidRPr="009E3FA3" w:rsidRDefault="00597996" w:rsidP="009A23AA">
      <w:pPr>
        <w:rPr>
          <w:szCs w:val="22"/>
        </w:rPr>
      </w:pPr>
      <w:r w:rsidRPr="009E3FA3">
        <w:rPr>
          <w:szCs w:val="22"/>
          <w:lang w:val="en-AU"/>
        </w:rPr>
        <w:t xml:space="preserve">Analysis of PCE imports </w:t>
      </w:r>
      <w:r>
        <w:rPr>
          <w:szCs w:val="22"/>
          <w:lang w:val="en-AU"/>
        </w:rPr>
        <w:t xml:space="preserve">shows </w:t>
      </w:r>
      <w:r w:rsidRPr="009E3FA3">
        <w:rPr>
          <w:szCs w:val="22"/>
          <w:lang w:val="en-AU"/>
        </w:rPr>
        <w:t>that non-ducted single split systems ma</w:t>
      </w:r>
      <w:r>
        <w:rPr>
          <w:szCs w:val="22"/>
          <w:lang w:val="en-AU"/>
        </w:rPr>
        <w:t>ke</w:t>
      </w:r>
      <w:r w:rsidRPr="009E3FA3">
        <w:rPr>
          <w:szCs w:val="22"/>
          <w:lang w:val="en-AU"/>
        </w:rPr>
        <w:t xml:space="preserve"> up </w:t>
      </w:r>
      <w:r>
        <w:rPr>
          <w:szCs w:val="22"/>
          <w:lang w:val="en-AU"/>
        </w:rPr>
        <w:t xml:space="preserve">the majority of </w:t>
      </w:r>
      <w:r w:rsidRPr="009E3FA3">
        <w:rPr>
          <w:szCs w:val="22"/>
          <w:lang w:val="en-AU"/>
        </w:rPr>
        <w:t>equipmen</w:t>
      </w:r>
      <w:r>
        <w:rPr>
          <w:szCs w:val="22"/>
          <w:lang w:val="en-AU"/>
        </w:rPr>
        <w:t xml:space="preserve">t, and contain the bulk of the </w:t>
      </w:r>
      <w:r w:rsidRPr="009E3FA3">
        <w:rPr>
          <w:szCs w:val="22"/>
          <w:lang w:val="en-AU"/>
        </w:rPr>
        <w:t xml:space="preserve">refrigerant </w:t>
      </w:r>
      <w:r w:rsidR="002A019B">
        <w:rPr>
          <w:szCs w:val="22"/>
          <w:lang w:val="en-AU"/>
        </w:rPr>
        <w:t>mass</w:t>
      </w:r>
      <w:r w:rsidRPr="009E3FA3">
        <w:rPr>
          <w:rStyle w:val="FootnoteReference"/>
          <w:rFonts w:ascii="Times New Roman" w:hAnsi="Times New Roman"/>
          <w:szCs w:val="22"/>
          <w:lang w:val="en-AU"/>
        </w:rPr>
        <w:footnoteReference w:id="7"/>
      </w:r>
      <w:r>
        <w:rPr>
          <w:szCs w:val="22"/>
          <w:lang w:val="en-AU"/>
        </w:rPr>
        <w:t xml:space="preserve">, </w:t>
      </w:r>
      <w:r w:rsidRPr="009E3FA3">
        <w:rPr>
          <w:szCs w:val="22"/>
          <w:lang w:val="en-AU"/>
        </w:rPr>
        <w:t>of all stationary AC imported into Australia</w:t>
      </w:r>
      <w:r w:rsidRPr="00965FDA">
        <w:rPr>
          <w:szCs w:val="22"/>
          <w:lang w:val="en-AU"/>
        </w:rPr>
        <w:t>.</w:t>
      </w:r>
    </w:p>
    <w:p w14:paraId="493A91BE" w14:textId="1A1348C0" w:rsidR="00597996" w:rsidRPr="002835A0" w:rsidRDefault="00597996" w:rsidP="009A23AA">
      <w:pPr>
        <w:rPr>
          <w:szCs w:val="22"/>
        </w:rPr>
      </w:pPr>
      <w:r>
        <w:rPr>
          <w:szCs w:val="22"/>
        </w:rPr>
        <w:t xml:space="preserve">PCE </w:t>
      </w:r>
      <w:r w:rsidRPr="002835A0">
        <w:rPr>
          <w:szCs w:val="22"/>
        </w:rPr>
        <w:t>data was dissected into multiple charge size categories to assess and track the rate of transition</w:t>
      </w:r>
      <w:r>
        <w:rPr>
          <w:szCs w:val="22"/>
        </w:rPr>
        <w:t xml:space="preserve"> by technology type, particularly</w:t>
      </w:r>
      <w:r w:rsidRPr="002835A0">
        <w:rPr>
          <w:szCs w:val="22"/>
        </w:rPr>
        <w:t xml:space="preserve"> </w:t>
      </w:r>
      <w:r w:rsidR="00E3476E">
        <w:rPr>
          <w:szCs w:val="22"/>
        </w:rPr>
        <w:t xml:space="preserve">in </w:t>
      </w:r>
      <w:r w:rsidRPr="002835A0">
        <w:rPr>
          <w:szCs w:val="22"/>
        </w:rPr>
        <w:t>small and medium AC</w:t>
      </w:r>
      <w:r w:rsidR="00965FDA">
        <w:rPr>
          <w:szCs w:val="22"/>
        </w:rPr>
        <w:t>,</w:t>
      </w:r>
      <w:r w:rsidRPr="002835A0">
        <w:rPr>
          <w:szCs w:val="22"/>
        </w:rPr>
        <w:t xml:space="preserve"> from HFC-410A to HFC-32.</w:t>
      </w:r>
    </w:p>
    <w:p w14:paraId="66F60628" w14:textId="03447F5C" w:rsidR="00597996" w:rsidRPr="002835A0" w:rsidRDefault="00597996" w:rsidP="009A23AA">
      <w:pPr>
        <w:rPr>
          <w:szCs w:val="22"/>
        </w:rPr>
      </w:pPr>
      <w:r w:rsidRPr="0076089F">
        <w:rPr>
          <w:i/>
          <w:iCs/>
          <w:szCs w:val="22"/>
        </w:rPr>
        <w:t xml:space="preserve">Table </w:t>
      </w:r>
      <w:r w:rsidR="00B5198B">
        <w:rPr>
          <w:i/>
          <w:iCs/>
          <w:szCs w:val="22"/>
        </w:rPr>
        <w:t>3</w:t>
      </w:r>
      <w:r>
        <w:rPr>
          <w:szCs w:val="22"/>
        </w:rPr>
        <w:t xml:space="preserve"> below provides a guide of the technology types typically found in each of the </w:t>
      </w:r>
      <w:r w:rsidRPr="002835A0">
        <w:rPr>
          <w:szCs w:val="22"/>
        </w:rPr>
        <w:t>charge size categories</w:t>
      </w:r>
      <w:r>
        <w:rPr>
          <w:szCs w:val="22"/>
        </w:rPr>
        <w:t>.</w:t>
      </w:r>
    </w:p>
    <w:p w14:paraId="07570819" w14:textId="581B58C5" w:rsidR="00597996" w:rsidRDefault="00597996" w:rsidP="009A23AA">
      <w:pPr>
        <w:rPr>
          <w:szCs w:val="22"/>
        </w:rPr>
      </w:pPr>
      <w:r w:rsidRPr="002835A0">
        <w:rPr>
          <w:szCs w:val="22"/>
        </w:rPr>
        <w:t xml:space="preserve">The tonnes of refrigerant and equipment numbers imported in equipment in ‘Domestic use air conditioning’ and ‘Commercial use air conditioning’ categories from 2014 to 2018 is provided in </w:t>
      </w:r>
      <w:r w:rsidRPr="003B5462">
        <w:rPr>
          <w:i/>
          <w:szCs w:val="22"/>
        </w:rPr>
        <w:t>Appendix B</w:t>
      </w:r>
      <w:r w:rsidR="00B5198B">
        <w:rPr>
          <w:i/>
          <w:szCs w:val="22"/>
        </w:rPr>
        <w:t>4.2</w:t>
      </w:r>
      <w:r w:rsidRPr="003B5462">
        <w:rPr>
          <w:i/>
          <w:szCs w:val="22"/>
        </w:rPr>
        <w:t>: Stationary AC: Pre-charged equipment</w:t>
      </w:r>
      <w:r w:rsidRPr="002835A0">
        <w:rPr>
          <w:szCs w:val="22"/>
        </w:rPr>
        <w:t>.</w:t>
      </w:r>
    </w:p>
    <w:p w14:paraId="00253155" w14:textId="6DDFB037" w:rsidR="003E7346" w:rsidRDefault="003E7346" w:rsidP="009A23AA">
      <w:pPr>
        <w:pStyle w:val="Caption"/>
        <w:rPr>
          <w:szCs w:val="22"/>
        </w:rPr>
      </w:pPr>
      <w:bookmarkStart w:id="17" w:name="_Toc19601355"/>
      <w:r>
        <w:t xml:space="preserve">Table </w:t>
      </w:r>
      <w:r w:rsidR="00D66920">
        <w:rPr>
          <w:noProof/>
        </w:rPr>
        <w:fldChar w:fldCharType="begin"/>
      </w:r>
      <w:r w:rsidR="00D66920">
        <w:rPr>
          <w:noProof/>
        </w:rPr>
        <w:instrText xml:space="preserve"> SEQ Table \* ARABIC </w:instrText>
      </w:r>
      <w:r w:rsidR="00D66920">
        <w:rPr>
          <w:noProof/>
        </w:rPr>
        <w:fldChar w:fldCharType="separate"/>
      </w:r>
      <w:r w:rsidR="001D0DA3">
        <w:rPr>
          <w:noProof/>
        </w:rPr>
        <w:t>3</w:t>
      </w:r>
      <w:r w:rsidR="00D66920">
        <w:rPr>
          <w:noProof/>
        </w:rPr>
        <w:fldChar w:fldCharType="end"/>
      </w:r>
      <w:r>
        <w:t xml:space="preserve">: </w:t>
      </w:r>
      <w:r w:rsidRPr="003E7346">
        <w:rPr>
          <w:szCs w:val="22"/>
        </w:rPr>
        <w:t>Charge size category and most common stationary AC type.</w:t>
      </w:r>
      <w:bookmarkEnd w:id="17"/>
    </w:p>
    <w:tbl>
      <w:tblPr>
        <w:tblStyle w:val="TableGrid"/>
        <w:tblW w:w="9493" w:type="dxa"/>
        <w:tblLook w:val="04A0" w:firstRow="1" w:lastRow="0" w:firstColumn="1" w:lastColumn="0" w:noHBand="0" w:noVBand="1"/>
      </w:tblPr>
      <w:tblGrid>
        <w:gridCol w:w="2972"/>
        <w:gridCol w:w="6521"/>
      </w:tblGrid>
      <w:tr w:rsidR="00597996" w:rsidRPr="002835A0" w14:paraId="065CA1F5" w14:textId="77777777" w:rsidTr="00597996">
        <w:tc>
          <w:tcPr>
            <w:tcW w:w="2972" w:type="dxa"/>
          </w:tcPr>
          <w:p w14:paraId="7802C81E" w14:textId="77777777" w:rsidR="00597996" w:rsidRPr="002835A0" w:rsidRDefault="00597996" w:rsidP="009A23AA">
            <w:pPr>
              <w:spacing w:after="120"/>
              <w:rPr>
                <w:rFonts w:eastAsiaTheme="minorEastAsia"/>
                <w:szCs w:val="22"/>
              </w:rPr>
            </w:pPr>
            <w:r w:rsidRPr="002835A0">
              <w:rPr>
                <w:rFonts w:eastAsiaTheme="minorEastAsia"/>
                <w:szCs w:val="22"/>
              </w:rPr>
              <w:t>Charge range</w:t>
            </w:r>
          </w:p>
        </w:tc>
        <w:tc>
          <w:tcPr>
            <w:tcW w:w="6521" w:type="dxa"/>
          </w:tcPr>
          <w:p w14:paraId="1DC414BF" w14:textId="77777777" w:rsidR="00597996" w:rsidRPr="002835A0" w:rsidRDefault="00597996" w:rsidP="009A23AA">
            <w:pPr>
              <w:spacing w:after="120"/>
              <w:rPr>
                <w:szCs w:val="22"/>
              </w:rPr>
            </w:pPr>
            <w:r w:rsidRPr="002835A0">
              <w:rPr>
                <w:szCs w:val="22"/>
              </w:rPr>
              <w:t>Most common stationary AC types</w:t>
            </w:r>
          </w:p>
        </w:tc>
      </w:tr>
      <w:tr w:rsidR="00597996" w:rsidRPr="002835A0" w14:paraId="423299C1" w14:textId="77777777" w:rsidTr="00597996">
        <w:tc>
          <w:tcPr>
            <w:tcW w:w="2972" w:type="dxa"/>
          </w:tcPr>
          <w:p w14:paraId="2ABDDAD2" w14:textId="77777777" w:rsidR="00597996" w:rsidRPr="002835A0" w:rsidRDefault="00597996" w:rsidP="009A23AA">
            <w:pPr>
              <w:spacing w:before="60" w:after="60"/>
              <w:rPr>
                <w:szCs w:val="22"/>
              </w:rPr>
            </w:pPr>
            <w:r w:rsidRPr="002835A0">
              <w:rPr>
                <w:rFonts w:eastAsiaTheme="minorEastAsia"/>
                <w:szCs w:val="22"/>
              </w:rPr>
              <w:t>&lt; 800 grams</w:t>
            </w:r>
          </w:p>
        </w:tc>
        <w:tc>
          <w:tcPr>
            <w:tcW w:w="6521" w:type="dxa"/>
          </w:tcPr>
          <w:p w14:paraId="50806136" w14:textId="77777777" w:rsidR="00597996" w:rsidRPr="00BA1087" w:rsidRDefault="00597996" w:rsidP="009A23AA">
            <w:pPr>
              <w:spacing w:before="60" w:after="60"/>
              <w:rPr>
                <w:b/>
                <w:szCs w:val="22"/>
              </w:rPr>
            </w:pPr>
            <w:r w:rsidRPr="00940E9E">
              <w:rPr>
                <w:b/>
                <w:szCs w:val="22"/>
              </w:rPr>
              <w:t>Small AC: Self-contained</w:t>
            </w:r>
          </w:p>
          <w:p w14:paraId="681E33ED" w14:textId="77777777" w:rsidR="00597996" w:rsidRDefault="00597996" w:rsidP="009A23AA">
            <w:pPr>
              <w:spacing w:before="60" w:after="60"/>
              <w:rPr>
                <w:szCs w:val="22"/>
              </w:rPr>
            </w:pPr>
            <w:r w:rsidRPr="00940E9E">
              <w:rPr>
                <w:szCs w:val="22"/>
              </w:rPr>
              <w:t>Packaged</w:t>
            </w:r>
            <w:r w:rsidRPr="002835A0">
              <w:rPr>
                <w:szCs w:val="22"/>
              </w:rPr>
              <w:t xml:space="preserve"> room air conditioning units intended to be inserted through a hole in a wall or through a window generally referred to as ‘window/wall’ units.</w:t>
            </w:r>
          </w:p>
          <w:p w14:paraId="69BAE6BC" w14:textId="77777777" w:rsidR="00597996" w:rsidRPr="002835A0" w:rsidRDefault="00597996" w:rsidP="009A23AA">
            <w:pPr>
              <w:spacing w:before="60" w:after="60"/>
              <w:rPr>
                <w:szCs w:val="22"/>
              </w:rPr>
            </w:pPr>
            <w:r w:rsidRPr="002835A0">
              <w:rPr>
                <w:szCs w:val="22"/>
              </w:rPr>
              <w:t>Dehumidifiers and portable air conditioning predominantly for domestic use.</w:t>
            </w:r>
          </w:p>
        </w:tc>
      </w:tr>
      <w:tr w:rsidR="00597996" w:rsidRPr="002835A0" w14:paraId="24633B40" w14:textId="77777777" w:rsidTr="00597996">
        <w:tc>
          <w:tcPr>
            <w:tcW w:w="2972" w:type="dxa"/>
          </w:tcPr>
          <w:p w14:paraId="2A416AB0" w14:textId="77777777" w:rsidR="00597996" w:rsidRPr="002835A0" w:rsidRDefault="00597996" w:rsidP="009A23AA">
            <w:pPr>
              <w:spacing w:before="60" w:after="60"/>
              <w:rPr>
                <w:color w:val="000000"/>
                <w:szCs w:val="22"/>
              </w:rPr>
            </w:pPr>
            <w:r w:rsidRPr="002835A0">
              <w:rPr>
                <w:color w:val="000000"/>
                <w:szCs w:val="22"/>
              </w:rPr>
              <w:t>≥ 800 grams and &lt; 2.6 kg</w:t>
            </w:r>
          </w:p>
          <w:p w14:paraId="2AA6B928" w14:textId="77777777" w:rsidR="00597996" w:rsidRPr="002835A0" w:rsidRDefault="00597996" w:rsidP="009A23AA">
            <w:pPr>
              <w:spacing w:before="60" w:after="60"/>
              <w:rPr>
                <w:szCs w:val="22"/>
              </w:rPr>
            </w:pPr>
          </w:p>
        </w:tc>
        <w:tc>
          <w:tcPr>
            <w:tcW w:w="6521" w:type="dxa"/>
          </w:tcPr>
          <w:p w14:paraId="5919F77D" w14:textId="77777777" w:rsidR="00597996" w:rsidRPr="00BA1087" w:rsidRDefault="00597996" w:rsidP="009A23AA">
            <w:pPr>
              <w:spacing w:before="60" w:after="60"/>
              <w:rPr>
                <w:b/>
                <w:szCs w:val="22"/>
              </w:rPr>
            </w:pPr>
            <w:r w:rsidRPr="00940E9E">
              <w:rPr>
                <w:b/>
                <w:szCs w:val="22"/>
              </w:rPr>
              <w:t>Small AC: Split</w:t>
            </w:r>
          </w:p>
          <w:p w14:paraId="54386CF2" w14:textId="7E9081BF" w:rsidR="00597996" w:rsidRDefault="00597996" w:rsidP="009A23AA">
            <w:pPr>
              <w:spacing w:before="60" w:after="60"/>
              <w:rPr>
                <w:szCs w:val="22"/>
              </w:rPr>
            </w:pPr>
            <w:r w:rsidRPr="002835A0">
              <w:rPr>
                <w:szCs w:val="22"/>
              </w:rPr>
              <w:t xml:space="preserve">Non-ducted split systems covering a broad class of equipment </w:t>
            </w:r>
            <w:r w:rsidR="00492675">
              <w:rPr>
                <w:szCs w:val="22"/>
              </w:rPr>
              <w:t>that employs</w:t>
            </w:r>
            <w:r w:rsidRPr="002835A0">
              <w:rPr>
                <w:szCs w:val="22"/>
              </w:rPr>
              <w:t xml:space="preserve"> an outdoor unit combined with single or multiple indoor units in a variety of styles such as wall hung, cassette, </w:t>
            </w:r>
            <w:proofErr w:type="gramStart"/>
            <w:r w:rsidRPr="002835A0">
              <w:rPr>
                <w:szCs w:val="22"/>
              </w:rPr>
              <w:t>console</w:t>
            </w:r>
            <w:proofErr w:type="gramEnd"/>
            <w:r w:rsidRPr="002835A0">
              <w:rPr>
                <w:szCs w:val="22"/>
              </w:rPr>
              <w:t xml:space="preserve"> and under ceiling units, all designed for different applications.</w:t>
            </w:r>
          </w:p>
          <w:p w14:paraId="13B86765" w14:textId="77777777" w:rsidR="00597996" w:rsidRPr="002835A0" w:rsidRDefault="00597996" w:rsidP="009A23AA">
            <w:pPr>
              <w:spacing w:before="60" w:after="60"/>
              <w:rPr>
                <w:szCs w:val="22"/>
              </w:rPr>
            </w:pPr>
            <w:r w:rsidRPr="002835A0">
              <w:rPr>
                <w:szCs w:val="22"/>
              </w:rPr>
              <w:t>Wall hung split systems with a nominal capacity of less than 10 kW dominates this charge range category.</w:t>
            </w:r>
          </w:p>
        </w:tc>
      </w:tr>
      <w:tr w:rsidR="00597996" w:rsidRPr="002835A0" w14:paraId="27A98858" w14:textId="77777777" w:rsidTr="00597996">
        <w:tc>
          <w:tcPr>
            <w:tcW w:w="2972" w:type="dxa"/>
          </w:tcPr>
          <w:p w14:paraId="0DE4CA83" w14:textId="77777777" w:rsidR="00597996" w:rsidRPr="002835A0" w:rsidRDefault="00597996" w:rsidP="009A23AA">
            <w:pPr>
              <w:spacing w:before="60" w:after="60"/>
              <w:rPr>
                <w:szCs w:val="22"/>
              </w:rPr>
            </w:pPr>
            <w:r w:rsidRPr="002835A0">
              <w:rPr>
                <w:szCs w:val="22"/>
              </w:rPr>
              <w:t>≥ 2.6 kg and &lt; 4 kg</w:t>
            </w:r>
          </w:p>
          <w:p w14:paraId="1D39C947" w14:textId="77777777" w:rsidR="00597996" w:rsidRPr="002835A0" w:rsidRDefault="00597996" w:rsidP="009A23AA">
            <w:pPr>
              <w:spacing w:before="60" w:after="60"/>
              <w:rPr>
                <w:color w:val="000000"/>
                <w:szCs w:val="22"/>
              </w:rPr>
            </w:pPr>
            <w:r w:rsidRPr="002835A0">
              <w:rPr>
                <w:color w:val="000000"/>
                <w:szCs w:val="22"/>
              </w:rPr>
              <w:t>≥ 4 kg and &lt; 6 kg</w:t>
            </w:r>
          </w:p>
          <w:p w14:paraId="4CEB596C" w14:textId="77777777" w:rsidR="00597996" w:rsidRPr="002835A0" w:rsidRDefault="00597996" w:rsidP="009A23AA">
            <w:pPr>
              <w:spacing w:before="60" w:after="60"/>
              <w:rPr>
                <w:color w:val="000000"/>
                <w:szCs w:val="22"/>
              </w:rPr>
            </w:pPr>
            <w:r w:rsidRPr="002835A0">
              <w:rPr>
                <w:color w:val="000000"/>
                <w:szCs w:val="22"/>
              </w:rPr>
              <w:t>≥ 6 kg and &lt; 12 kg</w:t>
            </w:r>
          </w:p>
          <w:p w14:paraId="7BD259A6" w14:textId="77777777" w:rsidR="00597996" w:rsidRPr="002835A0" w:rsidRDefault="00597996" w:rsidP="009A23AA">
            <w:pPr>
              <w:spacing w:before="60" w:after="60"/>
              <w:rPr>
                <w:color w:val="000000"/>
                <w:szCs w:val="22"/>
              </w:rPr>
            </w:pPr>
            <w:r w:rsidRPr="002835A0">
              <w:rPr>
                <w:color w:val="000000"/>
                <w:szCs w:val="22"/>
              </w:rPr>
              <w:t>≥ 12 kg and &lt; 20 kg</w:t>
            </w:r>
          </w:p>
          <w:p w14:paraId="4FC63834" w14:textId="77777777" w:rsidR="00597996" w:rsidRPr="002835A0" w:rsidRDefault="00597996" w:rsidP="009A23AA">
            <w:pPr>
              <w:spacing w:before="60" w:after="60"/>
              <w:rPr>
                <w:color w:val="000000"/>
                <w:szCs w:val="22"/>
              </w:rPr>
            </w:pPr>
          </w:p>
          <w:p w14:paraId="02670952" w14:textId="77777777" w:rsidR="00597996" w:rsidRPr="002835A0" w:rsidRDefault="00597996" w:rsidP="009A23AA">
            <w:pPr>
              <w:spacing w:before="60" w:after="60"/>
              <w:rPr>
                <w:color w:val="000000"/>
                <w:szCs w:val="22"/>
              </w:rPr>
            </w:pPr>
          </w:p>
          <w:p w14:paraId="45DD4DE1" w14:textId="77777777" w:rsidR="00597996" w:rsidRPr="002835A0" w:rsidRDefault="00597996" w:rsidP="009A23AA">
            <w:pPr>
              <w:spacing w:before="60" w:after="60"/>
              <w:rPr>
                <w:szCs w:val="22"/>
              </w:rPr>
            </w:pPr>
            <w:r w:rsidRPr="002835A0">
              <w:rPr>
                <w:szCs w:val="22"/>
              </w:rPr>
              <w:tab/>
            </w:r>
            <w:r w:rsidRPr="002835A0">
              <w:rPr>
                <w:szCs w:val="22"/>
              </w:rPr>
              <w:tab/>
            </w:r>
            <w:r w:rsidRPr="002835A0">
              <w:rPr>
                <w:szCs w:val="22"/>
              </w:rPr>
              <w:tab/>
            </w:r>
            <w:r w:rsidRPr="002835A0">
              <w:rPr>
                <w:szCs w:val="22"/>
              </w:rPr>
              <w:tab/>
            </w:r>
            <w:r w:rsidRPr="002835A0">
              <w:rPr>
                <w:szCs w:val="22"/>
              </w:rPr>
              <w:tab/>
            </w:r>
            <w:r w:rsidRPr="002835A0">
              <w:rPr>
                <w:szCs w:val="22"/>
              </w:rPr>
              <w:tab/>
            </w:r>
            <w:r w:rsidRPr="002835A0">
              <w:rPr>
                <w:szCs w:val="22"/>
              </w:rPr>
              <w:tab/>
            </w:r>
            <w:r w:rsidRPr="002835A0">
              <w:rPr>
                <w:szCs w:val="22"/>
              </w:rPr>
              <w:tab/>
            </w:r>
            <w:r w:rsidRPr="002835A0">
              <w:rPr>
                <w:szCs w:val="22"/>
              </w:rPr>
              <w:tab/>
            </w:r>
            <w:r w:rsidRPr="002835A0">
              <w:rPr>
                <w:szCs w:val="22"/>
              </w:rPr>
              <w:tab/>
            </w:r>
            <w:r w:rsidRPr="002835A0">
              <w:rPr>
                <w:szCs w:val="22"/>
              </w:rPr>
              <w:tab/>
            </w:r>
            <w:r w:rsidRPr="002835A0">
              <w:rPr>
                <w:szCs w:val="22"/>
              </w:rPr>
              <w:tab/>
            </w:r>
            <w:r w:rsidRPr="002835A0">
              <w:rPr>
                <w:szCs w:val="22"/>
              </w:rPr>
              <w:tab/>
            </w:r>
            <w:r w:rsidRPr="002835A0">
              <w:rPr>
                <w:szCs w:val="22"/>
              </w:rPr>
              <w:tab/>
            </w:r>
          </w:p>
        </w:tc>
        <w:tc>
          <w:tcPr>
            <w:tcW w:w="6521" w:type="dxa"/>
          </w:tcPr>
          <w:p w14:paraId="56018855" w14:textId="77777777" w:rsidR="00597996" w:rsidRPr="002835A0" w:rsidRDefault="00597996" w:rsidP="009A23AA">
            <w:pPr>
              <w:spacing w:before="60" w:after="60"/>
              <w:rPr>
                <w:rFonts w:eastAsiaTheme="minorEastAsia"/>
                <w:b/>
                <w:szCs w:val="22"/>
              </w:rPr>
            </w:pPr>
            <w:r w:rsidRPr="002835A0">
              <w:rPr>
                <w:rFonts w:eastAsiaTheme="minorEastAsia"/>
                <w:b/>
                <w:szCs w:val="22"/>
              </w:rPr>
              <w:t>Medium AC</w:t>
            </w:r>
          </w:p>
          <w:p w14:paraId="13D7FC53" w14:textId="08CE73D3" w:rsidR="00597996" w:rsidRDefault="00597996" w:rsidP="009A23AA">
            <w:pPr>
              <w:spacing w:before="60" w:after="60"/>
              <w:rPr>
                <w:szCs w:val="22"/>
              </w:rPr>
            </w:pPr>
            <w:r w:rsidRPr="002835A0">
              <w:rPr>
                <w:szCs w:val="22"/>
              </w:rPr>
              <w:t>Ducted split systems used in domestic and light commercial applications where the indoor unit is connected to rigid or flexible duct which is ducted around the building to supply air to the conditioned space. Ducted split systems with a nominal capacity from 10 to 18 kW are the most common type in the 2.6 kg to 6 kg charge size categories.</w:t>
            </w:r>
          </w:p>
          <w:p w14:paraId="5FF7AEA7" w14:textId="77777777" w:rsidR="00597996" w:rsidRDefault="00597996" w:rsidP="009A23AA">
            <w:pPr>
              <w:spacing w:before="60" w:after="60"/>
              <w:rPr>
                <w:szCs w:val="22"/>
              </w:rPr>
            </w:pPr>
            <w:r w:rsidRPr="002835A0">
              <w:rPr>
                <w:szCs w:val="22"/>
              </w:rPr>
              <w:t>Multi split systems and small variable refrigerant volume/flow (VRV/F) split systems up to 18 kW are typically have charges from 2.6 kg to 4 kg.</w:t>
            </w:r>
          </w:p>
          <w:p w14:paraId="3BF426D8" w14:textId="42EAA89D" w:rsidR="00597996" w:rsidRDefault="00597996" w:rsidP="009A23AA">
            <w:pPr>
              <w:spacing w:before="60" w:after="60"/>
              <w:rPr>
                <w:color w:val="000000"/>
                <w:szCs w:val="22"/>
              </w:rPr>
            </w:pPr>
            <w:r w:rsidRPr="002835A0">
              <w:rPr>
                <w:szCs w:val="22"/>
              </w:rPr>
              <w:t xml:space="preserve">Large VRV/F split systems </w:t>
            </w:r>
            <w:r w:rsidR="007B4948">
              <w:rPr>
                <w:szCs w:val="22"/>
              </w:rPr>
              <w:t>(</w:t>
            </w:r>
            <w:r w:rsidRPr="002835A0">
              <w:rPr>
                <w:szCs w:val="22"/>
              </w:rPr>
              <w:t xml:space="preserve">with multiple indoor units </w:t>
            </w:r>
            <w:r w:rsidR="007B4948">
              <w:rPr>
                <w:szCs w:val="22"/>
              </w:rPr>
              <w:t xml:space="preserve">and </w:t>
            </w:r>
            <w:r w:rsidRPr="002835A0">
              <w:rPr>
                <w:szCs w:val="22"/>
              </w:rPr>
              <w:t>nominal capacities ranging from 18 to 60 kW</w:t>
            </w:r>
            <w:r w:rsidR="007B4948">
              <w:rPr>
                <w:szCs w:val="22"/>
              </w:rPr>
              <w:t>)</w:t>
            </w:r>
            <w:r w:rsidRPr="002835A0">
              <w:rPr>
                <w:szCs w:val="22"/>
              </w:rPr>
              <w:t xml:space="preserve"> </w:t>
            </w:r>
            <w:r w:rsidR="00117375">
              <w:rPr>
                <w:szCs w:val="22"/>
              </w:rPr>
              <w:t>which are</w:t>
            </w:r>
            <w:r w:rsidRPr="002835A0">
              <w:rPr>
                <w:szCs w:val="22"/>
              </w:rPr>
              <w:t xml:space="preserve"> emerging as the preferred technology for medium sized commercial buildings, schools and other multi-purpose buildings, typically have charges ranging from</w:t>
            </w:r>
            <w:r w:rsidRPr="002835A0">
              <w:rPr>
                <w:color w:val="000000"/>
                <w:szCs w:val="22"/>
              </w:rPr>
              <w:t xml:space="preserve"> 6 kg to 12 kg.</w:t>
            </w:r>
          </w:p>
          <w:p w14:paraId="2082EEB5" w14:textId="77777777" w:rsidR="00597996" w:rsidRDefault="00597996" w:rsidP="009A23AA">
            <w:pPr>
              <w:spacing w:before="60" w:after="60"/>
              <w:rPr>
                <w:color w:val="000000"/>
                <w:szCs w:val="22"/>
              </w:rPr>
            </w:pPr>
            <w:r w:rsidRPr="002835A0">
              <w:rPr>
                <w:szCs w:val="22"/>
              </w:rPr>
              <w:t>Roof top packaged air conditioning systems, with generally larger capacities than the previous categories, and that use high static pressure fans which allow long duct runs</w:t>
            </w:r>
            <w:r>
              <w:rPr>
                <w:szCs w:val="22"/>
              </w:rPr>
              <w:t xml:space="preserve">, </w:t>
            </w:r>
            <w:r w:rsidRPr="002835A0">
              <w:rPr>
                <w:szCs w:val="22"/>
              </w:rPr>
              <w:t xml:space="preserve">typically have charges </w:t>
            </w:r>
            <w:r>
              <w:rPr>
                <w:szCs w:val="22"/>
              </w:rPr>
              <w:t xml:space="preserve">less than </w:t>
            </w:r>
            <w:r w:rsidRPr="002835A0">
              <w:rPr>
                <w:color w:val="000000"/>
                <w:szCs w:val="22"/>
              </w:rPr>
              <w:t>12 kg.</w:t>
            </w:r>
          </w:p>
          <w:p w14:paraId="5A0C5F1C" w14:textId="17952AF0" w:rsidR="00597996" w:rsidRPr="002835A0" w:rsidRDefault="00597996" w:rsidP="009A23AA">
            <w:pPr>
              <w:spacing w:before="60" w:after="60"/>
              <w:rPr>
                <w:szCs w:val="22"/>
              </w:rPr>
            </w:pPr>
            <w:r w:rsidRPr="00FA514B">
              <w:rPr>
                <w:szCs w:val="22"/>
              </w:rPr>
              <w:t>Close control or precision air conditioning systems employed in applications where air quality requirements are specified</w:t>
            </w:r>
            <w:r w:rsidR="007B4948">
              <w:rPr>
                <w:szCs w:val="22"/>
              </w:rPr>
              <w:t>,</w:t>
            </w:r>
            <w:r w:rsidRPr="00FA514B">
              <w:rPr>
                <w:szCs w:val="22"/>
              </w:rPr>
              <w:t xml:space="preserve"> such as in computer rooms, data processing centres, telecommunication facilities, medical technology, clean rooms for production of electronic components and pharmaceuticals, and other industrial process areas</w:t>
            </w:r>
            <w:r w:rsidR="007B4948">
              <w:rPr>
                <w:szCs w:val="22"/>
              </w:rPr>
              <w:t>,</w:t>
            </w:r>
            <w:r w:rsidRPr="00FA514B">
              <w:rPr>
                <w:szCs w:val="22"/>
              </w:rPr>
              <w:t xml:space="preserve"> are sold in small quantities relative to other Medium AC technology types, </w:t>
            </w:r>
            <w:r w:rsidR="007B4948">
              <w:rPr>
                <w:szCs w:val="22"/>
              </w:rPr>
              <w:t xml:space="preserve">and </w:t>
            </w:r>
            <w:r w:rsidRPr="00FA514B">
              <w:rPr>
                <w:szCs w:val="22"/>
              </w:rPr>
              <w:t>typically have charges of 2 x 15 kg.</w:t>
            </w:r>
          </w:p>
        </w:tc>
      </w:tr>
      <w:tr w:rsidR="00597996" w:rsidRPr="002835A0" w14:paraId="65D84C42" w14:textId="77777777" w:rsidTr="00597996">
        <w:tc>
          <w:tcPr>
            <w:tcW w:w="2972" w:type="dxa"/>
          </w:tcPr>
          <w:p w14:paraId="2DE06346" w14:textId="77777777" w:rsidR="00597996" w:rsidRPr="002835A0" w:rsidRDefault="00597996" w:rsidP="009A23AA">
            <w:pPr>
              <w:spacing w:before="60" w:after="60"/>
              <w:rPr>
                <w:color w:val="000000"/>
                <w:szCs w:val="22"/>
              </w:rPr>
            </w:pPr>
            <w:r w:rsidRPr="002835A0">
              <w:rPr>
                <w:color w:val="000000"/>
                <w:szCs w:val="22"/>
              </w:rPr>
              <w:t>≥ 20 kg</w:t>
            </w:r>
          </w:p>
        </w:tc>
        <w:tc>
          <w:tcPr>
            <w:tcW w:w="6521" w:type="dxa"/>
          </w:tcPr>
          <w:p w14:paraId="144D3CF7" w14:textId="77777777" w:rsidR="00597996" w:rsidRPr="002835A0" w:rsidRDefault="00597996" w:rsidP="009A23AA">
            <w:pPr>
              <w:spacing w:before="60" w:after="60"/>
              <w:rPr>
                <w:b/>
                <w:szCs w:val="22"/>
              </w:rPr>
            </w:pPr>
            <w:r w:rsidRPr="002835A0">
              <w:rPr>
                <w:b/>
                <w:szCs w:val="22"/>
              </w:rPr>
              <w:t>Large AC</w:t>
            </w:r>
          </w:p>
          <w:p w14:paraId="72287C9C" w14:textId="016714B9" w:rsidR="00597996" w:rsidRDefault="00597996" w:rsidP="009A23AA">
            <w:pPr>
              <w:spacing w:before="60" w:after="60"/>
              <w:rPr>
                <w:szCs w:val="22"/>
              </w:rPr>
            </w:pPr>
            <w:r w:rsidRPr="002835A0">
              <w:rPr>
                <w:szCs w:val="22"/>
              </w:rPr>
              <w:t>Chillers for space cooling in large commercial buildings</w:t>
            </w:r>
            <w:r>
              <w:rPr>
                <w:szCs w:val="22"/>
              </w:rPr>
              <w:t xml:space="preserve"> is the main application. Chillers that use </w:t>
            </w:r>
            <w:r w:rsidR="0045124B">
              <w:rPr>
                <w:szCs w:val="22"/>
              </w:rPr>
              <w:t>s</w:t>
            </w:r>
            <w:r>
              <w:rPr>
                <w:szCs w:val="22"/>
              </w:rPr>
              <w:t>croll compressor technology typically use HFC-</w:t>
            </w:r>
            <w:r w:rsidRPr="002835A0">
              <w:rPr>
                <w:szCs w:val="22"/>
              </w:rPr>
              <w:t xml:space="preserve"> 410A</w:t>
            </w:r>
            <w:r>
              <w:rPr>
                <w:szCs w:val="22"/>
              </w:rPr>
              <w:t>, as well as HFC-407C.</w:t>
            </w:r>
          </w:p>
          <w:p w14:paraId="1641654F" w14:textId="474B5E5E" w:rsidR="00597996" w:rsidRPr="002835A0" w:rsidRDefault="00597996" w:rsidP="009A23AA">
            <w:pPr>
              <w:spacing w:before="60" w:after="60"/>
              <w:rPr>
                <w:szCs w:val="22"/>
              </w:rPr>
            </w:pPr>
            <w:r>
              <w:rPr>
                <w:szCs w:val="22"/>
              </w:rPr>
              <w:t xml:space="preserve">Chillers that use </w:t>
            </w:r>
            <w:r w:rsidR="0045124B">
              <w:rPr>
                <w:szCs w:val="22"/>
              </w:rPr>
              <w:t>s</w:t>
            </w:r>
            <w:r w:rsidRPr="002835A0">
              <w:rPr>
                <w:szCs w:val="22"/>
              </w:rPr>
              <w:t xml:space="preserve">crew </w:t>
            </w:r>
            <w:r>
              <w:rPr>
                <w:szCs w:val="22"/>
              </w:rPr>
              <w:t xml:space="preserve">and </w:t>
            </w:r>
            <w:r w:rsidR="0045124B">
              <w:rPr>
                <w:szCs w:val="22"/>
              </w:rPr>
              <w:t>c</w:t>
            </w:r>
            <w:r w:rsidRPr="002835A0">
              <w:rPr>
                <w:szCs w:val="22"/>
              </w:rPr>
              <w:t xml:space="preserve">entrifugal </w:t>
            </w:r>
            <w:r>
              <w:rPr>
                <w:szCs w:val="22"/>
              </w:rPr>
              <w:t>compressor technology typically use HFC-134a and have large charges up to several tonnes</w:t>
            </w:r>
            <w:r w:rsidRPr="002835A0">
              <w:rPr>
                <w:szCs w:val="22"/>
              </w:rPr>
              <w:t>. </w:t>
            </w:r>
          </w:p>
        </w:tc>
      </w:tr>
    </w:tbl>
    <w:p w14:paraId="610B8991" w14:textId="77777777" w:rsidR="00597996" w:rsidRPr="00BA1087" w:rsidRDefault="00597996" w:rsidP="009A23AA">
      <w:pPr>
        <w:spacing w:before="0"/>
        <w:rPr>
          <w:rFonts w:eastAsia="Times New Roman" w:cs="Times New Roman"/>
          <w:bCs/>
          <w:iCs/>
          <w:szCs w:val="20"/>
          <w:lang w:val="en-US"/>
        </w:rPr>
      </w:pPr>
    </w:p>
    <w:p w14:paraId="12A96056" w14:textId="77777777" w:rsidR="00597996" w:rsidRDefault="00597996" w:rsidP="009A23AA">
      <w:pPr>
        <w:rPr>
          <w:szCs w:val="22"/>
        </w:rPr>
      </w:pPr>
      <w:r w:rsidRPr="009E3FA3">
        <w:rPr>
          <w:szCs w:val="22"/>
        </w:rPr>
        <w:t>Filtering out equipment with charges less than 800 grams, and greater than 2,600 grams</w:t>
      </w:r>
      <w:r>
        <w:rPr>
          <w:szCs w:val="22"/>
        </w:rPr>
        <w:t xml:space="preserve">, </w:t>
      </w:r>
      <w:r w:rsidRPr="009E3FA3">
        <w:rPr>
          <w:szCs w:val="22"/>
        </w:rPr>
        <w:t xml:space="preserve">excludes the majority of </w:t>
      </w:r>
      <w:r>
        <w:rPr>
          <w:szCs w:val="22"/>
        </w:rPr>
        <w:t xml:space="preserve">the small </w:t>
      </w:r>
      <w:r w:rsidRPr="009E3FA3">
        <w:rPr>
          <w:szCs w:val="22"/>
        </w:rPr>
        <w:t>portable AC and window wall units that are typically under 800 grams</w:t>
      </w:r>
      <w:r>
        <w:rPr>
          <w:szCs w:val="22"/>
        </w:rPr>
        <w:t>,</w:t>
      </w:r>
      <w:r w:rsidRPr="009E3FA3">
        <w:rPr>
          <w:szCs w:val="22"/>
        </w:rPr>
        <w:t xml:space="preserve"> and the majority of </w:t>
      </w:r>
      <w:r>
        <w:rPr>
          <w:szCs w:val="22"/>
        </w:rPr>
        <w:t xml:space="preserve">the larger </w:t>
      </w:r>
      <w:r w:rsidRPr="009E3FA3">
        <w:rPr>
          <w:szCs w:val="22"/>
        </w:rPr>
        <w:t>ducted systems</w:t>
      </w:r>
      <w:r>
        <w:rPr>
          <w:szCs w:val="22"/>
        </w:rPr>
        <w:t>,</w:t>
      </w:r>
      <w:r w:rsidRPr="009E3FA3">
        <w:rPr>
          <w:szCs w:val="22"/>
        </w:rPr>
        <w:t xml:space="preserve"> which generally have charges larger than 2,600 grams. These larger units are most likely to be charged with HFC-410A.</w:t>
      </w:r>
      <w:r>
        <w:rPr>
          <w:szCs w:val="22"/>
        </w:rPr>
        <w:t xml:space="preserve"> </w:t>
      </w:r>
    </w:p>
    <w:p w14:paraId="06E182DC" w14:textId="2E21B836" w:rsidR="00597996" w:rsidRDefault="00597996" w:rsidP="009A23AA">
      <w:pPr>
        <w:rPr>
          <w:szCs w:val="22"/>
        </w:rPr>
      </w:pPr>
      <w:r>
        <w:rPr>
          <w:szCs w:val="22"/>
        </w:rPr>
        <w:t>Applying these filters highlights the rate of transition away from the much higher GWP HFC-410A, to HFC</w:t>
      </w:r>
      <w:r w:rsidR="00AF04AD">
        <w:rPr>
          <w:szCs w:val="22"/>
        </w:rPr>
        <w:noBreakHyphen/>
      </w:r>
      <w:r>
        <w:rPr>
          <w:szCs w:val="22"/>
        </w:rPr>
        <w:t xml:space="preserve">32 in this size range, which is predominantly </w:t>
      </w:r>
      <w:r w:rsidRPr="009E3FA3">
        <w:rPr>
          <w:szCs w:val="22"/>
        </w:rPr>
        <w:t xml:space="preserve">non-ducted </w:t>
      </w:r>
      <w:r>
        <w:rPr>
          <w:szCs w:val="22"/>
        </w:rPr>
        <w:t xml:space="preserve">single </w:t>
      </w:r>
      <w:r w:rsidRPr="009E3FA3">
        <w:rPr>
          <w:szCs w:val="22"/>
        </w:rPr>
        <w:t>split systems</w:t>
      </w:r>
      <w:r>
        <w:rPr>
          <w:szCs w:val="22"/>
        </w:rPr>
        <w:t>.</w:t>
      </w:r>
    </w:p>
    <w:p w14:paraId="1465ED91" w14:textId="256D7036" w:rsidR="00597996" w:rsidRDefault="00597996" w:rsidP="009A23AA">
      <w:pPr>
        <w:rPr>
          <w:szCs w:val="22"/>
        </w:rPr>
      </w:pPr>
      <w:r w:rsidRPr="0082202A">
        <w:rPr>
          <w:i/>
          <w:iCs/>
          <w:szCs w:val="22"/>
        </w:rPr>
        <w:t xml:space="preserve">Figure </w:t>
      </w:r>
      <w:r w:rsidR="0082202A" w:rsidRPr="0082202A">
        <w:rPr>
          <w:i/>
          <w:iCs/>
          <w:szCs w:val="22"/>
        </w:rPr>
        <w:t>1</w:t>
      </w:r>
      <w:r w:rsidRPr="00FD74A7">
        <w:rPr>
          <w:szCs w:val="22"/>
        </w:rPr>
        <w:t xml:space="preserve"> illustrates this trend, refer to </w:t>
      </w:r>
      <w:r w:rsidR="0082202A" w:rsidRPr="003B5462">
        <w:rPr>
          <w:i/>
          <w:szCs w:val="22"/>
        </w:rPr>
        <w:t>Appendix B</w:t>
      </w:r>
      <w:r w:rsidR="0082202A">
        <w:rPr>
          <w:i/>
          <w:szCs w:val="22"/>
        </w:rPr>
        <w:t>4.2</w:t>
      </w:r>
      <w:r w:rsidR="0082202A" w:rsidRPr="003B5462">
        <w:rPr>
          <w:i/>
          <w:szCs w:val="22"/>
        </w:rPr>
        <w:t>: Stationary AC: Pre-charged equipment</w:t>
      </w:r>
      <w:r w:rsidRPr="00FD74A7">
        <w:rPr>
          <w:szCs w:val="22"/>
        </w:rPr>
        <w:t xml:space="preserve"> for tabulated data.</w:t>
      </w:r>
    </w:p>
    <w:p w14:paraId="2D470E0B" w14:textId="77777777" w:rsidR="00597996" w:rsidRDefault="00597996" w:rsidP="009A23AA"/>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597996" w:rsidRPr="00613398" w14:paraId="090C5432" w14:textId="77777777" w:rsidTr="001D5B2F">
        <w:tc>
          <w:tcPr>
            <w:tcW w:w="9498" w:type="dxa"/>
            <w:vAlign w:val="center"/>
          </w:tcPr>
          <w:p w14:paraId="19F28CB2" w14:textId="77777777" w:rsidR="00597996" w:rsidRPr="00613398" w:rsidRDefault="00597996" w:rsidP="00D66D96">
            <w:pPr>
              <w:spacing w:after="120"/>
              <w:jc w:val="center"/>
              <w:rPr>
                <w:b/>
              </w:rPr>
            </w:pPr>
            <w:r w:rsidRPr="00613398">
              <w:rPr>
                <w:b/>
              </w:rPr>
              <w:br w:type="page"/>
            </w:r>
            <w:r>
              <w:rPr>
                <w:b/>
              </w:rPr>
              <w:t>PCE imports of Stationary AC with charge &gt;800 grams and &lt;</w:t>
            </w:r>
            <w:r w:rsidRPr="003B5462">
              <w:rPr>
                <w:b/>
              </w:rPr>
              <w:t xml:space="preserve"> </w:t>
            </w:r>
            <w:r>
              <w:rPr>
                <w:b/>
              </w:rPr>
              <w:t>2.6 kg (Tonnes)</w:t>
            </w:r>
          </w:p>
        </w:tc>
      </w:tr>
      <w:tr w:rsidR="00597996" w:rsidRPr="000F7FAE" w14:paraId="35B1F189" w14:textId="77777777" w:rsidTr="001D5B2F">
        <w:tc>
          <w:tcPr>
            <w:tcW w:w="9498" w:type="dxa"/>
            <w:vAlign w:val="center"/>
          </w:tcPr>
          <w:p w14:paraId="3906B93D" w14:textId="77777777" w:rsidR="00597996" w:rsidRPr="000F7FAE" w:rsidRDefault="00597996" w:rsidP="009A23AA">
            <w:pPr>
              <w:spacing w:before="60" w:after="60"/>
              <w:rPr>
                <w:sz w:val="16"/>
                <w:szCs w:val="16"/>
              </w:rPr>
            </w:pPr>
          </w:p>
          <w:p w14:paraId="51FD200B" w14:textId="77777777" w:rsidR="00597996" w:rsidRPr="000F7FAE" w:rsidRDefault="00597996" w:rsidP="009A23AA">
            <w:pPr>
              <w:spacing w:before="60" w:after="60"/>
              <w:rPr>
                <w:sz w:val="16"/>
                <w:szCs w:val="16"/>
              </w:rPr>
            </w:pPr>
            <w:r>
              <w:rPr>
                <w:noProof/>
                <w:lang w:val="en-AU" w:eastAsia="en-AU"/>
              </w:rPr>
              <w:drawing>
                <wp:inline distT="0" distB="0" distL="0" distR="0" wp14:anchorId="064DD8DE" wp14:editId="73855E70">
                  <wp:extent cx="5727700" cy="2646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2646045"/>
                          </a:xfrm>
                          <a:prstGeom prst="rect">
                            <a:avLst/>
                          </a:prstGeom>
                        </pic:spPr>
                      </pic:pic>
                    </a:graphicData>
                  </a:graphic>
                </wp:inline>
              </w:drawing>
            </w:r>
          </w:p>
          <w:p w14:paraId="76C31963" w14:textId="77777777" w:rsidR="00597996" w:rsidRPr="000F7FAE" w:rsidRDefault="00597996" w:rsidP="009A23AA">
            <w:pPr>
              <w:spacing w:before="60" w:after="60"/>
              <w:rPr>
                <w:sz w:val="16"/>
                <w:szCs w:val="16"/>
              </w:rPr>
            </w:pPr>
          </w:p>
        </w:tc>
      </w:tr>
      <w:tr w:rsidR="00597996" w:rsidRPr="00923150" w14:paraId="429B1958" w14:textId="77777777" w:rsidTr="001D5B2F">
        <w:tc>
          <w:tcPr>
            <w:tcW w:w="9498" w:type="dxa"/>
            <w:vAlign w:val="center"/>
          </w:tcPr>
          <w:p w14:paraId="068BF74E" w14:textId="64135522" w:rsidR="00597996" w:rsidRPr="00EE7692" w:rsidRDefault="0082202A" w:rsidP="009A23AA">
            <w:pPr>
              <w:pStyle w:val="Caption"/>
            </w:pPr>
            <w:bookmarkStart w:id="18" w:name="_Toc19601323"/>
            <w:r w:rsidRPr="00290841">
              <w:t xml:space="preserve">Figure </w:t>
            </w:r>
            <w:r>
              <w:rPr>
                <w:noProof/>
              </w:rPr>
              <w:fldChar w:fldCharType="begin"/>
            </w:r>
            <w:r>
              <w:rPr>
                <w:noProof/>
              </w:rPr>
              <w:instrText xml:space="preserve"> SEQ Figure \* ARABIC </w:instrText>
            </w:r>
            <w:r>
              <w:rPr>
                <w:noProof/>
              </w:rPr>
              <w:fldChar w:fldCharType="separate"/>
            </w:r>
            <w:r w:rsidR="001D0DA3">
              <w:rPr>
                <w:noProof/>
              </w:rPr>
              <w:t>1</w:t>
            </w:r>
            <w:r>
              <w:rPr>
                <w:noProof/>
              </w:rPr>
              <w:fldChar w:fldCharType="end"/>
            </w:r>
            <w:r w:rsidRPr="00290841">
              <w:t xml:space="preserve">: </w:t>
            </w:r>
            <w:r w:rsidR="00597996">
              <w:t xml:space="preserve">Mass of </w:t>
            </w:r>
            <w:r w:rsidR="00EA5E09">
              <w:t>r</w:t>
            </w:r>
            <w:r w:rsidR="00597996">
              <w:t xml:space="preserve">efrigerant in pre-charge equipment imports of stationary AC from 2012 to 2018 (with a charge greater than 800 grams and less than or equal to 2.6 kg) by refrigerant type in </w:t>
            </w:r>
            <w:proofErr w:type="spellStart"/>
            <w:r w:rsidR="00597996">
              <w:t>tonnes</w:t>
            </w:r>
            <w:proofErr w:type="spellEnd"/>
            <w:r w:rsidR="00597996" w:rsidRPr="00EE7692">
              <w:t>.</w:t>
            </w:r>
            <w:bookmarkEnd w:id="18"/>
          </w:p>
        </w:tc>
      </w:tr>
    </w:tbl>
    <w:p w14:paraId="53280CAD" w14:textId="77777777" w:rsidR="00597996" w:rsidRPr="003B5462" w:rsidRDefault="00597996" w:rsidP="009A23AA">
      <w:pPr>
        <w:spacing w:before="0"/>
        <w:rPr>
          <w:sz w:val="20"/>
          <w:szCs w:val="20"/>
          <w:lang w:val="en-US"/>
        </w:rPr>
      </w:pPr>
      <w:r w:rsidRPr="003B5462">
        <w:rPr>
          <w:sz w:val="20"/>
          <w:szCs w:val="20"/>
          <w:lang w:val="en-US"/>
        </w:rPr>
        <w:t xml:space="preserve">(Source: </w:t>
      </w:r>
      <w:proofErr w:type="spellStart"/>
      <w:r w:rsidRPr="003B5462">
        <w:rPr>
          <w:sz w:val="20"/>
          <w:szCs w:val="20"/>
          <w:lang w:val="en-US"/>
        </w:rPr>
        <w:t>DoEE</w:t>
      </w:r>
      <w:proofErr w:type="spellEnd"/>
      <w:r w:rsidRPr="003B5462">
        <w:rPr>
          <w:sz w:val="20"/>
          <w:szCs w:val="20"/>
          <w:lang w:val="en-US"/>
        </w:rPr>
        <w:t xml:space="preserve"> 2019)</w:t>
      </w:r>
    </w:p>
    <w:p w14:paraId="427B1C2B" w14:textId="77777777" w:rsidR="00597996" w:rsidRPr="00D5366E" w:rsidRDefault="00597996" w:rsidP="009A23AA">
      <w:pPr>
        <w:spacing w:before="60"/>
        <w:rPr>
          <w:sz w:val="20"/>
          <w:szCs w:val="20"/>
        </w:rPr>
      </w:pPr>
      <w:r w:rsidRPr="00D5366E">
        <w:rPr>
          <w:sz w:val="20"/>
          <w:szCs w:val="20"/>
        </w:rPr>
        <w:t>Notes:</w:t>
      </w:r>
    </w:p>
    <w:p w14:paraId="07F476DD" w14:textId="77777777" w:rsidR="00597996" w:rsidRPr="00D5366E" w:rsidRDefault="00597996" w:rsidP="009A23AA">
      <w:pPr>
        <w:pStyle w:val="ListParagraph"/>
        <w:numPr>
          <w:ilvl w:val="0"/>
          <w:numId w:val="22"/>
        </w:numPr>
        <w:spacing w:before="60" w:after="0" w:line="240" w:lineRule="auto"/>
        <w:ind w:left="357" w:hanging="357"/>
        <w:jc w:val="both"/>
        <w:rPr>
          <w:rFonts w:ascii="Times New Roman" w:hAnsi="Times New Roman"/>
          <w:sz w:val="20"/>
          <w:szCs w:val="20"/>
        </w:rPr>
      </w:pPr>
      <w:r w:rsidRPr="00D5366E">
        <w:rPr>
          <w:rFonts w:ascii="Times New Roman" w:hAnsi="Times New Roman"/>
          <w:sz w:val="20"/>
          <w:szCs w:val="20"/>
        </w:rPr>
        <w:t>This dataset does capture some smaller multi-split systems, for example the Fujitsu 2 or 3 head multi split systems (model AOTG24, 6.8 kW cool/8.0 kW heat) containing 2,200 grams of HFC-410A, whereas the 3 or 4 head multi split system (model AOTG30, 8.0 kW cool/9.6 kW heat) contains 2,800 grams.</w:t>
      </w:r>
    </w:p>
    <w:p w14:paraId="4880BC93" w14:textId="77777777" w:rsidR="00597996" w:rsidRDefault="00597996" w:rsidP="009A23AA">
      <w:pPr>
        <w:rPr>
          <w:rFonts w:cs="Times New Roman"/>
          <w:szCs w:val="22"/>
          <w:highlight w:val="yellow"/>
        </w:rPr>
      </w:pPr>
    </w:p>
    <w:p w14:paraId="0DCF2766" w14:textId="5F383B45" w:rsidR="00597996" w:rsidRPr="00F13398" w:rsidRDefault="00597996" w:rsidP="009A23AA">
      <w:pPr>
        <w:rPr>
          <w:rFonts w:cs="Times New Roman"/>
          <w:szCs w:val="22"/>
        </w:rPr>
      </w:pPr>
      <w:r w:rsidRPr="00F13398">
        <w:rPr>
          <w:rFonts w:cs="Times New Roman"/>
          <w:szCs w:val="22"/>
        </w:rPr>
        <w:t xml:space="preserve">Ducted and non-ducted air conditioners (excluding portable AC) up to 65 kW </w:t>
      </w:r>
      <w:r w:rsidR="00117375">
        <w:rPr>
          <w:rFonts w:cs="Times New Roman"/>
          <w:szCs w:val="22"/>
        </w:rPr>
        <w:t>must</w:t>
      </w:r>
      <w:r w:rsidRPr="00F13398">
        <w:rPr>
          <w:rFonts w:cs="Times New Roman"/>
          <w:szCs w:val="22"/>
        </w:rPr>
        <w:t xml:space="preserve"> satisfy </w:t>
      </w:r>
      <w:r>
        <w:rPr>
          <w:rFonts w:cs="Times New Roman"/>
          <w:szCs w:val="22"/>
        </w:rPr>
        <w:t>M</w:t>
      </w:r>
      <w:r w:rsidRPr="00F13398">
        <w:rPr>
          <w:rFonts w:cs="Times New Roman"/>
          <w:szCs w:val="22"/>
        </w:rPr>
        <w:t xml:space="preserve">inimum </w:t>
      </w:r>
      <w:r>
        <w:rPr>
          <w:rFonts w:cs="Times New Roman"/>
          <w:szCs w:val="22"/>
        </w:rPr>
        <w:t>E</w:t>
      </w:r>
      <w:r w:rsidRPr="00F13398">
        <w:rPr>
          <w:rFonts w:cs="Times New Roman"/>
          <w:szCs w:val="22"/>
        </w:rPr>
        <w:t xml:space="preserve">nergy </w:t>
      </w:r>
      <w:r>
        <w:rPr>
          <w:rFonts w:cs="Times New Roman"/>
          <w:szCs w:val="22"/>
        </w:rPr>
        <w:t>P</w:t>
      </w:r>
      <w:r w:rsidRPr="00F13398">
        <w:rPr>
          <w:rFonts w:cs="Times New Roman"/>
          <w:szCs w:val="22"/>
        </w:rPr>
        <w:t xml:space="preserve">erformance </w:t>
      </w:r>
      <w:r>
        <w:rPr>
          <w:rFonts w:cs="Times New Roman"/>
          <w:szCs w:val="22"/>
        </w:rPr>
        <w:t>S</w:t>
      </w:r>
      <w:r w:rsidRPr="00F13398">
        <w:rPr>
          <w:rFonts w:cs="Times New Roman"/>
          <w:szCs w:val="22"/>
        </w:rPr>
        <w:t xml:space="preserve">tandards </w:t>
      </w:r>
      <w:r>
        <w:rPr>
          <w:rFonts w:cs="Times New Roman"/>
          <w:szCs w:val="22"/>
        </w:rPr>
        <w:t xml:space="preserve">(MEPS) </w:t>
      </w:r>
      <w:r w:rsidRPr="00F13398">
        <w:rPr>
          <w:rFonts w:cs="Times New Roman"/>
          <w:szCs w:val="22"/>
        </w:rPr>
        <w:t xml:space="preserve">and be registered under the </w:t>
      </w:r>
      <w:r w:rsidRPr="00EA5E09">
        <w:rPr>
          <w:rFonts w:cs="Times New Roman"/>
          <w:i/>
          <w:iCs/>
          <w:szCs w:val="22"/>
        </w:rPr>
        <w:t>Greenhouse and Energy Minimum Standards (GEMS) Act</w:t>
      </w:r>
      <w:r w:rsidR="00AF04AD" w:rsidRPr="00EA5E09">
        <w:rPr>
          <w:rFonts w:cs="Times New Roman"/>
          <w:i/>
          <w:iCs/>
          <w:szCs w:val="22"/>
        </w:rPr>
        <w:t xml:space="preserve"> 2012</w:t>
      </w:r>
      <w:r w:rsidRPr="00F13398">
        <w:rPr>
          <w:rFonts w:cs="Times New Roman"/>
          <w:szCs w:val="22"/>
        </w:rPr>
        <w:t>. The registration details include the refrigerant type</w:t>
      </w:r>
      <w:r w:rsidR="0076089F">
        <w:rPr>
          <w:rFonts w:cs="Times New Roman"/>
          <w:szCs w:val="22"/>
        </w:rPr>
        <w:t>.</w:t>
      </w:r>
      <w:r w:rsidRPr="00F13398">
        <w:rPr>
          <w:rStyle w:val="FootnoteReference"/>
          <w:rFonts w:ascii="Times New Roman" w:hAnsi="Times New Roman" w:cs="Times New Roman"/>
          <w:szCs w:val="22"/>
        </w:rPr>
        <w:footnoteReference w:id="8"/>
      </w:r>
      <w:r w:rsidR="0076089F">
        <w:rPr>
          <w:rFonts w:cs="Times New Roman"/>
          <w:szCs w:val="22"/>
        </w:rPr>
        <w:t xml:space="preserve"> </w:t>
      </w:r>
      <w:r w:rsidR="00117375">
        <w:rPr>
          <w:rFonts w:cs="Times New Roman"/>
          <w:szCs w:val="22"/>
        </w:rPr>
        <w:t xml:space="preserve">As </w:t>
      </w:r>
      <w:r w:rsidRPr="00F13398">
        <w:rPr>
          <w:rFonts w:cs="Times New Roman"/>
          <w:szCs w:val="22"/>
        </w:rPr>
        <w:t>of the 1</w:t>
      </w:r>
      <w:r w:rsidRPr="00F13398">
        <w:rPr>
          <w:rFonts w:cs="Times New Roman"/>
          <w:szCs w:val="22"/>
          <w:vertAlign w:val="superscript"/>
        </w:rPr>
        <w:t>st</w:t>
      </w:r>
      <w:r w:rsidRPr="00F13398">
        <w:rPr>
          <w:rFonts w:cs="Times New Roman"/>
          <w:szCs w:val="22"/>
        </w:rPr>
        <w:t xml:space="preserve"> of May 2019</w:t>
      </w:r>
      <w:r w:rsidR="00117375">
        <w:rPr>
          <w:rFonts w:cs="Times New Roman"/>
          <w:szCs w:val="22"/>
        </w:rPr>
        <w:t>,</w:t>
      </w:r>
      <w:r w:rsidRPr="00F13398">
        <w:rPr>
          <w:rFonts w:cs="Times New Roman"/>
          <w:szCs w:val="22"/>
        </w:rPr>
        <w:t xml:space="preserve"> the count of </w:t>
      </w:r>
      <w:r>
        <w:rPr>
          <w:rFonts w:cs="Times New Roman"/>
          <w:szCs w:val="22"/>
        </w:rPr>
        <w:t xml:space="preserve">GEMS </w:t>
      </w:r>
      <w:r w:rsidRPr="00F13398">
        <w:rPr>
          <w:rFonts w:cs="Times New Roman"/>
          <w:szCs w:val="22"/>
        </w:rPr>
        <w:t>registered models operating on HFC-32 was</w:t>
      </w:r>
      <w:r>
        <w:rPr>
          <w:rFonts w:cs="Times New Roman"/>
          <w:szCs w:val="22"/>
        </w:rPr>
        <w:t>:</w:t>
      </w:r>
      <w:r w:rsidRPr="00F13398">
        <w:rPr>
          <w:rFonts w:cs="Times New Roman"/>
          <w:szCs w:val="22"/>
        </w:rPr>
        <w:t xml:space="preserve"> </w:t>
      </w:r>
    </w:p>
    <w:p w14:paraId="5F273F48" w14:textId="77777777" w:rsidR="00597996" w:rsidRPr="00F13398" w:rsidRDefault="00597996" w:rsidP="009A23AA">
      <w:pPr>
        <w:pStyle w:val="ListParagraph"/>
        <w:numPr>
          <w:ilvl w:val="0"/>
          <w:numId w:val="21"/>
        </w:numPr>
        <w:spacing w:before="120" w:after="0" w:line="240" w:lineRule="auto"/>
        <w:ind w:left="357" w:hanging="357"/>
        <w:contextualSpacing w:val="0"/>
        <w:jc w:val="both"/>
        <w:rPr>
          <w:rFonts w:ascii="Times New Roman" w:hAnsi="Times New Roman"/>
        </w:rPr>
      </w:pPr>
      <w:r w:rsidRPr="00F13398">
        <w:rPr>
          <w:rFonts w:ascii="Times New Roman" w:hAnsi="Times New Roman"/>
        </w:rPr>
        <w:t>639 non-ducted split systems registered (30% of all registered non-ducted single split systems)</w:t>
      </w:r>
      <w:r>
        <w:rPr>
          <w:rFonts w:ascii="Times New Roman" w:hAnsi="Times New Roman"/>
        </w:rPr>
        <w:t>;</w:t>
      </w:r>
    </w:p>
    <w:p w14:paraId="7FB39514" w14:textId="77777777" w:rsidR="00597996" w:rsidRPr="00F13398" w:rsidRDefault="00597996" w:rsidP="009A23AA">
      <w:pPr>
        <w:pStyle w:val="ListParagraph"/>
        <w:numPr>
          <w:ilvl w:val="0"/>
          <w:numId w:val="21"/>
        </w:numPr>
        <w:spacing w:before="120" w:after="0" w:line="240" w:lineRule="auto"/>
        <w:ind w:left="357" w:hanging="357"/>
        <w:contextualSpacing w:val="0"/>
        <w:jc w:val="both"/>
        <w:rPr>
          <w:rFonts w:ascii="Times New Roman" w:hAnsi="Times New Roman"/>
        </w:rPr>
      </w:pPr>
      <w:r w:rsidRPr="00F13398">
        <w:rPr>
          <w:rFonts w:ascii="Times New Roman" w:hAnsi="Times New Roman"/>
        </w:rPr>
        <w:t>33 window/wall models (33% of all registered window/wall)</w:t>
      </w:r>
      <w:r>
        <w:rPr>
          <w:rFonts w:ascii="Times New Roman" w:hAnsi="Times New Roman"/>
        </w:rPr>
        <w:t>;</w:t>
      </w:r>
      <w:r w:rsidRPr="00F13398">
        <w:rPr>
          <w:rFonts w:ascii="Times New Roman" w:hAnsi="Times New Roman"/>
        </w:rPr>
        <w:t xml:space="preserve"> and</w:t>
      </w:r>
      <w:r>
        <w:rPr>
          <w:rFonts w:ascii="Times New Roman" w:hAnsi="Times New Roman"/>
        </w:rPr>
        <w:t>,</w:t>
      </w:r>
    </w:p>
    <w:p w14:paraId="276B1DFF" w14:textId="77777777" w:rsidR="00597996" w:rsidRPr="00F13398" w:rsidRDefault="00597996" w:rsidP="009A23AA">
      <w:pPr>
        <w:pStyle w:val="ListParagraph"/>
        <w:numPr>
          <w:ilvl w:val="0"/>
          <w:numId w:val="21"/>
        </w:numPr>
        <w:spacing w:before="120" w:after="0" w:line="240" w:lineRule="auto"/>
        <w:ind w:left="357" w:hanging="357"/>
        <w:contextualSpacing w:val="0"/>
        <w:jc w:val="both"/>
        <w:rPr>
          <w:rFonts w:ascii="Times New Roman" w:hAnsi="Times New Roman"/>
        </w:rPr>
      </w:pPr>
      <w:r w:rsidRPr="00F13398">
        <w:rPr>
          <w:rFonts w:ascii="Times New Roman" w:hAnsi="Times New Roman"/>
        </w:rPr>
        <w:t xml:space="preserve">87 single split ducted models (11% of all registered single split ducted). </w:t>
      </w:r>
    </w:p>
    <w:p w14:paraId="536A91AF" w14:textId="77777777" w:rsidR="00597996" w:rsidRPr="00F13398" w:rsidRDefault="00597996" w:rsidP="009A23AA">
      <w:pPr>
        <w:rPr>
          <w:rFonts w:cs="Times New Roman"/>
        </w:rPr>
      </w:pPr>
      <w:r w:rsidRPr="00F13398">
        <w:rPr>
          <w:rFonts w:cs="Times New Roman"/>
        </w:rPr>
        <w:t xml:space="preserve">Registrations are valid for 5 years. The ducted brands include Daikin, Panasonic, LG, Hitachi, Mitsubishi Electric and Toshiba with 38 models with a rated cooling capacity greater than 12 </w:t>
      </w:r>
      <w:proofErr w:type="spellStart"/>
      <w:r w:rsidRPr="00F13398">
        <w:rPr>
          <w:rFonts w:cs="Times New Roman"/>
        </w:rPr>
        <w:t>kWr</w:t>
      </w:r>
      <w:proofErr w:type="spellEnd"/>
      <w:r w:rsidRPr="00F13398">
        <w:rPr>
          <w:rFonts w:cs="Times New Roman"/>
        </w:rPr>
        <w:t xml:space="preserve"> and largest model 22 </w:t>
      </w:r>
      <w:proofErr w:type="spellStart"/>
      <w:r w:rsidRPr="00F13398">
        <w:rPr>
          <w:rFonts w:cs="Times New Roman"/>
        </w:rPr>
        <w:t>kWr</w:t>
      </w:r>
      <w:proofErr w:type="spellEnd"/>
      <w:r w:rsidRPr="00F13398">
        <w:rPr>
          <w:rFonts w:cs="Times New Roman"/>
        </w:rPr>
        <w:t>.</w:t>
      </w:r>
    </w:p>
    <w:p w14:paraId="70B8DFAD" w14:textId="303CC525" w:rsidR="00117375" w:rsidRDefault="00597996" w:rsidP="009A23AA">
      <w:r>
        <w:t xml:space="preserve">The greater thermal efficiency of HFC-32 means that it has provided an avenue for manufacturers to achieve higher </w:t>
      </w:r>
      <w:r w:rsidR="00117375">
        <w:t xml:space="preserve">energy </w:t>
      </w:r>
      <w:r>
        <w:t>efficiencies with very minor equipment design changes</w:t>
      </w:r>
      <w:r w:rsidR="00117375">
        <w:t xml:space="preserve">. </w:t>
      </w:r>
      <w:r w:rsidR="00117375">
        <w:rPr>
          <w:szCs w:val="22"/>
        </w:rPr>
        <w:t xml:space="preserve">A much smaller HFC-32 charge can achieve the same cooling </w:t>
      </w:r>
      <w:r w:rsidR="00117375" w:rsidRPr="008B4F4F">
        <w:rPr>
          <w:szCs w:val="22"/>
        </w:rPr>
        <w:t>as a significantly larger charge of HFC-410A</w:t>
      </w:r>
      <w:r w:rsidR="00117375">
        <w:rPr>
          <w:szCs w:val="22"/>
        </w:rPr>
        <w:t>, giving designers more leeway to use smaller compressors requiring less electricity to deliver the same cooling services.</w:t>
      </w:r>
    </w:p>
    <w:p w14:paraId="411B2A64" w14:textId="67A0256D" w:rsidR="00397ED6" w:rsidRDefault="00117375" w:rsidP="009A23AA">
      <w:r>
        <w:t>A</w:t>
      </w:r>
      <w:r w:rsidR="00597996">
        <w:t>s such energy efficiency standards might be one of the important drivers of the transition to HFC-32</w:t>
      </w:r>
      <w:r>
        <w:t>,</w:t>
      </w:r>
      <w:r w:rsidR="00597996">
        <w:t xml:space="preserve"> more than its lower GWP. </w:t>
      </w:r>
    </w:p>
    <w:p w14:paraId="05C8B100" w14:textId="4373590F" w:rsidR="008434C7" w:rsidRPr="00397ED6" w:rsidRDefault="0082202A" w:rsidP="008434C7">
      <w:r>
        <w:rPr>
          <w:i/>
          <w:iCs/>
          <w:szCs w:val="22"/>
        </w:rPr>
        <w:t>Figure 2</w:t>
      </w:r>
      <w:r w:rsidR="00597996">
        <w:rPr>
          <w:szCs w:val="22"/>
        </w:rPr>
        <w:t xml:space="preserve"> suggests that the </w:t>
      </w:r>
      <w:r w:rsidR="00397ED6">
        <w:rPr>
          <w:szCs w:val="22"/>
        </w:rPr>
        <w:t xml:space="preserve">current rate of </w:t>
      </w:r>
      <w:r w:rsidR="00597996">
        <w:rPr>
          <w:szCs w:val="22"/>
        </w:rPr>
        <w:t xml:space="preserve">transition of smaller portable devices to HFC-32 is less conclusive than is apparent in the single split systems, and at the same time overall import volumes of portable devices are growing. </w:t>
      </w:r>
      <w:r w:rsidR="008434C7">
        <w:rPr>
          <w:szCs w:val="22"/>
        </w:rPr>
        <w:t>Recent changes in energy efficiency requirements for some classes of small AC will potentially see a wider range of AC models employing HFC-32.</w:t>
      </w:r>
      <w:r w:rsidR="008434C7">
        <w:rPr>
          <w:rStyle w:val="FootnoteReference"/>
          <w:szCs w:val="22"/>
        </w:rPr>
        <w:footnoteReference w:id="9"/>
      </w:r>
      <w:r w:rsidR="008434C7">
        <w:rPr>
          <w:szCs w:val="22"/>
        </w:rPr>
        <w:t xml:space="preserve"> </w:t>
      </w:r>
    </w:p>
    <w:p w14:paraId="1FB6F5E6" w14:textId="173B3415" w:rsidR="00597996" w:rsidRDefault="00597996" w:rsidP="009A23AA">
      <w:pPr>
        <w:rPr>
          <w:szCs w:val="22"/>
        </w:rPr>
      </w:pPr>
      <w:r>
        <w:rPr>
          <w:szCs w:val="22"/>
        </w:rPr>
        <w:t>However, the overall size of the bank in these small devices is an order of magnitude lower than the bank employed in single split systems.</w:t>
      </w:r>
    </w:p>
    <w:p w14:paraId="490432EC" w14:textId="77777777" w:rsidR="00597996" w:rsidRDefault="00597996" w:rsidP="009A23AA"/>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597996" w:rsidRPr="00613398" w14:paraId="61E31518" w14:textId="77777777" w:rsidTr="00597996">
        <w:tc>
          <w:tcPr>
            <w:tcW w:w="9498" w:type="dxa"/>
            <w:vAlign w:val="center"/>
          </w:tcPr>
          <w:p w14:paraId="412274AE" w14:textId="77777777" w:rsidR="00597996" w:rsidRPr="00613398" w:rsidRDefault="00597996" w:rsidP="00D66D96">
            <w:pPr>
              <w:spacing w:after="120"/>
              <w:jc w:val="center"/>
              <w:rPr>
                <w:b/>
              </w:rPr>
            </w:pPr>
            <w:r w:rsidRPr="00613398">
              <w:rPr>
                <w:b/>
              </w:rPr>
              <w:br w:type="page"/>
            </w:r>
            <w:r>
              <w:rPr>
                <w:b/>
              </w:rPr>
              <w:t>PCE imports of Stationary AC with charge &lt; 800 grams (Tonnes)</w:t>
            </w:r>
          </w:p>
        </w:tc>
      </w:tr>
      <w:tr w:rsidR="00597996" w:rsidRPr="000F7FAE" w14:paraId="2C9EE33D" w14:textId="77777777" w:rsidTr="00597996">
        <w:tc>
          <w:tcPr>
            <w:tcW w:w="9498" w:type="dxa"/>
            <w:vAlign w:val="center"/>
          </w:tcPr>
          <w:p w14:paraId="5FAD2A69" w14:textId="77777777" w:rsidR="00597996" w:rsidRPr="000F7FAE" w:rsidRDefault="00597996" w:rsidP="009A23AA">
            <w:pPr>
              <w:spacing w:before="60" w:after="60"/>
              <w:rPr>
                <w:sz w:val="16"/>
                <w:szCs w:val="16"/>
              </w:rPr>
            </w:pPr>
          </w:p>
          <w:p w14:paraId="1140DF2E" w14:textId="77777777" w:rsidR="00597996" w:rsidRPr="000F7FAE" w:rsidRDefault="00597996" w:rsidP="009A23AA">
            <w:pPr>
              <w:spacing w:before="60" w:after="60"/>
              <w:rPr>
                <w:sz w:val="16"/>
                <w:szCs w:val="16"/>
              </w:rPr>
            </w:pPr>
            <w:r>
              <w:rPr>
                <w:noProof/>
                <w:lang w:val="en-AU" w:eastAsia="en-AU"/>
              </w:rPr>
              <w:drawing>
                <wp:inline distT="0" distB="0" distL="0" distR="0" wp14:anchorId="5E84EBD1" wp14:editId="2C5797F4">
                  <wp:extent cx="5727700" cy="2683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2683510"/>
                          </a:xfrm>
                          <a:prstGeom prst="rect">
                            <a:avLst/>
                          </a:prstGeom>
                        </pic:spPr>
                      </pic:pic>
                    </a:graphicData>
                  </a:graphic>
                </wp:inline>
              </w:drawing>
            </w:r>
          </w:p>
          <w:p w14:paraId="00BEA3CF" w14:textId="77777777" w:rsidR="00597996" w:rsidRPr="000F7FAE" w:rsidRDefault="00597996" w:rsidP="009A23AA">
            <w:pPr>
              <w:spacing w:before="60" w:after="60"/>
              <w:rPr>
                <w:sz w:val="16"/>
                <w:szCs w:val="16"/>
              </w:rPr>
            </w:pPr>
          </w:p>
        </w:tc>
      </w:tr>
      <w:tr w:rsidR="00597996" w:rsidRPr="00923150" w14:paraId="66FBD65B" w14:textId="77777777" w:rsidTr="00597996">
        <w:tc>
          <w:tcPr>
            <w:tcW w:w="9498" w:type="dxa"/>
            <w:vAlign w:val="center"/>
          </w:tcPr>
          <w:p w14:paraId="668066FD" w14:textId="340EA72F" w:rsidR="00597996" w:rsidRPr="00EE7692" w:rsidRDefault="0082202A" w:rsidP="009A23AA">
            <w:pPr>
              <w:pStyle w:val="Caption"/>
            </w:pPr>
            <w:bookmarkStart w:id="19" w:name="_Toc525141332"/>
            <w:bookmarkStart w:id="20" w:name="_Toc19601324"/>
            <w:r w:rsidRPr="00290841">
              <w:t xml:space="preserve">Figure </w:t>
            </w:r>
            <w:r>
              <w:rPr>
                <w:noProof/>
              </w:rPr>
              <w:fldChar w:fldCharType="begin"/>
            </w:r>
            <w:r>
              <w:rPr>
                <w:noProof/>
              </w:rPr>
              <w:instrText xml:space="preserve"> SEQ Figure \* ARABIC </w:instrText>
            </w:r>
            <w:r>
              <w:rPr>
                <w:noProof/>
              </w:rPr>
              <w:fldChar w:fldCharType="separate"/>
            </w:r>
            <w:r w:rsidR="001D0DA3">
              <w:rPr>
                <w:noProof/>
              </w:rPr>
              <w:t>2</w:t>
            </w:r>
            <w:r>
              <w:rPr>
                <w:noProof/>
              </w:rPr>
              <w:fldChar w:fldCharType="end"/>
            </w:r>
            <w:r w:rsidRPr="00290841">
              <w:t xml:space="preserve">: </w:t>
            </w:r>
            <w:r w:rsidR="00597996">
              <w:t xml:space="preserve">Mass of Refrigerant in pre-charged equipment imports of stationary AC from 2012 to 2018 (with a charge size less than 800 grams) by refrigerant type in </w:t>
            </w:r>
            <w:proofErr w:type="spellStart"/>
            <w:r w:rsidR="00597996">
              <w:t>tonnes</w:t>
            </w:r>
            <w:proofErr w:type="spellEnd"/>
            <w:r w:rsidR="00597996" w:rsidRPr="00EE7692">
              <w:t>.</w:t>
            </w:r>
            <w:bookmarkEnd w:id="19"/>
            <w:bookmarkEnd w:id="20"/>
          </w:p>
        </w:tc>
      </w:tr>
    </w:tbl>
    <w:p w14:paraId="665B4C81" w14:textId="77777777" w:rsidR="00597996" w:rsidRPr="003B5462" w:rsidRDefault="00597996" w:rsidP="009A23AA">
      <w:pPr>
        <w:spacing w:before="0"/>
        <w:rPr>
          <w:sz w:val="20"/>
          <w:szCs w:val="20"/>
          <w:lang w:val="en-US"/>
        </w:rPr>
      </w:pPr>
      <w:r w:rsidRPr="003B5462">
        <w:rPr>
          <w:sz w:val="20"/>
          <w:szCs w:val="20"/>
          <w:lang w:val="en-US"/>
        </w:rPr>
        <w:t xml:space="preserve">(Source: </w:t>
      </w:r>
      <w:proofErr w:type="spellStart"/>
      <w:r w:rsidRPr="003B5462">
        <w:rPr>
          <w:sz w:val="20"/>
          <w:szCs w:val="20"/>
          <w:lang w:val="en-US"/>
        </w:rPr>
        <w:t>DoEE</w:t>
      </w:r>
      <w:proofErr w:type="spellEnd"/>
      <w:r w:rsidRPr="003B5462">
        <w:rPr>
          <w:sz w:val="20"/>
          <w:szCs w:val="20"/>
          <w:lang w:val="en-US"/>
        </w:rPr>
        <w:t xml:space="preserve"> 2019)</w:t>
      </w:r>
    </w:p>
    <w:p w14:paraId="02FC2984" w14:textId="77777777" w:rsidR="00597996" w:rsidRDefault="00597996" w:rsidP="009A23AA">
      <w:pPr>
        <w:rPr>
          <w:szCs w:val="22"/>
        </w:rPr>
      </w:pPr>
    </w:p>
    <w:p w14:paraId="5792DCD5" w14:textId="72FFF954" w:rsidR="00597996" w:rsidRPr="009E3FA3" w:rsidRDefault="00597996" w:rsidP="009A23AA">
      <w:pPr>
        <w:rPr>
          <w:szCs w:val="22"/>
        </w:rPr>
      </w:pPr>
      <w:r w:rsidRPr="009E3FA3">
        <w:rPr>
          <w:szCs w:val="22"/>
        </w:rPr>
        <w:t>Until as recently as 2013 air conditioning units charged with HFC-410A had been the fastest growing segment, with around 98% of s</w:t>
      </w:r>
      <w:r>
        <w:rPr>
          <w:szCs w:val="22"/>
        </w:rPr>
        <w:t xml:space="preserve">ingle </w:t>
      </w:r>
      <w:r w:rsidRPr="009E3FA3">
        <w:rPr>
          <w:szCs w:val="22"/>
        </w:rPr>
        <w:t xml:space="preserve">split systems and medium </w:t>
      </w:r>
      <w:r w:rsidR="00EA5E09">
        <w:rPr>
          <w:szCs w:val="22"/>
        </w:rPr>
        <w:t xml:space="preserve">sized </w:t>
      </w:r>
      <w:r w:rsidRPr="009E3FA3">
        <w:rPr>
          <w:szCs w:val="22"/>
        </w:rPr>
        <w:t xml:space="preserve">light commercial air conditioning sales in that year being charged with HFC-410A. In just the last four years, HFC-32 has emerged as the preferred refrigerant </w:t>
      </w:r>
      <w:r w:rsidR="00271C15">
        <w:rPr>
          <w:szCs w:val="22"/>
        </w:rPr>
        <w:t xml:space="preserve">in </w:t>
      </w:r>
      <w:r w:rsidR="00D03FC4" w:rsidRPr="00D03FC4">
        <w:rPr>
          <w:szCs w:val="22"/>
        </w:rPr>
        <w:t>the small AC market segment, with a rapidly growing share of that market</w:t>
      </w:r>
      <w:r w:rsidRPr="009E3FA3">
        <w:rPr>
          <w:szCs w:val="22"/>
        </w:rPr>
        <w:t>.</w:t>
      </w:r>
    </w:p>
    <w:p w14:paraId="382ECDC4" w14:textId="48146D75" w:rsidR="00597996" w:rsidRPr="009E3FA3" w:rsidRDefault="00597996" w:rsidP="009A23AA">
      <w:pPr>
        <w:rPr>
          <w:szCs w:val="22"/>
        </w:rPr>
      </w:pPr>
      <w:r w:rsidRPr="00856202">
        <w:rPr>
          <w:szCs w:val="22"/>
        </w:rPr>
        <w:t>By the end of 2018 there had been 2,705,000 air conditioning units containing HFC-32 imported</w:t>
      </w:r>
      <w:r w:rsidR="00EA5E09">
        <w:rPr>
          <w:szCs w:val="22"/>
        </w:rPr>
        <w:t xml:space="preserve"> in total</w:t>
      </w:r>
      <w:r w:rsidRPr="00856202">
        <w:rPr>
          <w:szCs w:val="22"/>
        </w:rPr>
        <w:t>, mostly split systems (~90%), containing a total of 2,298 tonnes of the refrigerant.</w:t>
      </w:r>
    </w:p>
    <w:p w14:paraId="7698B1BD" w14:textId="50EB3018" w:rsidR="00597996" w:rsidRDefault="00597996" w:rsidP="009A23AA">
      <w:pPr>
        <w:rPr>
          <w:szCs w:val="22"/>
        </w:rPr>
      </w:pPr>
      <w:r w:rsidRPr="009E3FA3">
        <w:rPr>
          <w:szCs w:val="22"/>
        </w:rPr>
        <w:t xml:space="preserve">The average charge of HFC-410A models imported over the same period was 1,450 grams </w:t>
      </w:r>
      <w:r>
        <w:rPr>
          <w:szCs w:val="22"/>
        </w:rPr>
        <w:t xml:space="preserve">per unit </w:t>
      </w:r>
      <w:r w:rsidRPr="009E3FA3">
        <w:rPr>
          <w:szCs w:val="22"/>
        </w:rPr>
        <w:t xml:space="preserve">compared to the average charge of HFC-32 models of only 1,155 grams, an average 20% reduction in charge size across </w:t>
      </w:r>
      <w:r w:rsidR="00D03FC4" w:rsidRPr="00D03FC4">
        <w:rPr>
          <w:szCs w:val="22"/>
        </w:rPr>
        <w:t>the small AC market</w:t>
      </w:r>
      <w:r w:rsidRPr="009E3FA3">
        <w:rPr>
          <w:szCs w:val="22"/>
        </w:rPr>
        <w:t xml:space="preserve"> segment. </w:t>
      </w:r>
    </w:p>
    <w:p w14:paraId="5AE7A22F" w14:textId="1AD472C0" w:rsidR="00597996" w:rsidRDefault="00597996" w:rsidP="009A23AA">
      <w:pPr>
        <w:rPr>
          <w:szCs w:val="22"/>
        </w:rPr>
      </w:pPr>
      <w:r w:rsidRPr="009E3FA3">
        <w:rPr>
          <w:szCs w:val="22"/>
        </w:rPr>
        <w:t>This reduction is consistent with an analysis of the relevant models of Daikin’s product range, which showed an average 22% reduction in charge size between HFC</w:t>
      </w:r>
      <w:r w:rsidRPr="009E3FA3">
        <w:rPr>
          <w:szCs w:val="22"/>
        </w:rPr>
        <w:noBreakHyphen/>
        <w:t xml:space="preserve">410A and HFC-32 charged equipment with the same refrigerating capacity. Combined with </w:t>
      </w:r>
      <w:r w:rsidR="008434C7">
        <w:rPr>
          <w:szCs w:val="22"/>
        </w:rPr>
        <w:t>the</w:t>
      </w:r>
      <w:r w:rsidRPr="009E3FA3">
        <w:rPr>
          <w:szCs w:val="22"/>
        </w:rPr>
        <w:t xml:space="preserve"> lower GWP of HFC-32 (GWP of 675 for HFC-32 as compared to a GWP of 2088 for HFC-410A) this equates to a 75% reduction in CO</w:t>
      </w:r>
      <w:r w:rsidRPr="009E3FA3">
        <w:rPr>
          <w:szCs w:val="22"/>
          <w:vertAlign w:val="subscript"/>
        </w:rPr>
        <w:t>2</w:t>
      </w:r>
      <w:r w:rsidRPr="009E3FA3">
        <w:rPr>
          <w:szCs w:val="22"/>
        </w:rPr>
        <w:t>e of th</w:t>
      </w:r>
      <w:r>
        <w:rPr>
          <w:szCs w:val="22"/>
        </w:rPr>
        <w:t>e imports into this</w:t>
      </w:r>
      <w:r w:rsidRPr="009E3FA3">
        <w:rPr>
          <w:szCs w:val="22"/>
        </w:rPr>
        <w:t xml:space="preserve"> portion of the refrigerant bank when taking both charge size and GWP into account.</w:t>
      </w:r>
    </w:p>
    <w:p w14:paraId="175135EF" w14:textId="7B1FA395" w:rsidR="0075135A" w:rsidRPr="009E3FA3" w:rsidRDefault="007D1AB0" w:rsidP="009A23AA">
      <w:pPr>
        <w:rPr>
          <w:szCs w:val="22"/>
        </w:rPr>
      </w:pPr>
      <w:r>
        <w:rPr>
          <w:szCs w:val="22"/>
        </w:rPr>
        <w:t xml:space="preserve">While HFC-32 is the current </w:t>
      </w:r>
      <w:r w:rsidR="008C697F">
        <w:rPr>
          <w:szCs w:val="22"/>
        </w:rPr>
        <w:t xml:space="preserve">preferred </w:t>
      </w:r>
      <w:r>
        <w:rPr>
          <w:szCs w:val="22"/>
        </w:rPr>
        <w:t xml:space="preserve">refrigerant for </w:t>
      </w:r>
      <w:r w:rsidR="008C697F">
        <w:rPr>
          <w:szCs w:val="22"/>
        </w:rPr>
        <w:t xml:space="preserve">new </w:t>
      </w:r>
      <w:r>
        <w:rPr>
          <w:szCs w:val="22"/>
        </w:rPr>
        <w:t xml:space="preserve">split systems other options are being explored. For example, Mitsubishi Heavy Industries has developed </w:t>
      </w:r>
      <w:r w:rsidR="008C697F">
        <w:rPr>
          <w:szCs w:val="22"/>
        </w:rPr>
        <w:t xml:space="preserve">and showcased </w:t>
      </w:r>
      <w:r>
        <w:rPr>
          <w:szCs w:val="22"/>
        </w:rPr>
        <w:t xml:space="preserve">a demonstration unit </w:t>
      </w:r>
      <w:r w:rsidR="00CD51B3">
        <w:rPr>
          <w:szCs w:val="22"/>
        </w:rPr>
        <w:t xml:space="preserve">wall hung split system (nominal capacity of 2.5 kW) </w:t>
      </w:r>
      <w:r>
        <w:rPr>
          <w:szCs w:val="22"/>
        </w:rPr>
        <w:t xml:space="preserve">operating on </w:t>
      </w:r>
      <w:r w:rsidR="00C400C7">
        <w:rPr>
          <w:szCs w:val="22"/>
        </w:rPr>
        <w:t>HFO/HFC</w:t>
      </w:r>
      <w:r>
        <w:rPr>
          <w:szCs w:val="22"/>
        </w:rPr>
        <w:t xml:space="preserve"> blend R454C with </w:t>
      </w:r>
      <w:r w:rsidRPr="00524995">
        <w:rPr>
          <w:szCs w:val="22"/>
        </w:rPr>
        <w:t>a GWP of 14</w:t>
      </w:r>
      <w:r w:rsidR="00267D21" w:rsidRPr="00524995">
        <w:rPr>
          <w:szCs w:val="22"/>
        </w:rPr>
        <w:t>8</w:t>
      </w:r>
      <w:r w:rsidR="008C697F">
        <w:rPr>
          <w:szCs w:val="22"/>
        </w:rPr>
        <w:t xml:space="preserve"> that is intended for the European market</w:t>
      </w:r>
      <w:r w:rsidR="0015746B">
        <w:rPr>
          <w:szCs w:val="22"/>
        </w:rPr>
        <w:t xml:space="preserve">. </w:t>
      </w:r>
      <w:r w:rsidR="0075135A">
        <w:rPr>
          <w:szCs w:val="22"/>
        </w:rPr>
        <w:t xml:space="preserve">Chinese manufacturer </w:t>
      </w:r>
      <w:proofErr w:type="spellStart"/>
      <w:r w:rsidR="0075135A">
        <w:rPr>
          <w:szCs w:val="22"/>
        </w:rPr>
        <w:t>Midea</w:t>
      </w:r>
      <w:proofErr w:type="spellEnd"/>
      <w:r w:rsidR="0075135A">
        <w:rPr>
          <w:szCs w:val="22"/>
        </w:rPr>
        <w:t xml:space="preserve"> Group is considering HFO/HFC blend R466A with </w:t>
      </w:r>
      <w:r w:rsidR="00BA03F7">
        <w:rPr>
          <w:szCs w:val="22"/>
        </w:rPr>
        <w:t xml:space="preserve">a </w:t>
      </w:r>
      <w:r w:rsidR="0075135A">
        <w:rPr>
          <w:szCs w:val="22"/>
        </w:rPr>
        <w:t xml:space="preserve">GWP of 733. </w:t>
      </w:r>
      <w:r w:rsidR="0015746B">
        <w:rPr>
          <w:szCs w:val="22"/>
        </w:rPr>
        <w:t xml:space="preserve">Honeywell is exploring a </w:t>
      </w:r>
      <w:r w:rsidR="0015746B" w:rsidRPr="0015746B">
        <w:rPr>
          <w:szCs w:val="22"/>
        </w:rPr>
        <w:t>long-term replacement for R410A</w:t>
      </w:r>
      <w:r w:rsidR="0015746B">
        <w:rPr>
          <w:szCs w:val="22"/>
        </w:rPr>
        <w:t>, HDR</w:t>
      </w:r>
      <w:r w:rsidR="00AF04AD">
        <w:rPr>
          <w:szCs w:val="22"/>
        </w:rPr>
        <w:noBreakHyphen/>
      </w:r>
      <w:r w:rsidR="0015746B">
        <w:rPr>
          <w:szCs w:val="22"/>
        </w:rPr>
        <w:t>147 with a GWP of around 3</w:t>
      </w:r>
      <w:r w:rsidR="00524995">
        <w:rPr>
          <w:szCs w:val="22"/>
        </w:rPr>
        <w:t>9</w:t>
      </w:r>
      <w:r w:rsidR="0015746B">
        <w:rPr>
          <w:szCs w:val="22"/>
        </w:rPr>
        <w:t>9</w:t>
      </w:r>
      <w:r w:rsidR="00271C15">
        <w:rPr>
          <w:szCs w:val="22"/>
        </w:rPr>
        <w:t>,</w:t>
      </w:r>
      <w:r w:rsidR="0015746B">
        <w:rPr>
          <w:szCs w:val="22"/>
        </w:rPr>
        <w:t xml:space="preserve"> and </w:t>
      </w:r>
      <w:r w:rsidR="0015746B" w:rsidRPr="0015746B">
        <w:rPr>
          <w:szCs w:val="22"/>
        </w:rPr>
        <w:t xml:space="preserve">Daikin Industries </w:t>
      </w:r>
      <w:r w:rsidR="0076089F">
        <w:rPr>
          <w:szCs w:val="22"/>
        </w:rPr>
        <w:t xml:space="preserve">announced it </w:t>
      </w:r>
      <w:r w:rsidR="00524995">
        <w:rPr>
          <w:szCs w:val="22"/>
        </w:rPr>
        <w:t>i</w:t>
      </w:r>
      <w:r w:rsidR="0015746B" w:rsidRPr="0015746B">
        <w:rPr>
          <w:szCs w:val="22"/>
        </w:rPr>
        <w:t>s exploring options to replace HFC-32 with a new refrigerant with a GWP</w:t>
      </w:r>
      <w:r w:rsidR="0075135A">
        <w:rPr>
          <w:szCs w:val="22"/>
        </w:rPr>
        <w:t xml:space="preserve"> less than 10</w:t>
      </w:r>
      <w:r w:rsidR="0015746B">
        <w:rPr>
          <w:szCs w:val="22"/>
        </w:rPr>
        <w:t>.</w:t>
      </w:r>
    </w:p>
    <w:p w14:paraId="0345CF1A" w14:textId="77777777" w:rsidR="00597996" w:rsidRPr="009E3FA3" w:rsidRDefault="00597996" w:rsidP="009A23AA">
      <w:pPr>
        <w:spacing w:before="240"/>
        <w:rPr>
          <w:b/>
          <w:szCs w:val="22"/>
        </w:rPr>
      </w:pPr>
      <w:r w:rsidRPr="009E3FA3">
        <w:rPr>
          <w:b/>
          <w:szCs w:val="22"/>
        </w:rPr>
        <w:t>Small AC: Hydrocarbons</w:t>
      </w:r>
    </w:p>
    <w:p w14:paraId="2826CCBF" w14:textId="77777777" w:rsidR="00597996" w:rsidRPr="009E3FA3" w:rsidRDefault="00597996" w:rsidP="009A23AA">
      <w:pPr>
        <w:rPr>
          <w:szCs w:val="22"/>
        </w:rPr>
      </w:pPr>
      <w:r>
        <w:rPr>
          <w:szCs w:val="22"/>
        </w:rPr>
        <w:t>E</w:t>
      </w:r>
      <w:r w:rsidRPr="009E3FA3">
        <w:rPr>
          <w:szCs w:val="22"/>
        </w:rPr>
        <w:t>fforts to introduce HC charged small AC systems appear to have faded with the technology developing only limited manufacturing support</w:t>
      </w:r>
      <w:r>
        <w:rPr>
          <w:szCs w:val="22"/>
        </w:rPr>
        <w:t>.</w:t>
      </w:r>
    </w:p>
    <w:p w14:paraId="73898CFC" w14:textId="796157A9" w:rsidR="00597996" w:rsidRDefault="00597996" w:rsidP="009A23AA">
      <w:pPr>
        <w:rPr>
          <w:szCs w:val="22"/>
        </w:rPr>
      </w:pPr>
      <w:r>
        <w:rPr>
          <w:szCs w:val="22"/>
        </w:rPr>
        <w:t>A</w:t>
      </w:r>
      <w:r w:rsidRPr="009E3FA3">
        <w:rPr>
          <w:szCs w:val="22"/>
        </w:rPr>
        <w:t>t present, there are only a few air conditioner models containing HC in Australia.</w:t>
      </w:r>
      <w:r w:rsidRPr="009E3FA3">
        <w:t xml:space="preserve"> </w:t>
      </w:r>
      <w:r w:rsidRPr="009E3FA3">
        <w:rPr>
          <w:szCs w:val="22"/>
        </w:rPr>
        <w:t>As a result, it is concluded that HCs in residential AC, other than in very small charge portable AC, are unlikely to achieve a</w:t>
      </w:r>
      <w:r>
        <w:rPr>
          <w:szCs w:val="22"/>
        </w:rPr>
        <w:t>ny meaningful</w:t>
      </w:r>
      <w:r w:rsidRPr="009E3FA3">
        <w:rPr>
          <w:szCs w:val="22"/>
        </w:rPr>
        <w:t xml:space="preserve"> market share in the foreseeable future.</w:t>
      </w:r>
    </w:p>
    <w:p w14:paraId="7BA04E64" w14:textId="77777777" w:rsidR="00271C15" w:rsidRPr="00C068FA" w:rsidRDefault="00271C15" w:rsidP="009A23AA">
      <w:pPr>
        <w:rPr>
          <w:szCs w:val="22"/>
        </w:rPr>
      </w:pPr>
      <w:r>
        <w:rPr>
          <w:szCs w:val="22"/>
        </w:rPr>
        <w:t>A market for s</w:t>
      </w:r>
      <w:r w:rsidRPr="00C068FA">
        <w:rPr>
          <w:szCs w:val="22"/>
        </w:rPr>
        <w:t xml:space="preserve">mall </w:t>
      </w:r>
      <w:r>
        <w:rPr>
          <w:szCs w:val="22"/>
        </w:rPr>
        <w:t xml:space="preserve">portable </w:t>
      </w:r>
      <w:r w:rsidRPr="00C068FA">
        <w:rPr>
          <w:szCs w:val="22"/>
        </w:rPr>
        <w:t xml:space="preserve">AC units charged with less than </w:t>
      </w:r>
      <w:r>
        <w:rPr>
          <w:szCs w:val="22"/>
        </w:rPr>
        <w:t>150 grams</w:t>
      </w:r>
      <w:r w:rsidRPr="00C068FA">
        <w:rPr>
          <w:szCs w:val="22"/>
        </w:rPr>
        <w:t xml:space="preserve"> of </w:t>
      </w:r>
      <w:r>
        <w:rPr>
          <w:szCs w:val="22"/>
        </w:rPr>
        <w:t>hydrocarbons (</w:t>
      </w:r>
      <w:r w:rsidRPr="00C068FA">
        <w:rPr>
          <w:szCs w:val="22"/>
        </w:rPr>
        <w:t>HCs</w:t>
      </w:r>
      <w:r>
        <w:rPr>
          <w:szCs w:val="22"/>
        </w:rPr>
        <w:t>)</w:t>
      </w:r>
      <w:r w:rsidRPr="00C068FA">
        <w:rPr>
          <w:szCs w:val="22"/>
        </w:rPr>
        <w:t xml:space="preserve"> </w:t>
      </w:r>
      <w:r>
        <w:rPr>
          <w:szCs w:val="22"/>
        </w:rPr>
        <w:t xml:space="preserve">has been established during the last decade. For example, </w:t>
      </w:r>
      <w:proofErr w:type="spellStart"/>
      <w:r w:rsidRPr="00C068FA">
        <w:rPr>
          <w:szCs w:val="22"/>
        </w:rPr>
        <w:t>DeLonghi</w:t>
      </w:r>
      <w:proofErr w:type="spellEnd"/>
      <w:r w:rsidRPr="00C068FA">
        <w:rPr>
          <w:szCs w:val="22"/>
        </w:rPr>
        <w:t xml:space="preserve"> has been importing portable AC units in commercial volumes for </w:t>
      </w:r>
      <w:r>
        <w:rPr>
          <w:szCs w:val="22"/>
        </w:rPr>
        <w:t xml:space="preserve">more than </w:t>
      </w:r>
      <w:r w:rsidRPr="004A49E6">
        <w:rPr>
          <w:szCs w:val="22"/>
        </w:rPr>
        <w:t>8 years</w:t>
      </w:r>
      <w:r>
        <w:rPr>
          <w:szCs w:val="22"/>
        </w:rPr>
        <w:t xml:space="preserve"> with the total stock of HC charged portables now likely above ten thousand.</w:t>
      </w:r>
    </w:p>
    <w:p w14:paraId="7EF288F8" w14:textId="21BBB22C" w:rsidR="00597996" w:rsidRDefault="00597996" w:rsidP="009A23AA">
      <w:pPr>
        <w:rPr>
          <w:szCs w:val="22"/>
        </w:rPr>
      </w:pPr>
      <w:r w:rsidRPr="002A14D5">
        <w:rPr>
          <w:szCs w:val="22"/>
        </w:rPr>
        <w:t xml:space="preserve">The announcement by the International </w:t>
      </w:r>
      <w:proofErr w:type="spellStart"/>
      <w:r w:rsidRPr="002A14D5">
        <w:rPr>
          <w:szCs w:val="22"/>
        </w:rPr>
        <w:t>Electrotechnical</w:t>
      </w:r>
      <w:proofErr w:type="spellEnd"/>
      <w:r w:rsidRPr="002A14D5">
        <w:rPr>
          <w:szCs w:val="22"/>
        </w:rPr>
        <w:t xml:space="preserve"> Commission (IEC) in May 2019 to increase </w:t>
      </w:r>
      <w:r w:rsidR="00BA03F7" w:rsidRPr="002A14D5">
        <w:rPr>
          <w:szCs w:val="22"/>
        </w:rPr>
        <w:t xml:space="preserve">maximum refrigerant charge for all flammable refrigerants (A2L, A2 &amp; A3) to the smaller of 1.2 kg or 13 </w:t>
      </w:r>
      <w:r w:rsidR="002A14D5" w:rsidRPr="002A14D5">
        <w:rPr>
          <w:szCs w:val="22"/>
        </w:rPr>
        <w:t xml:space="preserve">times </w:t>
      </w:r>
      <w:r w:rsidR="00BA03F7" w:rsidRPr="002A14D5">
        <w:rPr>
          <w:szCs w:val="22"/>
        </w:rPr>
        <w:t xml:space="preserve">the lower flammability limit </w:t>
      </w:r>
      <w:r w:rsidR="002A14D5" w:rsidRPr="002A14D5">
        <w:rPr>
          <w:szCs w:val="22"/>
        </w:rPr>
        <w:t xml:space="preserve">(LFL) </w:t>
      </w:r>
      <w:r w:rsidR="00BA03F7" w:rsidRPr="002A14D5">
        <w:rPr>
          <w:szCs w:val="22"/>
        </w:rPr>
        <w:t xml:space="preserve">of the refrigerant increased the </w:t>
      </w:r>
      <w:r w:rsidRPr="002A14D5">
        <w:rPr>
          <w:szCs w:val="22"/>
        </w:rPr>
        <w:t xml:space="preserve">allowable charge </w:t>
      </w:r>
      <w:r w:rsidR="002A14D5" w:rsidRPr="002A14D5">
        <w:rPr>
          <w:szCs w:val="22"/>
        </w:rPr>
        <w:t xml:space="preserve">of </w:t>
      </w:r>
      <w:r w:rsidRPr="002A14D5">
        <w:rPr>
          <w:szCs w:val="22"/>
        </w:rPr>
        <w:t>A3 flammable refrigerants (i.e. hydrocarbons) from 150 grams to approximately 500 grams</w:t>
      </w:r>
      <w:r w:rsidR="002A14D5" w:rsidRPr="002A14D5">
        <w:rPr>
          <w:rStyle w:val="FootnoteReference"/>
          <w:szCs w:val="22"/>
        </w:rPr>
        <w:footnoteReference w:id="10"/>
      </w:r>
      <w:r w:rsidRPr="002A14D5">
        <w:rPr>
          <w:szCs w:val="22"/>
        </w:rPr>
        <w:t xml:space="preserve"> under IEC 60335-2-89 standard</w:t>
      </w:r>
      <w:r w:rsidR="00BA03F7" w:rsidRPr="002A14D5">
        <w:rPr>
          <w:szCs w:val="22"/>
        </w:rPr>
        <w:t>.</w:t>
      </w:r>
      <w:r w:rsidRPr="002A14D5">
        <w:rPr>
          <w:szCs w:val="22"/>
        </w:rPr>
        <w:t xml:space="preserve"> </w:t>
      </w:r>
      <w:r w:rsidR="00BA03F7" w:rsidRPr="002A14D5">
        <w:rPr>
          <w:szCs w:val="22"/>
        </w:rPr>
        <w:t xml:space="preserve">This </w:t>
      </w:r>
      <w:r w:rsidRPr="002A14D5">
        <w:rPr>
          <w:szCs w:val="22"/>
        </w:rPr>
        <w:t>may have some impact in the future</w:t>
      </w:r>
      <w:r w:rsidR="00271C15" w:rsidRPr="002A14D5">
        <w:rPr>
          <w:szCs w:val="22"/>
        </w:rPr>
        <w:t xml:space="preserve"> although </w:t>
      </w:r>
      <w:r w:rsidR="003E665A" w:rsidRPr="002A14D5">
        <w:rPr>
          <w:szCs w:val="22"/>
        </w:rPr>
        <w:t xml:space="preserve">global </w:t>
      </w:r>
      <w:r w:rsidR="00271C15" w:rsidRPr="002A14D5">
        <w:rPr>
          <w:szCs w:val="22"/>
        </w:rPr>
        <w:t xml:space="preserve">manufacturers are not at this point known to be investing </w:t>
      </w:r>
      <w:r w:rsidR="00745609" w:rsidRPr="002A14D5">
        <w:rPr>
          <w:szCs w:val="22"/>
        </w:rPr>
        <w:t xml:space="preserve">in </w:t>
      </w:r>
      <w:r w:rsidR="00271C15" w:rsidRPr="002A14D5">
        <w:rPr>
          <w:szCs w:val="22"/>
        </w:rPr>
        <w:t>AC designs with larger HC charges</w:t>
      </w:r>
      <w:r w:rsidRPr="002A14D5">
        <w:rPr>
          <w:szCs w:val="22"/>
        </w:rPr>
        <w:t>.</w:t>
      </w:r>
      <w:r w:rsidR="00AF04AD" w:rsidRPr="002A14D5">
        <w:rPr>
          <w:szCs w:val="22"/>
        </w:rPr>
        <w:t xml:space="preserve"> The revised standard is yet to be adopted in Australia but will be considered as part of the standards review process.</w:t>
      </w:r>
      <w:r w:rsidR="00AF04AD">
        <w:rPr>
          <w:szCs w:val="22"/>
        </w:rPr>
        <w:t xml:space="preserve"> </w:t>
      </w:r>
    </w:p>
    <w:p w14:paraId="397D81D0" w14:textId="77777777" w:rsidR="00597996" w:rsidRPr="00D573E8" w:rsidRDefault="00597996" w:rsidP="009A23AA">
      <w:pPr>
        <w:spacing w:before="240"/>
        <w:rPr>
          <w:b/>
          <w:szCs w:val="22"/>
        </w:rPr>
      </w:pPr>
      <w:r>
        <w:rPr>
          <w:b/>
          <w:szCs w:val="22"/>
        </w:rPr>
        <w:t>Small AC: Self-contained</w:t>
      </w:r>
    </w:p>
    <w:p w14:paraId="1EE9DBCF" w14:textId="6143344E" w:rsidR="00597996" w:rsidRDefault="00597996" w:rsidP="009A23AA">
      <w:pPr>
        <w:rPr>
          <w:szCs w:val="22"/>
        </w:rPr>
      </w:pPr>
      <w:r w:rsidRPr="00BC6E36">
        <w:rPr>
          <w:szCs w:val="22"/>
        </w:rPr>
        <w:t xml:space="preserve">The majority of all equipment classified as ‘Small AC: Self-contained’ are </w:t>
      </w:r>
      <w:r w:rsidR="00BA03F7">
        <w:rPr>
          <w:szCs w:val="22"/>
        </w:rPr>
        <w:t>w</w:t>
      </w:r>
      <w:r w:rsidRPr="00BC6E36">
        <w:rPr>
          <w:szCs w:val="22"/>
        </w:rPr>
        <w:t>indow/</w:t>
      </w:r>
      <w:r w:rsidR="00BA03F7">
        <w:rPr>
          <w:szCs w:val="22"/>
        </w:rPr>
        <w:t>w</w:t>
      </w:r>
      <w:r w:rsidRPr="00BC6E36">
        <w:rPr>
          <w:szCs w:val="22"/>
        </w:rPr>
        <w:t>all units, many of which were installed in the 1990s and are charged with HCFCs. Of the approximately 1.6 million window/wall and 827,000 portable AC units estimated to be in operation in 2018, more than 1.2 million are</w:t>
      </w:r>
      <w:r w:rsidRPr="00C068FA">
        <w:rPr>
          <w:szCs w:val="22"/>
        </w:rPr>
        <w:t xml:space="preserve"> </w:t>
      </w:r>
      <w:r>
        <w:rPr>
          <w:szCs w:val="22"/>
        </w:rPr>
        <w:t xml:space="preserve">estimated to be </w:t>
      </w:r>
      <w:r w:rsidRPr="00C068FA">
        <w:rPr>
          <w:szCs w:val="22"/>
        </w:rPr>
        <w:t>charged with HCFCs</w:t>
      </w:r>
      <w:r>
        <w:rPr>
          <w:szCs w:val="22"/>
        </w:rPr>
        <w:t>,</w:t>
      </w:r>
      <w:r w:rsidRPr="00C068FA">
        <w:rPr>
          <w:szCs w:val="22"/>
        </w:rPr>
        <w:t xml:space="preserve"> representing a bank of some </w:t>
      </w:r>
      <w:r>
        <w:rPr>
          <w:szCs w:val="22"/>
        </w:rPr>
        <w:t>800</w:t>
      </w:r>
      <w:r w:rsidRPr="00C068FA">
        <w:rPr>
          <w:szCs w:val="22"/>
        </w:rPr>
        <w:t xml:space="preserve"> tonnes of </w:t>
      </w:r>
      <w:r>
        <w:rPr>
          <w:szCs w:val="22"/>
        </w:rPr>
        <w:t xml:space="preserve">mostly </w:t>
      </w:r>
      <w:r w:rsidRPr="00C068FA">
        <w:rPr>
          <w:szCs w:val="22"/>
        </w:rPr>
        <w:t>HCFC</w:t>
      </w:r>
      <w:r>
        <w:rPr>
          <w:szCs w:val="22"/>
        </w:rPr>
        <w:t>-22 (down from an estimated 1.7 million units in operation in 2012)</w:t>
      </w:r>
      <w:r w:rsidRPr="00C068FA">
        <w:rPr>
          <w:szCs w:val="22"/>
        </w:rPr>
        <w:t>.</w:t>
      </w:r>
      <w:r>
        <w:rPr>
          <w:szCs w:val="22"/>
        </w:rPr>
        <w:t xml:space="preserve"> </w:t>
      </w:r>
      <w:r w:rsidRPr="00ED0927">
        <w:rPr>
          <w:szCs w:val="22"/>
        </w:rPr>
        <w:t xml:space="preserve">This stock of HCFC charged equipment is declining </w:t>
      </w:r>
      <w:r>
        <w:rPr>
          <w:szCs w:val="22"/>
        </w:rPr>
        <w:t>steadily as the equipment reaches the end of its useful life and</w:t>
      </w:r>
      <w:r w:rsidR="00271C15">
        <w:rPr>
          <w:szCs w:val="22"/>
        </w:rPr>
        <w:t xml:space="preserve"> it</w:t>
      </w:r>
      <w:r>
        <w:rPr>
          <w:szCs w:val="22"/>
        </w:rPr>
        <w:t xml:space="preserve"> is predicted to be virtually non-existent by 2030. </w:t>
      </w:r>
    </w:p>
    <w:p w14:paraId="0CA26679" w14:textId="2A05AAAF" w:rsidR="00597996" w:rsidRDefault="00597996" w:rsidP="009A23AA">
      <w:pPr>
        <w:rPr>
          <w:szCs w:val="22"/>
        </w:rPr>
      </w:pPr>
      <w:r>
        <w:rPr>
          <w:szCs w:val="22"/>
        </w:rPr>
        <w:t>The Small AC: Self-contained bank of HFCs is e</w:t>
      </w:r>
      <w:r w:rsidR="00E96F02">
        <w:rPr>
          <w:szCs w:val="22"/>
        </w:rPr>
        <w:t>xpected to grow</w:t>
      </w:r>
      <w:r>
        <w:rPr>
          <w:szCs w:val="22"/>
        </w:rPr>
        <w:t xml:space="preserve"> to around </w:t>
      </w:r>
      <w:r w:rsidR="00524995">
        <w:rPr>
          <w:szCs w:val="22"/>
        </w:rPr>
        <w:t>930</w:t>
      </w:r>
      <w:r>
        <w:rPr>
          <w:szCs w:val="22"/>
        </w:rPr>
        <w:t xml:space="preserve"> tonnes </w:t>
      </w:r>
      <w:r w:rsidR="00021BB8">
        <w:rPr>
          <w:szCs w:val="22"/>
        </w:rPr>
        <w:t>by</w:t>
      </w:r>
      <w:r>
        <w:rPr>
          <w:szCs w:val="22"/>
        </w:rPr>
        <w:t xml:space="preserve"> </w:t>
      </w:r>
      <w:r w:rsidRPr="00524995">
        <w:rPr>
          <w:szCs w:val="22"/>
        </w:rPr>
        <w:t>2030,</w:t>
      </w:r>
      <w:r>
        <w:rPr>
          <w:szCs w:val="22"/>
        </w:rPr>
        <w:t xml:space="preserve"> comprising less </w:t>
      </w:r>
      <w:r w:rsidRPr="00524995">
        <w:rPr>
          <w:szCs w:val="22"/>
        </w:rPr>
        <w:t>than 2% of all HFCs in the total bank at that time.</w:t>
      </w:r>
    </w:p>
    <w:p w14:paraId="76488DC4" w14:textId="77777777" w:rsidR="00597996" w:rsidRPr="00D573E8" w:rsidRDefault="00597996" w:rsidP="009A23AA">
      <w:pPr>
        <w:spacing w:before="240"/>
        <w:rPr>
          <w:b/>
          <w:szCs w:val="22"/>
        </w:rPr>
      </w:pPr>
      <w:r w:rsidRPr="00D573E8">
        <w:rPr>
          <w:b/>
          <w:szCs w:val="22"/>
        </w:rPr>
        <w:t>H</w:t>
      </w:r>
      <w:r>
        <w:rPr>
          <w:b/>
          <w:szCs w:val="22"/>
        </w:rPr>
        <w:t xml:space="preserve">ot water heat </w:t>
      </w:r>
      <w:r w:rsidRPr="00D573E8">
        <w:rPr>
          <w:b/>
          <w:szCs w:val="22"/>
        </w:rPr>
        <w:t>pump</w:t>
      </w:r>
      <w:r>
        <w:rPr>
          <w:b/>
          <w:szCs w:val="22"/>
        </w:rPr>
        <w:t>s</w:t>
      </w:r>
    </w:p>
    <w:p w14:paraId="58738D51" w14:textId="15D63A99" w:rsidR="00597996" w:rsidRDefault="00597996" w:rsidP="009A23AA">
      <w:pPr>
        <w:rPr>
          <w:szCs w:val="22"/>
        </w:rPr>
      </w:pPr>
      <w:r w:rsidRPr="001C5665">
        <w:rPr>
          <w:szCs w:val="22"/>
        </w:rPr>
        <w:t>Just prior to 201</w:t>
      </w:r>
      <w:r>
        <w:rPr>
          <w:szCs w:val="22"/>
        </w:rPr>
        <w:t>0</w:t>
      </w:r>
      <w:r w:rsidRPr="001C5665">
        <w:rPr>
          <w:szCs w:val="22"/>
        </w:rPr>
        <w:t xml:space="preserve"> hot water heat pump annual sales peaked at over </w:t>
      </w:r>
      <w:r>
        <w:rPr>
          <w:szCs w:val="22"/>
        </w:rPr>
        <w:t>72</w:t>
      </w:r>
      <w:r w:rsidRPr="001C5665">
        <w:rPr>
          <w:szCs w:val="22"/>
        </w:rPr>
        <w:t xml:space="preserve">,000 units per annum </w:t>
      </w:r>
      <w:r>
        <w:rPr>
          <w:szCs w:val="22"/>
        </w:rPr>
        <w:t>but</w:t>
      </w:r>
      <w:r w:rsidRPr="001C5665">
        <w:rPr>
          <w:szCs w:val="22"/>
        </w:rPr>
        <w:t xml:space="preserve"> have since steadily declined due to changes to the solar hot water rebate</w:t>
      </w:r>
      <w:r>
        <w:rPr>
          <w:szCs w:val="22"/>
        </w:rPr>
        <w:t>, which was a significant factor in early sales growth. T</w:t>
      </w:r>
      <w:r w:rsidRPr="001C5665">
        <w:rPr>
          <w:szCs w:val="22"/>
        </w:rPr>
        <w:t xml:space="preserve">he market has </w:t>
      </w:r>
      <w:r>
        <w:rPr>
          <w:szCs w:val="22"/>
        </w:rPr>
        <w:t xml:space="preserve">now </w:t>
      </w:r>
      <w:r w:rsidRPr="001C5665">
        <w:rPr>
          <w:szCs w:val="22"/>
        </w:rPr>
        <w:t xml:space="preserve">stabilised at </w:t>
      </w:r>
      <w:r>
        <w:rPr>
          <w:szCs w:val="22"/>
        </w:rPr>
        <w:t xml:space="preserve">around </w:t>
      </w:r>
      <w:r w:rsidRPr="001C5665">
        <w:rPr>
          <w:szCs w:val="22"/>
        </w:rPr>
        <w:t xml:space="preserve">20,000 pieces </w:t>
      </w:r>
      <w:r w:rsidR="00BA03F7">
        <w:rPr>
          <w:szCs w:val="22"/>
        </w:rPr>
        <w:t xml:space="preserve">sold </w:t>
      </w:r>
      <w:r w:rsidRPr="001C5665">
        <w:rPr>
          <w:szCs w:val="22"/>
        </w:rPr>
        <w:t>per annum.</w:t>
      </w:r>
    </w:p>
    <w:p w14:paraId="2537D9C1" w14:textId="691DE8DC" w:rsidR="008434C7" w:rsidRDefault="00597996" w:rsidP="009A23AA">
      <w:pPr>
        <w:rPr>
          <w:szCs w:val="22"/>
        </w:rPr>
      </w:pPr>
      <w:r w:rsidRPr="001B5C5F">
        <w:rPr>
          <w:szCs w:val="22"/>
        </w:rPr>
        <w:t xml:space="preserve">Over </w:t>
      </w:r>
      <w:r w:rsidR="00E96F02">
        <w:rPr>
          <w:szCs w:val="22"/>
        </w:rPr>
        <w:t xml:space="preserve">the </w:t>
      </w:r>
      <w:r w:rsidRPr="001B5C5F">
        <w:rPr>
          <w:szCs w:val="22"/>
        </w:rPr>
        <w:t xml:space="preserve">last five years around 53 tonnes of HFC-134a was imported in hot water heat pumps </w:t>
      </w:r>
      <w:r>
        <w:rPr>
          <w:szCs w:val="22"/>
        </w:rPr>
        <w:t>involving</w:t>
      </w:r>
      <w:r w:rsidRPr="001B5C5F">
        <w:rPr>
          <w:szCs w:val="22"/>
        </w:rPr>
        <w:t xml:space="preserve"> almost 11,300 pieces per annum with an average charge of 950 grams.</w:t>
      </w:r>
      <w:r w:rsidR="00BA03F7">
        <w:rPr>
          <w:szCs w:val="22"/>
        </w:rPr>
        <w:t xml:space="preserve"> </w:t>
      </w:r>
    </w:p>
    <w:p w14:paraId="63608183" w14:textId="3ADE5BF2" w:rsidR="00597996" w:rsidRPr="001C5665" w:rsidRDefault="00597996" w:rsidP="009A23AA">
      <w:pPr>
        <w:rPr>
          <w:szCs w:val="22"/>
        </w:rPr>
      </w:pPr>
      <w:r>
        <w:rPr>
          <w:szCs w:val="22"/>
        </w:rPr>
        <w:t>CO</w:t>
      </w:r>
      <w:r w:rsidRPr="00B0340B">
        <w:rPr>
          <w:szCs w:val="22"/>
          <w:vertAlign w:val="subscript"/>
        </w:rPr>
        <w:t>2</w:t>
      </w:r>
      <w:r>
        <w:rPr>
          <w:szCs w:val="22"/>
        </w:rPr>
        <w:t xml:space="preserve"> and HC are not controlled substances under the OPSGGM Act and import </w:t>
      </w:r>
      <w:r w:rsidR="00D201B7">
        <w:rPr>
          <w:szCs w:val="22"/>
        </w:rPr>
        <w:t xml:space="preserve">of PCE </w:t>
      </w:r>
      <w:r>
        <w:rPr>
          <w:szCs w:val="22"/>
        </w:rPr>
        <w:t xml:space="preserve">and manufacturing </w:t>
      </w:r>
      <w:r w:rsidR="00E96F02">
        <w:rPr>
          <w:szCs w:val="22"/>
        </w:rPr>
        <w:t xml:space="preserve">of </w:t>
      </w:r>
      <w:r w:rsidR="00D201B7">
        <w:rPr>
          <w:szCs w:val="22"/>
        </w:rPr>
        <w:t xml:space="preserve">equipment </w:t>
      </w:r>
      <w:r>
        <w:rPr>
          <w:szCs w:val="22"/>
        </w:rPr>
        <w:t>containing these refrigerants do not need to be reported, therefore there is limited ability to analyse sales volumes of these types of units.</w:t>
      </w:r>
    </w:p>
    <w:p w14:paraId="08556133" w14:textId="36B14761" w:rsidR="00597996" w:rsidRPr="001C5665" w:rsidRDefault="00597996" w:rsidP="009A23AA">
      <w:pPr>
        <w:rPr>
          <w:szCs w:val="22"/>
        </w:rPr>
      </w:pPr>
      <w:r w:rsidRPr="001C5665">
        <w:rPr>
          <w:szCs w:val="22"/>
        </w:rPr>
        <w:t>The Clean Energy Regulator</w:t>
      </w:r>
      <w:r w:rsidRPr="001C5665">
        <w:rPr>
          <w:rStyle w:val="FootnoteReference"/>
          <w:rFonts w:ascii="Times New Roman" w:hAnsi="Times New Roman"/>
          <w:szCs w:val="22"/>
        </w:rPr>
        <w:footnoteReference w:id="11"/>
      </w:r>
      <w:r w:rsidRPr="001C5665">
        <w:rPr>
          <w:szCs w:val="22"/>
        </w:rPr>
        <w:t xml:space="preserve"> publishes small-scale renewable energy installation data for Air Source Heat Pumps. </w:t>
      </w:r>
      <w:r>
        <w:rPr>
          <w:szCs w:val="22"/>
        </w:rPr>
        <w:t>A</w:t>
      </w:r>
      <w:r w:rsidRPr="001C5665">
        <w:rPr>
          <w:szCs w:val="22"/>
        </w:rPr>
        <w:t>t the end of 201</w:t>
      </w:r>
      <w:r>
        <w:rPr>
          <w:szCs w:val="22"/>
        </w:rPr>
        <w:t xml:space="preserve">8 there were </w:t>
      </w:r>
      <w:r w:rsidRPr="001C5665">
        <w:rPr>
          <w:szCs w:val="22"/>
        </w:rPr>
        <w:t>2</w:t>
      </w:r>
      <w:r>
        <w:rPr>
          <w:szCs w:val="22"/>
        </w:rPr>
        <w:t>51</w:t>
      </w:r>
      <w:r w:rsidRPr="001C5665">
        <w:rPr>
          <w:szCs w:val="22"/>
        </w:rPr>
        <w:t>,</w:t>
      </w:r>
      <w:r>
        <w:rPr>
          <w:szCs w:val="22"/>
        </w:rPr>
        <w:t xml:space="preserve">129 </w:t>
      </w:r>
      <w:r w:rsidRPr="001C5665">
        <w:rPr>
          <w:szCs w:val="22"/>
        </w:rPr>
        <w:t xml:space="preserve">domestic hot water </w:t>
      </w:r>
      <w:r w:rsidR="00D45A37">
        <w:rPr>
          <w:szCs w:val="22"/>
        </w:rPr>
        <w:t xml:space="preserve">air source </w:t>
      </w:r>
      <w:r w:rsidRPr="001C5665">
        <w:rPr>
          <w:szCs w:val="22"/>
        </w:rPr>
        <w:t>heat pumps</w:t>
      </w:r>
      <w:r>
        <w:rPr>
          <w:szCs w:val="22"/>
        </w:rPr>
        <w:t xml:space="preserve"> registered with the Clean Energy Regulator</w:t>
      </w:r>
      <w:r w:rsidRPr="001C5665">
        <w:rPr>
          <w:szCs w:val="22"/>
        </w:rPr>
        <w:t xml:space="preserve">. The stock model </w:t>
      </w:r>
      <w:r>
        <w:rPr>
          <w:szCs w:val="22"/>
        </w:rPr>
        <w:t xml:space="preserve">calculates a stock of 250,000, which </w:t>
      </w:r>
      <w:r w:rsidRPr="001C5665">
        <w:rPr>
          <w:szCs w:val="22"/>
        </w:rPr>
        <w:t>aligns with th</w:t>
      </w:r>
      <w:r>
        <w:rPr>
          <w:szCs w:val="22"/>
        </w:rPr>
        <w:t xml:space="preserve">e </w:t>
      </w:r>
      <w:r w:rsidR="002A14D5">
        <w:rPr>
          <w:szCs w:val="22"/>
        </w:rPr>
        <w:t>R</w:t>
      </w:r>
      <w:r>
        <w:rPr>
          <w:szCs w:val="22"/>
        </w:rPr>
        <w:t>egulator</w:t>
      </w:r>
      <w:r w:rsidR="002A14D5">
        <w:rPr>
          <w:szCs w:val="22"/>
        </w:rPr>
        <w:t>’</w:t>
      </w:r>
      <w:r>
        <w:rPr>
          <w:szCs w:val="22"/>
        </w:rPr>
        <w:t>s</w:t>
      </w:r>
      <w:r w:rsidRPr="001C5665">
        <w:rPr>
          <w:szCs w:val="22"/>
        </w:rPr>
        <w:t xml:space="preserve"> </w:t>
      </w:r>
      <w:r>
        <w:rPr>
          <w:szCs w:val="22"/>
        </w:rPr>
        <w:t>reported stock</w:t>
      </w:r>
      <w:r w:rsidRPr="001C5665">
        <w:rPr>
          <w:szCs w:val="22"/>
        </w:rPr>
        <w:t xml:space="preserve"> </w:t>
      </w:r>
      <w:r>
        <w:rPr>
          <w:szCs w:val="22"/>
        </w:rPr>
        <w:t xml:space="preserve">when assuming </w:t>
      </w:r>
      <w:r w:rsidRPr="001C5665">
        <w:rPr>
          <w:szCs w:val="22"/>
        </w:rPr>
        <w:t>an average lifespan of 15 year</w:t>
      </w:r>
      <w:r>
        <w:rPr>
          <w:szCs w:val="22"/>
        </w:rPr>
        <w:t xml:space="preserve">s </w:t>
      </w:r>
      <w:r w:rsidRPr="001C5665">
        <w:rPr>
          <w:szCs w:val="22"/>
        </w:rPr>
        <w:t xml:space="preserve">and </w:t>
      </w:r>
      <w:r>
        <w:rPr>
          <w:szCs w:val="22"/>
        </w:rPr>
        <w:t xml:space="preserve">taking into account </w:t>
      </w:r>
      <w:r w:rsidRPr="001C5665">
        <w:rPr>
          <w:szCs w:val="22"/>
        </w:rPr>
        <w:t>equipment that would have retired.</w:t>
      </w:r>
    </w:p>
    <w:p w14:paraId="4E7E9680" w14:textId="0B10F269" w:rsidR="00597996" w:rsidRDefault="00597996" w:rsidP="009A23AA">
      <w:pPr>
        <w:rPr>
          <w:szCs w:val="22"/>
        </w:rPr>
      </w:pPr>
      <w:r w:rsidRPr="001C5665">
        <w:rPr>
          <w:szCs w:val="22"/>
        </w:rPr>
        <w:t xml:space="preserve">The stock model assumes sales of domestic </w:t>
      </w:r>
      <w:r>
        <w:rPr>
          <w:szCs w:val="22"/>
        </w:rPr>
        <w:t xml:space="preserve">hot </w:t>
      </w:r>
      <w:r w:rsidRPr="001C5665">
        <w:rPr>
          <w:szCs w:val="22"/>
        </w:rPr>
        <w:t>water heat pump</w:t>
      </w:r>
      <w:r>
        <w:rPr>
          <w:szCs w:val="22"/>
        </w:rPr>
        <w:t>s</w:t>
      </w:r>
      <w:r w:rsidRPr="001C5665">
        <w:rPr>
          <w:szCs w:val="22"/>
        </w:rPr>
        <w:t xml:space="preserve"> will continue at a typical annual sales v</w:t>
      </w:r>
      <w:r>
        <w:rPr>
          <w:szCs w:val="22"/>
        </w:rPr>
        <w:t xml:space="preserve">olume </w:t>
      </w:r>
      <w:r w:rsidRPr="001C5665">
        <w:rPr>
          <w:szCs w:val="22"/>
        </w:rPr>
        <w:t xml:space="preserve">of </w:t>
      </w:r>
      <w:r>
        <w:rPr>
          <w:szCs w:val="22"/>
        </w:rPr>
        <w:t xml:space="preserve">around </w:t>
      </w:r>
      <w:r w:rsidRPr="001C5665">
        <w:rPr>
          <w:szCs w:val="22"/>
        </w:rPr>
        <w:t>20,000 pieces per annum until 2030.</w:t>
      </w:r>
    </w:p>
    <w:p w14:paraId="69609672" w14:textId="77777777" w:rsidR="00597996" w:rsidRPr="00D573E8" w:rsidRDefault="00597996" w:rsidP="009A23AA">
      <w:pPr>
        <w:spacing w:before="240"/>
        <w:rPr>
          <w:b/>
          <w:szCs w:val="22"/>
        </w:rPr>
      </w:pPr>
      <w:r w:rsidRPr="00D573E8">
        <w:rPr>
          <w:b/>
          <w:szCs w:val="22"/>
        </w:rPr>
        <w:t>Heat pump clothes dryers</w:t>
      </w:r>
    </w:p>
    <w:p w14:paraId="39788D79" w14:textId="77777777" w:rsidR="00597996" w:rsidRPr="00D573E8" w:rsidRDefault="00597996" w:rsidP="009A23AA">
      <w:pPr>
        <w:rPr>
          <w:szCs w:val="22"/>
        </w:rPr>
      </w:pPr>
      <w:r w:rsidRPr="00D573E8">
        <w:rPr>
          <w:szCs w:val="22"/>
        </w:rPr>
        <w:t xml:space="preserve">A heat pump clothes dryer is a </w:t>
      </w:r>
      <w:r>
        <w:rPr>
          <w:szCs w:val="22"/>
        </w:rPr>
        <w:t xml:space="preserve">recently introduced product </w:t>
      </w:r>
      <w:r w:rsidRPr="00D573E8">
        <w:rPr>
          <w:szCs w:val="22"/>
        </w:rPr>
        <w:t xml:space="preserve">type that </w:t>
      </w:r>
      <w:r>
        <w:rPr>
          <w:szCs w:val="22"/>
        </w:rPr>
        <w:t>is</w:t>
      </w:r>
      <w:r w:rsidRPr="00D573E8">
        <w:rPr>
          <w:szCs w:val="22"/>
        </w:rPr>
        <w:t xml:space="preserve"> extraordinarily energy efficient</w:t>
      </w:r>
      <w:r>
        <w:rPr>
          <w:szCs w:val="22"/>
        </w:rPr>
        <w:t xml:space="preserve"> compared to conventional dryers that use electric heating elements. These ‘</w:t>
      </w:r>
      <w:r w:rsidRPr="00D573E8">
        <w:rPr>
          <w:szCs w:val="22"/>
        </w:rPr>
        <w:t>condenser drye</w:t>
      </w:r>
      <w:r>
        <w:rPr>
          <w:szCs w:val="22"/>
        </w:rPr>
        <w:t>rs’</w:t>
      </w:r>
      <w:r w:rsidRPr="00D573E8">
        <w:rPr>
          <w:szCs w:val="22"/>
        </w:rPr>
        <w:t xml:space="preserve"> recycle heat in the process of extracting moisture, resulting in efficiency ratings of up to 6 stars (the best possible</w:t>
      </w:r>
      <w:r>
        <w:rPr>
          <w:szCs w:val="22"/>
        </w:rPr>
        <w:t xml:space="preserve"> under the GEMS program in this product class</w:t>
      </w:r>
      <w:r w:rsidRPr="00D573E8">
        <w:rPr>
          <w:szCs w:val="22"/>
        </w:rPr>
        <w:t>). Whilst they are</w:t>
      </w:r>
      <w:r>
        <w:rPr>
          <w:szCs w:val="22"/>
        </w:rPr>
        <w:t xml:space="preserve"> more</w:t>
      </w:r>
      <w:r w:rsidRPr="00D573E8">
        <w:rPr>
          <w:szCs w:val="22"/>
        </w:rPr>
        <w:t xml:space="preserve"> expensive </w:t>
      </w:r>
      <w:r>
        <w:rPr>
          <w:szCs w:val="22"/>
        </w:rPr>
        <w:t>than</w:t>
      </w:r>
      <w:r w:rsidRPr="00D573E8">
        <w:rPr>
          <w:szCs w:val="22"/>
        </w:rPr>
        <w:t xml:space="preserve"> conventional clothes dryers</w:t>
      </w:r>
      <w:r>
        <w:rPr>
          <w:szCs w:val="22"/>
        </w:rPr>
        <w:t>,</w:t>
      </w:r>
      <w:r w:rsidRPr="00D573E8">
        <w:rPr>
          <w:szCs w:val="22"/>
        </w:rPr>
        <w:t xml:space="preserve"> </w:t>
      </w:r>
      <w:r>
        <w:rPr>
          <w:szCs w:val="22"/>
        </w:rPr>
        <w:t xml:space="preserve">they deliver electricity </w:t>
      </w:r>
      <w:r w:rsidRPr="00D573E8">
        <w:rPr>
          <w:szCs w:val="22"/>
        </w:rPr>
        <w:t>cost savings and</w:t>
      </w:r>
      <w:r>
        <w:rPr>
          <w:szCs w:val="22"/>
        </w:rPr>
        <w:t xml:space="preserve"> </w:t>
      </w:r>
      <w:r w:rsidRPr="00D573E8">
        <w:rPr>
          <w:szCs w:val="22"/>
        </w:rPr>
        <w:t>have the added benefit of not pumping humid air into the laundry area as the condenser dryer extracts the dampness from the clothes and the condensate is discharged down the drain.</w:t>
      </w:r>
    </w:p>
    <w:p w14:paraId="62613742" w14:textId="77777777" w:rsidR="0082202A" w:rsidRDefault="00597996" w:rsidP="009A23AA">
      <w:pPr>
        <w:rPr>
          <w:szCs w:val="22"/>
        </w:rPr>
      </w:pPr>
      <w:r w:rsidRPr="00D573E8">
        <w:rPr>
          <w:szCs w:val="22"/>
        </w:rPr>
        <w:t xml:space="preserve">All appliances </w:t>
      </w:r>
      <w:r>
        <w:rPr>
          <w:szCs w:val="22"/>
        </w:rPr>
        <w:t xml:space="preserve">available are </w:t>
      </w:r>
      <w:r w:rsidRPr="00D573E8">
        <w:rPr>
          <w:szCs w:val="22"/>
        </w:rPr>
        <w:t>charged with HFC-134a containing from 300 to 480 grams and an average charge of 4</w:t>
      </w:r>
      <w:r>
        <w:rPr>
          <w:szCs w:val="22"/>
        </w:rPr>
        <w:t>7</w:t>
      </w:r>
      <w:r w:rsidRPr="00D573E8">
        <w:rPr>
          <w:szCs w:val="22"/>
        </w:rPr>
        <w:t xml:space="preserve">0 grams. The total charge of HFC-134a imported over the </w:t>
      </w:r>
      <w:r>
        <w:rPr>
          <w:szCs w:val="22"/>
        </w:rPr>
        <w:t>five-</w:t>
      </w:r>
      <w:r w:rsidRPr="00D573E8">
        <w:rPr>
          <w:szCs w:val="22"/>
        </w:rPr>
        <w:t xml:space="preserve">year period </w:t>
      </w:r>
      <w:r>
        <w:rPr>
          <w:szCs w:val="22"/>
        </w:rPr>
        <w:t xml:space="preserve">in these appliances </w:t>
      </w:r>
      <w:r w:rsidRPr="00D573E8">
        <w:rPr>
          <w:szCs w:val="22"/>
        </w:rPr>
        <w:t xml:space="preserve">was around </w:t>
      </w:r>
      <w:r>
        <w:rPr>
          <w:szCs w:val="22"/>
        </w:rPr>
        <w:t>65</w:t>
      </w:r>
      <w:r w:rsidRPr="00D573E8">
        <w:rPr>
          <w:szCs w:val="22"/>
        </w:rPr>
        <w:t xml:space="preserve"> tonnes.</w:t>
      </w:r>
    </w:p>
    <w:p w14:paraId="60D830AC" w14:textId="08954ABF" w:rsidR="00597996" w:rsidRPr="00D573E8" w:rsidRDefault="00597996" w:rsidP="009A23AA">
      <w:pPr>
        <w:rPr>
          <w:szCs w:val="22"/>
        </w:rPr>
      </w:pPr>
      <w:r w:rsidRPr="00D573E8">
        <w:rPr>
          <w:szCs w:val="22"/>
        </w:rPr>
        <w:t xml:space="preserve"> </w:t>
      </w:r>
    </w:p>
    <w:p w14:paraId="60D02EE4" w14:textId="77777777" w:rsidR="00597996" w:rsidRDefault="00597996" w:rsidP="009A23AA">
      <w:pPr>
        <w:pStyle w:val="Heading3"/>
        <w:jc w:val="both"/>
      </w:pPr>
      <w:bookmarkStart w:id="21" w:name="_Toc19601288"/>
      <w:r>
        <w:t>Split systems sales softening but still strong</w:t>
      </w:r>
      <w:bookmarkEnd w:id="21"/>
      <w:r>
        <w:t xml:space="preserve"> </w:t>
      </w:r>
    </w:p>
    <w:p w14:paraId="2DA3DD10" w14:textId="77777777" w:rsidR="00597996" w:rsidRDefault="00597996" w:rsidP="009A23AA">
      <w:pPr>
        <w:rPr>
          <w:szCs w:val="22"/>
        </w:rPr>
      </w:pPr>
      <w:r w:rsidRPr="00F936A9">
        <w:rPr>
          <w:szCs w:val="22"/>
        </w:rPr>
        <w:t xml:space="preserve">The overwhelming majority of split systems </w:t>
      </w:r>
      <w:r>
        <w:rPr>
          <w:szCs w:val="22"/>
        </w:rPr>
        <w:t xml:space="preserve">sales </w:t>
      </w:r>
      <w:r w:rsidRPr="00F936A9">
        <w:rPr>
          <w:szCs w:val="22"/>
        </w:rPr>
        <w:t xml:space="preserve">are ‘single’ split systems comprising one indoor unit attached to one outdoor unit. </w:t>
      </w:r>
    </w:p>
    <w:p w14:paraId="02646870" w14:textId="6E2FBFD1" w:rsidR="00597996" w:rsidRPr="00F936A9" w:rsidRDefault="00597996" w:rsidP="009A23AA">
      <w:pPr>
        <w:rPr>
          <w:szCs w:val="22"/>
        </w:rPr>
      </w:pPr>
      <w:r w:rsidRPr="00F936A9">
        <w:rPr>
          <w:szCs w:val="22"/>
        </w:rPr>
        <w:t>The split system market has experienced solid compound annual growth rates of around 5.0% from 2012 to 2018. Single split systems sales, including wall-hung, cassette, consoles and ducted systems have grown rapidly from 2012 to 2018 with annual sales reported of 833,000 in 2012</w:t>
      </w:r>
      <w:r w:rsidR="005D76FC">
        <w:rPr>
          <w:szCs w:val="22"/>
        </w:rPr>
        <w:t xml:space="preserve"> rising to a record in</w:t>
      </w:r>
      <w:r w:rsidRPr="00F936A9">
        <w:rPr>
          <w:szCs w:val="22"/>
        </w:rPr>
        <w:t xml:space="preserve"> 2017 of 1,</w:t>
      </w:r>
      <w:r>
        <w:rPr>
          <w:szCs w:val="22"/>
        </w:rPr>
        <w:t>258</w:t>
      </w:r>
      <w:r w:rsidRPr="00F936A9">
        <w:rPr>
          <w:szCs w:val="22"/>
        </w:rPr>
        <w:t xml:space="preserve">,000 </w:t>
      </w:r>
      <w:r w:rsidR="005D76FC">
        <w:rPr>
          <w:szCs w:val="22"/>
        </w:rPr>
        <w:t xml:space="preserve">units </w:t>
      </w:r>
      <w:r w:rsidRPr="00F936A9">
        <w:rPr>
          <w:szCs w:val="22"/>
        </w:rPr>
        <w:t xml:space="preserve">sold. For the first time in a decade </w:t>
      </w:r>
      <w:r w:rsidR="002A14D5">
        <w:rPr>
          <w:szCs w:val="22"/>
        </w:rPr>
        <w:t xml:space="preserve">sales declined </w:t>
      </w:r>
      <w:r w:rsidRPr="00F936A9">
        <w:rPr>
          <w:szCs w:val="22"/>
        </w:rPr>
        <w:t>in 2018 with sales of around 1,</w:t>
      </w:r>
      <w:r>
        <w:rPr>
          <w:szCs w:val="22"/>
        </w:rPr>
        <w:t>158</w:t>
      </w:r>
      <w:r w:rsidRPr="00F936A9">
        <w:rPr>
          <w:szCs w:val="22"/>
        </w:rPr>
        <w:t>,000</w:t>
      </w:r>
      <w:r w:rsidR="00E96F02">
        <w:rPr>
          <w:szCs w:val="22"/>
        </w:rPr>
        <w:t>,</w:t>
      </w:r>
      <w:r>
        <w:rPr>
          <w:szCs w:val="22"/>
        </w:rPr>
        <w:t xml:space="preserve"> a year on year decline of nearly 8%</w:t>
      </w:r>
      <w:r w:rsidRPr="00F936A9">
        <w:rPr>
          <w:szCs w:val="22"/>
        </w:rPr>
        <w:t xml:space="preserve">. </w:t>
      </w:r>
    </w:p>
    <w:p w14:paraId="610737F3" w14:textId="0EF6A410" w:rsidR="00597996" w:rsidRPr="00F936A9" w:rsidRDefault="00597996" w:rsidP="009A23AA">
      <w:pPr>
        <w:rPr>
          <w:szCs w:val="22"/>
        </w:rPr>
      </w:pPr>
      <w:r w:rsidRPr="00F936A9">
        <w:rPr>
          <w:szCs w:val="22"/>
        </w:rPr>
        <w:t>There has been significant growth in single split ducted systems (included in the above numbers) increasing from around 110,000 in 2012 to 1</w:t>
      </w:r>
      <w:r>
        <w:rPr>
          <w:szCs w:val="22"/>
        </w:rPr>
        <w:t>74</w:t>
      </w:r>
      <w:r w:rsidRPr="00F936A9">
        <w:rPr>
          <w:szCs w:val="22"/>
        </w:rPr>
        <w:t>,000 in 201</w:t>
      </w:r>
      <w:r>
        <w:rPr>
          <w:szCs w:val="22"/>
        </w:rPr>
        <w:t>8</w:t>
      </w:r>
      <w:r w:rsidRPr="00F936A9">
        <w:rPr>
          <w:szCs w:val="22"/>
        </w:rPr>
        <w:t>. Some of the growth has come from compact bulk head units</w:t>
      </w:r>
      <w:r w:rsidR="00E96F02">
        <w:rPr>
          <w:szCs w:val="22"/>
        </w:rPr>
        <w:t xml:space="preserve"> </w:t>
      </w:r>
      <w:r w:rsidR="00E96F02" w:rsidRPr="00F936A9">
        <w:rPr>
          <w:szCs w:val="22"/>
        </w:rPr>
        <w:t xml:space="preserve">below 10 </w:t>
      </w:r>
      <w:proofErr w:type="spellStart"/>
      <w:r w:rsidR="00E96F02" w:rsidRPr="00F936A9">
        <w:rPr>
          <w:szCs w:val="22"/>
        </w:rPr>
        <w:t>kWr</w:t>
      </w:r>
      <w:proofErr w:type="spellEnd"/>
      <w:r w:rsidR="00E96F02">
        <w:rPr>
          <w:szCs w:val="22"/>
        </w:rPr>
        <w:t>,</w:t>
      </w:r>
      <w:r w:rsidRPr="00F936A9">
        <w:rPr>
          <w:szCs w:val="22"/>
        </w:rPr>
        <w:t xml:space="preserve"> comprising 32% of sales in 2018 versus 25% in 2012.</w:t>
      </w:r>
    </w:p>
    <w:p w14:paraId="6CFA4602" w14:textId="1992D793" w:rsidR="00597996" w:rsidRDefault="00597996" w:rsidP="009A23AA">
      <w:pPr>
        <w:rPr>
          <w:szCs w:val="22"/>
        </w:rPr>
      </w:pPr>
      <w:r w:rsidRPr="00F936A9">
        <w:rPr>
          <w:szCs w:val="22"/>
        </w:rPr>
        <w:t xml:space="preserve">Multi head split system (excluding VRV/F) sales have grown, from around 23,000 in 2012 and 2013 to around </w:t>
      </w:r>
      <w:r>
        <w:rPr>
          <w:szCs w:val="22"/>
        </w:rPr>
        <w:t>33</w:t>
      </w:r>
      <w:r w:rsidRPr="00F936A9">
        <w:rPr>
          <w:szCs w:val="22"/>
        </w:rPr>
        <w:t>,000 in 201</w:t>
      </w:r>
      <w:r>
        <w:rPr>
          <w:szCs w:val="22"/>
        </w:rPr>
        <w:t>8</w:t>
      </w:r>
      <w:r w:rsidRPr="00F936A9">
        <w:rPr>
          <w:szCs w:val="22"/>
        </w:rPr>
        <w:t xml:space="preserve">. </w:t>
      </w:r>
      <w:r w:rsidR="002A14D5">
        <w:rPr>
          <w:szCs w:val="22"/>
        </w:rPr>
        <w:t>As a result, t</w:t>
      </w:r>
      <w:r w:rsidRPr="00F936A9">
        <w:rPr>
          <w:szCs w:val="22"/>
        </w:rPr>
        <w:t>he ratio of indoor units to outdoor units sold is slowly increasing from a ratio of 1.03 in 2012 to 1.0</w:t>
      </w:r>
      <w:r>
        <w:rPr>
          <w:szCs w:val="22"/>
        </w:rPr>
        <w:t>5</w:t>
      </w:r>
      <w:r w:rsidRPr="00F936A9">
        <w:rPr>
          <w:szCs w:val="22"/>
        </w:rPr>
        <w:t xml:space="preserve"> in 2018.</w:t>
      </w:r>
    </w:p>
    <w:p w14:paraId="62DE73E5" w14:textId="77777777" w:rsidR="0082202A" w:rsidRDefault="0082202A" w:rsidP="009A23AA">
      <w:pPr>
        <w:rPr>
          <w:szCs w:val="22"/>
        </w:rPr>
      </w:pPr>
    </w:p>
    <w:p w14:paraId="585CBEAD" w14:textId="6973B901" w:rsidR="00597996" w:rsidRPr="000D307E" w:rsidRDefault="00597996" w:rsidP="009A23AA">
      <w:pPr>
        <w:pStyle w:val="Heading3"/>
        <w:jc w:val="both"/>
      </w:pPr>
      <w:bookmarkStart w:id="22" w:name="_Toc19601289"/>
      <w:r w:rsidRPr="000D307E">
        <w:t xml:space="preserve">Medium </w:t>
      </w:r>
      <w:r w:rsidR="008A0D8F">
        <w:t>air conditioning</w:t>
      </w:r>
      <w:bookmarkEnd w:id="22"/>
    </w:p>
    <w:p w14:paraId="790BC7BD" w14:textId="3B26B4D5" w:rsidR="00597996" w:rsidRPr="008354C6" w:rsidRDefault="00597996" w:rsidP="009A23AA">
      <w:pPr>
        <w:rPr>
          <w:szCs w:val="22"/>
        </w:rPr>
      </w:pPr>
      <w:r w:rsidRPr="008354C6">
        <w:t xml:space="preserve">Medium AC typically have a charge size </w:t>
      </w:r>
      <w:r w:rsidRPr="008354C6">
        <w:rPr>
          <w:szCs w:val="22"/>
        </w:rPr>
        <w:t>greater than 2.6 kg and less than 12 kg</w:t>
      </w:r>
      <w:r w:rsidR="00E96F02">
        <w:rPr>
          <w:szCs w:val="22"/>
        </w:rPr>
        <w:t>.</w:t>
      </w:r>
      <w:r w:rsidR="00D201B7">
        <w:rPr>
          <w:szCs w:val="22"/>
        </w:rPr>
        <w:t xml:space="preserve"> </w:t>
      </w:r>
      <w:r w:rsidR="00E96F02">
        <w:t>E</w:t>
      </w:r>
      <w:r w:rsidRPr="008354C6">
        <w:t xml:space="preserve">quipment types are described in </w:t>
      </w:r>
      <w:r w:rsidR="00D201B7" w:rsidRPr="00D201B7">
        <w:rPr>
          <w:i/>
          <w:iCs/>
        </w:rPr>
        <w:t>Table 3: Charge size category and most common stationary AC type.</w:t>
      </w:r>
      <w:r>
        <w:rPr>
          <w:i/>
          <w:iCs/>
        </w:rPr>
        <w:t xml:space="preserve"> </w:t>
      </w:r>
      <w:r w:rsidRPr="00F4426D">
        <w:rPr>
          <w:szCs w:val="22"/>
        </w:rPr>
        <w:t xml:space="preserve">PCE </w:t>
      </w:r>
      <w:r>
        <w:rPr>
          <w:szCs w:val="22"/>
        </w:rPr>
        <w:t xml:space="preserve">import </w:t>
      </w:r>
      <w:r w:rsidRPr="00F4426D">
        <w:rPr>
          <w:szCs w:val="22"/>
        </w:rPr>
        <w:t>data shows there w</w:t>
      </w:r>
      <w:r>
        <w:rPr>
          <w:szCs w:val="22"/>
        </w:rPr>
        <w:t>as an average of approximately</w:t>
      </w:r>
      <w:r w:rsidRPr="00F4426D">
        <w:rPr>
          <w:szCs w:val="22"/>
        </w:rPr>
        <w:t xml:space="preserve"> 2</w:t>
      </w:r>
      <w:r>
        <w:rPr>
          <w:szCs w:val="22"/>
        </w:rPr>
        <w:t>48</w:t>
      </w:r>
      <w:r w:rsidRPr="00F4426D">
        <w:rPr>
          <w:szCs w:val="22"/>
        </w:rPr>
        <w:t xml:space="preserve">,000 </w:t>
      </w:r>
      <w:r>
        <w:rPr>
          <w:szCs w:val="22"/>
        </w:rPr>
        <w:t xml:space="preserve">medium AC </w:t>
      </w:r>
      <w:r w:rsidRPr="00F4426D">
        <w:rPr>
          <w:szCs w:val="22"/>
        </w:rPr>
        <w:t>pieces</w:t>
      </w:r>
      <w:r>
        <w:rPr>
          <w:szCs w:val="22"/>
        </w:rPr>
        <w:t xml:space="preserve"> </w:t>
      </w:r>
      <w:r w:rsidRPr="00F4426D">
        <w:rPr>
          <w:szCs w:val="22"/>
        </w:rPr>
        <w:t xml:space="preserve">imported per annum over the </w:t>
      </w:r>
      <w:r>
        <w:rPr>
          <w:szCs w:val="22"/>
        </w:rPr>
        <w:t>last two y</w:t>
      </w:r>
      <w:r w:rsidRPr="00F4426D">
        <w:rPr>
          <w:szCs w:val="22"/>
        </w:rPr>
        <w:t>ear</w:t>
      </w:r>
      <w:r>
        <w:rPr>
          <w:szCs w:val="22"/>
        </w:rPr>
        <w:t>s</w:t>
      </w:r>
      <w:r w:rsidRPr="00F4426D">
        <w:rPr>
          <w:szCs w:val="22"/>
        </w:rPr>
        <w:t xml:space="preserve">, </w:t>
      </w:r>
      <w:r>
        <w:rPr>
          <w:szCs w:val="22"/>
        </w:rPr>
        <w:t>containing</w:t>
      </w:r>
      <w:r w:rsidRPr="00F4426D">
        <w:rPr>
          <w:szCs w:val="22"/>
        </w:rPr>
        <w:t xml:space="preserve"> an </w:t>
      </w:r>
      <w:r>
        <w:rPr>
          <w:szCs w:val="22"/>
        </w:rPr>
        <w:t xml:space="preserve">annual </w:t>
      </w:r>
      <w:r w:rsidRPr="00F4426D">
        <w:rPr>
          <w:szCs w:val="22"/>
        </w:rPr>
        <w:t xml:space="preserve">average of </w:t>
      </w:r>
      <w:r>
        <w:rPr>
          <w:szCs w:val="22"/>
        </w:rPr>
        <w:t>1,138</w:t>
      </w:r>
      <w:r w:rsidRPr="00F4426D">
        <w:rPr>
          <w:szCs w:val="22"/>
        </w:rPr>
        <w:t xml:space="preserve"> tonnes of </w:t>
      </w:r>
      <w:r w:rsidR="002A14D5">
        <w:rPr>
          <w:szCs w:val="22"/>
        </w:rPr>
        <w:t xml:space="preserve">HFC, </w:t>
      </w:r>
      <w:r>
        <w:rPr>
          <w:szCs w:val="22"/>
        </w:rPr>
        <w:t xml:space="preserve">mostly </w:t>
      </w:r>
      <w:r w:rsidRPr="00362A83">
        <w:rPr>
          <w:szCs w:val="22"/>
        </w:rPr>
        <w:t xml:space="preserve">HFC-410A. </w:t>
      </w:r>
      <w:r w:rsidRPr="00362A83">
        <w:rPr>
          <w:i/>
          <w:iCs/>
          <w:szCs w:val="22"/>
        </w:rPr>
        <w:t xml:space="preserve">Table </w:t>
      </w:r>
      <w:r w:rsidR="00362A83" w:rsidRPr="00362A83">
        <w:rPr>
          <w:i/>
          <w:iCs/>
          <w:szCs w:val="22"/>
        </w:rPr>
        <w:t>4</w:t>
      </w:r>
      <w:r w:rsidRPr="00362A83">
        <w:rPr>
          <w:szCs w:val="22"/>
        </w:rPr>
        <w:t xml:space="preserve"> below provides</w:t>
      </w:r>
      <w:r w:rsidRPr="008354C6">
        <w:rPr>
          <w:szCs w:val="22"/>
        </w:rPr>
        <w:t xml:space="preserve"> a summary of PCE imports in this charge size over the last two years. </w:t>
      </w:r>
    </w:p>
    <w:p w14:paraId="53FA9625" w14:textId="1B44FD34" w:rsidR="00597996" w:rsidRDefault="00597996" w:rsidP="009A23AA">
      <w:pPr>
        <w:rPr>
          <w:szCs w:val="22"/>
        </w:rPr>
      </w:pPr>
      <w:r w:rsidRPr="008354C6">
        <w:rPr>
          <w:szCs w:val="22"/>
        </w:rPr>
        <w:t xml:space="preserve">In 2017 there were 157,000 units imported with </w:t>
      </w:r>
      <w:r>
        <w:rPr>
          <w:szCs w:val="22"/>
        </w:rPr>
        <w:t xml:space="preserve">refrigerant </w:t>
      </w:r>
      <w:r w:rsidRPr="008354C6">
        <w:rPr>
          <w:szCs w:val="22"/>
        </w:rPr>
        <w:t xml:space="preserve">charge greater than 2.6 kg and less than 4 kg, containing 507.5 tonnes of HFCs. The imports in 2018 </w:t>
      </w:r>
      <w:r>
        <w:rPr>
          <w:szCs w:val="22"/>
        </w:rPr>
        <w:t xml:space="preserve">in </w:t>
      </w:r>
      <w:r w:rsidRPr="008354C6">
        <w:rPr>
          <w:szCs w:val="22"/>
        </w:rPr>
        <w:t xml:space="preserve">this charge </w:t>
      </w:r>
      <w:r>
        <w:rPr>
          <w:szCs w:val="22"/>
        </w:rPr>
        <w:t>size</w:t>
      </w:r>
      <w:r w:rsidRPr="008354C6">
        <w:rPr>
          <w:szCs w:val="22"/>
        </w:rPr>
        <w:t xml:space="preserve"> were 136,000 units, containing 475.6 tonnes of HFCs. </w:t>
      </w:r>
      <w:r>
        <w:rPr>
          <w:szCs w:val="22"/>
        </w:rPr>
        <w:t xml:space="preserve">Adoption of </w:t>
      </w:r>
      <w:r w:rsidRPr="008354C6">
        <w:rPr>
          <w:szCs w:val="22"/>
        </w:rPr>
        <w:t xml:space="preserve">HFC-32 is in progress in this charge </w:t>
      </w:r>
      <w:r>
        <w:rPr>
          <w:szCs w:val="22"/>
        </w:rPr>
        <w:t>size</w:t>
      </w:r>
      <w:r w:rsidRPr="008354C6">
        <w:rPr>
          <w:szCs w:val="22"/>
        </w:rPr>
        <w:t xml:space="preserve"> with some 12,000 to 13,000 devices imported in both 2017 and 2018. No HFC-32 ha</w:t>
      </w:r>
      <w:r w:rsidR="002A14D5">
        <w:rPr>
          <w:szCs w:val="22"/>
        </w:rPr>
        <w:t>s</w:t>
      </w:r>
      <w:r w:rsidRPr="008354C6">
        <w:rPr>
          <w:szCs w:val="22"/>
        </w:rPr>
        <w:t xml:space="preserve"> been reported</w:t>
      </w:r>
      <w:r w:rsidR="00D45A37">
        <w:rPr>
          <w:szCs w:val="22"/>
        </w:rPr>
        <w:t xml:space="preserve"> as yet</w:t>
      </w:r>
      <w:r w:rsidRPr="008354C6">
        <w:rPr>
          <w:szCs w:val="22"/>
        </w:rPr>
        <w:t xml:space="preserve"> in larger refrigerant charge categories, however industry sources confirm larger charges sizes are under development. Refer to </w:t>
      </w:r>
      <w:r w:rsidR="00260C25" w:rsidRPr="003B5462">
        <w:rPr>
          <w:i/>
          <w:szCs w:val="22"/>
        </w:rPr>
        <w:t>Appendix B</w:t>
      </w:r>
      <w:r w:rsidR="00260C25">
        <w:rPr>
          <w:i/>
          <w:szCs w:val="22"/>
        </w:rPr>
        <w:t>4.2</w:t>
      </w:r>
      <w:r w:rsidR="00260C25" w:rsidRPr="003B5462">
        <w:rPr>
          <w:i/>
          <w:szCs w:val="22"/>
        </w:rPr>
        <w:t>: Stationary AC: Pre-charged equipment</w:t>
      </w:r>
      <w:r w:rsidRPr="008354C6">
        <w:rPr>
          <w:szCs w:val="22"/>
        </w:rPr>
        <w:t xml:space="preserve"> for tabulated data.</w:t>
      </w:r>
    </w:p>
    <w:p w14:paraId="4F5EE647" w14:textId="77777777" w:rsidR="00597996" w:rsidRDefault="00597996" w:rsidP="009A23AA">
      <w:pPr>
        <w:rPr>
          <w:szCs w:val="22"/>
        </w:rPr>
      </w:pPr>
    </w:p>
    <w:p w14:paraId="06B50DA9" w14:textId="6B19EDBB" w:rsidR="00597996" w:rsidRPr="00D47CC7" w:rsidRDefault="006126F6" w:rsidP="009A23AA">
      <w:pPr>
        <w:pStyle w:val="Caption"/>
      </w:pPr>
      <w:bookmarkStart w:id="23" w:name="_Toc19601356"/>
      <w:r>
        <w:t xml:space="preserve">Table </w:t>
      </w:r>
      <w:r w:rsidR="00D66920">
        <w:rPr>
          <w:noProof/>
        </w:rPr>
        <w:fldChar w:fldCharType="begin"/>
      </w:r>
      <w:r w:rsidR="00D66920">
        <w:rPr>
          <w:noProof/>
        </w:rPr>
        <w:instrText xml:space="preserve"> SEQ Table \* ARABIC </w:instrText>
      </w:r>
      <w:r w:rsidR="00D66920">
        <w:rPr>
          <w:noProof/>
        </w:rPr>
        <w:fldChar w:fldCharType="separate"/>
      </w:r>
      <w:r w:rsidR="001D0DA3">
        <w:rPr>
          <w:noProof/>
        </w:rPr>
        <w:t>4</w:t>
      </w:r>
      <w:r w:rsidR="00D66920">
        <w:rPr>
          <w:noProof/>
        </w:rPr>
        <w:fldChar w:fldCharType="end"/>
      </w:r>
      <w:r>
        <w:t>:</w:t>
      </w:r>
      <w:r w:rsidR="00597996" w:rsidRPr="00D47CC7">
        <w:t xml:space="preserve"> Pre-charged equipment </w:t>
      </w:r>
      <w:r w:rsidR="00597996">
        <w:t xml:space="preserve">imports </w:t>
      </w:r>
      <w:r w:rsidR="00597996" w:rsidRPr="00D47CC7">
        <w:t xml:space="preserve">reported </w:t>
      </w:r>
      <w:r w:rsidR="00597996">
        <w:t xml:space="preserve">in </w:t>
      </w:r>
      <w:r w:rsidR="00597996" w:rsidRPr="00D47CC7">
        <w:t>201</w:t>
      </w:r>
      <w:r w:rsidR="00597996">
        <w:t>7 and 2018 (</w:t>
      </w:r>
      <w:r w:rsidR="00597996" w:rsidRPr="00D47CC7">
        <w:t>charge greater than 2</w:t>
      </w:r>
      <w:r w:rsidR="00597996">
        <w:t>.</w:t>
      </w:r>
      <w:r w:rsidR="00597996" w:rsidRPr="00D47CC7">
        <w:t>6</w:t>
      </w:r>
      <w:r w:rsidR="00597996">
        <w:t xml:space="preserve"> kg and less than 12 kg)</w:t>
      </w:r>
      <w:r w:rsidR="00597996" w:rsidRPr="00D47CC7">
        <w:t>.</w:t>
      </w:r>
      <w:bookmarkEnd w:id="2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736"/>
        <w:gridCol w:w="1737"/>
        <w:gridCol w:w="1736"/>
        <w:gridCol w:w="1737"/>
      </w:tblGrid>
      <w:tr w:rsidR="00597996" w:rsidRPr="00E920ED" w14:paraId="3467C09B" w14:textId="77777777" w:rsidTr="00597996">
        <w:trPr>
          <w:trHeight w:val="400"/>
        </w:trPr>
        <w:tc>
          <w:tcPr>
            <w:tcW w:w="2547" w:type="dxa"/>
            <w:vMerge w:val="restart"/>
            <w:shd w:val="clear" w:color="auto" w:fill="B6DDE8" w:themeFill="accent5" w:themeFillTint="66"/>
            <w:noWrap/>
            <w:vAlign w:val="center"/>
            <w:hideMark/>
          </w:tcPr>
          <w:p w14:paraId="6AD9B408" w14:textId="77777777" w:rsidR="00597996" w:rsidRPr="00E920ED" w:rsidRDefault="00597996" w:rsidP="009A23AA">
            <w:pPr>
              <w:spacing w:before="60" w:after="60"/>
              <w:rPr>
                <w:rFonts w:eastAsia="Times New Roman" w:cs="Times New Roman"/>
                <w:color w:val="000000"/>
                <w:szCs w:val="22"/>
                <w:lang w:val="en-AU"/>
              </w:rPr>
            </w:pPr>
            <w:r w:rsidRPr="00E920ED">
              <w:rPr>
                <w:rFonts w:eastAsia="Times New Roman" w:cs="Times New Roman"/>
                <w:color w:val="000000"/>
                <w:szCs w:val="22"/>
                <w:lang w:val="en-AU"/>
              </w:rPr>
              <w:t> </w:t>
            </w:r>
          </w:p>
          <w:p w14:paraId="3CDC741E" w14:textId="77777777" w:rsidR="00597996" w:rsidRPr="00E920ED" w:rsidRDefault="00597996" w:rsidP="009A23AA">
            <w:pPr>
              <w:spacing w:before="60" w:after="60"/>
              <w:rPr>
                <w:rFonts w:eastAsia="Times New Roman" w:cs="Times New Roman"/>
                <w:color w:val="000000"/>
                <w:szCs w:val="22"/>
                <w:lang w:val="en-AU"/>
              </w:rPr>
            </w:pPr>
            <w:r w:rsidRPr="00E920ED">
              <w:rPr>
                <w:rFonts w:eastAsia="Times New Roman" w:cs="Times New Roman"/>
                <w:color w:val="000000"/>
                <w:szCs w:val="22"/>
                <w:lang w:val="en-AU"/>
              </w:rPr>
              <w:t> </w:t>
            </w:r>
          </w:p>
        </w:tc>
        <w:tc>
          <w:tcPr>
            <w:tcW w:w="3473" w:type="dxa"/>
            <w:gridSpan w:val="2"/>
            <w:shd w:val="clear" w:color="auto" w:fill="B6DDE8" w:themeFill="accent5" w:themeFillTint="66"/>
            <w:noWrap/>
            <w:vAlign w:val="bottom"/>
            <w:hideMark/>
          </w:tcPr>
          <w:p w14:paraId="705F7B3C"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2017</w:t>
            </w:r>
          </w:p>
        </w:tc>
        <w:tc>
          <w:tcPr>
            <w:tcW w:w="3473" w:type="dxa"/>
            <w:gridSpan w:val="2"/>
            <w:shd w:val="clear" w:color="auto" w:fill="B6DDE8" w:themeFill="accent5" w:themeFillTint="66"/>
            <w:noWrap/>
            <w:vAlign w:val="bottom"/>
            <w:hideMark/>
          </w:tcPr>
          <w:p w14:paraId="1A07B2EC"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2018</w:t>
            </w:r>
          </w:p>
        </w:tc>
      </w:tr>
      <w:tr w:rsidR="00597996" w:rsidRPr="00E920ED" w14:paraId="7AF43BA3" w14:textId="77777777" w:rsidTr="00597996">
        <w:trPr>
          <w:trHeight w:val="400"/>
        </w:trPr>
        <w:tc>
          <w:tcPr>
            <w:tcW w:w="2547" w:type="dxa"/>
            <w:vMerge/>
            <w:shd w:val="clear" w:color="auto" w:fill="B6DDE8" w:themeFill="accent5" w:themeFillTint="66"/>
            <w:noWrap/>
            <w:vAlign w:val="center"/>
            <w:hideMark/>
          </w:tcPr>
          <w:p w14:paraId="0B54CEFB" w14:textId="77777777" w:rsidR="00597996" w:rsidRPr="00E920ED" w:rsidRDefault="00597996" w:rsidP="009A23AA">
            <w:pPr>
              <w:spacing w:before="60" w:after="60"/>
              <w:rPr>
                <w:rFonts w:eastAsia="Times New Roman" w:cs="Times New Roman"/>
                <w:color w:val="000000"/>
                <w:szCs w:val="22"/>
                <w:lang w:val="en-AU"/>
              </w:rPr>
            </w:pPr>
          </w:p>
        </w:tc>
        <w:tc>
          <w:tcPr>
            <w:tcW w:w="1736" w:type="dxa"/>
            <w:shd w:val="clear" w:color="auto" w:fill="B6DDE8" w:themeFill="accent5" w:themeFillTint="66"/>
            <w:vAlign w:val="center"/>
            <w:hideMark/>
          </w:tcPr>
          <w:p w14:paraId="4F953066"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Refrigerant (Tonnes)</w:t>
            </w:r>
          </w:p>
        </w:tc>
        <w:tc>
          <w:tcPr>
            <w:tcW w:w="1737" w:type="dxa"/>
            <w:shd w:val="clear" w:color="auto" w:fill="B6DDE8" w:themeFill="accent5" w:themeFillTint="66"/>
            <w:vAlign w:val="center"/>
            <w:hideMark/>
          </w:tcPr>
          <w:p w14:paraId="296EA241"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Units</w:t>
            </w:r>
          </w:p>
        </w:tc>
        <w:tc>
          <w:tcPr>
            <w:tcW w:w="1736" w:type="dxa"/>
            <w:shd w:val="clear" w:color="auto" w:fill="B6DDE8" w:themeFill="accent5" w:themeFillTint="66"/>
            <w:vAlign w:val="center"/>
            <w:hideMark/>
          </w:tcPr>
          <w:p w14:paraId="1453725B"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Refrigerant (Tonnes)</w:t>
            </w:r>
          </w:p>
        </w:tc>
        <w:tc>
          <w:tcPr>
            <w:tcW w:w="1737" w:type="dxa"/>
            <w:shd w:val="clear" w:color="auto" w:fill="B6DDE8" w:themeFill="accent5" w:themeFillTint="66"/>
            <w:vAlign w:val="center"/>
            <w:hideMark/>
          </w:tcPr>
          <w:p w14:paraId="6056BF42"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Units</w:t>
            </w:r>
          </w:p>
        </w:tc>
      </w:tr>
      <w:tr w:rsidR="00597996" w:rsidRPr="00E920ED" w14:paraId="3FF0A3D3" w14:textId="77777777" w:rsidTr="00597996">
        <w:trPr>
          <w:trHeight w:val="400"/>
        </w:trPr>
        <w:tc>
          <w:tcPr>
            <w:tcW w:w="2547" w:type="dxa"/>
            <w:shd w:val="clear" w:color="auto" w:fill="auto"/>
            <w:noWrap/>
            <w:vAlign w:val="center"/>
            <w:hideMark/>
          </w:tcPr>
          <w:p w14:paraId="06A0D54E" w14:textId="77777777" w:rsidR="00597996" w:rsidRPr="00E920ED" w:rsidRDefault="00597996" w:rsidP="009A23AA">
            <w:pPr>
              <w:spacing w:before="60" w:after="60"/>
              <w:rPr>
                <w:rFonts w:eastAsia="Times New Roman" w:cs="Times New Roman"/>
                <w:color w:val="000000"/>
                <w:szCs w:val="22"/>
                <w:lang w:val="en-AU"/>
              </w:rPr>
            </w:pPr>
            <w:r w:rsidRPr="00E920ED">
              <w:rPr>
                <w:rFonts w:eastAsia="Times New Roman" w:cs="Times New Roman"/>
                <w:color w:val="000000"/>
                <w:szCs w:val="22"/>
                <w:lang w:val="en-AU"/>
              </w:rPr>
              <w:t>≥ 2.6 kg and &lt; 4 kg</w:t>
            </w:r>
          </w:p>
        </w:tc>
        <w:tc>
          <w:tcPr>
            <w:tcW w:w="1736" w:type="dxa"/>
            <w:shd w:val="clear" w:color="auto" w:fill="auto"/>
            <w:noWrap/>
            <w:vAlign w:val="center"/>
            <w:hideMark/>
          </w:tcPr>
          <w:p w14:paraId="6323B2D4"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507.5</w:t>
            </w:r>
          </w:p>
        </w:tc>
        <w:tc>
          <w:tcPr>
            <w:tcW w:w="1737" w:type="dxa"/>
            <w:shd w:val="clear" w:color="auto" w:fill="auto"/>
            <w:noWrap/>
            <w:vAlign w:val="center"/>
            <w:hideMark/>
          </w:tcPr>
          <w:p w14:paraId="6B905045"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157,437</w:t>
            </w:r>
          </w:p>
        </w:tc>
        <w:tc>
          <w:tcPr>
            <w:tcW w:w="1736" w:type="dxa"/>
            <w:shd w:val="clear" w:color="auto" w:fill="auto"/>
            <w:noWrap/>
            <w:vAlign w:val="center"/>
            <w:hideMark/>
          </w:tcPr>
          <w:p w14:paraId="1A645E6E"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475.6</w:t>
            </w:r>
          </w:p>
        </w:tc>
        <w:tc>
          <w:tcPr>
            <w:tcW w:w="1737" w:type="dxa"/>
            <w:shd w:val="clear" w:color="auto" w:fill="auto"/>
            <w:noWrap/>
            <w:vAlign w:val="center"/>
            <w:hideMark/>
          </w:tcPr>
          <w:p w14:paraId="17876314"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136,255</w:t>
            </w:r>
          </w:p>
        </w:tc>
      </w:tr>
      <w:tr w:rsidR="00597996" w:rsidRPr="00E920ED" w14:paraId="108CAF9B" w14:textId="77777777" w:rsidTr="00597996">
        <w:trPr>
          <w:trHeight w:val="400"/>
        </w:trPr>
        <w:tc>
          <w:tcPr>
            <w:tcW w:w="2547" w:type="dxa"/>
            <w:shd w:val="clear" w:color="auto" w:fill="auto"/>
            <w:noWrap/>
            <w:vAlign w:val="center"/>
            <w:hideMark/>
          </w:tcPr>
          <w:p w14:paraId="0DC999EA" w14:textId="77777777" w:rsidR="00597996" w:rsidRPr="00E920ED" w:rsidRDefault="00597996" w:rsidP="009A23AA">
            <w:pPr>
              <w:spacing w:before="60" w:after="60"/>
              <w:rPr>
                <w:rFonts w:eastAsia="Times New Roman" w:cs="Times New Roman"/>
                <w:color w:val="000000"/>
                <w:szCs w:val="22"/>
                <w:lang w:val="en-AU"/>
              </w:rPr>
            </w:pPr>
            <w:r w:rsidRPr="00E920ED">
              <w:rPr>
                <w:rFonts w:eastAsia="Times New Roman" w:cs="Times New Roman"/>
                <w:color w:val="000000"/>
                <w:szCs w:val="22"/>
                <w:lang w:val="en-AU"/>
              </w:rPr>
              <w:t xml:space="preserve">≥ 4 kg and &lt; 6 kg </w:t>
            </w:r>
          </w:p>
        </w:tc>
        <w:tc>
          <w:tcPr>
            <w:tcW w:w="1736" w:type="dxa"/>
            <w:shd w:val="clear" w:color="auto" w:fill="auto"/>
            <w:noWrap/>
            <w:vAlign w:val="center"/>
            <w:hideMark/>
          </w:tcPr>
          <w:p w14:paraId="0A226BB2"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248.1</w:t>
            </w:r>
          </w:p>
        </w:tc>
        <w:tc>
          <w:tcPr>
            <w:tcW w:w="1737" w:type="dxa"/>
            <w:shd w:val="clear" w:color="auto" w:fill="auto"/>
            <w:noWrap/>
            <w:vAlign w:val="center"/>
            <w:hideMark/>
          </w:tcPr>
          <w:p w14:paraId="658A3C4A"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53,314</w:t>
            </w:r>
          </w:p>
        </w:tc>
        <w:tc>
          <w:tcPr>
            <w:tcW w:w="1736" w:type="dxa"/>
            <w:shd w:val="clear" w:color="auto" w:fill="auto"/>
            <w:noWrap/>
            <w:vAlign w:val="center"/>
            <w:hideMark/>
          </w:tcPr>
          <w:p w14:paraId="0337DEAB"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355.4</w:t>
            </w:r>
          </w:p>
        </w:tc>
        <w:tc>
          <w:tcPr>
            <w:tcW w:w="1737" w:type="dxa"/>
            <w:shd w:val="clear" w:color="auto" w:fill="auto"/>
            <w:noWrap/>
            <w:vAlign w:val="center"/>
            <w:hideMark/>
          </w:tcPr>
          <w:p w14:paraId="1165FC4C"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76,024</w:t>
            </w:r>
          </w:p>
        </w:tc>
      </w:tr>
      <w:tr w:rsidR="00597996" w:rsidRPr="00E920ED" w14:paraId="2279D67A" w14:textId="77777777" w:rsidTr="00597996">
        <w:trPr>
          <w:trHeight w:val="400"/>
        </w:trPr>
        <w:tc>
          <w:tcPr>
            <w:tcW w:w="2547" w:type="dxa"/>
            <w:shd w:val="clear" w:color="auto" w:fill="auto"/>
            <w:noWrap/>
            <w:vAlign w:val="center"/>
            <w:hideMark/>
          </w:tcPr>
          <w:p w14:paraId="00397613" w14:textId="77777777" w:rsidR="00597996" w:rsidRPr="00E920ED" w:rsidRDefault="00597996" w:rsidP="009A23AA">
            <w:pPr>
              <w:spacing w:before="60" w:after="60"/>
              <w:rPr>
                <w:rFonts w:eastAsia="Times New Roman" w:cs="Times New Roman"/>
                <w:color w:val="000000"/>
                <w:szCs w:val="22"/>
                <w:lang w:val="en-AU"/>
              </w:rPr>
            </w:pPr>
            <w:r w:rsidRPr="00E920ED">
              <w:rPr>
                <w:rFonts w:eastAsia="Times New Roman" w:cs="Times New Roman"/>
                <w:color w:val="000000"/>
                <w:szCs w:val="22"/>
                <w:lang w:val="en-AU"/>
              </w:rPr>
              <w:t xml:space="preserve">≥ 6 kg and &lt; 12 kg </w:t>
            </w:r>
          </w:p>
        </w:tc>
        <w:tc>
          <w:tcPr>
            <w:tcW w:w="1736" w:type="dxa"/>
            <w:shd w:val="clear" w:color="auto" w:fill="auto"/>
            <w:noWrap/>
            <w:vAlign w:val="center"/>
            <w:hideMark/>
          </w:tcPr>
          <w:p w14:paraId="37736330"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250.8</w:t>
            </w:r>
          </w:p>
        </w:tc>
        <w:tc>
          <w:tcPr>
            <w:tcW w:w="1737" w:type="dxa"/>
            <w:shd w:val="clear" w:color="auto" w:fill="auto"/>
            <w:noWrap/>
            <w:vAlign w:val="center"/>
            <w:hideMark/>
          </w:tcPr>
          <w:p w14:paraId="60B0E953"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27,624</w:t>
            </w:r>
          </w:p>
        </w:tc>
        <w:tc>
          <w:tcPr>
            <w:tcW w:w="1736" w:type="dxa"/>
            <w:shd w:val="clear" w:color="auto" w:fill="auto"/>
            <w:noWrap/>
            <w:vAlign w:val="center"/>
            <w:hideMark/>
          </w:tcPr>
          <w:p w14:paraId="7DF408EA"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438.9</w:t>
            </w:r>
          </w:p>
        </w:tc>
        <w:tc>
          <w:tcPr>
            <w:tcW w:w="1737" w:type="dxa"/>
            <w:shd w:val="clear" w:color="auto" w:fill="auto"/>
            <w:noWrap/>
            <w:vAlign w:val="center"/>
            <w:hideMark/>
          </w:tcPr>
          <w:p w14:paraId="1606EB34"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45,272</w:t>
            </w:r>
          </w:p>
        </w:tc>
      </w:tr>
      <w:tr w:rsidR="00597996" w:rsidRPr="00E920ED" w14:paraId="3BF6F837" w14:textId="77777777" w:rsidTr="00597996">
        <w:trPr>
          <w:trHeight w:val="400"/>
        </w:trPr>
        <w:tc>
          <w:tcPr>
            <w:tcW w:w="2547" w:type="dxa"/>
            <w:shd w:val="clear" w:color="auto" w:fill="auto"/>
            <w:noWrap/>
            <w:vAlign w:val="bottom"/>
            <w:hideMark/>
          </w:tcPr>
          <w:p w14:paraId="3725BCB8" w14:textId="77777777" w:rsidR="00597996" w:rsidRPr="00E920ED" w:rsidRDefault="00597996" w:rsidP="009A23AA">
            <w:pPr>
              <w:spacing w:before="60" w:after="60"/>
              <w:rPr>
                <w:rFonts w:eastAsia="Times New Roman" w:cs="Times New Roman"/>
                <w:color w:val="000000"/>
                <w:szCs w:val="22"/>
                <w:lang w:val="en-AU"/>
              </w:rPr>
            </w:pPr>
          </w:p>
        </w:tc>
        <w:tc>
          <w:tcPr>
            <w:tcW w:w="1736" w:type="dxa"/>
            <w:shd w:val="clear" w:color="auto" w:fill="auto"/>
            <w:noWrap/>
            <w:vAlign w:val="bottom"/>
            <w:hideMark/>
          </w:tcPr>
          <w:p w14:paraId="3DC5B3BD"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1,006.3</w:t>
            </w:r>
          </w:p>
        </w:tc>
        <w:tc>
          <w:tcPr>
            <w:tcW w:w="1737" w:type="dxa"/>
            <w:shd w:val="clear" w:color="auto" w:fill="auto"/>
            <w:noWrap/>
            <w:vAlign w:val="bottom"/>
            <w:hideMark/>
          </w:tcPr>
          <w:p w14:paraId="648D2BC8"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238,375</w:t>
            </w:r>
          </w:p>
        </w:tc>
        <w:tc>
          <w:tcPr>
            <w:tcW w:w="1736" w:type="dxa"/>
            <w:shd w:val="clear" w:color="auto" w:fill="auto"/>
            <w:noWrap/>
            <w:vAlign w:val="bottom"/>
            <w:hideMark/>
          </w:tcPr>
          <w:p w14:paraId="16D5747F"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1,269.9</w:t>
            </w:r>
          </w:p>
        </w:tc>
        <w:tc>
          <w:tcPr>
            <w:tcW w:w="1737" w:type="dxa"/>
            <w:shd w:val="clear" w:color="auto" w:fill="auto"/>
            <w:noWrap/>
            <w:vAlign w:val="bottom"/>
            <w:hideMark/>
          </w:tcPr>
          <w:p w14:paraId="15E2E1A3" w14:textId="77777777" w:rsidR="00597996" w:rsidRPr="00E920ED" w:rsidRDefault="00597996" w:rsidP="0082202A">
            <w:pPr>
              <w:spacing w:before="60" w:after="60"/>
              <w:jc w:val="center"/>
              <w:rPr>
                <w:rFonts w:eastAsia="Times New Roman" w:cs="Times New Roman"/>
                <w:color w:val="000000"/>
                <w:szCs w:val="22"/>
                <w:lang w:val="en-AU"/>
              </w:rPr>
            </w:pPr>
            <w:r w:rsidRPr="00E920ED">
              <w:rPr>
                <w:rFonts w:eastAsia="Times New Roman" w:cs="Times New Roman"/>
                <w:color w:val="000000"/>
                <w:szCs w:val="22"/>
                <w:lang w:val="en-AU"/>
              </w:rPr>
              <w:t>257,551</w:t>
            </w:r>
          </w:p>
        </w:tc>
      </w:tr>
    </w:tbl>
    <w:p w14:paraId="0C9D3332" w14:textId="77777777" w:rsidR="00597996" w:rsidRDefault="00597996" w:rsidP="009A23AA">
      <w:pPr>
        <w:rPr>
          <w:szCs w:val="22"/>
          <w:highlight w:val="yellow"/>
        </w:rPr>
      </w:pPr>
    </w:p>
    <w:p w14:paraId="05C1B725" w14:textId="23948BCB" w:rsidR="00597996" w:rsidRDefault="00597996" w:rsidP="009A23AA">
      <w:pPr>
        <w:rPr>
          <w:szCs w:val="22"/>
        </w:rPr>
      </w:pPr>
      <w:r>
        <w:rPr>
          <w:szCs w:val="22"/>
        </w:rPr>
        <w:t>Unlike in the smaller AC categories</w:t>
      </w:r>
      <w:r w:rsidR="00575236">
        <w:rPr>
          <w:szCs w:val="22"/>
        </w:rPr>
        <w:t>,</w:t>
      </w:r>
      <w:r>
        <w:rPr>
          <w:szCs w:val="22"/>
        </w:rPr>
        <w:t xml:space="preserve"> Australian medium AC </w:t>
      </w:r>
      <w:r w:rsidRPr="00F4426D">
        <w:rPr>
          <w:szCs w:val="22"/>
        </w:rPr>
        <w:t>sale</w:t>
      </w:r>
      <w:r>
        <w:rPr>
          <w:szCs w:val="22"/>
        </w:rPr>
        <w:t xml:space="preserve">s includes </w:t>
      </w:r>
      <w:r w:rsidRPr="00F4426D">
        <w:rPr>
          <w:szCs w:val="22"/>
        </w:rPr>
        <w:t>local</w:t>
      </w:r>
      <w:r>
        <w:rPr>
          <w:szCs w:val="22"/>
        </w:rPr>
        <w:t>ly</w:t>
      </w:r>
      <w:r w:rsidRPr="00F4426D">
        <w:rPr>
          <w:szCs w:val="22"/>
        </w:rPr>
        <w:t xml:space="preserve"> manufactur</w:t>
      </w:r>
      <w:r>
        <w:rPr>
          <w:szCs w:val="22"/>
        </w:rPr>
        <w:t>ed</w:t>
      </w:r>
      <w:r w:rsidRPr="00F4426D">
        <w:rPr>
          <w:szCs w:val="22"/>
        </w:rPr>
        <w:t xml:space="preserve"> </w:t>
      </w:r>
      <w:r>
        <w:rPr>
          <w:szCs w:val="22"/>
        </w:rPr>
        <w:t>equipment</w:t>
      </w:r>
      <w:r w:rsidR="00E00AA3">
        <w:rPr>
          <w:szCs w:val="22"/>
        </w:rPr>
        <w:t>.</w:t>
      </w:r>
      <w:r>
        <w:rPr>
          <w:szCs w:val="22"/>
        </w:rPr>
        <w:t xml:space="preserve"> </w:t>
      </w:r>
      <w:r w:rsidR="00312A0A">
        <w:rPr>
          <w:szCs w:val="22"/>
        </w:rPr>
        <w:t>Leading Australian manufacturers include</w:t>
      </w:r>
      <w:r w:rsidRPr="00F4426D">
        <w:rPr>
          <w:szCs w:val="22"/>
        </w:rPr>
        <w:t xml:space="preserve"> </w:t>
      </w:r>
      <w:proofErr w:type="spellStart"/>
      <w:r w:rsidRPr="00F4426D">
        <w:rPr>
          <w:szCs w:val="22"/>
        </w:rPr>
        <w:t>Actron</w:t>
      </w:r>
      <w:proofErr w:type="spellEnd"/>
      <w:r w:rsidRPr="00F4426D">
        <w:rPr>
          <w:szCs w:val="22"/>
        </w:rPr>
        <w:t xml:space="preserve"> Air, </w:t>
      </w:r>
      <w:proofErr w:type="spellStart"/>
      <w:r w:rsidRPr="00F4426D">
        <w:rPr>
          <w:szCs w:val="22"/>
        </w:rPr>
        <w:t>Temperzone</w:t>
      </w:r>
      <w:proofErr w:type="spellEnd"/>
      <w:r w:rsidRPr="00F4426D">
        <w:rPr>
          <w:szCs w:val="22"/>
        </w:rPr>
        <w:t xml:space="preserve"> and </w:t>
      </w:r>
      <w:r>
        <w:rPr>
          <w:szCs w:val="22"/>
        </w:rPr>
        <w:t xml:space="preserve">the recently acquired </w:t>
      </w:r>
      <w:proofErr w:type="spellStart"/>
      <w:r w:rsidRPr="00F4426D">
        <w:rPr>
          <w:szCs w:val="22"/>
        </w:rPr>
        <w:t>Brivis</w:t>
      </w:r>
      <w:proofErr w:type="spellEnd"/>
      <w:r w:rsidRPr="00F4426D">
        <w:rPr>
          <w:szCs w:val="22"/>
        </w:rPr>
        <w:t xml:space="preserve"> Climate Systems and Specialized Engineering</w:t>
      </w:r>
      <w:r>
        <w:rPr>
          <w:szCs w:val="22"/>
        </w:rPr>
        <w:t xml:space="preserve">, now divisions of </w:t>
      </w:r>
      <w:r w:rsidRPr="005A7687">
        <w:rPr>
          <w:szCs w:val="22"/>
        </w:rPr>
        <w:t>Rinnai HVAC</w:t>
      </w:r>
      <w:r w:rsidRPr="00F4426D">
        <w:rPr>
          <w:szCs w:val="22"/>
        </w:rPr>
        <w:t>.</w:t>
      </w:r>
      <w:r>
        <w:rPr>
          <w:szCs w:val="22"/>
        </w:rPr>
        <w:t xml:space="preserve"> </w:t>
      </w:r>
    </w:p>
    <w:p w14:paraId="739BBFD5" w14:textId="698D0FAB" w:rsidR="00597996" w:rsidRDefault="00597996" w:rsidP="009A23AA">
      <w:pPr>
        <w:rPr>
          <w:szCs w:val="22"/>
        </w:rPr>
      </w:pPr>
      <w:r>
        <w:rPr>
          <w:szCs w:val="22"/>
        </w:rPr>
        <w:t xml:space="preserve">All three companies manufacture single split ducted systems, as well as roof top packaged systems and collectively </w:t>
      </w:r>
      <w:r w:rsidRPr="003F1DB8">
        <w:rPr>
          <w:szCs w:val="22"/>
        </w:rPr>
        <w:t>consume 198 tonnes of HFC-410A in 2018</w:t>
      </w:r>
      <w:r>
        <w:rPr>
          <w:szCs w:val="22"/>
        </w:rPr>
        <w:t xml:space="preserve">. Local manufacturing of </w:t>
      </w:r>
      <w:r w:rsidR="00085E0C">
        <w:rPr>
          <w:szCs w:val="22"/>
        </w:rPr>
        <w:t xml:space="preserve">commercial </w:t>
      </w:r>
      <w:r>
        <w:rPr>
          <w:szCs w:val="22"/>
        </w:rPr>
        <w:t xml:space="preserve">hot water heat pumps is estimated to consume 2 to 3 tonnes of HFC-407C. </w:t>
      </w:r>
    </w:p>
    <w:p w14:paraId="391B53D4" w14:textId="0FFE1BE9" w:rsidR="00597996" w:rsidRDefault="00597996" w:rsidP="009A23AA">
      <w:pPr>
        <w:rPr>
          <w:szCs w:val="22"/>
        </w:rPr>
      </w:pPr>
      <w:r>
        <w:rPr>
          <w:szCs w:val="22"/>
        </w:rPr>
        <w:t xml:space="preserve">Australian manufacturers will soon have other refrigerant options to consider in the Medium AC segment, as the plans of global </w:t>
      </w:r>
      <w:r w:rsidR="000D5486">
        <w:rPr>
          <w:szCs w:val="22"/>
        </w:rPr>
        <w:t xml:space="preserve">refrigerant </w:t>
      </w:r>
      <w:r>
        <w:rPr>
          <w:szCs w:val="22"/>
        </w:rPr>
        <w:t>manufacturers to adapt to the phase down of HFCs</w:t>
      </w:r>
      <w:r w:rsidR="00A43A32">
        <w:rPr>
          <w:szCs w:val="22"/>
        </w:rPr>
        <w:t xml:space="preserve"> under the Montreal Protocol</w:t>
      </w:r>
      <w:r>
        <w:rPr>
          <w:szCs w:val="22"/>
        </w:rPr>
        <w:t xml:space="preserve"> begin to deliver effective refrigerant alternatives for this segment.</w:t>
      </w:r>
    </w:p>
    <w:p w14:paraId="686BB2D2" w14:textId="3F5D046D" w:rsidR="00597996" w:rsidRDefault="00597996" w:rsidP="009A23AA">
      <w:pPr>
        <w:rPr>
          <w:szCs w:val="22"/>
        </w:rPr>
      </w:pPr>
      <w:r>
        <w:rPr>
          <w:szCs w:val="22"/>
        </w:rPr>
        <w:t xml:space="preserve">Carrier, for instance, has announced plans to introduce </w:t>
      </w:r>
      <w:r w:rsidR="00312A0A">
        <w:rPr>
          <w:szCs w:val="22"/>
        </w:rPr>
        <w:t xml:space="preserve">a </w:t>
      </w:r>
      <w:r w:rsidR="00C400C7">
        <w:rPr>
          <w:szCs w:val="22"/>
        </w:rPr>
        <w:t>HFO/HFC</w:t>
      </w:r>
      <w:r>
        <w:rPr>
          <w:szCs w:val="22"/>
        </w:rPr>
        <w:t xml:space="preserve"> blend into their European medium AC models from 2023. The ‘</w:t>
      </w:r>
      <w:r w:rsidRPr="00212746">
        <w:rPr>
          <w:szCs w:val="22"/>
        </w:rPr>
        <w:t>mildly flammable</w:t>
      </w:r>
      <w:r>
        <w:rPr>
          <w:szCs w:val="22"/>
        </w:rPr>
        <w:t>’</w:t>
      </w:r>
      <w:r w:rsidRPr="00212746">
        <w:rPr>
          <w:szCs w:val="22"/>
        </w:rPr>
        <w:t xml:space="preserve"> </w:t>
      </w:r>
      <w:r>
        <w:rPr>
          <w:szCs w:val="22"/>
        </w:rPr>
        <w:t>R454B</w:t>
      </w:r>
      <w:r w:rsidRPr="00212746">
        <w:rPr>
          <w:szCs w:val="22"/>
        </w:rPr>
        <w:t xml:space="preserve"> refrigerant blend of 68.9% </w:t>
      </w:r>
      <w:r>
        <w:rPr>
          <w:szCs w:val="22"/>
        </w:rPr>
        <w:t>HFC-</w:t>
      </w:r>
      <w:r w:rsidRPr="00212746">
        <w:rPr>
          <w:szCs w:val="22"/>
        </w:rPr>
        <w:t xml:space="preserve">32 and 31.1% </w:t>
      </w:r>
      <w:r>
        <w:rPr>
          <w:szCs w:val="22"/>
        </w:rPr>
        <w:t>HFO-</w:t>
      </w:r>
      <w:r w:rsidRPr="00212746">
        <w:rPr>
          <w:szCs w:val="22"/>
        </w:rPr>
        <w:t>1234yf</w:t>
      </w:r>
      <w:r>
        <w:rPr>
          <w:szCs w:val="22"/>
        </w:rPr>
        <w:t xml:space="preserve"> has a GWP of 466.</w:t>
      </w:r>
    </w:p>
    <w:p w14:paraId="38D158FC" w14:textId="639EF1C1" w:rsidR="00260C25" w:rsidRDefault="00597996" w:rsidP="009A23AA">
      <w:pPr>
        <w:rPr>
          <w:szCs w:val="22"/>
        </w:rPr>
      </w:pPr>
      <w:r>
        <w:rPr>
          <w:szCs w:val="22"/>
        </w:rPr>
        <w:t>A non-flammable alternative, albeit with a GWP of 733</w:t>
      </w:r>
      <w:r w:rsidR="00085E0C">
        <w:rPr>
          <w:szCs w:val="22"/>
        </w:rPr>
        <w:t>,</w:t>
      </w:r>
      <w:r>
        <w:rPr>
          <w:szCs w:val="22"/>
        </w:rPr>
        <w:t xml:space="preserve"> slightly higher than HFC-32 (GWP of 675), has also shown promising results in the larger charge sizes required in VRV equipment. Developed by Honeywell and trialled during 2018 by Toshiba Honeywell in Japan, </w:t>
      </w:r>
      <w:r w:rsidRPr="00212746">
        <w:rPr>
          <w:szCs w:val="22"/>
        </w:rPr>
        <w:t xml:space="preserve">R466A </w:t>
      </w:r>
      <w:r>
        <w:rPr>
          <w:szCs w:val="22"/>
        </w:rPr>
        <w:t xml:space="preserve">is a blend of </w:t>
      </w:r>
      <w:r w:rsidRPr="00212746">
        <w:rPr>
          <w:szCs w:val="22"/>
        </w:rPr>
        <w:t xml:space="preserve">49% </w:t>
      </w:r>
      <w:r>
        <w:rPr>
          <w:szCs w:val="22"/>
        </w:rPr>
        <w:t>HFC-</w:t>
      </w:r>
      <w:r w:rsidRPr="00212746">
        <w:rPr>
          <w:szCs w:val="22"/>
        </w:rPr>
        <w:t xml:space="preserve">32 and 11.5% </w:t>
      </w:r>
      <w:r>
        <w:rPr>
          <w:szCs w:val="22"/>
        </w:rPr>
        <w:t>HFC-</w:t>
      </w:r>
      <w:r w:rsidRPr="00212746">
        <w:rPr>
          <w:szCs w:val="22"/>
        </w:rPr>
        <w:t>125 with CF3I, a flammability suppressant</w:t>
      </w:r>
      <w:r>
        <w:rPr>
          <w:szCs w:val="22"/>
        </w:rPr>
        <w:t xml:space="preserve">. </w:t>
      </w:r>
      <w:r w:rsidRPr="00212746">
        <w:rPr>
          <w:szCs w:val="22"/>
        </w:rPr>
        <w:t xml:space="preserve">According to Honeywell the test results show that the efficiency, cooling and heating capacity of VRF systems using R466A is </w:t>
      </w:r>
      <w:r>
        <w:rPr>
          <w:szCs w:val="22"/>
        </w:rPr>
        <w:t>‘</w:t>
      </w:r>
      <w:r w:rsidRPr="00212746">
        <w:rPr>
          <w:szCs w:val="22"/>
        </w:rPr>
        <w:t>very similar</w:t>
      </w:r>
      <w:r>
        <w:rPr>
          <w:szCs w:val="22"/>
        </w:rPr>
        <w:t>’</w:t>
      </w:r>
      <w:r w:rsidRPr="00212746">
        <w:rPr>
          <w:szCs w:val="22"/>
        </w:rPr>
        <w:t xml:space="preserve"> to those using </w:t>
      </w:r>
      <w:r>
        <w:rPr>
          <w:szCs w:val="22"/>
        </w:rPr>
        <w:t>HFC-</w:t>
      </w:r>
      <w:r w:rsidRPr="00212746">
        <w:rPr>
          <w:szCs w:val="22"/>
        </w:rPr>
        <w:t>410A.</w:t>
      </w:r>
    </w:p>
    <w:p w14:paraId="06B81515" w14:textId="2237269F" w:rsidR="00597996" w:rsidRDefault="00597996" w:rsidP="009A23AA">
      <w:pPr>
        <w:rPr>
          <w:szCs w:val="22"/>
        </w:rPr>
      </w:pPr>
      <w:r w:rsidRPr="00212746">
        <w:rPr>
          <w:szCs w:val="22"/>
        </w:rPr>
        <w:t xml:space="preserve"> </w:t>
      </w:r>
    </w:p>
    <w:p w14:paraId="24A49D60" w14:textId="297B3114" w:rsidR="00597996" w:rsidRPr="00F37BCB" w:rsidRDefault="00597996" w:rsidP="009A23AA">
      <w:pPr>
        <w:pStyle w:val="Heading3"/>
        <w:jc w:val="both"/>
      </w:pPr>
      <w:bookmarkStart w:id="24" w:name="_Toc19601290"/>
      <w:r w:rsidRPr="00F37BCB">
        <w:t xml:space="preserve">Large </w:t>
      </w:r>
      <w:r w:rsidR="008A0D8F">
        <w:t xml:space="preserve">air conditioning - </w:t>
      </w:r>
      <w:r w:rsidRPr="00F37BCB">
        <w:t>Chillers</w:t>
      </w:r>
      <w:bookmarkEnd w:id="24"/>
    </w:p>
    <w:p w14:paraId="5A3643C4" w14:textId="6C813F11" w:rsidR="00597996" w:rsidRDefault="00597996" w:rsidP="009A23AA">
      <w:pPr>
        <w:rPr>
          <w:szCs w:val="22"/>
        </w:rPr>
      </w:pPr>
      <w:r w:rsidRPr="002835A0">
        <w:rPr>
          <w:szCs w:val="22"/>
        </w:rPr>
        <w:t xml:space="preserve">Chillers for space cooling </w:t>
      </w:r>
      <w:r>
        <w:rPr>
          <w:szCs w:val="22"/>
        </w:rPr>
        <w:t>of</w:t>
      </w:r>
      <w:r w:rsidRPr="002835A0">
        <w:rPr>
          <w:szCs w:val="22"/>
        </w:rPr>
        <w:t xml:space="preserve"> large commercial buildings</w:t>
      </w:r>
      <w:r>
        <w:rPr>
          <w:szCs w:val="22"/>
        </w:rPr>
        <w:t xml:space="preserve"> </w:t>
      </w:r>
      <w:r w:rsidR="00A43A32">
        <w:rPr>
          <w:szCs w:val="22"/>
        </w:rPr>
        <w:t xml:space="preserve">are </w:t>
      </w:r>
      <w:r>
        <w:rPr>
          <w:szCs w:val="22"/>
        </w:rPr>
        <w:t xml:space="preserve">the main application for Large AC. This equipment segment starts </w:t>
      </w:r>
      <w:r>
        <w:t xml:space="preserve">with equipment with </w:t>
      </w:r>
      <w:r w:rsidRPr="008354C6">
        <w:t xml:space="preserve">a charge size </w:t>
      </w:r>
      <w:r>
        <w:t xml:space="preserve">of just larger than </w:t>
      </w:r>
      <w:r w:rsidRPr="008354C6">
        <w:rPr>
          <w:szCs w:val="22"/>
        </w:rPr>
        <w:t>12 kg</w:t>
      </w:r>
      <w:r>
        <w:rPr>
          <w:szCs w:val="22"/>
        </w:rPr>
        <w:t xml:space="preserve"> and includes units with charge sizes as large as several tonnes of refrigerant. </w:t>
      </w:r>
    </w:p>
    <w:p w14:paraId="1F4BA367" w14:textId="6FDE1627" w:rsidR="00597996" w:rsidRDefault="00597996" w:rsidP="009A23AA">
      <w:pPr>
        <w:rPr>
          <w:szCs w:val="22"/>
        </w:rPr>
      </w:pPr>
      <w:r w:rsidRPr="00D129A0">
        <w:rPr>
          <w:szCs w:val="22"/>
        </w:rPr>
        <w:t xml:space="preserve">There </w:t>
      </w:r>
      <w:r w:rsidR="00A44EBA" w:rsidRPr="00D129A0">
        <w:rPr>
          <w:szCs w:val="22"/>
        </w:rPr>
        <w:t xml:space="preserve">are </w:t>
      </w:r>
      <w:r w:rsidRPr="00D129A0">
        <w:rPr>
          <w:szCs w:val="22"/>
        </w:rPr>
        <w:t>estimated to be 2</w:t>
      </w:r>
      <w:r w:rsidR="003C54C1" w:rsidRPr="00D129A0">
        <w:rPr>
          <w:szCs w:val="22"/>
        </w:rPr>
        <w:t>5</w:t>
      </w:r>
      <w:r w:rsidRPr="00D129A0">
        <w:rPr>
          <w:szCs w:val="22"/>
        </w:rPr>
        <w:t>,</w:t>
      </w:r>
      <w:r w:rsidR="003C54C1" w:rsidRPr="00D129A0">
        <w:rPr>
          <w:szCs w:val="22"/>
        </w:rPr>
        <w:t>100</w:t>
      </w:r>
      <w:r w:rsidRPr="00D129A0">
        <w:rPr>
          <w:szCs w:val="22"/>
        </w:rPr>
        <w:t xml:space="preserve"> chillers operating in Australia in 2018, containing in total approximately 4,200 tonnes of refrigerant.</w:t>
      </w:r>
      <w:r w:rsidR="00D129A0">
        <w:rPr>
          <w:szCs w:val="22"/>
        </w:rPr>
        <w:t xml:space="preserve"> </w:t>
      </w:r>
      <w:r w:rsidRPr="00D1327E">
        <w:rPr>
          <w:szCs w:val="22"/>
        </w:rPr>
        <w:t>New chillers sales are expected grow at around 1% per annum</w:t>
      </w:r>
      <w:r w:rsidR="00085E0C">
        <w:rPr>
          <w:szCs w:val="22"/>
        </w:rPr>
        <w:t xml:space="preserve">, </w:t>
      </w:r>
      <w:r w:rsidRPr="00D1327E">
        <w:rPr>
          <w:szCs w:val="22"/>
        </w:rPr>
        <w:t>in line with construction activity in large commercial buildings.</w:t>
      </w:r>
    </w:p>
    <w:p w14:paraId="33C86AFA" w14:textId="7181E401" w:rsidR="00597996" w:rsidRDefault="00597996" w:rsidP="009A23AA">
      <w:pPr>
        <w:rPr>
          <w:szCs w:val="22"/>
          <w:lang w:val="en-AU"/>
        </w:rPr>
      </w:pPr>
      <w:r>
        <w:rPr>
          <w:szCs w:val="22"/>
        </w:rPr>
        <w:t xml:space="preserve">Generally, chillers </w:t>
      </w:r>
      <w:r>
        <w:rPr>
          <w:szCs w:val="22"/>
          <w:lang w:val="en-AU"/>
        </w:rPr>
        <w:t xml:space="preserve">require larger refrigerant charges and the majority are charged with HFC-134a. </w:t>
      </w:r>
      <w:r w:rsidRPr="00D573E8">
        <w:rPr>
          <w:szCs w:val="22"/>
          <w:lang w:val="en-AU"/>
        </w:rPr>
        <w:t>PCE imports f</w:t>
      </w:r>
      <w:r w:rsidR="00312A0A">
        <w:rPr>
          <w:szCs w:val="22"/>
          <w:lang w:val="en-AU"/>
        </w:rPr>
        <w:t>rom</w:t>
      </w:r>
      <w:r w:rsidRPr="00D573E8">
        <w:rPr>
          <w:szCs w:val="22"/>
          <w:lang w:val="en-AU"/>
        </w:rPr>
        <w:t xml:space="preserve"> </w:t>
      </w:r>
      <w:r w:rsidR="000923C6">
        <w:rPr>
          <w:szCs w:val="22"/>
          <w:lang w:val="en-AU"/>
        </w:rPr>
        <w:t>2014</w:t>
      </w:r>
      <w:r w:rsidR="00312A0A">
        <w:rPr>
          <w:szCs w:val="22"/>
          <w:lang w:val="en-AU"/>
        </w:rPr>
        <w:t xml:space="preserve"> to </w:t>
      </w:r>
      <w:r w:rsidRPr="00D573E8">
        <w:rPr>
          <w:szCs w:val="22"/>
          <w:lang w:val="en-AU"/>
        </w:rPr>
        <w:t>201</w:t>
      </w:r>
      <w:r>
        <w:rPr>
          <w:szCs w:val="22"/>
          <w:lang w:val="en-AU"/>
        </w:rPr>
        <w:t>8</w:t>
      </w:r>
      <w:r w:rsidRPr="00D573E8">
        <w:rPr>
          <w:szCs w:val="22"/>
          <w:lang w:val="en-AU"/>
        </w:rPr>
        <w:t xml:space="preserve"> reported under the </w:t>
      </w:r>
      <w:r w:rsidRPr="00D573E8">
        <w:rPr>
          <w:i/>
          <w:szCs w:val="22"/>
          <w:lang w:val="en-AU"/>
        </w:rPr>
        <w:t>‘</w:t>
      </w:r>
      <w:r w:rsidRPr="00355401">
        <w:rPr>
          <w:i/>
          <w:szCs w:val="22"/>
          <w:lang w:val="en-AU"/>
        </w:rPr>
        <w:t>Commercial use air-conditioning</w:t>
      </w:r>
      <w:r w:rsidRPr="00D573E8">
        <w:rPr>
          <w:i/>
          <w:szCs w:val="22"/>
          <w:lang w:val="en-AU"/>
        </w:rPr>
        <w:t>’</w:t>
      </w:r>
      <w:r w:rsidRPr="00D573E8">
        <w:rPr>
          <w:szCs w:val="22"/>
          <w:lang w:val="en-AU"/>
        </w:rPr>
        <w:t xml:space="preserve"> category in the </w:t>
      </w:r>
      <w:proofErr w:type="spellStart"/>
      <w:r>
        <w:rPr>
          <w:szCs w:val="22"/>
          <w:lang w:val="en-AU"/>
        </w:rPr>
        <w:t>DoEE</w:t>
      </w:r>
      <w:proofErr w:type="spellEnd"/>
      <w:r>
        <w:rPr>
          <w:szCs w:val="22"/>
          <w:lang w:val="en-AU"/>
        </w:rPr>
        <w:t xml:space="preserve"> pre-</w:t>
      </w:r>
      <w:r w:rsidR="00FA4EEB">
        <w:rPr>
          <w:szCs w:val="22"/>
          <w:lang w:val="en-AU"/>
        </w:rPr>
        <w:t> </w:t>
      </w:r>
      <w:r w:rsidR="00085E0C">
        <w:rPr>
          <w:szCs w:val="22"/>
          <w:lang w:val="en-AU"/>
        </w:rPr>
        <w:t>c</w:t>
      </w:r>
      <w:r>
        <w:rPr>
          <w:szCs w:val="22"/>
          <w:lang w:val="en-AU"/>
        </w:rPr>
        <w:t xml:space="preserve">harged equipment </w:t>
      </w:r>
      <w:r w:rsidRPr="00D573E8">
        <w:rPr>
          <w:szCs w:val="22"/>
          <w:lang w:val="en-AU"/>
        </w:rPr>
        <w:t>import data</w:t>
      </w:r>
      <w:r>
        <w:rPr>
          <w:szCs w:val="22"/>
          <w:lang w:val="en-AU"/>
        </w:rPr>
        <w:t xml:space="preserve"> were analysed for HFC-134a equipment with a charge greater than 20 kg. Over the f</w:t>
      </w:r>
      <w:r w:rsidR="000923C6">
        <w:rPr>
          <w:szCs w:val="22"/>
          <w:lang w:val="en-AU"/>
        </w:rPr>
        <w:t>ive</w:t>
      </w:r>
      <w:r>
        <w:rPr>
          <w:szCs w:val="22"/>
          <w:lang w:val="en-AU"/>
        </w:rPr>
        <w:t xml:space="preserve">-year period </w:t>
      </w:r>
      <w:r w:rsidR="000923C6">
        <w:rPr>
          <w:szCs w:val="22"/>
          <w:lang w:val="en-AU"/>
        </w:rPr>
        <w:t>2,117</w:t>
      </w:r>
      <w:r>
        <w:rPr>
          <w:szCs w:val="22"/>
          <w:lang w:val="en-AU"/>
        </w:rPr>
        <w:t xml:space="preserve"> units were imported with an average charge of 1</w:t>
      </w:r>
      <w:r w:rsidR="00954B3D">
        <w:rPr>
          <w:szCs w:val="22"/>
          <w:lang w:val="en-AU"/>
        </w:rPr>
        <w:t>90</w:t>
      </w:r>
      <w:r>
        <w:rPr>
          <w:szCs w:val="22"/>
          <w:lang w:val="en-AU"/>
        </w:rPr>
        <w:t xml:space="preserve"> kg</w:t>
      </w:r>
      <w:r w:rsidR="000923C6">
        <w:rPr>
          <w:szCs w:val="22"/>
          <w:lang w:val="en-AU"/>
        </w:rPr>
        <w:t xml:space="preserve">. </w:t>
      </w:r>
    </w:p>
    <w:p w14:paraId="73CB5A0C" w14:textId="0E426443" w:rsidR="005202BA" w:rsidRDefault="00575236" w:rsidP="009A23AA">
      <w:pPr>
        <w:rPr>
          <w:szCs w:val="22"/>
          <w:lang w:val="en-AU"/>
        </w:rPr>
      </w:pPr>
      <w:r w:rsidRPr="001C1C18">
        <w:t>Industry sources report that large commercial equipment is increasingly being imported with a nitrogen charge or a small holding charge of refrigerant.</w:t>
      </w:r>
      <w:r w:rsidR="00085E0C">
        <w:t xml:space="preserve"> </w:t>
      </w:r>
      <w:r>
        <w:rPr>
          <w:szCs w:val="22"/>
          <w:lang w:val="en-AU"/>
        </w:rPr>
        <w:t>This</w:t>
      </w:r>
      <w:r w:rsidR="005202BA">
        <w:rPr>
          <w:szCs w:val="22"/>
          <w:lang w:val="en-AU"/>
        </w:rPr>
        <w:t xml:space="preserve"> suggests there </w:t>
      </w:r>
      <w:r w:rsidR="00312A0A">
        <w:rPr>
          <w:szCs w:val="22"/>
          <w:lang w:val="en-AU"/>
        </w:rPr>
        <w:t>could</w:t>
      </w:r>
      <w:r w:rsidR="005202BA">
        <w:rPr>
          <w:szCs w:val="22"/>
          <w:lang w:val="en-AU"/>
        </w:rPr>
        <w:t xml:space="preserve"> be </w:t>
      </w:r>
      <w:r>
        <w:rPr>
          <w:szCs w:val="22"/>
          <w:lang w:val="en-AU"/>
        </w:rPr>
        <w:t xml:space="preserve">more </w:t>
      </w:r>
      <w:r w:rsidR="005202BA">
        <w:rPr>
          <w:szCs w:val="22"/>
          <w:lang w:val="en-AU"/>
        </w:rPr>
        <w:t>local charging</w:t>
      </w:r>
      <w:r>
        <w:rPr>
          <w:szCs w:val="22"/>
          <w:lang w:val="en-AU"/>
        </w:rPr>
        <w:t xml:space="preserve"> of chillers imported without a HFC charge in place</w:t>
      </w:r>
      <w:r w:rsidR="005202BA">
        <w:rPr>
          <w:szCs w:val="22"/>
          <w:lang w:val="en-AU"/>
        </w:rPr>
        <w:t xml:space="preserve"> </w:t>
      </w:r>
      <w:r w:rsidR="00312A0A">
        <w:rPr>
          <w:szCs w:val="22"/>
          <w:lang w:val="en-AU"/>
        </w:rPr>
        <w:t>in recent years</w:t>
      </w:r>
      <w:r>
        <w:rPr>
          <w:szCs w:val="22"/>
          <w:lang w:val="en-AU"/>
        </w:rPr>
        <w:t xml:space="preserve">. If it is assumed that the number of chillers imported was steady, local charging would have </w:t>
      </w:r>
      <w:r w:rsidR="00312A0A">
        <w:rPr>
          <w:szCs w:val="22"/>
          <w:lang w:val="en-AU"/>
        </w:rPr>
        <w:t>requir</w:t>
      </w:r>
      <w:r>
        <w:rPr>
          <w:szCs w:val="22"/>
          <w:lang w:val="en-AU"/>
        </w:rPr>
        <w:t>ed</w:t>
      </w:r>
      <w:r w:rsidR="00312A0A">
        <w:rPr>
          <w:szCs w:val="22"/>
          <w:lang w:val="en-AU"/>
        </w:rPr>
        <w:t xml:space="preserve"> </w:t>
      </w:r>
      <w:r w:rsidR="005202BA">
        <w:rPr>
          <w:szCs w:val="22"/>
          <w:lang w:val="en-AU"/>
        </w:rPr>
        <w:t xml:space="preserve">more than 20 tonnes </w:t>
      </w:r>
      <w:r w:rsidR="00312A0A">
        <w:rPr>
          <w:szCs w:val="22"/>
          <w:lang w:val="en-AU"/>
        </w:rPr>
        <w:t>of HFCs</w:t>
      </w:r>
      <w:r w:rsidR="005202BA">
        <w:rPr>
          <w:szCs w:val="22"/>
          <w:lang w:val="en-AU"/>
        </w:rPr>
        <w:t xml:space="preserve"> in these large devices</w:t>
      </w:r>
      <w:r>
        <w:rPr>
          <w:szCs w:val="22"/>
          <w:lang w:val="en-AU"/>
        </w:rPr>
        <w:t xml:space="preserve"> in each of 20</w:t>
      </w:r>
      <w:r w:rsidR="00362A83">
        <w:rPr>
          <w:szCs w:val="22"/>
          <w:lang w:val="en-AU"/>
        </w:rPr>
        <w:t>1</w:t>
      </w:r>
      <w:r>
        <w:rPr>
          <w:szCs w:val="22"/>
          <w:lang w:val="en-AU"/>
        </w:rPr>
        <w:t>7 and 2018</w:t>
      </w:r>
      <w:r w:rsidR="005202BA">
        <w:rPr>
          <w:szCs w:val="22"/>
          <w:lang w:val="en-AU"/>
        </w:rPr>
        <w:t>.</w:t>
      </w:r>
    </w:p>
    <w:p w14:paraId="2A1281BF" w14:textId="17284E7A" w:rsidR="00597996" w:rsidRDefault="00597996" w:rsidP="009A23AA">
      <w:pPr>
        <w:rPr>
          <w:szCs w:val="22"/>
        </w:rPr>
      </w:pPr>
      <w:r w:rsidRPr="00D129A0">
        <w:rPr>
          <w:i/>
          <w:iCs/>
          <w:szCs w:val="22"/>
        </w:rPr>
        <w:t xml:space="preserve">Table </w:t>
      </w:r>
      <w:r w:rsidR="00D129A0" w:rsidRPr="00D129A0">
        <w:rPr>
          <w:i/>
          <w:iCs/>
          <w:szCs w:val="22"/>
        </w:rPr>
        <w:t>5</w:t>
      </w:r>
      <w:r w:rsidRPr="00D129A0">
        <w:rPr>
          <w:szCs w:val="22"/>
        </w:rPr>
        <w:t xml:space="preserve"> below, reporting</w:t>
      </w:r>
      <w:r>
        <w:rPr>
          <w:szCs w:val="22"/>
        </w:rPr>
        <w:t xml:space="preserve"> refrigerant types in pre-charged equipment in two charge size bins, illustrates the distribution of refrigerant preferences by equipment size.</w:t>
      </w:r>
    </w:p>
    <w:p w14:paraId="2308534E" w14:textId="21E3175F" w:rsidR="00597996" w:rsidRDefault="00597996" w:rsidP="009A23AA">
      <w:pPr>
        <w:rPr>
          <w:szCs w:val="22"/>
        </w:rPr>
      </w:pPr>
      <w:r>
        <w:rPr>
          <w:szCs w:val="22"/>
        </w:rPr>
        <w:t xml:space="preserve">Smaller chillers that use </w:t>
      </w:r>
      <w:r w:rsidR="0045124B">
        <w:rPr>
          <w:szCs w:val="22"/>
        </w:rPr>
        <w:t>s</w:t>
      </w:r>
      <w:r>
        <w:rPr>
          <w:szCs w:val="22"/>
        </w:rPr>
        <w:t>croll compressor technology typically use HFC-</w:t>
      </w:r>
      <w:r w:rsidRPr="002835A0">
        <w:rPr>
          <w:szCs w:val="22"/>
        </w:rPr>
        <w:t xml:space="preserve"> 410A</w:t>
      </w:r>
      <w:r>
        <w:rPr>
          <w:szCs w:val="22"/>
        </w:rPr>
        <w:t xml:space="preserve">, as well as HFC-407C. Chillers that use </w:t>
      </w:r>
      <w:r w:rsidR="0045124B">
        <w:rPr>
          <w:szCs w:val="22"/>
        </w:rPr>
        <w:t>s</w:t>
      </w:r>
      <w:r w:rsidRPr="002835A0">
        <w:rPr>
          <w:szCs w:val="22"/>
        </w:rPr>
        <w:t xml:space="preserve">crew </w:t>
      </w:r>
      <w:r>
        <w:rPr>
          <w:szCs w:val="22"/>
        </w:rPr>
        <w:t xml:space="preserve">and </w:t>
      </w:r>
      <w:r w:rsidR="0045124B">
        <w:rPr>
          <w:szCs w:val="22"/>
        </w:rPr>
        <w:t>c</w:t>
      </w:r>
      <w:r w:rsidRPr="002835A0">
        <w:rPr>
          <w:szCs w:val="22"/>
        </w:rPr>
        <w:t xml:space="preserve">entrifugal </w:t>
      </w:r>
      <w:r>
        <w:rPr>
          <w:szCs w:val="22"/>
        </w:rPr>
        <w:t>compressor technology will more typically use HFC-134a and can have very large charges up to several tonnes</w:t>
      </w:r>
      <w:r w:rsidRPr="002835A0">
        <w:rPr>
          <w:szCs w:val="22"/>
        </w:rPr>
        <w:t>. </w:t>
      </w:r>
    </w:p>
    <w:p w14:paraId="51E202D3" w14:textId="77777777" w:rsidR="00597996" w:rsidRDefault="00597996" w:rsidP="009A23AA">
      <w:pPr>
        <w:rPr>
          <w:szCs w:val="22"/>
        </w:rPr>
      </w:pPr>
    </w:p>
    <w:p w14:paraId="66933AA8" w14:textId="76C785E6" w:rsidR="00597996" w:rsidRPr="00D47CC7" w:rsidRDefault="006126F6" w:rsidP="009A23AA">
      <w:pPr>
        <w:pStyle w:val="Caption"/>
      </w:pPr>
      <w:bookmarkStart w:id="25" w:name="_Toc19601357"/>
      <w:r>
        <w:t xml:space="preserve">Table </w:t>
      </w:r>
      <w:r w:rsidR="00D66920">
        <w:rPr>
          <w:noProof/>
        </w:rPr>
        <w:fldChar w:fldCharType="begin"/>
      </w:r>
      <w:r w:rsidR="00D66920">
        <w:rPr>
          <w:noProof/>
        </w:rPr>
        <w:instrText xml:space="preserve"> SEQ Table \* ARABIC </w:instrText>
      </w:r>
      <w:r w:rsidR="00D66920">
        <w:rPr>
          <w:noProof/>
        </w:rPr>
        <w:fldChar w:fldCharType="separate"/>
      </w:r>
      <w:r w:rsidR="001D0DA3">
        <w:rPr>
          <w:noProof/>
        </w:rPr>
        <w:t>5</w:t>
      </w:r>
      <w:r w:rsidR="00D66920">
        <w:rPr>
          <w:noProof/>
        </w:rPr>
        <w:fldChar w:fldCharType="end"/>
      </w:r>
      <w:r>
        <w:t>:</w:t>
      </w:r>
      <w:r w:rsidR="00597996" w:rsidRPr="00D47CC7">
        <w:t xml:space="preserve"> Pre-charged equipment </w:t>
      </w:r>
      <w:r w:rsidR="00597996">
        <w:t xml:space="preserve">imports </w:t>
      </w:r>
      <w:r w:rsidR="00597996" w:rsidRPr="00D47CC7">
        <w:t xml:space="preserve">reported </w:t>
      </w:r>
      <w:r w:rsidR="00597996">
        <w:t xml:space="preserve">in in </w:t>
      </w:r>
      <w:r w:rsidR="00597996" w:rsidRPr="00D47CC7">
        <w:t>201</w:t>
      </w:r>
      <w:r w:rsidR="00597996">
        <w:t>7 and 2018 (</w:t>
      </w:r>
      <w:r w:rsidR="00597996" w:rsidRPr="00D47CC7">
        <w:t xml:space="preserve">charge greater than </w:t>
      </w:r>
      <w:r w:rsidR="00597996">
        <w:t>12 kg).</w:t>
      </w:r>
      <w:bookmarkEnd w:id="25"/>
    </w:p>
    <w:tbl>
      <w:tblPr>
        <w:tblW w:w="9493" w:type="dxa"/>
        <w:tblLayout w:type="fixed"/>
        <w:tblLook w:val="04A0" w:firstRow="1" w:lastRow="0" w:firstColumn="1" w:lastColumn="0" w:noHBand="0" w:noVBand="1"/>
      </w:tblPr>
      <w:tblGrid>
        <w:gridCol w:w="3060"/>
        <w:gridCol w:w="1608"/>
        <w:gridCol w:w="1608"/>
        <w:gridCol w:w="1608"/>
        <w:gridCol w:w="1609"/>
      </w:tblGrid>
      <w:tr w:rsidR="00597996" w:rsidRPr="008354C6" w14:paraId="0FE4B875" w14:textId="77777777" w:rsidTr="00597996">
        <w:trPr>
          <w:trHeight w:val="500"/>
        </w:trPr>
        <w:tc>
          <w:tcPr>
            <w:tcW w:w="3060" w:type="dxa"/>
            <w:vMerge w:val="restart"/>
            <w:tcBorders>
              <w:top w:val="single" w:sz="4" w:space="0" w:color="auto"/>
              <w:left w:val="single" w:sz="4" w:space="0" w:color="auto"/>
              <w:right w:val="single" w:sz="4" w:space="0" w:color="auto"/>
            </w:tcBorders>
            <w:shd w:val="clear" w:color="auto" w:fill="B6DDE8" w:themeFill="accent5" w:themeFillTint="66"/>
            <w:noWrap/>
            <w:vAlign w:val="bottom"/>
            <w:hideMark/>
          </w:tcPr>
          <w:p w14:paraId="393E2F59" w14:textId="77777777" w:rsidR="00597996" w:rsidRPr="008354C6" w:rsidRDefault="00597996" w:rsidP="009A23AA">
            <w:pPr>
              <w:spacing w:before="60" w:after="60"/>
              <w:rPr>
                <w:rFonts w:eastAsia="Times New Roman" w:cs="Times New Roman"/>
                <w:color w:val="000000"/>
                <w:szCs w:val="22"/>
                <w:lang w:val="en-AU"/>
              </w:rPr>
            </w:pPr>
            <w:r w:rsidRPr="008354C6">
              <w:rPr>
                <w:rFonts w:eastAsia="Times New Roman" w:cs="Times New Roman"/>
                <w:color w:val="000000"/>
                <w:szCs w:val="22"/>
                <w:lang w:val="en-AU"/>
              </w:rPr>
              <w:t> </w:t>
            </w:r>
          </w:p>
          <w:p w14:paraId="21AB4DE3" w14:textId="77777777" w:rsidR="00597996" w:rsidRPr="008354C6" w:rsidRDefault="00597996" w:rsidP="009A23AA">
            <w:pPr>
              <w:spacing w:before="60" w:after="60"/>
              <w:rPr>
                <w:rFonts w:eastAsia="Times New Roman" w:cs="Times New Roman"/>
                <w:color w:val="000000"/>
                <w:szCs w:val="22"/>
                <w:lang w:val="en-AU"/>
              </w:rPr>
            </w:pPr>
            <w:r w:rsidRPr="008354C6">
              <w:rPr>
                <w:rFonts w:eastAsia="Times New Roman" w:cs="Times New Roman"/>
                <w:color w:val="000000"/>
                <w:szCs w:val="22"/>
                <w:lang w:val="en-AU"/>
              </w:rPr>
              <w:t> </w:t>
            </w:r>
          </w:p>
        </w:tc>
        <w:tc>
          <w:tcPr>
            <w:tcW w:w="3216" w:type="dxa"/>
            <w:gridSpan w:val="2"/>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3D7CE2A"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2017</w:t>
            </w:r>
          </w:p>
        </w:tc>
        <w:tc>
          <w:tcPr>
            <w:tcW w:w="3217" w:type="dxa"/>
            <w:gridSpan w:val="2"/>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90CECC9"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2018</w:t>
            </w:r>
          </w:p>
        </w:tc>
      </w:tr>
      <w:tr w:rsidR="00597996" w:rsidRPr="008354C6" w14:paraId="664B7924" w14:textId="77777777" w:rsidTr="00597996">
        <w:trPr>
          <w:trHeight w:val="680"/>
        </w:trPr>
        <w:tc>
          <w:tcPr>
            <w:tcW w:w="3060" w:type="dxa"/>
            <w:vMerge/>
            <w:tcBorders>
              <w:left w:val="single" w:sz="4" w:space="0" w:color="auto"/>
              <w:bottom w:val="single" w:sz="4" w:space="0" w:color="auto"/>
              <w:right w:val="single" w:sz="4" w:space="0" w:color="auto"/>
            </w:tcBorders>
            <w:shd w:val="clear" w:color="auto" w:fill="B6DDE8" w:themeFill="accent5" w:themeFillTint="66"/>
            <w:noWrap/>
            <w:vAlign w:val="bottom"/>
            <w:hideMark/>
          </w:tcPr>
          <w:p w14:paraId="54852763" w14:textId="77777777" w:rsidR="00597996" w:rsidRPr="008354C6" w:rsidRDefault="00597996" w:rsidP="009A23AA">
            <w:pPr>
              <w:spacing w:before="60" w:after="60"/>
              <w:rPr>
                <w:rFonts w:eastAsia="Times New Roman" w:cs="Times New Roman"/>
                <w:color w:val="000000"/>
                <w:szCs w:val="22"/>
                <w:lang w:val="en-AU"/>
              </w:rPr>
            </w:pPr>
          </w:p>
        </w:tc>
        <w:tc>
          <w:tcPr>
            <w:tcW w:w="1608" w:type="dxa"/>
            <w:tcBorders>
              <w:top w:val="nil"/>
              <w:left w:val="nil"/>
              <w:bottom w:val="single" w:sz="4" w:space="0" w:color="auto"/>
              <w:right w:val="single" w:sz="4" w:space="0" w:color="auto"/>
            </w:tcBorders>
            <w:shd w:val="clear" w:color="auto" w:fill="B6DDE8" w:themeFill="accent5" w:themeFillTint="66"/>
            <w:vAlign w:val="center"/>
            <w:hideMark/>
          </w:tcPr>
          <w:p w14:paraId="1344D45D"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Refrigerant (Tonnes)</w:t>
            </w:r>
          </w:p>
        </w:tc>
        <w:tc>
          <w:tcPr>
            <w:tcW w:w="1608" w:type="dxa"/>
            <w:tcBorders>
              <w:top w:val="nil"/>
              <w:left w:val="nil"/>
              <w:bottom w:val="single" w:sz="4" w:space="0" w:color="auto"/>
              <w:right w:val="single" w:sz="4" w:space="0" w:color="auto"/>
            </w:tcBorders>
            <w:shd w:val="clear" w:color="auto" w:fill="B6DDE8" w:themeFill="accent5" w:themeFillTint="66"/>
            <w:vAlign w:val="center"/>
            <w:hideMark/>
          </w:tcPr>
          <w:p w14:paraId="5293ADA1"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Units</w:t>
            </w:r>
          </w:p>
        </w:tc>
        <w:tc>
          <w:tcPr>
            <w:tcW w:w="1608" w:type="dxa"/>
            <w:tcBorders>
              <w:top w:val="nil"/>
              <w:left w:val="nil"/>
              <w:bottom w:val="single" w:sz="4" w:space="0" w:color="auto"/>
              <w:right w:val="single" w:sz="4" w:space="0" w:color="auto"/>
            </w:tcBorders>
            <w:shd w:val="clear" w:color="auto" w:fill="B6DDE8" w:themeFill="accent5" w:themeFillTint="66"/>
            <w:vAlign w:val="center"/>
            <w:hideMark/>
          </w:tcPr>
          <w:p w14:paraId="0678DC06"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Refrigerant (Tonnes)</w:t>
            </w:r>
          </w:p>
        </w:tc>
        <w:tc>
          <w:tcPr>
            <w:tcW w:w="1609" w:type="dxa"/>
            <w:tcBorders>
              <w:top w:val="nil"/>
              <w:left w:val="nil"/>
              <w:bottom w:val="single" w:sz="4" w:space="0" w:color="auto"/>
              <w:right w:val="single" w:sz="4" w:space="0" w:color="auto"/>
            </w:tcBorders>
            <w:shd w:val="clear" w:color="auto" w:fill="B6DDE8" w:themeFill="accent5" w:themeFillTint="66"/>
            <w:vAlign w:val="center"/>
            <w:hideMark/>
          </w:tcPr>
          <w:p w14:paraId="659D802F"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Units</w:t>
            </w:r>
          </w:p>
        </w:tc>
      </w:tr>
      <w:tr w:rsidR="00597996" w:rsidRPr="008354C6" w14:paraId="1235670C" w14:textId="77777777" w:rsidTr="00597996">
        <w:trPr>
          <w:trHeight w:val="400"/>
        </w:trPr>
        <w:tc>
          <w:tcPr>
            <w:tcW w:w="3060" w:type="dxa"/>
            <w:tcBorders>
              <w:top w:val="nil"/>
              <w:left w:val="single" w:sz="4" w:space="0" w:color="auto"/>
              <w:bottom w:val="single" w:sz="4" w:space="0" w:color="auto"/>
              <w:right w:val="nil"/>
            </w:tcBorders>
            <w:shd w:val="clear" w:color="auto" w:fill="auto"/>
            <w:noWrap/>
            <w:vAlign w:val="bottom"/>
            <w:hideMark/>
          </w:tcPr>
          <w:p w14:paraId="787353C2" w14:textId="77777777" w:rsidR="00597996" w:rsidRPr="008354C6" w:rsidRDefault="00597996" w:rsidP="009A23AA">
            <w:pPr>
              <w:spacing w:before="60" w:after="60"/>
              <w:rPr>
                <w:rFonts w:eastAsia="Times New Roman" w:cs="Times New Roman"/>
                <w:color w:val="000000"/>
                <w:szCs w:val="22"/>
                <w:lang w:val="en-AU"/>
              </w:rPr>
            </w:pPr>
            <w:r w:rsidRPr="008354C6">
              <w:rPr>
                <w:rFonts w:eastAsia="Times New Roman" w:cs="Times New Roman"/>
                <w:color w:val="000000"/>
                <w:szCs w:val="22"/>
                <w:lang w:val="en-AU"/>
              </w:rPr>
              <w:t>≥ 12 kg and &lt; 20 kg</w:t>
            </w:r>
          </w:p>
        </w:tc>
        <w:tc>
          <w:tcPr>
            <w:tcW w:w="1608" w:type="dxa"/>
            <w:tcBorders>
              <w:top w:val="nil"/>
              <w:left w:val="nil"/>
              <w:bottom w:val="single" w:sz="4" w:space="0" w:color="auto"/>
              <w:right w:val="nil"/>
            </w:tcBorders>
            <w:shd w:val="clear" w:color="auto" w:fill="auto"/>
            <w:noWrap/>
            <w:vAlign w:val="bottom"/>
            <w:hideMark/>
          </w:tcPr>
          <w:p w14:paraId="7B613913" w14:textId="74F13131" w:rsidR="00597996" w:rsidRPr="008354C6" w:rsidRDefault="00597996" w:rsidP="00954B3D">
            <w:pPr>
              <w:spacing w:before="60" w:after="60"/>
              <w:jc w:val="center"/>
              <w:rPr>
                <w:rFonts w:eastAsia="Times New Roman" w:cs="Times New Roman"/>
                <w:color w:val="000000"/>
                <w:szCs w:val="22"/>
                <w:lang w:val="en-AU"/>
              </w:rPr>
            </w:pPr>
          </w:p>
        </w:tc>
        <w:tc>
          <w:tcPr>
            <w:tcW w:w="1608" w:type="dxa"/>
            <w:tcBorders>
              <w:top w:val="nil"/>
              <w:left w:val="nil"/>
              <w:bottom w:val="single" w:sz="4" w:space="0" w:color="auto"/>
              <w:right w:val="nil"/>
            </w:tcBorders>
            <w:shd w:val="clear" w:color="auto" w:fill="auto"/>
            <w:noWrap/>
            <w:vAlign w:val="bottom"/>
            <w:hideMark/>
          </w:tcPr>
          <w:p w14:paraId="5BD79AFE" w14:textId="63F9198A" w:rsidR="00597996" w:rsidRPr="008354C6" w:rsidRDefault="00597996" w:rsidP="00954B3D">
            <w:pPr>
              <w:spacing w:before="60" w:after="60"/>
              <w:jc w:val="center"/>
              <w:rPr>
                <w:rFonts w:eastAsia="Times New Roman" w:cs="Times New Roman"/>
                <w:color w:val="000000"/>
                <w:szCs w:val="22"/>
                <w:lang w:val="en-AU"/>
              </w:rPr>
            </w:pPr>
          </w:p>
        </w:tc>
        <w:tc>
          <w:tcPr>
            <w:tcW w:w="1608" w:type="dxa"/>
            <w:tcBorders>
              <w:top w:val="nil"/>
              <w:left w:val="nil"/>
              <w:bottom w:val="single" w:sz="4" w:space="0" w:color="auto"/>
              <w:right w:val="nil"/>
            </w:tcBorders>
            <w:shd w:val="clear" w:color="auto" w:fill="auto"/>
            <w:noWrap/>
            <w:vAlign w:val="bottom"/>
            <w:hideMark/>
          </w:tcPr>
          <w:p w14:paraId="7961DD4F" w14:textId="66559CF8" w:rsidR="00597996" w:rsidRPr="008354C6" w:rsidRDefault="00597996" w:rsidP="00954B3D">
            <w:pPr>
              <w:spacing w:before="60" w:after="60"/>
              <w:jc w:val="center"/>
              <w:rPr>
                <w:rFonts w:eastAsia="Times New Roman" w:cs="Times New Roman"/>
                <w:color w:val="000000"/>
                <w:szCs w:val="22"/>
                <w:lang w:val="en-AU"/>
              </w:rPr>
            </w:pPr>
          </w:p>
        </w:tc>
        <w:tc>
          <w:tcPr>
            <w:tcW w:w="1609" w:type="dxa"/>
            <w:tcBorders>
              <w:top w:val="nil"/>
              <w:left w:val="nil"/>
              <w:bottom w:val="single" w:sz="4" w:space="0" w:color="auto"/>
              <w:right w:val="single" w:sz="4" w:space="0" w:color="auto"/>
            </w:tcBorders>
            <w:shd w:val="clear" w:color="auto" w:fill="auto"/>
            <w:noWrap/>
            <w:vAlign w:val="bottom"/>
            <w:hideMark/>
          </w:tcPr>
          <w:p w14:paraId="3A741423" w14:textId="7D73CE20" w:rsidR="00597996" w:rsidRPr="008354C6" w:rsidRDefault="00597996" w:rsidP="00954B3D">
            <w:pPr>
              <w:spacing w:before="60" w:after="60"/>
              <w:jc w:val="center"/>
              <w:rPr>
                <w:rFonts w:eastAsia="Times New Roman" w:cs="Times New Roman"/>
                <w:color w:val="000000"/>
                <w:szCs w:val="22"/>
                <w:lang w:val="en-AU"/>
              </w:rPr>
            </w:pPr>
          </w:p>
        </w:tc>
      </w:tr>
      <w:tr w:rsidR="00597996" w:rsidRPr="008354C6" w14:paraId="5B5B87BC" w14:textId="77777777" w:rsidTr="00597996">
        <w:trPr>
          <w:trHeight w:val="4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25BEF327" w14:textId="77777777" w:rsidR="00597996" w:rsidRPr="008354C6" w:rsidRDefault="00597996" w:rsidP="009A23AA">
            <w:pPr>
              <w:spacing w:before="60" w:after="60"/>
              <w:rPr>
                <w:rFonts w:eastAsia="Times New Roman" w:cs="Times New Roman"/>
                <w:color w:val="000000"/>
                <w:szCs w:val="22"/>
                <w:lang w:val="en-AU"/>
              </w:rPr>
            </w:pPr>
            <w:r w:rsidRPr="008354C6">
              <w:rPr>
                <w:rFonts w:eastAsia="Times New Roman" w:cs="Times New Roman"/>
                <w:color w:val="000000"/>
                <w:szCs w:val="22"/>
                <w:lang w:val="en-AU"/>
              </w:rPr>
              <w:t>HFC-407C</w:t>
            </w:r>
          </w:p>
        </w:tc>
        <w:tc>
          <w:tcPr>
            <w:tcW w:w="1608" w:type="dxa"/>
            <w:tcBorders>
              <w:top w:val="nil"/>
              <w:left w:val="nil"/>
              <w:bottom w:val="single" w:sz="4" w:space="0" w:color="auto"/>
              <w:right w:val="single" w:sz="4" w:space="0" w:color="auto"/>
            </w:tcBorders>
            <w:shd w:val="clear" w:color="auto" w:fill="auto"/>
            <w:noWrap/>
            <w:vAlign w:val="center"/>
            <w:hideMark/>
          </w:tcPr>
          <w:p w14:paraId="2982F710"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0.9</w:t>
            </w:r>
          </w:p>
        </w:tc>
        <w:tc>
          <w:tcPr>
            <w:tcW w:w="1608" w:type="dxa"/>
            <w:tcBorders>
              <w:top w:val="nil"/>
              <w:left w:val="nil"/>
              <w:bottom w:val="single" w:sz="4" w:space="0" w:color="auto"/>
              <w:right w:val="single" w:sz="4" w:space="0" w:color="auto"/>
            </w:tcBorders>
            <w:shd w:val="clear" w:color="auto" w:fill="auto"/>
            <w:noWrap/>
            <w:vAlign w:val="center"/>
            <w:hideMark/>
          </w:tcPr>
          <w:p w14:paraId="204CD6C3"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58</w:t>
            </w:r>
          </w:p>
        </w:tc>
        <w:tc>
          <w:tcPr>
            <w:tcW w:w="1608" w:type="dxa"/>
            <w:tcBorders>
              <w:top w:val="nil"/>
              <w:left w:val="nil"/>
              <w:bottom w:val="single" w:sz="4" w:space="0" w:color="auto"/>
              <w:right w:val="single" w:sz="4" w:space="0" w:color="auto"/>
            </w:tcBorders>
            <w:shd w:val="clear" w:color="auto" w:fill="auto"/>
            <w:noWrap/>
            <w:vAlign w:val="center"/>
            <w:hideMark/>
          </w:tcPr>
          <w:p w14:paraId="3ED7C84A"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0.0</w:t>
            </w:r>
          </w:p>
        </w:tc>
        <w:tc>
          <w:tcPr>
            <w:tcW w:w="1609" w:type="dxa"/>
            <w:tcBorders>
              <w:top w:val="nil"/>
              <w:left w:val="nil"/>
              <w:bottom w:val="single" w:sz="4" w:space="0" w:color="auto"/>
              <w:right w:val="single" w:sz="4" w:space="0" w:color="auto"/>
            </w:tcBorders>
            <w:shd w:val="clear" w:color="auto" w:fill="auto"/>
            <w:noWrap/>
            <w:vAlign w:val="center"/>
            <w:hideMark/>
          </w:tcPr>
          <w:p w14:paraId="772B835D"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3</w:t>
            </w:r>
          </w:p>
        </w:tc>
      </w:tr>
      <w:tr w:rsidR="00597996" w:rsidRPr="008354C6" w14:paraId="4A178B67" w14:textId="77777777" w:rsidTr="00597996">
        <w:trPr>
          <w:trHeight w:val="4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6173285D" w14:textId="77777777" w:rsidR="00597996" w:rsidRPr="008354C6" w:rsidRDefault="00597996" w:rsidP="009A23AA">
            <w:pPr>
              <w:spacing w:before="60" w:after="60"/>
              <w:rPr>
                <w:rFonts w:eastAsia="Times New Roman" w:cs="Times New Roman"/>
                <w:color w:val="000000"/>
                <w:szCs w:val="22"/>
                <w:lang w:val="en-AU"/>
              </w:rPr>
            </w:pPr>
            <w:r w:rsidRPr="008354C6">
              <w:rPr>
                <w:rFonts w:eastAsia="Times New Roman" w:cs="Times New Roman"/>
                <w:color w:val="000000"/>
                <w:szCs w:val="22"/>
                <w:lang w:val="en-AU"/>
              </w:rPr>
              <w:t>HFC-410A</w:t>
            </w:r>
          </w:p>
        </w:tc>
        <w:tc>
          <w:tcPr>
            <w:tcW w:w="1608" w:type="dxa"/>
            <w:tcBorders>
              <w:top w:val="nil"/>
              <w:left w:val="nil"/>
              <w:bottom w:val="single" w:sz="4" w:space="0" w:color="auto"/>
              <w:right w:val="single" w:sz="4" w:space="0" w:color="auto"/>
            </w:tcBorders>
            <w:shd w:val="clear" w:color="auto" w:fill="auto"/>
            <w:noWrap/>
            <w:vAlign w:val="center"/>
            <w:hideMark/>
          </w:tcPr>
          <w:p w14:paraId="19E0554C"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14.4</w:t>
            </w:r>
          </w:p>
        </w:tc>
        <w:tc>
          <w:tcPr>
            <w:tcW w:w="1608" w:type="dxa"/>
            <w:tcBorders>
              <w:top w:val="nil"/>
              <w:left w:val="nil"/>
              <w:bottom w:val="single" w:sz="4" w:space="0" w:color="auto"/>
              <w:right w:val="single" w:sz="4" w:space="0" w:color="auto"/>
            </w:tcBorders>
            <w:shd w:val="clear" w:color="auto" w:fill="auto"/>
            <w:noWrap/>
            <w:vAlign w:val="center"/>
            <w:hideMark/>
          </w:tcPr>
          <w:p w14:paraId="4E351276"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1,053</w:t>
            </w:r>
          </w:p>
        </w:tc>
        <w:tc>
          <w:tcPr>
            <w:tcW w:w="1608" w:type="dxa"/>
            <w:tcBorders>
              <w:top w:val="nil"/>
              <w:left w:val="nil"/>
              <w:bottom w:val="single" w:sz="4" w:space="0" w:color="auto"/>
              <w:right w:val="single" w:sz="4" w:space="0" w:color="auto"/>
            </w:tcBorders>
            <w:shd w:val="clear" w:color="auto" w:fill="auto"/>
            <w:noWrap/>
            <w:vAlign w:val="center"/>
            <w:hideMark/>
          </w:tcPr>
          <w:p w14:paraId="65120824"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7.0</w:t>
            </w:r>
          </w:p>
        </w:tc>
        <w:tc>
          <w:tcPr>
            <w:tcW w:w="1609" w:type="dxa"/>
            <w:tcBorders>
              <w:top w:val="nil"/>
              <w:left w:val="nil"/>
              <w:bottom w:val="single" w:sz="4" w:space="0" w:color="auto"/>
              <w:right w:val="single" w:sz="4" w:space="0" w:color="auto"/>
            </w:tcBorders>
            <w:shd w:val="clear" w:color="auto" w:fill="auto"/>
            <w:noWrap/>
            <w:vAlign w:val="center"/>
            <w:hideMark/>
          </w:tcPr>
          <w:p w14:paraId="7FCF2DA8"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462</w:t>
            </w:r>
          </w:p>
        </w:tc>
      </w:tr>
      <w:tr w:rsidR="00597996" w:rsidRPr="008354C6" w14:paraId="2D3A241E" w14:textId="77777777" w:rsidTr="00597996">
        <w:trPr>
          <w:trHeight w:val="4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44BD48D" w14:textId="77777777" w:rsidR="00597996" w:rsidRPr="008354C6" w:rsidRDefault="00597996" w:rsidP="009A23AA">
            <w:pPr>
              <w:spacing w:before="60" w:after="60"/>
              <w:rPr>
                <w:rFonts w:eastAsia="Times New Roman" w:cs="Times New Roman"/>
                <w:color w:val="000000"/>
                <w:szCs w:val="22"/>
                <w:lang w:val="en-AU"/>
              </w:rPr>
            </w:pPr>
            <w:r w:rsidRPr="008354C6">
              <w:rPr>
                <w:rFonts w:eastAsia="Times New Roman" w:cs="Times New Roman"/>
                <w:color w:val="000000"/>
                <w:szCs w:val="22"/>
                <w:lang w:val="en-AU"/>
              </w:rPr>
              <w:t>HFC-134a</w:t>
            </w:r>
          </w:p>
        </w:tc>
        <w:tc>
          <w:tcPr>
            <w:tcW w:w="1608" w:type="dxa"/>
            <w:tcBorders>
              <w:top w:val="nil"/>
              <w:left w:val="nil"/>
              <w:bottom w:val="single" w:sz="4" w:space="0" w:color="auto"/>
              <w:right w:val="single" w:sz="4" w:space="0" w:color="auto"/>
            </w:tcBorders>
            <w:shd w:val="clear" w:color="auto" w:fill="auto"/>
            <w:noWrap/>
            <w:vAlign w:val="center"/>
            <w:hideMark/>
          </w:tcPr>
          <w:p w14:paraId="6C25C870"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0.0</w:t>
            </w:r>
          </w:p>
        </w:tc>
        <w:tc>
          <w:tcPr>
            <w:tcW w:w="1608" w:type="dxa"/>
            <w:tcBorders>
              <w:top w:val="nil"/>
              <w:left w:val="nil"/>
              <w:bottom w:val="single" w:sz="4" w:space="0" w:color="auto"/>
              <w:right w:val="single" w:sz="4" w:space="0" w:color="auto"/>
            </w:tcBorders>
            <w:shd w:val="clear" w:color="auto" w:fill="auto"/>
            <w:noWrap/>
            <w:vAlign w:val="center"/>
            <w:hideMark/>
          </w:tcPr>
          <w:p w14:paraId="008758C4"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0</w:t>
            </w:r>
          </w:p>
        </w:tc>
        <w:tc>
          <w:tcPr>
            <w:tcW w:w="1608" w:type="dxa"/>
            <w:tcBorders>
              <w:top w:val="nil"/>
              <w:left w:val="nil"/>
              <w:bottom w:val="single" w:sz="4" w:space="0" w:color="auto"/>
              <w:right w:val="single" w:sz="4" w:space="0" w:color="auto"/>
            </w:tcBorders>
            <w:shd w:val="clear" w:color="auto" w:fill="auto"/>
            <w:noWrap/>
            <w:vAlign w:val="center"/>
            <w:hideMark/>
          </w:tcPr>
          <w:p w14:paraId="63651637"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0.0</w:t>
            </w:r>
          </w:p>
        </w:tc>
        <w:tc>
          <w:tcPr>
            <w:tcW w:w="1609" w:type="dxa"/>
            <w:tcBorders>
              <w:top w:val="nil"/>
              <w:left w:val="nil"/>
              <w:bottom w:val="single" w:sz="4" w:space="0" w:color="auto"/>
              <w:right w:val="single" w:sz="4" w:space="0" w:color="auto"/>
            </w:tcBorders>
            <w:shd w:val="clear" w:color="auto" w:fill="auto"/>
            <w:noWrap/>
            <w:vAlign w:val="center"/>
            <w:hideMark/>
          </w:tcPr>
          <w:p w14:paraId="381232F8"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0</w:t>
            </w:r>
          </w:p>
        </w:tc>
      </w:tr>
      <w:tr w:rsidR="00597996" w:rsidRPr="008354C6" w14:paraId="3160605A" w14:textId="77777777" w:rsidTr="00597996">
        <w:trPr>
          <w:trHeight w:val="4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2A886C70" w14:textId="77777777" w:rsidR="00597996" w:rsidRPr="008354C6" w:rsidRDefault="00597996" w:rsidP="009A23AA">
            <w:pPr>
              <w:spacing w:before="60" w:after="60"/>
              <w:rPr>
                <w:rFonts w:eastAsia="Times New Roman" w:cs="Times New Roman"/>
                <w:b/>
                <w:bCs/>
                <w:color w:val="000000"/>
                <w:szCs w:val="22"/>
                <w:lang w:val="en-AU"/>
              </w:rPr>
            </w:pPr>
            <w:r w:rsidRPr="008354C6">
              <w:rPr>
                <w:rFonts w:eastAsia="Times New Roman" w:cs="Times New Roman"/>
                <w:b/>
                <w:bCs/>
                <w:color w:val="000000"/>
                <w:szCs w:val="22"/>
                <w:lang w:val="en-AU"/>
              </w:rPr>
              <w:t>Total</w:t>
            </w:r>
          </w:p>
        </w:tc>
        <w:tc>
          <w:tcPr>
            <w:tcW w:w="1608" w:type="dxa"/>
            <w:tcBorders>
              <w:top w:val="nil"/>
              <w:left w:val="nil"/>
              <w:bottom w:val="single" w:sz="4" w:space="0" w:color="auto"/>
              <w:right w:val="single" w:sz="4" w:space="0" w:color="auto"/>
            </w:tcBorders>
            <w:shd w:val="clear" w:color="auto" w:fill="auto"/>
            <w:noWrap/>
            <w:vAlign w:val="center"/>
            <w:hideMark/>
          </w:tcPr>
          <w:p w14:paraId="4EB4E0D9" w14:textId="77777777" w:rsidR="00597996" w:rsidRPr="008354C6" w:rsidRDefault="00597996" w:rsidP="00954B3D">
            <w:pPr>
              <w:spacing w:before="60" w:after="60"/>
              <w:jc w:val="center"/>
              <w:rPr>
                <w:rFonts w:eastAsia="Times New Roman" w:cs="Times New Roman"/>
                <w:b/>
                <w:bCs/>
                <w:color w:val="000000"/>
                <w:szCs w:val="22"/>
                <w:lang w:val="en-AU"/>
              </w:rPr>
            </w:pPr>
            <w:r w:rsidRPr="008354C6">
              <w:rPr>
                <w:rFonts w:eastAsia="Times New Roman" w:cs="Times New Roman"/>
                <w:b/>
                <w:bCs/>
                <w:color w:val="000000"/>
                <w:szCs w:val="22"/>
                <w:lang w:val="en-AU"/>
              </w:rPr>
              <w:t>15.3</w:t>
            </w:r>
          </w:p>
        </w:tc>
        <w:tc>
          <w:tcPr>
            <w:tcW w:w="1608" w:type="dxa"/>
            <w:tcBorders>
              <w:top w:val="nil"/>
              <w:left w:val="nil"/>
              <w:bottom w:val="single" w:sz="4" w:space="0" w:color="auto"/>
              <w:right w:val="single" w:sz="4" w:space="0" w:color="auto"/>
            </w:tcBorders>
            <w:shd w:val="clear" w:color="auto" w:fill="auto"/>
            <w:noWrap/>
            <w:vAlign w:val="center"/>
            <w:hideMark/>
          </w:tcPr>
          <w:p w14:paraId="0C22CEB6" w14:textId="77777777" w:rsidR="00597996" w:rsidRPr="008354C6" w:rsidRDefault="00597996" w:rsidP="00954B3D">
            <w:pPr>
              <w:spacing w:before="60" w:after="60"/>
              <w:jc w:val="center"/>
              <w:rPr>
                <w:rFonts w:eastAsia="Times New Roman" w:cs="Times New Roman"/>
                <w:b/>
                <w:bCs/>
                <w:color w:val="000000"/>
                <w:szCs w:val="22"/>
                <w:lang w:val="en-AU"/>
              </w:rPr>
            </w:pPr>
            <w:r w:rsidRPr="008354C6">
              <w:rPr>
                <w:rFonts w:eastAsia="Times New Roman" w:cs="Times New Roman"/>
                <w:b/>
                <w:bCs/>
                <w:color w:val="000000"/>
                <w:szCs w:val="22"/>
                <w:lang w:val="en-AU"/>
              </w:rPr>
              <w:t>1,111</w:t>
            </w:r>
          </w:p>
        </w:tc>
        <w:tc>
          <w:tcPr>
            <w:tcW w:w="1608" w:type="dxa"/>
            <w:tcBorders>
              <w:top w:val="nil"/>
              <w:left w:val="nil"/>
              <w:bottom w:val="single" w:sz="4" w:space="0" w:color="auto"/>
              <w:right w:val="single" w:sz="4" w:space="0" w:color="auto"/>
            </w:tcBorders>
            <w:shd w:val="clear" w:color="auto" w:fill="auto"/>
            <w:noWrap/>
            <w:vAlign w:val="center"/>
            <w:hideMark/>
          </w:tcPr>
          <w:p w14:paraId="2E60C27B" w14:textId="77777777" w:rsidR="00597996" w:rsidRPr="008354C6" w:rsidRDefault="00597996" w:rsidP="00954B3D">
            <w:pPr>
              <w:spacing w:before="60" w:after="60"/>
              <w:jc w:val="center"/>
              <w:rPr>
                <w:rFonts w:eastAsia="Times New Roman" w:cs="Times New Roman"/>
                <w:b/>
                <w:bCs/>
                <w:color w:val="000000"/>
                <w:szCs w:val="22"/>
                <w:lang w:val="en-AU"/>
              </w:rPr>
            </w:pPr>
            <w:r w:rsidRPr="008354C6">
              <w:rPr>
                <w:rFonts w:eastAsia="Times New Roman" w:cs="Times New Roman"/>
                <w:b/>
                <w:bCs/>
                <w:color w:val="000000"/>
                <w:szCs w:val="22"/>
                <w:lang w:val="en-AU"/>
              </w:rPr>
              <w:t>7.0</w:t>
            </w:r>
          </w:p>
        </w:tc>
        <w:tc>
          <w:tcPr>
            <w:tcW w:w="1609" w:type="dxa"/>
            <w:tcBorders>
              <w:top w:val="nil"/>
              <w:left w:val="nil"/>
              <w:bottom w:val="single" w:sz="4" w:space="0" w:color="auto"/>
              <w:right w:val="single" w:sz="4" w:space="0" w:color="auto"/>
            </w:tcBorders>
            <w:shd w:val="clear" w:color="auto" w:fill="auto"/>
            <w:noWrap/>
            <w:vAlign w:val="center"/>
            <w:hideMark/>
          </w:tcPr>
          <w:p w14:paraId="5111C286" w14:textId="77777777" w:rsidR="00597996" w:rsidRPr="008354C6" w:rsidRDefault="00597996" w:rsidP="00954B3D">
            <w:pPr>
              <w:spacing w:before="60" w:after="60"/>
              <w:jc w:val="center"/>
              <w:rPr>
                <w:rFonts w:eastAsia="Times New Roman" w:cs="Times New Roman"/>
                <w:b/>
                <w:bCs/>
                <w:color w:val="000000"/>
                <w:szCs w:val="22"/>
                <w:lang w:val="en-AU"/>
              </w:rPr>
            </w:pPr>
            <w:r w:rsidRPr="008354C6">
              <w:rPr>
                <w:rFonts w:eastAsia="Times New Roman" w:cs="Times New Roman"/>
                <w:b/>
                <w:bCs/>
                <w:color w:val="000000"/>
                <w:szCs w:val="22"/>
                <w:lang w:val="en-AU"/>
              </w:rPr>
              <w:t>465</w:t>
            </w:r>
          </w:p>
        </w:tc>
      </w:tr>
      <w:tr w:rsidR="00597996" w:rsidRPr="008354C6" w14:paraId="346C7C66" w14:textId="77777777" w:rsidTr="00597996">
        <w:trPr>
          <w:trHeight w:val="400"/>
        </w:trPr>
        <w:tc>
          <w:tcPr>
            <w:tcW w:w="3060" w:type="dxa"/>
            <w:tcBorders>
              <w:top w:val="nil"/>
              <w:left w:val="single" w:sz="4" w:space="0" w:color="auto"/>
              <w:bottom w:val="single" w:sz="4" w:space="0" w:color="auto"/>
              <w:right w:val="nil"/>
            </w:tcBorders>
            <w:shd w:val="clear" w:color="auto" w:fill="auto"/>
            <w:noWrap/>
            <w:vAlign w:val="bottom"/>
            <w:hideMark/>
          </w:tcPr>
          <w:p w14:paraId="595D3615" w14:textId="77777777" w:rsidR="00597996" w:rsidRPr="008354C6" w:rsidRDefault="00597996" w:rsidP="009A23AA">
            <w:pPr>
              <w:spacing w:before="60" w:after="60"/>
              <w:rPr>
                <w:rFonts w:eastAsia="Times New Roman" w:cs="Times New Roman"/>
                <w:color w:val="000000"/>
                <w:szCs w:val="22"/>
                <w:lang w:val="en-AU"/>
              </w:rPr>
            </w:pPr>
            <w:r w:rsidRPr="008354C6">
              <w:rPr>
                <w:rFonts w:eastAsia="Times New Roman" w:cs="Times New Roman"/>
                <w:color w:val="000000"/>
                <w:szCs w:val="22"/>
                <w:lang w:val="en-AU"/>
              </w:rPr>
              <w:t>≥ 20 kg</w:t>
            </w:r>
          </w:p>
        </w:tc>
        <w:tc>
          <w:tcPr>
            <w:tcW w:w="1608" w:type="dxa"/>
            <w:tcBorders>
              <w:top w:val="nil"/>
              <w:left w:val="nil"/>
              <w:bottom w:val="single" w:sz="4" w:space="0" w:color="auto"/>
              <w:right w:val="nil"/>
            </w:tcBorders>
            <w:shd w:val="clear" w:color="auto" w:fill="auto"/>
            <w:noWrap/>
            <w:vAlign w:val="bottom"/>
            <w:hideMark/>
          </w:tcPr>
          <w:p w14:paraId="67F0B837" w14:textId="5EB7A160" w:rsidR="00597996" w:rsidRPr="008354C6" w:rsidRDefault="00597996" w:rsidP="00954B3D">
            <w:pPr>
              <w:spacing w:before="60" w:after="60"/>
              <w:jc w:val="center"/>
              <w:rPr>
                <w:rFonts w:eastAsia="Times New Roman" w:cs="Times New Roman"/>
                <w:color w:val="000000"/>
                <w:szCs w:val="22"/>
                <w:lang w:val="en-AU"/>
              </w:rPr>
            </w:pPr>
          </w:p>
        </w:tc>
        <w:tc>
          <w:tcPr>
            <w:tcW w:w="1608" w:type="dxa"/>
            <w:tcBorders>
              <w:top w:val="nil"/>
              <w:left w:val="nil"/>
              <w:bottom w:val="single" w:sz="4" w:space="0" w:color="auto"/>
              <w:right w:val="nil"/>
            </w:tcBorders>
            <w:shd w:val="clear" w:color="auto" w:fill="auto"/>
            <w:noWrap/>
            <w:vAlign w:val="bottom"/>
            <w:hideMark/>
          </w:tcPr>
          <w:p w14:paraId="18D80819" w14:textId="45B6D48A" w:rsidR="00597996" w:rsidRPr="008354C6" w:rsidRDefault="00597996" w:rsidP="00954B3D">
            <w:pPr>
              <w:spacing w:before="60" w:after="60"/>
              <w:jc w:val="center"/>
              <w:rPr>
                <w:rFonts w:eastAsia="Times New Roman" w:cs="Times New Roman"/>
                <w:color w:val="000000"/>
                <w:szCs w:val="22"/>
                <w:lang w:val="en-AU"/>
              </w:rPr>
            </w:pPr>
          </w:p>
        </w:tc>
        <w:tc>
          <w:tcPr>
            <w:tcW w:w="1608" w:type="dxa"/>
            <w:tcBorders>
              <w:top w:val="nil"/>
              <w:left w:val="nil"/>
              <w:bottom w:val="single" w:sz="4" w:space="0" w:color="auto"/>
              <w:right w:val="nil"/>
            </w:tcBorders>
            <w:shd w:val="clear" w:color="auto" w:fill="auto"/>
            <w:noWrap/>
            <w:vAlign w:val="bottom"/>
            <w:hideMark/>
          </w:tcPr>
          <w:p w14:paraId="32BB730F" w14:textId="120484DB" w:rsidR="00597996" w:rsidRPr="008354C6" w:rsidRDefault="00597996" w:rsidP="00954B3D">
            <w:pPr>
              <w:spacing w:before="60" w:after="60"/>
              <w:jc w:val="center"/>
              <w:rPr>
                <w:rFonts w:eastAsia="Times New Roman" w:cs="Times New Roman"/>
                <w:color w:val="000000"/>
                <w:szCs w:val="22"/>
                <w:lang w:val="en-AU"/>
              </w:rPr>
            </w:pPr>
          </w:p>
        </w:tc>
        <w:tc>
          <w:tcPr>
            <w:tcW w:w="1609" w:type="dxa"/>
            <w:tcBorders>
              <w:top w:val="nil"/>
              <w:left w:val="nil"/>
              <w:bottom w:val="single" w:sz="4" w:space="0" w:color="auto"/>
              <w:right w:val="single" w:sz="4" w:space="0" w:color="auto"/>
            </w:tcBorders>
            <w:shd w:val="clear" w:color="auto" w:fill="auto"/>
            <w:noWrap/>
            <w:vAlign w:val="bottom"/>
            <w:hideMark/>
          </w:tcPr>
          <w:p w14:paraId="5C39E755" w14:textId="52698D6A" w:rsidR="00597996" w:rsidRPr="008354C6" w:rsidRDefault="00597996" w:rsidP="00954B3D">
            <w:pPr>
              <w:spacing w:before="60" w:after="60"/>
              <w:jc w:val="center"/>
              <w:rPr>
                <w:rFonts w:eastAsia="Times New Roman" w:cs="Times New Roman"/>
                <w:color w:val="000000"/>
                <w:szCs w:val="22"/>
                <w:lang w:val="en-AU"/>
              </w:rPr>
            </w:pPr>
          </w:p>
        </w:tc>
      </w:tr>
      <w:tr w:rsidR="00597996" w:rsidRPr="008354C6" w14:paraId="55A7E83F" w14:textId="77777777" w:rsidTr="00597996">
        <w:trPr>
          <w:trHeight w:val="4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0ED2AB3" w14:textId="77777777" w:rsidR="00597996" w:rsidRPr="008354C6" w:rsidRDefault="00597996" w:rsidP="009A23AA">
            <w:pPr>
              <w:spacing w:before="60" w:after="60"/>
              <w:rPr>
                <w:rFonts w:eastAsia="Times New Roman" w:cs="Times New Roman"/>
                <w:color w:val="000000"/>
                <w:szCs w:val="22"/>
                <w:lang w:val="en-AU"/>
              </w:rPr>
            </w:pPr>
            <w:r w:rsidRPr="008354C6">
              <w:rPr>
                <w:rFonts w:eastAsia="Times New Roman" w:cs="Times New Roman"/>
                <w:color w:val="000000"/>
                <w:szCs w:val="22"/>
                <w:lang w:val="en-AU"/>
              </w:rPr>
              <w:t>HFC-407C</w:t>
            </w:r>
          </w:p>
        </w:tc>
        <w:tc>
          <w:tcPr>
            <w:tcW w:w="1608" w:type="dxa"/>
            <w:tcBorders>
              <w:top w:val="nil"/>
              <w:left w:val="nil"/>
              <w:bottom w:val="single" w:sz="4" w:space="0" w:color="auto"/>
              <w:right w:val="single" w:sz="4" w:space="0" w:color="auto"/>
            </w:tcBorders>
            <w:shd w:val="clear" w:color="auto" w:fill="auto"/>
            <w:noWrap/>
            <w:vAlign w:val="center"/>
            <w:hideMark/>
          </w:tcPr>
          <w:p w14:paraId="658BE01B"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3.0</w:t>
            </w:r>
          </w:p>
        </w:tc>
        <w:tc>
          <w:tcPr>
            <w:tcW w:w="1608" w:type="dxa"/>
            <w:tcBorders>
              <w:top w:val="nil"/>
              <w:left w:val="nil"/>
              <w:bottom w:val="single" w:sz="4" w:space="0" w:color="auto"/>
              <w:right w:val="single" w:sz="4" w:space="0" w:color="auto"/>
            </w:tcBorders>
            <w:shd w:val="clear" w:color="auto" w:fill="auto"/>
            <w:noWrap/>
            <w:vAlign w:val="center"/>
            <w:hideMark/>
          </w:tcPr>
          <w:p w14:paraId="422145CC"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66</w:t>
            </w:r>
          </w:p>
        </w:tc>
        <w:tc>
          <w:tcPr>
            <w:tcW w:w="1608" w:type="dxa"/>
            <w:tcBorders>
              <w:top w:val="nil"/>
              <w:left w:val="nil"/>
              <w:bottom w:val="single" w:sz="4" w:space="0" w:color="auto"/>
              <w:right w:val="single" w:sz="4" w:space="0" w:color="auto"/>
            </w:tcBorders>
            <w:shd w:val="clear" w:color="auto" w:fill="auto"/>
            <w:noWrap/>
            <w:vAlign w:val="center"/>
            <w:hideMark/>
          </w:tcPr>
          <w:p w14:paraId="117F82B9"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2.0</w:t>
            </w:r>
          </w:p>
        </w:tc>
        <w:tc>
          <w:tcPr>
            <w:tcW w:w="1609" w:type="dxa"/>
            <w:tcBorders>
              <w:top w:val="nil"/>
              <w:left w:val="nil"/>
              <w:bottom w:val="single" w:sz="4" w:space="0" w:color="auto"/>
              <w:right w:val="single" w:sz="4" w:space="0" w:color="auto"/>
            </w:tcBorders>
            <w:shd w:val="clear" w:color="auto" w:fill="auto"/>
            <w:noWrap/>
            <w:vAlign w:val="center"/>
            <w:hideMark/>
          </w:tcPr>
          <w:p w14:paraId="63C69DFD"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45</w:t>
            </w:r>
          </w:p>
        </w:tc>
      </w:tr>
      <w:tr w:rsidR="00597996" w:rsidRPr="008354C6" w14:paraId="32117FAF" w14:textId="77777777" w:rsidTr="00597996">
        <w:trPr>
          <w:trHeight w:val="4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2585A3F6" w14:textId="77777777" w:rsidR="00597996" w:rsidRPr="008354C6" w:rsidRDefault="00597996" w:rsidP="009A23AA">
            <w:pPr>
              <w:spacing w:before="60" w:after="60"/>
              <w:rPr>
                <w:rFonts w:eastAsia="Times New Roman" w:cs="Times New Roman"/>
                <w:color w:val="000000"/>
                <w:szCs w:val="22"/>
                <w:lang w:val="en-AU"/>
              </w:rPr>
            </w:pPr>
            <w:r w:rsidRPr="008354C6">
              <w:rPr>
                <w:rFonts w:eastAsia="Times New Roman" w:cs="Times New Roman"/>
                <w:color w:val="000000"/>
                <w:szCs w:val="22"/>
                <w:lang w:val="en-AU"/>
              </w:rPr>
              <w:t>HFC-410A</w:t>
            </w:r>
          </w:p>
        </w:tc>
        <w:tc>
          <w:tcPr>
            <w:tcW w:w="1608" w:type="dxa"/>
            <w:tcBorders>
              <w:top w:val="nil"/>
              <w:left w:val="nil"/>
              <w:bottom w:val="single" w:sz="4" w:space="0" w:color="auto"/>
              <w:right w:val="single" w:sz="4" w:space="0" w:color="auto"/>
            </w:tcBorders>
            <w:shd w:val="clear" w:color="auto" w:fill="auto"/>
            <w:noWrap/>
            <w:vAlign w:val="center"/>
            <w:hideMark/>
          </w:tcPr>
          <w:p w14:paraId="12EFDD80"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18.8</w:t>
            </w:r>
          </w:p>
        </w:tc>
        <w:tc>
          <w:tcPr>
            <w:tcW w:w="1608" w:type="dxa"/>
            <w:tcBorders>
              <w:top w:val="nil"/>
              <w:left w:val="nil"/>
              <w:bottom w:val="single" w:sz="4" w:space="0" w:color="auto"/>
              <w:right w:val="single" w:sz="4" w:space="0" w:color="auto"/>
            </w:tcBorders>
            <w:shd w:val="clear" w:color="auto" w:fill="auto"/>
            <w:noWrap/>
            <w:vAlign w:val="center"/>
            <w:hideMark/>
          </w:tcPr>
          <w:p w14:paraId="171135C5"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413</w:t>
            </w:r>
          </w:p>
        </w:tc>
        <w:tc>
          <w:tcPr>
            <w:tcW w:w="1608" w:type="dxa"/>
            <w:tcBorders>
              <w:top w:val="nil"/>
              <w:left w:val="nil"/>
              <w:bottom w:val="single" w:sz="4" w:space="0" w:color="auto"/>
              <w:right w:val="single" w:sz="4" w:space="0" w:color="auto"/>
            </w:tcBorders>
            <w:shd w:val="clear" w:color="auto" w:fill="auto"/>
            <w:noWrap/>
            <w:vAlign w:val="center"/>
            <w:hideMark/>
          </w:tcPr>
          <w:p w14:paraId="0A4877DF"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20.6</w:t>
            </w:r>
          </w:p>
        </w:tc>
        <w:tc>
          <w:tcPr>
            <w:tcW w:w="1609" w:type="dxa"/>
            <w:tcBorders>
              <w:top w:val="nil"/>
              <w:left w:val="nil"/>
              <w:bottom w:val="single" w:sz="4" w:space="0" w:color="auto"/>
              <w:right w:val="single" w:sz="4" w:space="0" w:color="auto"/>
            </w:tcBorders>
            <w:shd w:val="clear" w:color="auto" w:fill="auto"/>
            <w:noWrap/>
            <w:vAlign w:val="center"/>
            <w:hideMark/>
          </w:tcPr>
          <w:p w14:paraId="192B6D6C"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501</w:t>
            </w:r>
          </w:p>
        </w:tc>
      </w:tr>
      <w:tr w:rsidR="00597996" w:rsidRPr="008354C6" w14:paraId="0CE5C535" w14:textId="77777777" w:rsidTr="00597996">
        <w:trPr>
          <w:trHeight w:val="4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645C1FEF" w14:textId="77777777" w:rsidR="00597996" w:rsidRPr="008354C6" w:rsidRDefault="00597996" w:rsidP="009A23AA">
            <w:pPr>
              <w:spacing w:before="60" w:after="60"/>
              <w:rPr>
                <w:rFonts w:eastAsia="Times New Roman" w:cs="Times New Roman"/>
                <w:color w:val="000000"/>
                <w:szCs w:val="22"/>
                <w:lang w:val="en-AU"/>
              </w:rPr>
            </w:pPr>
            <w:r w:rsidRPr="008354C6">
              <w:rPr>
                <w:rFonts w:eastAsia="Times New Roman" w:cs="Times New Roman"/>
                <w:color w:val="000000"/>
                <w:szCs w:val="22"/>
                <w:lang w:val="en-AU"/>
              </w:rPr>
              <w:t>HFC-134a</w:t>
            </w:r>
          </w:p>
        </w:tc>
        <w:tc>
          <w:tcPr>
            <w:tcW w:w="1608" w:type="dxa"/>
            <w:tcBorders>
              <w:top w:val="nil"/>
              <w:left w:val="nil"/>
              <w:bottom w:val="single" w:sz="4" w:space="0" w:color="auto"/>
              <w:right w:val="single" w:sz="4" w:space="0" w:color="auto"/>
            </w:tcBorders>
            <w:shd w:val="clear" w:color="auto" w:fill="auto"/>
            <w:noWrap/>
            <w:vAlign w:val="center"/>
            <w:hideMark/>
          </w:tcPr>
          <w:p w14:paraId="3D41F8FA"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65.5</w:t>
            </w:r>
          </w:p>
        </w:tc>
        <w:tc>
          <w:tcPr>
            <w:tcW w:w="1608" w:type="dxa"/>
            <w:tcBorders>
              <w:top w:val="nil"/>
              <w:left w:val="nil"/>
              <w:bottom w:val="single" w:sz="4" w:space="0" w:color="auto"/>
              <w:right w:val="single" w:sz="4" w:space="0" w:color="auto"/>
            </w:tcBorders>
            <w:shd w:val="clear" w:color="auto" w:fill="auto"/>
            <w:noWrap/>
            <w:vAlign w:val="center"/>
            <w:hideMark/>
          </w:tcPr>
          <w:p w14:paraId="26F970E7"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425</w:t>
            </w:r>
          </w:p>
        </w:tc>
        <w:tc>
          <w:tcPr>
            <w:tcW w:w="1608" w:type="dxa"/>
            <w:tcBorders>
              <w:top w:val="nil"/>
              <w:left w:val="nil"/>
              <w:bottom w:val="single" w:sz="4" w:space="0" w:color="auto"/>
              <w:right w:val="single" w:sz="4" w:space="0" w:color="auto"/>
            </w:tcBorders>
            <w:shd w:val="clear" w:color="auto" w:fill="auto"/>
            <w:noWrap/>
            <w:vAlign w:val="center"/>
            <w:hideMark/>
          </w:tcPr>
          <w:p w14:paraId="4A6D1ED7"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67.3</w:t>
            </w:r>
          </w:p>
        </w:tc>
        <w:tc>
          <w:tcPr>
            <w:tcW w:w="1609" w:type="dxa"/>
            <w:tcBorders>
              <w:top w:val="nil"/>
              <w:left w:val="nil"/>
              <w:bottom w:val="single" w:sz="4" w:space="0" w:color="auto"/>
              <w:right w:val="single" w:sz="4" w:space="0" w:color="auto"/>
            </w:tcBorders>
            <w:shd w:val="clear" w:color="auto" w:fill="auto"/>
            <w:noWrap/>
            <w:vAlign w:val="center"/>
            <w:hideMark/>
          </w:tcPr>
          <w:p w14:paraId="5744FE89" w14:textId="77777777" w:rsidR="00597996" w:rsidRPr="008354C6" w:rsidRDefault="00597996" w:rsidP="00954B3D">
            <w:pPr>
              <w:spacing w:before="60" w:after="60"/>
              <w:jc w:val="center"/>
              <w:rPr>
                <w:rFonts w:eastAsia="Times New Roman" w:cs="Times New Roman"/>
                <w:color w:val="000000"/>
                <w:szCs w:val="22"/>
                <w:lang w:val="en-AU"/>
              </w:rPr>
            </w:pPr>
            <w:r w:rsidRPr="008354C6">
              <w:rPr>
                <w:rFonts w:eastAsia="Times New Roman" w:cs="Times New Roman"/>
                <w:color w:val="000000"/>
                <w:szCs w:val="22"/>
                <w:lang w:val="en-AU"/>
              </w:rPr>
              <w:t>415</w:t>
            </w:r>
          </w:p>
        </w:tc>
      </w:tr>
      <w:tr w:rsidR="00597996" w:rsidRPr="008354C6" w14:paraId="537FA37D" w14:textId="77777777" w:rsidTr="00597996">
        <w:trPr>
          <w:trHeight w:val="4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65CB4A42" w14:textId="77777777" w:rsidR="00597996" w:rsidRPr="008354C6" w:rsidRDefault="00597996" w:rsidP="009A23AA">
            <w:pPr>
              <w:spacing w:before="60" w:after="60"/>
              <w:rPr>
                <w:rFonts w:eastAsia="Times New Roman" w:cs="Times New Roman"/>
                <w:b/>
                <w:bCs/>
                <w:color w:val="000000"/>
                <w:szCs w:val="22"/>
                <w:lang w:val="en-AU"/>
              </w:rPr>
            </w:pPr>
            <w:r w:rsidRPr="008354C6">
              <w:rPr>
                <w:rFonts w:eastAsia="Times New Roman" w:cs="Times New Roman"/>
                <w:b/>
                <w:bCs/>
                <w:color w:val="000000"/>
                <w:szCs w:val="22"/>
                <w:lang w:val="en-AU"/>
              </w:rPr>
              <w:t>Total</w:t>
            </w:r>
          </w:p>
        </w:tc>
        <w:tc>
          <w:tcPr>
            <w:tcW w:w="1608" w:type="dxa"/>
            <w:tcBorders>
              <w:top w:val="nil"/>
              <w:left w:val="nil"/>
              <w:bottom w:val="single" w:sz="4" w:space="0" w:color="auto"/>
              <w:right w:val="single" w:sz="4" w:space="0" w:color="auto"/>
            </w:tcBorders>
            <w:shd w:val="clear" w:color="auto" w:fill="auto"/>
            <w:noWrap/>
            <w:vAlign w:val="center"/>
            <w:hideMark/>
          </w:tcPr>
          <w:p w14:paraId="42ECB52C" w14:textId="77777777" w:rsidR="00597996" w:rsidRPr="008354C6" w:rsidRDefault="00597996" w:rsidP="00954B3D">
            <w:pPr>
              <w:spacing w:before="60" w:after="60"/>
              <w:jc w:val="center"/>
              <w:rPr>
                <w:rFonts w:eastAsia="Times New Roman" w:cs="Times New Roman"/>
                <w:b/>
                <w:bCs/>
                <w:color w:val="000000"/>
                <w:szCs w:val="22"/>
                <w:lang w:val="en-AU"/>
              </w:rPr>
            </w:pPr>
            <w:r w:rsidRPr="008354C6">
              <w:rPr>
                <w:rFonts w:eastAsia="Times New Roman" w:cs="Times New Roman"/>
                <w:b/>
                <w:bCs/>
                <w:color w:val="000000"/>
                <w:szCs w:val="22"/>
                <w:lang w:val="en-AU"/>
              </w:rPr>
              <w:t>87.3</w:t>
            </w:r>
          </w:p>
        </w:tc>
        <w:tc>
          <w:tcPr>
            <w:tcW w:w="1608" w:type="dxa"/>
            <w:tcBorders>
              <w:top w:val="nil"/>
              <w:left w:val="nil"/>
              <w:bottom w:val="single" w:sz="4" w:space="0" w:color="auto"/>
              <w:right w:val="single" w:sz="4" w:space="0" w:color="auto"/>
            </w:tcBorders>
            <w:shd w:val="clear" w:color="auto" w:fill="auto"/>
            <w:noWrap/>
            <w:vAlign w:val="center"/>
            <w:hideMark/>
          </w:tcPr>
          <w:p w14:paraId="0DEF21BE" w14:textId="77777777" w:rsidR="00597996" w:rsidRPr="008354C6" w:rsidRDefault="00597996" w:rsidP="00954B3D">
            <w:pPr>
              <w:spacing w:before="60" w:after="60"/>
              <w:jc w:val="center"/>
              <w:rPr>
                <w:rFonts w:eastAsia="Times New Roman" w:cs="Times New Roman"/>
                <w:b/>
                <w:bCs/>
                <w:color w:val="000000"/>
                <w:szCs w:val="22"/>
                <w:lang w:val="en-AU"/>
              </w:rPr>
            </w:pPr>
            <w:r w:rsidRPr="008354C6">
              <w:rPr>
                <w:rFonts w:eastAsia="Times New Roman" w:cs="Times New Roman"/>
                <w:b/>
                <w:bCs/>
                <w:color w:val="000000"/>
                <w:szCs w:val="22"/>
                <w:lang w:val="en-AU"/>
              </w:rPr>
              <w:t>904</w:t>
            </w:r>
          </w:p>
        </w:tc>
        <w:tc>
          <w:tcPr>
            <w:tcW w:w="1608" w:type="dxa"/>
            <w:tcBorders>
              <w:top w:val="nil"/>
              <w:left w:val="nil"/>
              <w:bottom w:val="single" w:sz="4" w:space="0" w:color="auto"/>
              <w:right w:val="single" w:sz="4" w:space="0" w:color="auto"/>
            </w:tcBorders>
            <w:shd w:val="clear" w:color="auto" w:fill="auto"/>
            <w:noWrap/>
            <w:vAlign w:val="center"/>
            <w:hideMark/>
          </w:tcPr>
          <w:p w14:paraId="29EE37D0" w14:textId="77777777" w:rsidR="00597996" w:rsidRPr="008354C6" w:rsidRDefault="00597996" w:rsidP="00954B3D">
            <w:pPr>
              <w:spacing w:before="60" w:after="60"/>
              <w:jc w:val="center"/>
              <w:rPr>
                <w:rFonts w:eastAsia="Times New Roman" w:cs="Times New Roman"/>
                <w:b/>
                <w:bCs/>
                <w:color w:val="000000"/>
                <w:szCs w:val="22"/>
                <w:lang w:val="en-AU"/>
              </w:rPr>
            </w:pPr>
            <w:r w:rsidRPr="008354C6">
              <w:rPr>
                <w:rFonts w:eastAsia="Times New Roman" w:cs="Times New Roman"/>
                <w:b/>
                <w:bCs/>
                <w:color w:val="000000"/>
                <w:szCs w:val="22"/>
                <w:lang w:val="en-AU"/>
              </w:rPr>
              <w:t>90.0</w:t>
            </w:r>
          </w:p>
        </w:tc>
        <w:tc>
          <w:tcPr>
            <w:tcW w:w="1609" w:type="dxa"/>
            <w:tcBorders>
              <w:top w:val="nil"/>
              <w:left w:val="nil"/>
              <w:bottom w:val="single" w:sz="4" w:space="0" w:color="auto"/>
              <w:right w:val="single" w:sz="4" w:space="0" w:color="auto"/>
            </w:tcBorders>
            <w:shd w:val="clear" w:color="auto" w:fill="auto"/>
            <w:noWrap/>
            <w:vAlign w:val="center"/>
            <w:hideMark/>
          </w:tcPr>
          <w:p w14:paraId="32DFEC79" w14:textId="77777777" w:rsidR="00597996" w:rsidRPr="008354C6" w:rsidRDefault="00597996" w:rsidP="00954B3D">
            <w:pPr>
              <w:spacing w:before="60" w:after="60"/>
              <w:jc w:val="center"/>
              <w:rPr>
                <w:rFonts w:eastAsia="Times New Roman" w:cs="Times New Roman"/>
                <w:b/>
                <w:bCs/>
                <w:color w:val="000000"/>
                <w:szCs w:val="22"/>
                <w:lang w:val="en-AU"/>
              </w:rPr>
            </w:pPr>
            <w:r w:rsidRPr="008354C6">
              <w:rPr>
                <w:rFonts w:eastAsia="Times New Roman" w:cs="Times New Roman"/>
                <w:b/>
                <w:bCs/>
                <w:color w:val="000000"/>
                <w:szCs w:val="22"/>
                <w:lang w:val="en-AU"/>
              </w:rPr>
              <w:t>961</w:t>
            </w:r>
          </w:p>
        </w:tc>
      </w:tr>
    </w:tbl>
    <w:p w14:paraId="62AFE1D4" w14:textId="77777777" w:rsidR="00597996" w:rsidRPr="00C240B8" w:rsidRDefault="00597996" w:rsidP="009A23AA">
      <w:pPr>
        <w:spacing w:before="60" w:after="60"/>
        <w:rPr>
          <w:sz w:val="20"/>
          <w:szCs w:val="20"/>
        </w:rPr>
      </w:pPr>
      <w:r w:rsidRPr="00C240B8">
        <w:rPr>
          <w:sz w:val="20"/>
          <w:szCs w:val="20"/>
        </w:rPr>
        <w:t>Notes:</w:t>
      </w:r>
    </w:p>
    <w:p w14:paraId="10775FAE" w14:textId="77777777" w:rsidR="00597996" w:rsidRPr="00C240B8" w:rsidRDefault="00597996" w:rsidP="009A23AA">
      <w:pPr>
        <w:pStyle w:val="ListParagraph"/>
        <w:numPr>
          <w:ilvl w:val="0"/>
          <w:numId w:val="23"/>
        </w:numPr>
        <w:spacing w:before="60" w:after="0" w:line="240" w:lineRule="auto"/>
        <w:ind w:left="357" w:hanging="357"/>
        <w:contextualSpacing w:val="0"/>
        <w:jc w:val="both"/>
        <w:rPr>
          <w:rFonts w:ascii="Times New Roman" w:hAnsi="Times New Roman"/>
          <w:sz w:val="20"/>
          <w:szCs w:val="20"/>
        </w:rPr>
      </w:pPr>
      <w:r w:rsidRPr="00C240B8">
        <w:rPr>
          <w:rFonts w:ascii="Times New Roman" w:hAnsi="Times New Roman"/>
          <w:sz w:val="20"/>
          <w:szCs w:val="20"/>
        </w:rPr>
        <w:t>Importers are constantly weighing up the benefits of importing equipment pre-charged with refrigerant versus charging locally. The main considerations are the refrigerant cost in the country of manufacture versus Australia; the cost of labour to charge locally and the potential for additional transport fees or delays associated with transporting equipment with a larger refrigerant charge. Under the International Maritime Dangerous Goods Code equipment containing greater than 14 kg of refrigerant is classified as Dangerous Goods.</w:t>
      </w:r>
    </w:p>
    <w:p w14:paraId="4E9E4BA2" w14:textId="77777777" w:rsidR="00597996" w:rsidRDefault="00597996" w:rsidP="009A23AA">
      <w:pPr>
        <w:pStyle w:val="ListParagraph"/>
        <w:numPr>
          <w:ilvl w:val="0"/>
          <w:numId w:val="23"/>
        </w:numPr>
        <w:spacing w:before="60" w:after="0" w:line="240" w:lineRule="auto"/>
        <w:ind w:left="357" w:hanging="357"/>
        <w:contextualSpacing w:val="0"/>
        <w:jc w:val="both"/>
        <w:rPr>
          <w:rFonts w:ascii="Times New Roman" w:hAnsi="Times New Roman"/>
          <w:sz w:val="20"/>
          <w:szCs w:val="20"/>
        </w:rPr>
      </w:pPr>
      <w:r w:rsidRPr="00C240B8">
        <w:rPr>
          <w:rFonts w:ascii="Times New Roman" w:hAnsi="Times New Roman"/>
          <w:sz w:val="20"/>
          <w:szCs w:val="20"/>
        </w:rPr>
        <w:t>Industry sources believe that at least some chiller manufacturers from China are shipping without refrigerant charge due to difficulties encountered with the dangerous goods transportation classification imposed on equipment with pressurised gas charges.</w:t>
      </w:r>
    </w:p>
    <w:p w14:paraId="29C87340" w14:textId="655C4A47" w:rsidR="00597996" w:rsidRPr="00C240B8" w:rsidRDefault="00597996" w:rsidP="009A23AA">
      <w:pPr>
        <w:pStyle w:val="ListParagraph"/>
        <w:numPr>
          <w:ilvl w:val="0"/>
          <w:numId w:val="23"/>
        </w:numPr>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 xml:space="preserve">There was one chiller reported in 2018 containing 80 kg of </w:t>
      </w:r>
      <w:r w:rsidR="00C400C7">
        <w:rPr>
          <w:rFonts w:ascii="Times New Roman" w:hAnsi="Times New Roman"/>
          <w:sz w:val="20"/>
          <w:szCs w:val="20"/>
        </w:rPr>
        <w:t>HFO/HFC</w:t>
      </w:r>
      <w:r>
        <w:rPr>
          <w:rFonts w:ascii="Times New Roman" w:hAnsi="Times New Roman"/>
          <w:sz w:val="20"/>
          <w:szCs w:val="20"/>
        </w:rPr>
        <w:t xml:space="preserve"> blend R513A. </w:t>
      </w:r>
    </w:p>
    <w:p w14:paraId="09FA1939" w14:textId="77777777" w:rsidR="00597996" w:rsidRDefault="00597996" w:rsidP="009A23AA">
      <w:pPr>
        <w:rPr>
          <w:szCs w:val="22"/>
        </w:rPr>
      </w:pPr>
    </w:p>
    <w:p w14:paraId="5AA6514F" w14:textId="105A7103" w:rsidR="00597996" w:rsidRDefault="00597996" w:rsidP="009A23AA">
      <w:pPr>
        <w:rPr>
          <w:szCs w:val="22"/>
        </w:rPr>
      </w:pPr>
      <w:r>
        <w:rPr>
          <w:szCs w:val="22"/>
        </w:rPr>
        <w:t>To further complicate analysis of imports in these large equipment segments in the future, adoption of new refrigerants in large chillers is moving quickly</w:t>
      </w:r>
      <w:r w:rsidR="00575236">
        <w:rPr>
          <w:szCs w:val="22"/>
        </w:rPr>
        <w:t>.</w:t>
      </w:r>
      <w:r>
        <w:rPr>
          <w:szCs w:val="22"/>
        </w:rPr>
        <w:t xml:space="preserve"> </w:t>
      </w:r>
      <w:r w:rsidR="00575236">
        <w:t xml:space="preserve">Recently commercialised </w:t>
      </w:r>
      <w:r w:rsidR="00575236" w:rsidRPr="007C2C3E">
        <w:t xml:space="preserve">HFO refrigerants are </w:t>
      </w:r>
      <w:r w:rsidR="00575236">
        <w:t xml:space="preserve">playing a </w:t>
      </w:r>
      <w:r w:rsidR="00575236" w:rsidRPr="007C2C3E">
        <w:t xml:space="preserve">key </w:t>
      </w:r>
      <w:r w:rsidR="00575236">
        <w:t xml:space="preserve">role in </w:t>
      </w:r>
      <w:r w:rsidR="00575236" w:rsidRPr="007C2C3E">
        <w:t>efforts to find low GWP alternatives to HFCs</w:t>
      </w:r>
      <w:r w:rsidR="00575236">
        <w:t xml:space="preserve"> in large stationary AC equipment </w:t>
      </w:r>
      <w:r>
        <w:rPr>
          <w:szCs w:val="22"/>
        </w:rPr>
        <w:t>and, as HFOs are not required to be reported at point of import, it is increasingly likely that the market is starting to see some chillers imported pre-charged with HFOs.</w:t>
      </w:r>
    </w:p>
    <w:p w14:paraId="04063883" w14:textId="00BE0186" w:rsidR="00597996" w:rsidRDefault="00597996" w:rsidP="009A23AA">
      <w:r>
        <w:t>S</w:t>
      </w:r>
      <w:r w:rsidRPr="007C2C3E">
        <w:t xml:space="preserve">o widespread has </w:t>
      </w:r>
      <w:r>
        <w:t>the adoption of HFO-</w:t>
      </w:r>
      <w:r w:rsidRPr="007C2C3E">
        <w:t>1234ze become</w:t>
      </w:r>
      <w:r>
        <w:t>,</w:t>
      </w:r>
      <w:r w:rsidRPr="007C2C3E">
        <w:t xml:space="preserve"> that </w:t>
      </w:r>
      <w:r>
        <w:rPr>
          <w:szCs w:val="22"/>
        </w:rPr>
        <w:t>a</w:t>
      </w:r>
      <w:r w:rsidRPr="00664C8A">
        <w:rPr>
          <w:szCs w:val="22"/>
        </w:rPr>
        <w:t xml:space="preserve">ll of the global manufacturers of chillers (including local manufacturer </w:t>
      </w:r>
      <w:proofErr w:type="spellStart"/>
      <w:r w:rsidRPr="00664C8A">
        <w:rPr>
          <w:szCs w:val="22"/>
        </w:rPr>
        <w:t>Smardt</w:t>
      </w:r>
      <w:proofErr w:type="spellEnd"/>
      <w:r w:rsidRPr="00664C8A">
        <w:rPr>
          <w:szCs w:val="22"/>
        </w:rPr>
        <w:t xml:space="preserve">) </w:t>
      </w:r>
      <w:r w:rsidRPr="007C2C3E">
        <w:t xml:space="preserve">now offer </w:t>
      </w:r>
      <w:r>
        <w:t>HFO-</w:t>
      </w:r>
      <w:r w:rsidRPr="007C2C3E">
        <w:t xml:space="preserve">1234ze options in their portfolio as </w:t>
      </w:r>
      <w:r w:rsidR="00575236">
        <w:t>an</w:t>
      </w:r>
      <w:r w:rsidRPr="007C2C3E">
        <w:t xml:space="preserve"> alternative to </w:t>
      </w:r>
      <w:r>
        <w:t>HFC-</w:t>
      </w:r>
      <w:r w:rsidRPr="007C2C3E">
        <w:t>134a.</w:t>
      </w:r>
    </w:p>
    <w:p w14:paraId="7DB2BE72" w14:textId="258E5253" w:rsidR="00597996" w:rsidRDefault="00597996" w:rsidP="009A23AA">
      <w:pPr>
        <w:rPr>
          <w:szCs w:val="22"/>
        </w:rPr>
      </w:pPr>
      <w:r>
        <w:rPr>
          <w:szCs w:val="22"/>
        </w:rPr>
        <w:t>While p</w:t>
      </w:r>
      <w:r w:rsidRPr="00664C8A">
        <w:rPr>
          <w:szCs w:val="22"/>
        </w:rPr>
        <w:t>rimarily driven by the HFC phasedown timetable</w:t>
      </w:r>
      <w:r w:rsidR="00A20BCB">
        <w:rPr>
          <w:szCs w:val="22"/>
        </w:rPr>
        <w:t>, and the fact that chillers generally have very long operational lives,</w:t>
      </w:r>
      <w:r>
        <w:rPr>
          <w:szCs w:val="22"/>
        </w:rPr>
        <w:t xml:space="preserve"> it must also be pointed out that many of the HFC alternatives, and the new </w:t>
      </w:r>
      <w:r w:rsidR="00C400C7">
        <w:rPr>
          <w:szCs w:val="22"/>
        </w:rPr>
        <w:t>HFO</w:t>
      </w:r>
      <w:r w:rsidR="00362A83">
        <w:rPr>
          <w:szCs w:val="22"/>
        </w:rPr>
        <w:t>s</w:t>
      </w:r>
      <w:r>
        <w:rPr>
          <w:szCs w:val="22"/>
        </w:rPr>
        <w:t>, also deliver improved energy efficiency, simply making the transition a matter of competitive and economic necessity</w:t>
      </w:r>
      <w:r w:rsidRPr="00664C8A">
        <w:rPr>
          <w:szCs w:val="22"/>
        </w:rPr>
        <w:t>.</w:t>
      </w:r>
      <w:r>
        <w:rPr>
          <w:szCs w:val="22"/>
        </w:rPr>
        <w:t xml:space="preserve"> </w:t>
      </w:r>
    </w:p>
    <w:p w14:paraId="4D4118D8" w14:textId="07A9F4CD" w:rsidR="00597996" w:rsidRDefault="00597996" w:rsidP="009A23AA">
      <w:pPr>
        <w:rPr>
          <w:szCs w:val="22"/>
        </w:rPr>
      </w:pPr>
      <w:r>
        <w:rPr>
          <w:szCs w:val="22"/>
        </w:rPr>
        <w:t>For instance, the HFO refrigerant of choice for l</w:t>
      </w:r>
      <w:r w:rsidRPr="00356682">
        <w:rPr>
          <w:szCs w:val="22"/>
        </w:rPr>
        <w:t xml:space="preserve">arge </w:t>
      </w:r>
      <w:r>
        <w:rPr>
          <w:szCs w:val="22"/>
        </w:rPr>
        <w:t>c</w:t>
      </w:r>
      <w:r w:rsidRPr="00356682">
        <w:rPr>
          <w:szCs w:val="22"/>
        </w:rPr>
        <w:t>entrifugal chiller</w:t>
      </w:r>
      <w:r w:rsidR="0029793D">
        <w:rPr>
          <w:szCs w:val="22"/>
        </w:rPr>
        <w:t xml:space="preserve"> manufacturers</w:t>
      </w:r>
      <w:r w:rsidRPr="00356682">
        <w:rPr>
          <w:szCs w:val="22"/>
        </w:rPr>
        <w:t xml:space="preserve"> </w:t>
      </w:r>
      <w:r>
        <w:rPr>
          <w:szCs w:val="22"/>
        </w:rPr>
        <w:t xml:space="preserve">has become </w:t>
      </w:r>
      <w:r w:rsidRPr="00356682">
        <w:rPr>
          <w:szCs w:val="22"/>
        </w:rPr>
        <w:t xml:space="preserve">HFO-1233zd </w:t>
      </w:r>
      <w:r>
        <w:rPr>
          <w:szCs w:val="22"/>
        </w:rPr>
        <w:t>which provides meaningful financial benefits to equipment owners due to significant energy efficiency gains. The non-flammable safety classification of th</w:t>
      </w:r>
      <w:r w:rsidR="0029793D">
        <w:rPr>
          <w:szCs w:val="22"/>
        </w:rPr>
        <w:t>is</w:t>
      </w:r>
      <w:r>
        <w:rPr>
          <w:szCs w:val="22"/>
        </w:rPr>
        <w:t xml:space="preserve"> refrigerant (i.e. Class A1, non-flammable) also makes installation similar to HFC-134a charged equipment under the new technical standard </w:t>
      </w:r>
      <w:r w:rsidRPr="002965C7">
        <w:rPr>
          <w:i/>
          <w:szCs w:val="22"/>
        </w:rPr>
        <w:t>ISO 5149</w:t>
      </w:r>
      <w:r>
        <w:rPr>
          <w:i/>
          <w:szCs w:val="22"/>
        </w:rPr>
        <w:t>: 2016</w:t>
      </w:r>
      <w:r w:rsidRPr="002965C7">
        <w:rPr>
          <w:i/>
          <w:szCs w:val="22"/>
        </w:rPr>
        <w:t xml:space="preserve"> Refrigerating systems and heat pumps - Safety and environmental requirements</w:t>
      </w:r>
      <w:r>
        <w:rPr>
          <w:szCs w:val="22"/>
        </w:rPr>
        <w:t>. There were several large chillers installed in Australia in 2018 operating on HFO-1233zd.</w:t>
      </w:r>
    </w:p>
    <w:p w14:paraId="5562F301" w14:textId="05EC6D93" w:rsidR="00597996" w:rsidRDefault="00597996" w:rsidP="009A23AA">
      <w:pPr>
        <w:rPr>
          <w:szCs w:val="22"/>
        </w:rPr>
      </w:pPr>
      <w:r>
        <w:rPr>
          <w:szCs w:val="22"/>
        </w:rPr>
        <w:t xml:space="preserve">Some </w:t>
      </w:r>
      <w:r w:rsidR="00197CD1">
        <w:rPr>
          <w:szCs w:val="22"/>
        </w:rPr>
        <w:t>manufacturers</w:t>
      </w:r>
      <w:r>
        <w:rPr>
          <w:szCs w:val="22"/>
        </w:rPr>
        <w:t xml:space="preserve"> are adopting a two-step approach, moving to a Class A1 </w:t>
      </w:r>
      <w:r w:rsidR="00C400C7">
        <w:rPr>
          <w:szCs w:val="22"/>
        </w:rPr>
        <w:t>HFO/HFC</w:t>
      </w:r>
      <w:r>
        <w:rPr>
          <w:szCs w:val="22"/>
        </w:rPr>
        <w:t xml:space="preserve"> blend with around half the GWP of HFC-134a, such as HFC-513A (GWP of 632), while planning the transition to pure HFOs. One impediment to this transition, particularly to HFO-1234yf</w:t>
      </w:r>
      <w:r w:rsidR="00AA0633">
        <w:rPr>
          <w:szCs w:val="22"/>
        </w:rPr>
        <w:t>,</w:t>
      </w:r>
      <w:r>
        <w:rPr>
          <w:szCs w:val="22"/>
        </w:rPr>
        <w:t xml:space="preserve"> is the additional installation costs arising from its Class A2L mildly flammable classification. </w:t>
      </w:r>
      <w:r w:rsidRPr="000D16A3">
        <w:rPr>
          <w:szCs w:val="22"/>
        </w:rPr>
        <w:t xml:space="preserve">HFO/HFC blends are required to be reported </w:t>
      </w:r>
      <w:r>
        <w:rPr>
          <w:szCs w:val="22"/>
        </w:rPr>
        <w:t xml:space="preserve">at the point of import </w:t>
      </w:r>
      <w:r w:rsidRPr="000D16A3">
        <w:rPr>
          <w:szCs w:val="22"/>
        </w:rPr>
        <w:t>and the amount of refrigerant reported includes the total mass of HFCs and HFO.</w:t>
      </w:r>
    </w:p>
    <w:p w14:paraId="501153B7" w14:textId="77777777" w:rsidR="00597996" w:rsidRDefault="00597996" w:rsidP="009A23AA">
      <w:r>
        <w:t>To illustrate the rate of change and diversification of refrigerant types in this large equipment segment, at time of writing a selection of observations from the market are listed below:</w:t>
      </w:r>
    </w:p>
    <w:p w14:paraId="43C571F7" w14:textId="77777777" w:rsidR="00597996" w:rsidRPr="00F15C39" w:rsidRDefault="00597996" w:rsidP="009A23AA">
      <w:pPr>
        <w:pStyle w:val="ListParagraph"/>
        <w:numPr>
          <w:ilvl w:val="0"/>
          <w:numId w:val="24"/>
        </w:numPr>
        <w:spacing w:before="120" w:after="0" w:line="240" w:lineRule="auto"/>
        <w:ind w:left="357" w:hanging="357"/>
        <w:contextualSpacing w:val="0"/>
        <w:jc w:val="both"/>
        <w:rPr>
          <w:rFonts w:ascii="Times New Roman" w:hAnsi="Times New Roman"/>
        </w:rPr>
      </w:pPr>
      <w:r w:rsidRPr="00F15C39">
        <w:rPr>
          <w:rFonts w:ascii="Times New Roman" w:hAnsi="Times New Roman"/>
        </w:rPr>
        <w:t xml:space="preserve">Daikin/McQuay are migrating </w:t>
      </w:r>
      <w:r>
        <w:rPr>
          <w:rFonts w:ascii="Times New Roman" w:hAnsi="Times New Roman"/>
        </w:rPr>
        <w:t xml:space="preserve">the EU chiller range </w:t>
      </w:r>
      <w:r w:rsidRPr="00F15C39">
        <w:rPr>
          <w:rFonts w:ascii="Times New Roman" w:hAnsi="Times New Roman"/>
        </w:rPr>
        <w:t>to HFC-32</w:t>
      </w:r>
      <w:r>
        <w:rPr>
          <w:rFonts w:ascii="Times New Roman" w:hAnsi="Times New Roman"/>
        </w:rPr>
        <w:t>,</w:t>
      </w:r>
      <w:r w:rsidRPr="00F15C39">
        <w:rPr>
          <w:rFonts w:ascii="Times New Roman" w:hAnsi="Times New Roman"/>
        </w:rPr>
        <w:t xml:space="preserve"> requiring refrigerant charge sizes around one third for similar cooling capacity as the HFC-410A models in 80</w:t>
      </w:r>
      <w:r>
        <w:rPr>
          <w:rFonts w:ascii="Times New Roman" w:hAnsi="Times New Roman"/>
        </w:rPr>
        <w:t xml:space="preserve"> </w:t>
      </w:r>
      <w:r w:rsidRPr="00F15C39">
        <w:rPr>
          <w:rFonts w:ascii="Times New Roman" w:hAnsi="Times New Roman"/>
        </w:rPr>
        <w:t>kW up to 700</w:t>
      </w:r>
      <w:r>
        <w:rPr>
          <w:rFonts w:ascii="Times New Roman" w:hAnsi="Times New Roman"/>
        </w:rPr>
        <w:t xml:space="preserve"> </w:t>
      </w:r>
      <w:r w:rsidRPr="00F15C39">
        <w:rPr>
          <w:rFonts w:ascii="Times New Roman" w:hAnsi="Times New Roman"/>
        </w:rPr>
        <w:t>kW cooling capacity</w:t>
      </w:r>
      <w:r>
        <w:rPr>
          <w:rFonts w:ascii="Times New Roman" w:hAnsi="Times New Roman"/>
        </w:rPr>
        <w:t>;</w:t>
      </w:r>
    </w:p>
    <w:p w14:paraId="08B1EC72" w14:textId="4036DD56" w:rsidR="00597996" w:rsidRPr="00F15C39" w:rsidRDefault="00597996" w:rsidP="009A23AA">
      <w:pPr>
        <w:pStyle w:val="ListParagraph"/>
        <w:numPr>
          <w:ilvl w:val="0"/>
          <w:numId w:val="24"/>
        </w:numPr>
        <w:spacing w:before="120" w:after="0" w:line="240" w:lineRule="auto"/>
        <w:ind w:left="357" w:hanging="357"/>
        <w:contextualSpacing w:val="0"/>
        <w:jc w:val="both"/>
        <w:rPr>
          <w:rFonts w:ascii="Times New Roman" w:hAnsi="Times New Roman"/>
        </w:rPr>
      </w:pPr>
      <w:r w:rsidRPr="00F15C39">
        <w:rPr>
          <w:rFonts w:ascii="Times New Roman" w:hAnsi="Times New Roman"/>
        </w:rPr>
        <w:t xml:space="preserve">Trane compressors designed to use HCFC-123 are now being designed to use </w:t>
      </w:r>
      <w:r w:rsidR="00C400C7">
        <w:rPr>
          <w:rFonts w:ascii="Times New Roman" w:hAnsi="Times New Roman"/>
        </w:rPr>
        <w:t>HFO</w:t>
      </w:r>
      <w:r w:rsidR="00D129A0">
        <w:rPr>
          <w:rFonts w:ascii="Times New Roman" w:hAnsi="Times New Roman"/>
        </w:rPr>
        <w:t>-5</w:t>
      </w:r>
      <w:r w:rsidRPr="00F15C39">
        <w:rPr>
          <w:rFonts w:ascii="Times New Roman" w:hAnsi="Times New Roman"/>
        </w:rPr>
        <w:t>14A</w:t>
      </w:r>
      <w:r w:rsidR="00DB0F29">
        <w:rPr>
          <w:rFonts w:ascii="Times New Roman" w:hAnsi="Times New Roman"/>
        </w:rPr>
        <w:t xml:space="preserve"> (GWP of </w:t>
      </w:r>
      <w:r w:rsidR="00D129A0">
        <w:rPr>
          <w:rFonts w:ascii="Times New Roman" w:hAnsi="Times New Roman"/>
        </w:rPr>
        <w:t>2</w:t>
      </w:r>
      <w:r w:rsidR="00DB0F29">
        <w:rPr>
          <w:rFonts w:ascii="Times New Roman" w:hAnsi="Times New Roman"/>
        </w:rPr>
        <w:t>)</w:t>
      </w:r>
      <w:r w:rsidRPr="00F15C39">
        <w:rPr>
          <w:rFonts w:ascii="Times New Roman" w:hAnsi="Times New Roman"/>
        </w:rPr>
        <w:t>;</w:t>
      </w:r>
    </w:p>
    <w:p w14:paraId="2CC8917B" w14:textId="253AA823" w:rsidR="00597996" w:rsidRPr="00F15C39" w:rsidRDefault="00C400C7" w:rsidP="009A23AA">
      <w:pPr>
        <w:pStyle w:val="ListParagraph"/>
        <w:numPr>
          <w:ilvl w:val="0"/>
          <w:numId w:val="24"/>
        </w:numPr>
        <w:spacing w:before="120" w:after="0" w:line="240" w:lineRule="auto"/>
        <w:ind w:left="357" w:hanging="357"/>
        <w:contextualSpacing w:val="0"/>
        <w:jc w:val="both"/>
        <w:rPr>
          <w:rFonts w:ascii="Times New Roman" w:hAnsi="Times New Roman"/>
        </w:rPr>
      </w:pPr>
      <w:r>
        <w:rPr>
          <w:rFonts w:ascii="Times New Roman" w:hAnsi="Times New Roman"/>
        </w:rPr>
        <w:t>HFO/HFC</w:t>
      </w:r>
      <w:r w:rsidR="00597996">
        <w:rPr>
          <w:rFonts w:ascii="Times New Roman" w:hAnsi="Times New Roman"/>
        </w:rPr>
        <w:t xml:space="preserve"> blend </w:t>
      </w:r>
      <w:r w:rsidR="00597996" w:rsidRPr="00F15C39">
        <w:rPr>
          <w:rFonts w:ascii="Times New Roman" w:hAnsi="Times New Roman"/>
        </w:rPr>
        <w:t xml:space="preserve">R452B is being offered </w:t>
      </w:r>
      <w:r w:rsidR="00AA0633">
        <w:rPr>
          <w:rFonts w:ascii="Times New Roman" w:hAnsi="Times New Roman"/>
        </w:rPr>
        <w:t>i</w:t>
      </w:r>
      <w:r w:rsidR="00597996" w:rsidRPr="00F15C39">
        <w:rPr>
          <w:rFonts w:ascii="Times New Roman" w:hAnsi="Times New Roman"/>
        </w:rPr>
        <w:t>n Clint chillers</w:t>
      </w:r>
      <w:r w:rsidR="00597996">
        <w:rPr>
          <w:rFonts w:ascii="Times New Roman" w:hAnsi="Times New Roman"/>
        </w:rPr>
        <w:t xml:space="preserve"> in the EU</w:t>
      </w:r>
      <w:r w:rsidR="00597996" w:rsidRPr="00F15C39">
        <w:rPr>
          <w:rFonts w:ascii="Times New Roman" w:hAnsi="Times New Roman"/>
        </w:rPr>
        <w:t xml:space="preserve">, </w:t>
      </w:r>
      <w:r w:rsidR="00597996">
        <w:rPr>
          <w:rFonts w:ascii="Times New Roman" w:hAnsi="Times New Roman"/>
        </w:rPr>
        <w:t xml:space="preserve">an </w:t>
      </w:r>
      <w:r w:rsidR="00597996" w:rsidRPr="00F15C39">
        <w:rPr>
          <w:rFonts w:ascii="Times New Roman" w:hAnsi="Times New Roman"/>
        </w:rPr>
        <w:t xml:space="preserve">alternative to R410A and a rival to </w:t>
      </w:r>
      <w:r w:rsidR="00597996">
        <w:rPr>
          <w:rFonts w:ascii="Times New Roman" w:hAnsi="Times New Roman"/>
        </w:rPr>
        <w:t>HFC-</w:t>
      </w:r>
      <w:r w:rsidR="00597996" w:rsidRPr="00F15C39">
        <w:rPr>
          <w:rFonts w:ascii="Times New Roman" w:hAnsi="Times New Roman"/>
        </w:rPr>
        <w:t xml:space="preserve">32. R452B is an A2L mildly flammable </w:t>
      </w:r>
      <w:r w:rsidR="00597996">
        <w:rPr>
          <w:rFonts w:ascii="Times New Roman" w:hAnsi="Times New Roman"/>
        </w:rPr>
        <w:t xml:space="preserve">refrigerant </w:t>
      </w:r>
      <w:r w:rsidR="00597996" w:rsidRPr="00F15C39">
        <w:rPr>
          <w:rFonts w:ascii="Times New Roman" w:hAnsi="Times New Roman"/>
        </w:rPr>
        <w:t>with a GWP of 676</w:t>
      </w:r>
      <w:r w:rsidR="00597996">
        <w:rPr>
          <w:rFonts w:ascii="Times New Roman" w:hAnsi="Times New Roman"/>
        </w:rPr>
        <w:t>;</w:t>
      </w:r>
    </w:p>
    <w:p w14:paraId="2581DAC6" w14:textId="20D021F7" w:rsidR="00597996" w:rsidRPr="00F15C39" w:rsidRDefault="00597996" w:rsidP="009A23AA">
      <w:pPr>
        <w:pStyle w:val="ListParagraph"/>
        <w:numPr>
          <w:ilvl w:val="0"/>
          <w:numId w:val="24"/>
        </w:numPr>
        <w:spacing w:before="120" w:after="0" w:line="240" w:lineRule="auto"/>
        <w:ind w:left="357" w:hanging="357"/>
        <w:contextualSpacing w:val="0"/>
        <w:jc w:val="both"/>
        <w:rPr>
          <w:rFonts w:ascii="Times New Roman" w:hAnsi="Times New Roman"/>
        </w:rPr>
      </w:pPr>
      <w:proofErr w:type="spellStart"/>
      <w:r w:rsidRPr="00F15C39">
        <w:rPr>
          <w:rFonts w:ascii="Times New Roman" w:hAnsi="Times New Roman"/>
        </w:rPr>
        <w:t>Kaltra</w:t>
      </w:r>
      <w:proofErr w:type="spellEnd"/>
      <w:r w:rsidRPr="00F15C39">
        <w:rPr>
          <w:rFonts w:ascii="Times New Roman" w:hAnsi="Times New Roman"/>
        </w:rPr>
        <w:t xml:space="preserve"> </w:t>
      </w:r>
      <w:r>
        <w:rPr>
          <w:rFonts w:ascii="Times New Roman" w:hAnsi="Times New Roman"/>
        </w:rPr>
        <w:t xml:space="preserve">a </w:t>
      </w:r>
      <w:r w:rsidRPr="00F15C39">
        <w:rPr>
          <w:rFonts w:ascii="Times New Roman" w:hAnsi="Times New Roman"/>
        </w:rPr>
        <w:t>German</w:t>
      </w:r>
      <w:r>
        <w:rPr>
          <w:rFonts w:ascii="Times New Roman" w:hAnsi="Times New Roman"/>
        </w:rPr>
        <w:t xml:space="preserve"> manufacturer</w:t>
      </w:r>
      <w:r w:rsidR="00AA0633">
        <w:rPr>
          <w:rFonts w:ascii="Times New Roman" w:hAnsi="Times New Roman"/>
        </w:rPr>
        <w:t>,</w:t>
      </w:r>
      <w:r>
        <w:rPr>
          <w:rFonts w:ascii="Times New Roman" w:hAnsi="Times New Roman"/>
        </w:rPr>
        <w:t xml:space="preserve"> is </w:t>
      </w:r>
      <w:r w:rsidRPr="00F15C39">
        <w:rPr>
          <w:rFonts w:ascii="Times New Roman" w:hAnsi="Times New Roman"/>
        </w:rPr>
        <w:t xml:space="preserve">offering </w:t>
      </w:r>
      <w:r w:rsidR="00C400C7">
        <w:rPr>
          <w:rFonts w:ascii="Times New Roman" w:hAnsi="Times New Roman"/>
        </w:rPr>
        <w:t>HFO/HFC</w:t>
      </w:r>
      <w:r>
        <w:rPr>
          <w:rFonts w:ascii="Times New Roman" w:hAnsi="Times New Roman"/>
        </w:rPr>
        <w:t xml:space="preserve"> blend </w:t>
      </w:r>
      <w:r w:rsidRPr="00F15C39">
        <w:rPr>
          <w:rFonts w:ascii="Times New Roman" w:hAnsi="Times New Roman"/>
        </w:rPr>
        <w:t xml:space="preserve">R452B refrigerant as a lower-GWP alternative to </w:t>
      </w:r>
      <w:r>
        <w:rPr>
          <w:rFonts w:ascii="Times New Roman" w:hAnsi="Times New Roman"/>
        </w:rPr>
        <w:t>HFC-</w:t>
      </w:r>
      <w:r w:rsidRPr="00F15C39">
        <w:rPr>
          <w:rFonts w:ascii="Times New Roman" w:hAnsi="Times New Roman"/>
        </w:rPr>
        <w:t xml:space="preserve">410A in its chillers </w:t>
      </w:r>
      <w:r>
        <w:rPr>
          <w:rFonts w:ascii="Times New Roman" w:hAnsi="Times New Roman"/>
        </w:rPr>
        <w:t xml:space="preserve">range </w:t>
      </w:r>
      <w:r w:rsidRPr="00F15C39">
        <w:rPr>
          <w:rFonts w:ascii="Times New Roman" w:hAnsi="Times New Roman"/>
        </w:rPr>
        <w:t>in sizes from 50</w:t>
      </w:r>
      <w:r>
        <w:rPr>
          <w:rFonts w:ascii="Times New Roman" w:hAnsi="Times New Roman"/>
        </w:rPr>
        <w:t xml:space="preserve"> </w:t>
      </w:r>
      <w:r w:rsidRPr="00F15C39">
        <w:rPr>
          <w:rFonts w:ascii="Times New Roman" w:hAnsi="Times New Roman"/>
        </w:rPr>
        <w:t>kW-500</w:t>
      </w:r>
      <w:r>
        <w:rPr>
          <w:rFonts w:ascii="Times New Roman" w:hAnsi="Times New Roman"/>
        </w:rPr>
        <w:t xml:space="preserve"> </w:t>
      </w:r>
      <w:r w:rsidRPr="00F15C39">
        <w:rPr>
          <w:rFonts w:ascii="Times New Roman" w:hAnsi="Times New Roman"/>
        </w:rPr>
        <w:t>kW</w:t>
      </w:r>
      <w:r>
        <w:rPr>
          <w:rFonts w:ascii="Times New Roman" w:hAnsi="Times New Roman"/>
        </w:rPr>
        <w:t>; and,</w:t>
      </w:r>
    </w:p>
    <w:p w14:paraId="01B2B586" w14:textId="77777777" w:rsidR="00597996" w:rsidRPr="00F15C39" w:rsidRDefault="00597996" w:rsidP="009A23AA">
      <w:pPr>
        <w:pStyle w:val="ListParagraph"/>
        <w:numPr>
          <w:ilvl w:val="0"/>
          <w:numId w:val="24"/>
        </w:numPr>
        <w:spacing w:before="120" w:after="0" w:line="240" w:lineRule="auto"/>
        <w:ind w:left="357" w:hanging="357"/>
        <w:contextualSpacing w:val="0"/>
        <w:jc w:val="both"/>
        <w:rPr>
          <w:rFonts w:ascii="Times New Roman" w:hAnsi="Times New Roman"/>
        </w:rPr>
      </w:pPr>
      <w:r w:rsidRPr="00F15C39">
        <w:rPr>
          <w:rFonts w:ascii="Times New Roman" w:hAnsi="Times New Roman"/>
        </w:rPr>
        <w:t xml:space="preserve">Fluid Chillers Australia </w:t>
      </w:r>
      <w:r>
        <w:rPr>
          <w:rFonts w:ascii="Times New Roman" w:hAnsi="Times New Roman"/>
        </w:rPr>
        <w:t xml:space="preserve">is </w:t>
      </w:r>
      <w:r w:rsidRPr="00F15C39">
        <w:rPr>
          <w:rFonts w:ascii="Times New Roman" w:hAnsi="Times New Roman"/>
        </w:rPr>
        <w:t xml:space="preserve">offering </w:t>
      </w:r>
      <w:r>
        <w:rPr>
          <w:rFonts w:ascii="Times New Roman" w:hAnsi="Times New Roman"/>
        </w:rPr>
        <w:t>HFC-</w:t>
      </w:r>
      <w:r w:rsidRPr="00F15C39">
        <w:rPr>
          <w:rFonts w:ascii="Times New Roman" w:hAnsi="Times New Roman"/>
        </w:rPr>
        <w:t>407F</w:t>
      </w:r>
      <w:r>
        <w:rPr>
          <w:rFonts w:ascii="Times New Roman" w:hAnsi="Times New Roman"/>
        </w:rPr>
        <w:t xml:space="preserve"> and HFC-</w:t>
      </w:r>
      <w:r w:rsidRPr="00F15C39">
        <w:rPr>
          <w:rFonts w:ascii="Times New Roman" w:hAnsi="Times New Roman"/>
        </w:rPr>
        <w:t xml:space="preserve">134a </w:t>
      </w:r>
      <w:r>
        <w:rPr>
          <w:rFonts w:ascii="Times New Roman" w:hAnsi="Times New Roman"/>
        </w:rPr>
        <w:t xml:space="preserve">in air cooled models </w:t>
      </w:r>
      <w:r w:rsidRPr="00F15C39">
        <w:rPr>
          <w:rFonts w:ascii="Times New Roman" w:hAnsi="Times New Roman"/>
        </w:rPr>
        <w:t>rang</w:t>
      </w:r>
      <w:r>
        <w:rPr>
          <w:rFonts w:ascii="Times New Roman" w:hAnsi="Times New Roman"/>
        </w:rPr>
        <w:t xml:space="preserve">ing </w:t>
      </w:r>
      <w:r w:rsidRPr="00F15C39">
        <w:rPr>
          <w:rFonts w:ascii="Times New Roman" w:hAnsi="Times New Roman"/>
        </w:rPr>
        <w:t>from 11</w:t>
      </w:r>
      <w:r>
        <w:rPr>
          <w:rFonts w:ascii="Times New Roman" w:hAnsi="Times New Roman"/>
        </w:rPr>
        <w:t xml:space="preserve"> kW</w:t>
      </w:r>
      <w:r w:rsidRPr="00F15C39">
        <w:rPr>
          <w:rFonts w:ascii="Times New Roman" w:hAnsi="Times New Roman"/>
        </w:rPr>
        <w:t xml:space="preserve"> to 216 kW and also in larger water cooled models</w:t>
      </w:r>
      <w:r>
        <w:rPr>
          <w:rFonts w:ascii="Times New Roman" w:hAnsi="Times New Roman"/>
        </w:rPr>
        <w:t>.</w:t>
      </w:r>
    </w:p>
    <w:p w14:paraId="3FEA961E" w14:textId="6BB3B6AD" w:rsidR="00597996" w:rsidRPr="00BF1844" w:rsidRDefault="00597996" w:rsidP="009A23AA">
      <w:r>
        <w:t>As this trend accelerates new sources of data will be required for future editions of Cold Hard Facts to keep up with developments in this area as neither the bulk import of HFOs nor HFO pre-charged equipment is required to be reported.</w:t>
      </w:r>
    </w:p>
    <w:p w14:paraId="258DDED6" w14:textId="77777777" w:rsidR="00597996" w:rsidRPr="0053622B" w:rsidRDefault="00597996" w:rsidP="009A23AA">
      <w:pPr>
        <w:spacing w:before="60" w:after="60"/>
        <w:rPr>
          <w:sz w:val="20"/>
          <w:szCs w:val="20"/>
        </w:rPr>
      </w:pPr>
    </w:p>
    <w:p w14:paraId="4EAA6B5E" w14:textId="77777777" w:rsidR="00597996" w:rsidRDefault="00597996" w:rsidP="009A23AA">
      <w:pPr>
        <w:pStyle w:val="Heading3"/>
        <w:jc w:val="both"/>
      </w:pPr>
      <w:bookmarkStart w:id="26" w:name="_Toc19601291"/>
      <w:r>
        <w:t xml:space="preserve">Stationary </w:t>
      </w:r>
      <w:r w:rsidRPr="001B0989">
        <w:t>air conditioning bank and projection</w:t>
      </w:r>
      <w:bookmarkEnd w:id="26"/>
      <w:r w:rsidRPr="001B0989">
        <w:t xml:space="preserve"> </w:t>
      </w:r>
    </w:p>
    <w:p w14:paraId="7AE5D4C1" w14:textId="78DD7A3E" w:rsidR="00597996" w:rsidRPr="00A949CD" w:rsidRDefault="00597996" w:rsidP="009A23AA">
      <w:pPr>
        <w:snapToGrid w:val="0"/>
        <w:rPr>
          <w:rFonts w:cs="Times New Roman"/>
          <w:szCs w:val="22"/>
        </w:rPr>
      </w:pPr>
      <w:r w:rsidRPr="00A949CD">
        <w:rPr>
          <w:rFonts w:cs="Times New Roman"/>
          <w:szCs w:val="22"/>
        </w:rPr>
        <w:t xml:space="preserve">Overall the </w:t>
      </w:r>
      <w:r w:rsidRPr="006126F6">
        <w:rPr>
          <w:rFonts w:cs="Times New Roman"/>
          <w:szCs w:val="22"/>
        </w:rPr>
        <w:t xml:space="preserve">refrigerant bank in stationary air conditioning, across all segments from the very small self-contained units to the largest chillers, is predicted to expand by nearly </w:t>
      </w:r>
      <w:r w:rsidR="005D76FC" w:rsidRPr="006126F6">
        <w:rPr>
          <w:rFonts w:cs="Times New Roman"/>
          <w:szCs w:val="22"/>
        </w:rPr>
        <w:t>3</w:t>
      </w:r>
      <w:r w:rsidR="006126F6" w:rsidRPr="006126F6">
        <w:rPr>
          <w:rFonts w:cs="Times New Roman"/>
          <w:szCs w:val="22"/>
        </w:rPr>
        <w:t>3</w:t>
      </w:r>
      <w:r w:rsidRPr="006126F6">
        <w:rPr>
          <w:rFonts w:cs="Times New Roman"/>
          <w:szCs w:val="22"/>
        </w:rPr>
        <w:t>% between 201</w:t>
      </w:r>
      <w:r w:rsidR="005D76FC" w:rsidRPr="006126F6">
        <w:rPr>
          <w:rFonts w:cs="Times New Roman"/>
          <w:szCs w:val="22"/>
        </w:rPr>
        <w:t>8</w:t>
      </w:r>
      <w:r w:rsidRPr="006126F6">
        <w:rPr>
          <w:rFonts w:cs="Times New Roman"/>
          <w:szCs w:val="22"/>
        </w:rPr>
        <w:t xml:space="preserve"> and 2030 to </w:t>
      </w:r>
      <w:r w:rsidR="006126F6" w:rsidRPr="006126F6">
        <w:rPr>
          <w:rFonts w:cs="Times New Roman"/>
          <w:szCs w:val="22"/>
        </w:rPr>
        <w:t xml:space="preserve">around </w:t>
      </w:r>
      <w:r w:rsidRPr="006126F6">
        <w:rPr>
          <w:rFonts w:cs="Times New Roman"/>
          <w:szCs w:val="22"/>
        </w:rPr>
        <w:t>4</w:t>
      </w:r>
      <w:r w:rsidR="006126F6" w:rsidRPr="006126F6">
        <w:rPr>
          <w:rFonts w:cs="Times New Roman"/>
          <w:szCs w:val="22"/>
        </w:rPr>
        <w:t>4</w:t>
      </w:r>
      <w:r w:rsidRPr="006126F6">
        <w:rPr>
          <w:rFonts w:cs="Times New Roman"/>
          <w:szCs w:val="22"/>
        </w:rPr>
        <w:t>,</w:t>
      </w:r>
      <w:r w:rsidR="006126F6" w:rsidRPr="006126F6">
        <w:rPr>
          <w:rFonts w:cs="Times New Roman"/>
          <w:szCs w:val="22"/>
        </w:rPr>
        <w:t>8</w:t>
      </w:r>
      <w:r w:rsidRPr="006126F6">
        <w:rPr>
          <w:rFonts w:cs="Times New Roman"/>
          <w:szCs w:val="22"/>
        </w:rPr>
        <w:t xml:space="preserve">00 tonnes. The bank in Stationary AC </w:t>
      </w:r>
      <w:r w:rsidR="00313331" w:rsidRPr="006126F6">
        <w:rPr>
          <w:rFonts w:cs="Times New Roman"/>
          <w:szCs w:val="22"/>
        </w:rPr>
        <w:t>is expected to</w:t>
      </w:r>
      <w:r w:rsidRPr="006126F6">
        <w:rPr>
          <w:rFonts w:cs="Times New Roman"/>
          <w:szCs w:val="22"/>
        </w:rPr>
        <w:t xml:space="preserve"> represent more than 6</w:t>
      </w:r>
      <w:r w:rsidR="006B49E6">
        <w:rPr>
          <w:rFonts w:cs="Times New Roman"/>
          <w:szCs w:val="22"/>
        </w:rPr>
        <w:t>5</w:t>
      </w:r>
      <w:r w:rsidRPr="006126F6">
        <w:rPr>
          <w:rFonts w:cs="Times New Roman"/>
          <w:szCs w:val="22"/>
        </w:rPr>
        <w:t xml:space="preserve">% of the total </w:t>
      </w:r>
      <w:r w:rsidR="006126F6" w:rsidRPr="006126F6">
        <w:rPr>
          <w:rFonts w:cs="Times New Roman"/>
          <w:szCs w:val="22"/>
        </w:rPr>
        <w:t>r</w:t>
      </w:r>
      <w:r w:rsidRPr="006126F6">
        <w:rPr>
          <w:rFonts w:cs="Times New Roman"/>
          <w:szCs w:val="22"/>
        </w:rPr>
        <w:t>efrigerant bank in 2030, an increase from 6</w:t>
      </w:r>
      <w:r w:rsidR="00313331" w:rsidRPr="006126F6">
        <w:rPr>
          <w:rFonts w:cs="Times New Roman"/>
          <w:szCs w:val="22"/>
        </w:rPr>
        <w:t>3</w:t>
      </w:r>
      <w:r w:rsidRPr="006126F6">
        <w:rPr>
          <w:rFonts w:cs="Times New Roman"/>
          <w:szCs w:val="22"/>
        </w:rPr>
        <w:t>% in 201</w:t>
      </w:r>
      <w:r w:rsidR="00313331" w:rsidRPr="006126F6">
        <w:rPr>
          <w:rFonts w:cs="Times New Roman"/>
          <w:szCs w:val="22"/>
        </w:rPr>
        <w:t>8</w:t>
      </w:r>
      <w:r w:rsidRPr="006126F6">
        <w:rPr>
          <w:rFonts w:cs="Times New Roman"/>
          <w:szCs w:val="22"/>
        </w:rPr>
        <w:t>.</w:t>
      </w:r>
      <w:r w:rsidRPr="00A949CD">
        <w:rPr>
          <w:rFonts w:cs="Times New Roman"/>
          <w:szCs w:val="22"/>
        </w:rPr>
        <w:t xml:space="preserve"> </w:t>
      </w:r>
    </w:p>
    <w:p w14:paraId="5E1FE79F" w14:textId="77777777" w:rsidR="00597996" w:rsidRDefault="00597996" w:rsidP="009A23AA">
      <w:pPr>
        <w:spacing w:before="0" w:after="120"/>
        <w:rPr>
          <w:rFonts w:cs="Times New Roman"/>
          <w:b/>
          <w:szCs w:val="22"/>
        </w:rPr>
      </w:pP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597996" w:rsidRPr="00613398" w14:paraId="3ADDEE07" w14:textId="77777777" w:rsidTr="001D5B2F">
        <w:tc>
          <w:tcPr>
            <w:tcW w:w="9757" w:type="dxa"/>
            <w:vAlign w:val="center"/>
          </w:tcPr>
          <w:p w14:paraId="0905B42E" w14:textId="017B83A1" w:rsidR="00597996" w:rsidRPr="000A23F9" w:rsidRDefault="00597996" w:rsidP="00D66D96">
            <w:pPr>
              <w:spacing w:after="120"/>
              <w:jc w:val="center"/>
              <w:rPr>
                <w:rFonts w:cs="Times New Roman"/>
                <w:b/>
              </w:rPr>
            </w:pPr>
            <w:r w:rsidRPr="000A23F9">
              <w:rPr>
                <w:rFonts w:cs="Times New Roman"/>
                <w:b/>
              </w:rPr>
              <w:br w:type="page"/>
            </w:r>
            <w:r w:rsidR="003B76E8">
              <w:rPr>
                <w:rFonts w:cs="Times New Roman"/>
                <w:b/>
              </w:rPr>
              <w:t>Stationary AC b</w:t>
            </w:r>
            <w:r>
              <w:rPr>
                <w:rFonts w:cs="Times New Roman"/>
                <w:b/>
              </w:rPr>
              <w:t xml:space="preserve">ank by species from </w:t>
            </w:r>
            <w:r w:rsidRPr="000A23F9">
              <w:rPr>
                <w:rFonts w:cs="Times New Roman"/>
                <w:b/>
              </w:rPr>
              <w:t>201</w:t>
            </w:r>
            <w:r w:rsidR="005A78B7">
              <w:rPr>
                <w:rFonts w:cs="Times New Roman"/>
                <w:b/>
              </w:rPr>
              <w:t>8</w:t>
            </w:r>
            <w:r w:rsidRPr="000A23F9">
              <w:rPr>
                <w:rFonts w:cs="Times New Roman"/>
                <w:b/>
              </w:rPr>
              <w:t xml:space="preserve"> to 20</w:t>
            </w:r>
            <w:r>
              <w:rPr>
                <w:rFonts w:cs="Times New Roman"/>
                <w:b/>
              </w:rPr>
              <w:t>30 (t</w:t>
            </w:r>
            <w:r w:rsidRPr="000A23F9">
              <w:rPr>
                <w:rFonts w:cs="Times New Roman"/>
                <w:b/>
              </w:rPr>
              <w:t>onnes)</w:t>
            </w:r>
          </w:p>
        </w:tc>
      </w:tr>
      <w:tr w:rsidR="00597996" w:rsidRPr="000A23F9" w14:paraId="39478125" w14:textId="77777777" w:rsidTr="001D5B2F">
        <w:tc>
          <w:tcPr>
            <w:tcW w:w="9757" w:type="dxa"/>
            <w:vAlign w:val="center"/>
          </w:tcPr>
          <w:p w14:paraId="6F01478D" w14:textId="77777777" w:rsidR="00597996" w:rsidRPr="000A23F9" w:rsidRDefault="00597996" w:rsidP="00871D53">
            <w:pPr>
              <w:spacing w:before="60" w:after="60"/>
              <w:jc w:val="center"/>
              <w:rPr>
                <w:rFonts w:cs="Times New Roman"/>
                <w:sz w:val="16"/>
                <w:szCs w:val="16"/>
              </w:rPr>
            </w:pPr>
          </w:p>
          <w:p w14:paraId="1F22D13A" w14:textId="044262E5" w:rsidR="00597996" w:rsidRPr="000A23F9" w:rsidRDefault="00871D53" w:rsidP="00871D53">
            <w:pPr>
              <w:spacing w:before="60" w:after="60"/>
              <w:jc w:val="center"/>
              <w:rPr>
                <w:rFonts w:cs="Times New Roman"/>
                <w:sz w:val="16"/>
                <w:szCs w:val="16"/>
              </w:rPr>
            </w:pPr>
            <w:r>
              <w:rPr>
                <w:noProof/>
                <w:lang w:val="en-AU" w:eastAsia="en-AU"/>
              </w:rPr>
              <w:drawing>
                <wp:inline distT="0" distB="0" distL="0" distR="0" wp14:anchorId="01D893F5" wp14:editId="6CB0CA49">
                  <wp:extent cx="6030595" cy="222377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0595" cy="2223770"/>
                          </a:xfrm>
                          <a:prstGeom prst="rect">
                            <a:avLst/>
                          </a:prstGeom>
                        </pic:spPr>
                      </pic:pic>
                    </a:graphicData>
                  </a:graphic>
                </wp:inline>
              </w:drawing>
            </w:r>
          </w:p>
          <w:p w14:paraId="15C17238" w14:textId="77777777" w:rsidR="00597996" w:rsidRPr="000A23F9" w:rsidRDefault="00597996" w:rsidP="00871D53">
            <w:pPr>
              <w:spacing w:before="60" w:after="60"/>
              <w:jc w:val="center"/>
              <w:rPr>
                <w:rFonts w:cs="Times New Roman"/>
                <w:sz w:val="16"/>
                <w:szCs w:val="16"/>
              </w:rPr>
            </w:pPr>
          </w:p>
        </w:tc>
      </w:tr>
      <w:tr w:rsidR="00597996" w:rsidRPr="000A23F9" w14:paraId="2F05CBBE" w14:textId="77777777" w:rsidTr="001D5B2F">
        <w:tc>
          <w:tcPr>
            <w:tcW w:w="9757" w:type="dxa"/>
            <w:vAlign w:val="center"/>
          </w:tcPr>
          <w:p w14:paraId="07324821" w14:textId="5AB9C60A" w:rsidR="00597996" w:rsidRPr="00290841" w:rsidRDefault="00597996" w:rsidP="009A23AA">
            <w:pPr>
              <w:pStyle w:val="Caption"/>
            </w:pPr>
            <w:bookmarkStart w:id="27" w:name="_Toc525141352"/>
            <w:bookmarkStart w:id="28" w:name="_Toc19601325"/>
            <w:r w:rsidRPr="00290841">
              <w:t xml:space="preserve">Figure </w:t>
            </w:r>
            <w:r>
              <w:rPr>
                <w:noProof/>
              </w:rPr>
              <w:fldChar w:fldCharType="begin"/>
            </w:r>
            <w:r>
              <w:rPr>
                <w:noProof/>
              </w:rPr>
              <w:instrText xml:space="preserve"> SEQ Figure \* ARABIC </w:instrText>
            </w:r>
            <w:r>
              <w:rPr>
                <w:noProof/>
              </w:rPr>
              <w:fldChar w:fldCharType="separate"/>
            </w:r>
            <w:r w:rsidR="001D0DA3">
              <w:rPr>
                <w:noProof/>
              </w:rPr>
              <w:t>3</w:t>
            </w:r>
            <w:r>
              <w:rPr>
                <w:noProof/>
              </w:rPr>
              <w:fldChar w:fldCharType="end"/>
            </w:r>
            <w:r w:rsidRPr="00290841">
              <w:t xml:space="preserve">: </w:t>
            </w:r>
            <w:r w:rsidRPr="00290841">
              <w:rPr>
                <w:bCs w:val="0"/>
              </w:rPr>
              <w:t>Stationary AC refrigerant bank by species from 201</w:t>
            </w:r>
            <w:r w:rsidR="005A78B7">
              <w:rPr>
                <w:bCs w:val="0"/>
              </w:rPr>
              <w:t>8</w:t>
            </w:r>
            <w:r w:rsidRPr="00290841">
              <w:rPr>
                <w:bCs w:val="0"/>
              </w:rPr>
              <w:t xml:space="preserve"> to 2030 in </w:t>
            </w:r>
            <w:proofErr w:type="spellStart"/>
            <w:r w:rsidRPr="00290841">
              <w:rPr>
                <w:bCs w:val="0"/>
              </w:rPr>
              <w:t>tonnes</w:t>
            </w:r>
            <w:proofErr w:type="spellEnd"/>
            <w:r w:rsidRPr="00290841">
              <w:rPr>
                <w:bCs w:val="0"/>
              </w:rPr>
              <w:t>.</w:t>
            </w:r>
            <w:bookmarkEnd w:id="27"/>
            <w:bookmarkEnd w:id="28"/>
          </w:p>
        </w:tc>
      </w:tr>
    </w:tbl>
    <w:p w14:paraId="0C6602E1" w14:textId="1D25C67E" w:rsidR="00597996" w:rsidRPr="00573A8B" w:rsidRDefault="00597996" w:rsidP="009A23AA">
      <w:pPr>
        <w:spacing w:before="0"/>
        <w:rPr>
          <w:rFonts w:cs="Times New Roman"/>
          <w:sz w:val="20"/>
          <w:szCs w:val="20"/>
          <w:lang w:val="en-US"/>
        </w:rPr>
      </w:pPr>
      <w:r w:rsidRPr="00573A8B">
        <w:rPr>
          <w:rFonts w:cs="Times New Roman"/>
          <w:sz w:val="20"/>
          <w:szCs w:val="20"/>
          <w:lang w:val="en-US"/>
        </w:rPr>
        <w:t xml:space="preserve">(Source: </w:t>
      </w:r>
      <w:r>
        <w:rPr>
          <w:rFonts w:cs="Times New Roman"/>
          <w:sz w:val="20"/>
          <w:szCs w:val="20"/>
        </w:rPr>
        <w:t>CHF</w:t>
      </w:r>
      <w:r w:rsidR="003B76E8">
        <w:rPr>
          <w:rFonts w:cs="Times New Roman"/>
          <w:sz w:val="20"/>
          <w:szCs w:val="20"/>
        </w:rPr>
        <w:t xml:space="preserve"> 2019</w:t>
      </w:r>
      <w:r>
        <w:rPr>
          <w:rFonts w:cs="Times New Roman"/>
          <w:sz w:val="20"/>
          <w:szCs w:val="20"/>
        </w:rPr>
        <w:t xml:space="preserve"> RAC Stock model</w:t>
      </w:r>
      <w:r w:rsidRPr="00573A8B">
        <w:rPr>
          <w:rFonts w:cs="Times New Roman"/>
          <w:sz w:val="20"/>
          <w:szCs w:val="20"/>
          <w:lang w:val="en-US"/>
        </w:rPr>
        <w:t>)</w:t>
      </w:r>
    </w:p>
    <w:p w14:paraId="408936D3" w14:textId="77777777" w:rsidR="00597996" w:rsidRDefault="00597996" w:rsidP="009A23AA">
      <w:pPr>
        <w:snapToGrid w:val="0"/>
        <w:rPr>
          <w:rFonts w:cs="Times New Roman"/>
          <w:szCs w:val="22"/>
        </w:rPr>
      </w:pPr>
    </w:p>
    <w:p w14:paraId="6B090242" w14:textId="77777777" w:rsidR="00597996" w:rsidRPr="0083682A" w:rsidRDefault="00597996" w:rsidP="009A23AA">
      <w:pPr>
        <w:snapToGrid w:val="0"/>
        <w:rPr>
          <w:rFonts w:cs="Times New Roman"/>
          <w:szCs w:val="22"/>
        </w:rPr>
      </w:pPr>
      <w:r w:rsidRPr="0083682A">
        <w:rPr>
          <w:rFonts w:cs="Times New Roman"/>
          <w:szCs w:val="22"/>
        </w:rPr>
        <w:t>Two of the main high GWP HFCs are expected to maintain a significant presence in the stationary AC bank over the projection period:</w:t>
      </w:r>
    </w:p>
    <w:p w14:paraId="53A8945D" w14:textId="7DBD6B3B" w:rsidR="00597996" w:rsidRPr="0083682A" w:rsidRDefault="00597996" w:rsidP="009A23AA">
      <w:pPr>
        <w:pStyle w:val="ListParagraph"/>
        <w:numPr>
          <w:ilvl w:val="0"/>
          <w:numId w:val="14"/>
        </w:numPr>
        <w:snapToGrid w:val="0"/>
        <w:spacing w:before="120" w:after="0" w:line="240" w:lineRule="auto"/>
        <w:contextualSpacing w:val="0"/>
        <w:jc w:val="both"/>
        <w:rPr>
          <w:rFonts w:ascii="Times New Roman" w:hAnsi="Times New Roman"/>
        </w:rPr>
      </w:pPr>
      <w:r w:rsidRPr="0083682A">
        <w:rPr>
          <w:rFonts w:ascii="Times New Roman" w:hAnsi="Times New Roman"/>
        </w:rPr>
        <w:t xml:space="preserve">HFC-410A to grow from more than </w:t>
      </w:r>
      <w:r w:rsidR="00272D69" w:rsidRPr="0083682A">
        <w:rPr>
          <w:rFonts w:ascii="Times New Roman" w:hAnsi="Times New Roman"/>
        </w:rPr>
        <w:t>21</w:t>
      </w:r>
      <w:r w:rsidRPr="0083682A">
        <w:rPr>
          <w:rFonts w:ascii="Times New Roman" w:hAnsi="Times New Roman"/>
        </w:rPr>
        <w:t>,</w:t>
      </w:r>
      <w:r w:rsidR="00272D69" w:rsidRPr="0083682A">
        <w:rPr>
          <w:rFonts w:ascii="Times New Roman" w:hAnsi="Times New Roman"/>
        </w:rPr>
        <w:t>7</w:t>
      </w:r>
      <w:r w:rsidRPr="0083682A">
        <w:rPr>
          <w:rFonts w:ascii="Times New Roman" w:hAnsi="Times New Roman"/>
        </w:rPr>
        <w:t>00 metric tonnes in 201</w:t>
      </w:r>
      <w:r w:rsidR="00272D69" w:rsidRPr="0083682A">
        <w:rPr>
          <w:rFonts w:ascii="Times New Roman" w:hAnsi="Times New Roman"/>
        </w:rPr>
        <w:t>8</w:t>
      </w:r>
      <w:r w:rsidRPr="0083682A">
        <w:rPr>
          <w:rFonts w:ascii="Times New Roman" w:hAnsi="Times New Roman"/>
        </w:rPr>
        <w:t xml:space="preserve"> to a peak of more than 2</w:t>
      </w:r>
      <w:r w:rsidR="00272D69" w:rsidRPr="0083682A">
        <w:rPr>
          <w:rFonts w:ascii="Times New Roman" w:hAnsi="Times New Roman"/>
        </w:rPr>
        <w:t>3</w:t>
      </w:r>
      <w:r w:rsidRPr="0083682A">
        <w:rPr>
          <w:rFonts w:ascii="Times New Roman" w:hAnsi="Times New Roman"/>
        </w:rPr>
        <w:t>,</w:t>
      </w:r>
      <w:r w:rsidR="00272D69" w:rsidRPr="0083682A">
        <w:rPr>
          <w:rFonts w:ascii="Times New Roman" w:hAnsi="Times New Roman"/>
        </w:rPr>
        <w:t>90</w:t>
      </w:r>
      <w:r w:rsidRPr="0083682A">
        <w:rPr>
          <w:rFonts w:ascii="Times New Roman" w:hAnsi="Times New Roman"/>
        </w:rPr>
        <w:t>0 metric tonnes in 202</w:t>
      </w:r>
      <w:r w:rsidR="00272D69" w:rsidRPr="0083682A">
        <w:rPr>
          <w:rFonts w:ascii="Times New Roman" w:hAnsi="Times New Roman"/>
        </w:rPr>
        <w:t>2</w:t>
      </w:r>
      <w:r w:rsidRPr="0083682A">
        <w:rPr>
          <w:rFonts w:ascii="Times New Roman" w:hAnsi="Times New Roman"/>
        </w:rPr>
        <w:t>, before declining to around 1</w:t>
      </w:r>
      <w:r w:rsidR="00272D69" w:rsidRPr="0083682A">
        <w:rPr>
          <w:rFonts w:ascii="Times New Roman" w:hAnsi="Times New Roman"/>
        </w:rPr>
        <w:t>8</w:t>
      </w:r>
      <w:r w:rsidRPr="0083682A">
        <w:rPr>
          <w:rFonts w:ascii="Times New Roman" w:hAnsi="Times New Roman"/>
        </w:rPr>
        <w:t>,</w:t>
      </w:r>
      <w:r w:rsidR="001963D0" w:rsidRPr="0083682A">
        <w:rPr>
          <w:rFonts w:ascii="Times New Roman" w:hAnsi="Times New Roman"/>
        </w:rPr>
        <w:t>2</w:t>
      </w:r>
      <w:r w:rsidRPr="0083682A">
        <w:rPr>
          <w:rFonts w:ascii="Times New Roman" w:hAnsi="Times New Roman"/>
        </w:rPr>
        <w:t>00 metric tonnes in 2030; and,</w:t>
      </w:r>
    </w:p>
    <w:p w14:paraId="05508D54" w14:textId="22384517" w:rsidR="00597996" w:rsidRPr="0083682A" w:rsidRDefault="00597996" w:rsidP="009A23AA">
      <w:pPr>
        <w:pStyle w:val="ListParagraph"/>
        <w:numPr>
          <w:ilvl w:val="0"/>
          <w:numId w:val="14"/>
        </w:numPr>
        <w:snapToGrid w:val="0"/>
        <w:spacing w:before="120" w:after="0" w:line="240" w:lineRule="auto"/>
        <w:contextualSpacing w:val="0"/>
        <w:jc w:val="both"/>
        <w:rPr>
          <w:rFonts w:ascii="Times New Roman" w:hAnsi="Times New Roman"/>
        </w:rPr>
      </w:pPr>
      <w:r w:rsidRPr="0083682A">
        <w:rPr>
          <w:rFonts w:ascii="Times New Roman" w:hAnsi="Times New Roman"/>
        </w:rPr>
        <w:t>HFC-134a to grow from around 2,</w:t>
      </w:r>
      <w:r w:rsidR="00272D69" w:rsidRPr="0083682A">
        <w:rPr>
          <w:rFonts w:ascii="Times New Roman" w:hAnsi="Times New Roman"/>
        </w:rPr>
        <w:t>86</w:t>
      </w:r>
      <w:r w:rsidRPr="0083682A">
        <w:rPr>
          <w:rFonts w:ascii="Times New Roman" w:hAnsi="Times New Roman"/>
        </w:rPr>
        <w:t>0 metric tonnes in 201</w:t>
      </w:r>
      <w:r w:rsidR="00272D69" w:rsidRPr="0083682A">
        <w:rPr>
          <w:rFonts w:ascii="Times New Roman" w:hAnsi="Times New Roman"/>
        </w:rPr>
        <w:t>8</w:t>
      </w:r>
      <w:r w:rsidRPr="0083682A">
        <w:rPr>
          <w:rFonts w:ascii="Times New Roman" w:hAnsi="Times New Roman"/>
        </w:rPr>
        <w:t xml:space="preserve"> to a peak of nearly 3,</w:t>
      </w:r>
      <w:r w:rsidR="00272D69" w:rsidRPr="0083682A">
        <w:rPr>
          <w:rFonts w:ascii="Times New Roman" w:hAnsi="Times New Roman"/>
        </w:rPr>
        <w:t>5</w:t>
      </w:r>
      <w:r w:rsidRPr="0083682A">
        <w:rPr>
          <w:rFonts w:ascii="Times New Roman" w:hAnsi="Times New Roman"/>
        </w:rPr>
        <w:t>00 metric tonnes in 202</w:t>
      </w:r>
      <w:r w:rsidR="00272D69" w:rsidRPr="0083682A">
        <w:rPr>
          <w:rFonts w:ascii="Times New Roman" w:hAnsi="Times New Roman"/>
        </w:rPr>
        <w:t>5</w:t>
      </w:r>
      <w:r w:rsidRPr="0083682A">
        <w:rPr>
          <w:rFonts w:ascii="Times New Roman" w:hAnsi="Times New Roman"/>
        </w:rPr>
        <w:t xml:space="preserve">, before declining to around </w:t>
      </w:r>
      <w:r w:rsidR="00272D69" w:rsidRPr="0083682A">
        <w:rPr>
          <w:rFonts w:ascii="Times New Roman" w:hAnsi="Times New Roman"/>
        </w:rPr>
        <w:t>3</w:t>
      </w:r>
      <w:r w:rsidRPr="0083682A">
        <w:rPr>
          <w:rFonts w:ascii="Times New Roman" w:hAnsi="Times New Roman"/>
        </w:rPr>
        <w:t>,</w:t>
      </w:r>
      <w:r w:rsidR="00272D69" w:rsidRPr="0083682A">
        <w:rPr>
          <w:rFonts w:ascii="Times New Roman" w:hAnsi="Times New Roman"/>
        </w:rPr>
        <w:t>2</w:t>
      </w:r>
      <w:r w:rsidRPr="0083682A">
        <w:rPr>
          <w:rFonts w:ascii="Times New Roman" w:hAnsi="Times New Roman"/>
        </w:rPr>
        <w:t>00 metric tonnes at the end of the projection period.</w:t>
      </w:r>
    </w:p>
    <w:p w14:paraId="7E4A8550" w14:textId="70E010EA" w:rsidR="00597996" w:rsidRPr="0083682A" w:rsidRDefault="00597996" w:rsidP="009A23AA">
      <w:pPr>
        <w:snapToGrid w:val="0"/>
        <w:rPr>
          <w:rFonts w:cs="Times New Roman"/>
          <w:color w:val="000000" w:themeColor="text1"/>
          <w:szCs w:val="22"/>
        </w:rPr>
      </w:pPr>
      <w:r w:rsidRPr="0083682A">
        <w:rPr>
          <w:rFonts w:cs="Times New Roman"/>
          <w:color w:val="000000" w:themeColor="text1"/>
          <w:szCs w:val="22"/>
        </w:rPr>
        <w:t xml:space="preserve">Over the same period the rapid growth of HFC-32 in the small AC split segment, </w:t>
      </w:r>
      <w:r w:rsidR="00272D69" w:rsidRPr="0083682A">
        <w:rPr>
          <w:rFonts w:cs="Times New Roman"/>
          <w:color w:val="000000" w:themeColor="text1"/>
          <w:szCs w:val="22"/>
        </w:rPr>
        <w:t xml:space="preserve">rising from just 2,280 tonnes in 2018 to more than 18,300 tonnes in 2030, </w:t>
      </w:r>
      <w:r w:rsidRPr="0083682A">
        <w:rPr>
          <w:rFonts w:cs="Times New Roman"/>
          <w:color w:val="000000" w:themeColor="text1"/>
          <w:szCs w:val="22"/>
        </w:rPr>
        <w:t>cap</w:t>
      </w:r>
      <w:r w:rsidR="00272D69" w:rsidRPr="0083682A">
        <w:rPr>
          <w:rFonts w:cs="Times New Roman"/>
          <w:color w:val="000000" w:themeColor="text1"/>
          <w:szCs w:val="22"/>
        </w:rPr>
        <w:t>s</w:t>
      </w:r>
      <w:r w:rsidRPr="0083682A">
        <w:rPr>
          <w:rFonts w:cs="Times New Roman"/>
          <w:color w:val="000000" w:themeColor="text1"/>
          <w:szCs w:val="22"/>
        </w:rPr>
        <w:t xml:space="preserve"> growth of the much higher GWP HFC-410A </w:t>
      </w:r>
      <w:r w:rsidR="00272D69" w:rsidRPr="0083682A">
        <w:rPr>
          <w:rFonts w:cs="Times New Roman"/>
          <w:color w:val="000000" w:themeColor="text1"/>
          <w:szCs w:val="22"/>
        </w:rPr>
        <w:t xml:space="preserve">and </w:t>
      </w:r>
      <w:r w:rsidRPr="0083682A">
        <w:rPr>
          <w:rFonts w:cs="Times New Roman"/>
          <w:color w:val="000000" w:themeColor="text1"/>
          <w:szCs w:val="22"/>
        </w:rPr>
        <w:t>helps cap the bank growth in CO</w:t>
      </w:r>
      <w:r w:rsidRPr="0083682A">
        <w:rPr>
          <w:rFonts w:cs="Times New Roman"/>
          <w:color w:val="000000" w:themeColor="text1"/>
          <w:szCs w:val="22"/>
          <w:vertAlign w:val="subscript"/>
        </w:rPr>
        <w:t>2</w:t>
      </w:r>
      <w:r w:rsidRPr="0083682A">
        <w:rPr>
          <w:rFonts w:cs="Times New Roman"/>
          <w:color w:val="000000" w:themeColor="text1"/>
          <w:szCs w:val="22"/>
        </w:rPr>
        <w:t>e value terms</w:t>
      </w:r>
      <w:r w:rsidR="00272D69" w:rsidRPr="0083682A">
        <w:rPr>
          <w:rFonts w:cs="Times New Roman"/>
          <w:color w:val="000000" w:themeColor="text1"/>
          <w:szCs w:val="22"/>
        </w:rPr>
        <w:t>. The CO</w:t>
      </w:r>
      <w:r w:rsidR="00272D69" w:rsidRPr="0083682A">
        <w:rPr>
          <w:rFonts w:cs="Times New Roman"/>
          <w:color w:val="000000" w:themeColor="text1"/>
          <w:szCs w:val="22"/>
          <w:vertAlign w:val="subscript"/>
        </w:rPr>
        <w:t>2</w:t>
      </w:r>
      <w:r w:rsidR="00272D69" w:rsidRPr="0083682A">
        <w:rPr>
          <w:rFonts w:cs="Times New Roman"/>
          <w:color w:val="000000" w:themeColor="text1"/>
          <w:szCs w:val="22"/>
        </w:rPr>
        <w:t>e</w:t>
      </w:r>
      <w:r w:rsidRPr="0083682A">
        <w:rPr>
          <w:rFonts w:cs="Times New Roman"/>
          <w:color w:val="000000" w:themeColor="text1"/>
          <w:szCs w:val="22"/>
        </w:rPr>
        <w:t xml:space="preserve"> </w:t>
      </w:r>
      <w:r w:rsidR="00272D69" w:rsidRPr="0083682A">
        <w:rPr>
          <w:rFonts w:cs="Times New Roman"/>
          <w:color w:val="000000" w:themeColor="text1"/>
          <w:szCs w:val="22"/>
        </w:rPr>
        <w:t xml:space="preserve">of the bank in stationary AC falls slightly </w:t>
      </w:r>
      <w:r w:rsidRPr="0083682A">
        <w:rPr>
          <w:rFonts w:cs="Times New Roman"/>
          <w:color w:val="000000" w:themeColor="text1"/>
          <w:szCs w:val="22"/>
        </w:rPr>
        <w:t>over the 1</w:t>
      </w:r>
      <w:r w:rsidR="0083682A" w:rsidRPr="0083682A">
        <w:rPr>
          <w:rFonts w:cs="Times New Roman"/>
          <w:color w:val="000000" w:themeColor="text1"/>
          <w:szCs w:val="22"/>
        </w:rPr>
        <w:t>2</w:t>
      </w:r>
      <w:r w:rsidRPr="0083682A">
        <w:rPr>
          <w:rFonts w:cs="Times New Roman"/>
          <w:color w:val="000000" w:themeColor="text1"/>
          <w:szCs w:val="22"/>
        </w:rPr>
        <w:t xml:space="preserve"> years of the projection period </w:t>
      </w:r>
      <w:r w:rsidR="00272D69" w:rsidRPr="0083682A">
        <w:rPr>
          <w:rFonts w:cs="Times New Roman"/>
          <w:color w:val="000000" w:themeColor="text1"/>
          <w:szCs w:val="22"/>
        </w:rPr>
        <w:t>by</w:t>
      </w:r>
      <w:r w:rsidRPr="0083682A">
        <w:rPr>
          <w:rFonts w:cs="Times New Roman"/>
          <w:color w:val="000000" w:themeColor="text1"/>
          <w:szCs w:val="22"/>
        </w:rPr>
        <w:t xml:space="preserve"> approximately </w:t>
      </w:r>
      <w:r w:rsidR="0083682A" w:rsidRPr="0083682A">
        <w:rPr>
          <w:rFonts w:cs="Times New Roman"/>
          <w:color w:val="000000" w:themeColor="text1"/>
          <w:szCs w:val="22"/>
        </w:rPr>
        <w:t>8</w:t>
      </w:r>
      <w:r w:rsidRPr="0083682A">
        <w:rPr>
          <w:rFonts w:cs="Times New Roman"/>
          <w:color w:val="000000" w:themeColor="text1"/>
          <w:szCs w:val="22"/>
        </w:rPr>
        <w:t>%, to some 57.</w:t>
      </w:r>
      <w:r w:rsidR="00272D69" w:rsidRPr="0083682A">
        <w:rPr>
          <w:rFonts w:cs="Times New Roman"/>
          <w:color w:val="000000" w:themeColor="text1"/>
          <w:szCs w:val="22"/>
        </w:rPr>
        <w:t>9</w:t>
      </w:r>
      <w:r w:rsidRPr="0083682A">
        <w:rPr>
          <w:rFonts w:cs="Times New Roman"/>
          <w:color w:val="000000" w:themeColor="text1"/>
          <w:szCs w:val="22"/>
        </w:rPr>
        <w:t xml:space="preserve"> million tonnes of CO</w:t>
      </w:r>
      <w:r w:rsidRPr="0083682A">
        <w:rPr>
          <w:rFonts w:cs="Times New Roman"/>
          <w:color w:val="000000" w:themeColor="text1"/>
          <w:szCs w:val="22"/>
          <w:vertAlign w:val="subscript"/>
        </w:rPr>
        <w:t>2</w:t>
      </w:r>
      <w:r w:rsidRPr="0083682A">
        <w:rPr>
          <w:rFonts w:cs="Times New Roman"/>
          <w:color w:val="000000" w:themeColor="text1"/>
          <w:szCs w:val="22"/>
        </w:rPr>
        <w:t>e</w:t>
      </w:r>
      <w:r w:rsidR="00272D69" w:rsidRPr="0083682A">
        <w:rPr>
          <w:rFonts w:cs="Times New Roman"/>
          <w:color w:val="000000" w:themeColor="text1"/>
          <w:szCs w:val="22"/>
        </w:rPr>
        <w:t>,</w:t>
      </w:r>
      <w:r w:rsidRPr="0083682A">
        <w:rPr>
          <w:rFonts w:cs="Times New Roman"/>
          <w:color w:val="000000" w:themeColor="text1"/>
          <w:szCs w:val="22"/>
        </w:rPr>
        <w:t xml:space="preserve"> from the 201</w:t>
      </w:r>
      <w:r w:rsidR="00272D69" w:rsidRPr="0083682A">
        <w:rPr>
          <w:rFonts w:cs="Times New Roman"/>
          <w:color w:val="000000" w:themeColor="text1"/>
          <w:szCs w:val="22"/>
        </w:rPr>
        <w:t>8</w:t>
      </w:r>
      <w:r w:rsidRPr="0083682A">
        <w:rPr>
          <w:rFonts w:cs="Times New Roman"/>
          <w:color w:val="000000" w:themeColor="text1"/>
          <w:szCs w:val="22"/>
        </w:rPr>
        <w:t xml:space="preserve"> value of just more than </w:t>
      </w:r>
      <w:r w:rsidR="00272D69" w:rsidRPr="0083682A">
        <w:rPr>
          <w:rFonts w:cs="Times New Roman"/>
          <w:color w:val="000000" w:themeColor="text1"/>
          <w:szCs w:val="22"/>
        </w:rPr>
        <w:t>62.6</w:t>
      </w:r>
      <w:r w:rsidRPr="0083682A">
        <w:rPr>
          <w:rFonts w:cs="Times New Roman"/>
          <w:color w:val="000000" w:themeColor="text1"/>
          <w:szCs w:val="22"/>
        </w:rPr>
        <w:t xml:space="preserve"> million tonnes CO</w:t>
      </w:r>
      <w:r w:rsidRPr="0083682A">
        <w:rPr>
          <w:rFonts w:cs="Times New Roman"/>
          <w:color w:val="000000" w:themeColor="text1"/>
          <w:szCs w:val="22"/>
          <w:vertAlign w:val="subscript"/>
        </w:rPr>
        <w:t>2</w:t>
      </w:r>
      <w:r w:rsidRPr="0083682A">
        <w:rPr>
          <w:rFonts w:cs="Times New Roman"/>
          <w:color w:val="000000" w:themeColor="text1"/>
          <w:szCs w:val="22"/>
        </w:rPr>
        <w:t xml:space="preserve">e. </w:t>
      </w:r>
    </w:p>
    <w:p w14:paraId="0BE937F1" w14:textId="75D75900" w:rsidR="00597996" w:rsidRPr="0049761B" w:rsidRDefault="00313331" w:rsidP="009A23AA">
      <w:pPr>
        <w:snapToGrid w:val="0"/>
        <w:rPr>
          <w:rFonts w:cs="Times New Roman"/>
          <w:color w:val="000000" w:themeColor="text1"/>
          <w:szCs w:val="22"/>
        </w:rPr>
      </w:pPr>
      <w:r w:rsidRPr="0083682A">
        <w:rPr>
          <w:rFonts w:cs="Times New Roman"/>
          <w:color w:val="000000" w:themeColor="text1"/>
          <w:szCs w:val="22"/>
        </w:rPr>
        <w:t>T</w:t>
      </w:r>
      <w:r w:rsidR="00597996" w:rsidRPr="0083682A">
        <w:rPr>
          <w:rFonts w:cs="Times New Roman"/>
          <w:color w:val="000000" w:themeColor="text1"/>
          <w:szCs w:val="22"/>
        </w:rPr>
        <w:t>he projection suggests the total CO</w:t>
      </w:r>
      <w:r w:rsidR="00597996" w:rsidRPr="0083682A">
        <w:rPr>
          <w:rFonts w:cs="Times New Roman"/>
          <w:color w:val="000000" w:themeColor="text1"/>
          <w:szCs w:val="22"/>
          <w:vertAlign w:val="subscript"/>
        </w:rPr>
        <w:t>2</w:t>
      </w:r>
      <w:r w:rsidR="00597996" w:rsidRPr="0083682A">
        <w:rPr>
          <w:rFonts w:cs="Times New Roman"/>
          <w:color w:val="000000" w:themeColor="text1"/>
          <w:szCs w:val="22"/>
        </w:rPr>
        <w:t>e value of the stationary AC bank is still to peak at more than 6</w:t>
      </w:r>
      <w:r w:rsidR="00272D69" w:rsidRPr="0083682A">
        <w:rPr>
          <w:rFonts w:cs="Times New Roman"/>
          <w:color w:val="000000" w:themeColor="text1"/>
          <w:szCs w:val="22"/>
        </w:rPr>
        <w:t>4</w:t>
      </w:r>
      <w:r w:rsidR="00597996" w:rsidRPr="0083682A">
        <w:rPr>
          <w:rFonts w:cs="Times New Roman"/>
          <w:color w:val="000000" w:themeColor="text1"/>
          <w:szCs w:val="22"/>
        </w:rPr>
        <w:t>.7 million tonnes CO</w:t>
      </w:r>
      <w:r w:rsidR="00597996" w:rsidRPr="0083682A">
        <w:rPr>
          <w:rFonts w:cs="Times New Roman"/>
          <w:color w:val="000000" w:themeColor="text1"/>
          <w:szCs w:val="22"/>
          <w:vertAlign w:val="subscript"/>
        </w:rPr>
        <w:t>2</w:t>
      </w:r>
      <w:r w:rsidR="00597996" w:rsidRPr="0083682A">
        <w:rPr>
          <w:rFonts w:cs="Times New Roman"/>
          <w:color w:val="000000" w:themeColor="text1"/>
          <w:szCs w:val="22"/>
        </w:rPr>
        <w:t>e in 202</w:t>
      </w:r>
      <w:r w:rsidR="00272D69" w:rsidRPr="0083682A">
        <w:rPr>
          <w:rFonts w:cs="Times New Roman"/>
          <w:color w:val="000000" w:themeColor="text1"/>
          <w:szCs w:val="22"/>
        </w:rPr>
        <w:t>2</w:t>
      </w:r>
      <w:r w:rsidR="00597996" w:rsidRPr="0083682A">
        <w:rPr>
          <w:rFonts w:cs="Times New Roman"/>
          <w:color w:val="000000" w:themeColor="text1"/>
          <w:szCs w:val="22"/>
        </w:rPr>
        <w:t xml:space="preserve"> before slowly falling throughout the following decade.</w:t>
      </w:r>
    </w:p>
    <w:p w14:paraId="0D13BEFE" w14:textId="4BA45A89" w:rsidR="00597996" w:rsidRDefault="00597996" w:rsidP="009A23AA">
      <w:pPr>
        <w:rPr>
          <w:rFonts w:cs="Times New Roman"/>
          <w:color w:val="00B0F0"/>
        </w:rPr>
      </w:pPr>
    </w:p>
    <w:p w14:paraId="7B322450" w14:textId="4DA81C81" w:rsidR="00AA0633" w:rsidRDefault="00AA0633" w:rsidP="009A23AA">
      <w:pPr>
        <w:rPr>
          <w:rFonts w:cs="Times New Roman"/>
          <w:color w:val="00B0F0"/>
        </w:rPr>
      </w:pPr>
    </w:p>
    <w:p w14:paraId="455A5C0D" w14:textId="368A3ABC" w:rsidR="00AA0633" w:rsidRDefault="00AA0633" w:rsidP="009A23AA">
      <w:pPr>
        <w:rPr>
          <w:rFonts w:cs="Times New Roman"/>
          <w:color w:val="00B0F0"/>
        </w:rPr>
      </w:pPr>
    </w:p>
    <w:p w14:paraId="6FFC1A3B" w14:textId="358744C4" w:rsidR="00AA0633" w:rsidRDefault="00AA0633" w:rsidP="009A23AA">
      <w:pPr>
        <w:rPr>
          <w:rFonts w:cs="Times New Roman"/>
          <w:color w:val="00B0F0"/>
        </w:rPr>
      </w:pPr>
    </w:p>
    <w:p w14:paraId="2165EC72" w14:textId="77777777" w:rsidR="00AA0633" w:rsidRPr="001B0989" w:rsidRDefault="00AA0633" w:rsidP="009A23AA">
      <w:pPr>
        <w:rPr>
          <w:rFonts w:cs="Times New Roman"/>
          <w:color w:val="00B0F0"/>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597996" w:rsidRPr="001B0989" w14:paraId="205DF066" w14:textId="77777777" w:rsidTr="00597996">
        <w:tc>
          <w:tcPr>
            <w:tcW w:w="9759" w:type="dxa"/>
            <w:vAlign w:val="center"/>
          </w:tcPr>
          <w:p w14:paraId="4992D0B8" w14:textId="77777777" w:rsidR="00597996" w:rsidRPr="001B0989" w:rsidRDefault="00597996" w:rsidP="00D66D96">
            <w:pPr>
              <w:spacing w:after="120"/>
              <w:jc w:val="center"/>
              <w:rPr>
                <w:rFonts w:cs="Times New Roman"/>
                <w:b/>
                <w:color w:val="00B0F0"/>
              </w:rPr>
            </w:pPr>
            <w:r w:rsidRPr="001B0989">
              <w:rPr>
                <w:rFonts w:cs="Times New Roman"/>
                <w:b/>
                <w:color w:val="00B0F0"/>
              </w:rPr>
              <w:br w:type="page"/>
            </w:r>
            <w:r w:rsidRPr="0049761B">
              <w:rPr>
                <w:rFonts w:cs="Times New Roman"/>
                <w:b/>
                <w:color w:val="000000" w:themeColor="text1"/>
              </w:rPr>
              <w:t>Stationary AC bank by species from 2018 to 2030 (Mt CO</w:t>
            </w:r>
            <w:r w:rsidRPr="0049761B">
              <w:rPr>
                <w:rFonts w:cs="Times New Roman"/>
                <w:b/>
                <w:color w:val="000000" w:themeColor="text1"/>
                <w:vertAlign w:val="subscript"/>
              </w:rPr>
              <w:t>2</w:t>
            </w:r>
            <w:r w:rsidRPr="0049761B">
              <w:rPr>
                <w:rFonts w:cs="Times New Roman"/>
                <w:b/>
                <w:color w:val="000000" w:themeColor="text1"/>
              </w:rPr>
              <w:t>e)</w:t>
            </w:r>
          </w:p>
        </w:tc>
      </w:tr>
      <w:tr w:rsidR="00597996" w:rsidRPr="001B0989" w14:paraId="74100A0D" w14:textId="77777777" w:rsidTr="00871D53">
        <w:tc>
          <w:tcPr>
            <w:tcW w:w="9759" w:type="dxa"/>
            <w:vAlign w:val="center"/>
          </w:tcPr>
          <w:p w14:paraId="4EDC2C74" w14:textId="77777777" w:rsidR="00597996" w:rsidRPr="001B0989" w:rsidRDefault="00597996" w:rsidP="00871D53">
            <w:pPr>
              <w:spacing w:before="60" w:after="60"/>
              <w:jc w:val="center"/>
              <w:rPr>
                <w:rFonts w:cs="Times New Roman"/>
                <w:color w:val="00B0F0"/>
                <w:sz w:val="16"/>
                <w:szCs w:val="16"/>
              </w:rPr>
            </w:pPr>
          </w:p>
          <w:p w14:paraId="6FA24F34" w14:textId="24130549" w:rsidR="00597996" w:rsidRPr="001B0989" w:rsidRDefault="00871D53" w:rsidP="00871D53">
            <w:pPr>
              <w:spacing w:before="60" w:after="60"/>
              <w:jc w:val="center"/>
              <w:rPr>
                <w:rFonts w:cs="Times New Roman"/>
                <w:color w:val="00B0F0"/>
                <w:sz w:val="16"/>
                <w:szCs w:val="16"/>
              </w:rPr>
            </w:pPr>
            <w:r>
              <w:rPr>
                <w:noProof/>
                <w:lang w:val="en-AU" w:eastAsia="en-AU"/>
              </w:rPr>
              <w:drawing>
                <wp:inline distT="0" distB="0" distL="0" distR="0" wp14:anchorId="08BE93CB" wp14:editId="12389729">
                  <wp:extent cx="6030595" cy="216090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0595" cy="2160905"/>
                          </a:xfrm>
                          <a:prstGeom prst="rect">
                            <a:avLst/>
                          </a:prstGeom>
                        </pic:spPr>
                      </pic:pic>
                    </a:graphicData>
                  </a:graphic>
                </wp:inline>
              </w:drawing>
            </w:r>
          </w:p>
          <w:p w14:paraId="40C581C4" w14:textId="77777777" w:rsidR="00597996" w:rsidRPr="001B0989" w:rsidRDefault="00597996" w:rsidP="00871D53">
            <w:pPr>
              <w:spacing w:before="60" w:after="60"/>
              <w:jc w:val="center"/>
              <w:rPr>
                <w:rFonts w:cs="Times New Roman"/>
                <w:color w:val="00B0F0"/>
                <w:sz w:val="16"/>
                <w:szCs w:val="16"/>
              </w:rPr>
            </w:pPr>
          </w:p>
        </w:tc>
      </w:tr>
      <w:tr w:rsidR="00597996" w:rsidRPr="0049761B" w14:paraId="13EECC28" w14:textId="77777777" w:rsidTr="00597996">
        <w:tc>
          <w:tcPr>
            <w:tcW w:w="9759" w:type="dxa"/>
            <w:vAlign w:val="center"/>
          </w:tcPr>
          <w:p w14:paraId="265E8A5D" w14:textId="1578C89E" w:rsidR="00597996" w:rsidRPr="0049761B" w:rsidRDefault="00597996" w:rsidP="009A23AA">
            <w:pPr>
              <w:pStyle w:val="Caption"/>
              <w:rPr>
                <w:color w:val="000000" w:themeColor="text1"/>
              </w:rPr>
            </w:pPr>
            <w:bookmarkStart w:id="29" w:name="_Toc525141353"/>
            <w:bookmarkStart w:id="30" w:name="_Toc19601326"/>
            <w:r w:rsidRPr="0049761B">
              <w:rPr>
                <w:color w:val="000000" w:themeColor="text1"/>
              </w:rPr>
              <w:t xml:space="preserve">Figure </w:t>
            </w:r>
            <w:r w:rsidRPr="0049761B">
              <w:rPr>
                <w:noProof/>
                <w:color w:val="000000" w:themeColor="text1"/>
              </w:rPr>
              <w:fldChar w:fldCharType="begin"/>
            </w:r>
            <w:r w:rsidRPr="0049761B">
              <w:rPr>
                <w:noProof/>
                <w:color w:val="000000" w:themeColor="text1"/>
              </w:rPr>
              <w:instrText xml:space="preserve"> SEQ Figure \* ARABIC </w:instrText>
            </w:r>
            <w:r w:rsidRPr="0049761B">
              <w:rPr>
                <w:noProof/>
                <w:color w:val="000000" w:themeColor="text1"/>
              </w:rPr>
              <w:fldChar w:fldCharType="separate"/>
            </w:r>
            <w:r w:rsidR="001D0DA3">
              <w:rPr>
                <w:noProof/>
                <w:color w:val="000000" w:themeColor="text1"/>
              </w:rPr>
              <w:t>4</w:t>
            </w:r>
            <w:r w:rsidRPr="0049761B">
              <w:rPr>
                <w:noProof/>
                <w:color w:val="000000" w:themeColor="text1"/>
              </w:rPr>
              <w:fldChar w:fldCharType="end"/>
            </w:r>
            <w:r w:rsidRPr="0049761B">
              <w:rPr>
                <w:color w:val="000000" w:themeColor="text1"/>
              </w:rPr>
              <w:t>:</w:t>
            </w:r>
            <w:r w:rsidRPr="0049761B">
              <w:rPr>
                <w:bCs w:val="0"/>
                <w:color w:val="000000" w:themeColor="text1"/>
              </w:rPr>
              <w:t xml:space="preserve"> Stationary AC refrigerant bank by species from 2018 to 2030 in Mt CO</w:t>
            </w:r>
            <w:r w:rsidRPr="0049761B">
              <w:rPr>
                <w:bCs w:val="0"/>
                <w:color w:val="000000" w:themeColor="text1"/>
                <w:vertAlign w:val="subscript"/>
              </w:rPr>
              <w:t>2</w:t>
            </w:r>
            <w:r w:rsidRPr="0049761B">
              <w:rPr>
                <w:bCs w:val="0"/>
                <w:color w:val="000000" w:themeColor="text1"/>
              </w:rPr>
              <w:t>e.</w:t>
            </w:r>
            <w:bookmarkEnd w:id="29"/>
            <w:bookmarkEnd w:id="30"/>
          </w:p>
        </w:tc>
      </w:tr>
    </w:tbl>
    <w:p w14:paraId="4B1AE11D" w14:textId="5F4FF1E2" w:rsidR="00597996" w:rsidRPr="0049761B" w:rsidRDefault="00597996" w:rsidP="009A23AA">
      <w:pPr>
        <w:spacing w:before="0"/>
        <w:rPr>
          <w:rFonts w:cs="Times New Roman"/>
          <w:color w:val="000000" w:themeColor="text1"/>
          <w:sz w:val="20"/>
          <w:szCs w:val="20"/>
          <w:lang w:val="en-US"/>
        </w:rPr>
      </w:pPr>
      <w:r w:rsidRPr="0049761B">
        <w:rPr>
          <w:rFonts w:cs="Times New Roman"/>
          <w:color w:val="000000" w:themeColor="text1"/>
          <w:sz w:val="20"/>
          <w:szCs w:val="20"/>
          <w:lang w:val="en-US"/>
        </w:rPr>
        <w:t xml:space="preserve">(Source: </w:t>
      </w:r>
      <w:r w:rsidRPr="0049761B">
        <w:rPr>
          <w:rFonts w:cs="Times New Roman"/>
          <w:color w:val="000000" w:themeColor="text1"/>
          <w:sz w:val="20"/>
          <w:szCs w:val="20"/>
        </w:rPr>
        <w:t>CHF 2019 RAC Stock model</w:t>
      </w:r>
      <w:r w:rsidRPr="0049761B">
        <w:rPr>
          <w:rFonts w:cs="Times New Roman"/>
          <w:color w:val="000000" w:themeColor="text1"/>
          <w:sz w:val="20"/>
          <w:szCs w:val="20"/>
          <w:lang w:val="en-US"/>
        </w:rPr>
        <w:t>)</w:t>
      </w:r>
    </w:p>
    <w:p w14:paraId="613AF36B" w14:textId="77777777" w:rsidR="00597996" w:rsidRPr="001B0989" w:rsidRDefault="00597996" w:rsidP="009A23AA">
      <w:pPr>
        <w:rPr>
          <w:rFonts w:cs="Times New Roman"/>
          <w:color w:val="00B0F0"/>
        </w:rPr>
      </w:pPr>
    </w:p>
    <w:p w14:paraId="2D994091" w14:textId="2755A0C6" w:rsidR="00597996" w:rsidRDefault="00597996" w:rsidP="009A23AA">
      <w:pPr>
        <w:snapToGrid w:val="0"/>
        <w:rPr>
          <w:rFonts w:cs="Times New Roman"/>
          <w:color w:val="000000" w:themeColor="text1"/>
          <w:szCs w:val="22"/>
        </w:rPr>
      </w:pPr>
      <w:r w:rsidRPr="0049761B">
        <w:rPr>
          <w:rFonts w:cs="Times New Roman"/>
          <w:color w:val="000000" w:themeColor="text1"/>
          <w:szCs w:val="22"/>
        </w:rPr>
        <w:t xml:space="preserve">During the projection period the majority of the currently HCFC-22 charged AC systems across all stationary AC segments are expected to be retired or be retrofitted. HCFCs (includes HCFC-123) in stationary AC is predicted to fall from </w:t>
      </w:r>
      <w:r w:rsidR="00F15C6D">
        <w:rPr>
          <w:rFonts w:cs="Times New Roman"/>
          <w:color w:val="000000" w:themeColor="text1"/>
          <w:szCs w:val="22"/>
        </w:rPr>
        <w:t>around 5</w:t>
      </w:r>
      <w:r w:rsidR="00313331" w:rsidRPr="00F15C6D">
        <w:rPr>
          <w:rFonts w:cs="Times New Roman"/>
          <w:color w:val="000000" w:themeColor="text1"/>
          <w:szCs w:val="22"/>
        </w:rPr>
        <w:t>,</w:t>
      </w:r>
      <w:r w:rsidR="00F15C6D">
        <w:rPr>
          <w:rFonts w:cs="Times New Roman"/>
          <w:color w:val="000000" w:themeColor="text1"/>
          <w:szCs w:val="22"/>
        </w:rPr>
        <w:t>5</w:t>
      </w:r>
      <w:r w:rsidR="00313331" w:rsidRPr="00F15C6D">
        <w:rPr>
          <w:rFonts w:cs="Times New Roman"/>
          <w:color w:val="000000" w:themeColor="text1"/>
          <w:szCs w:val="22"/>
        </w:rPr>
        <w:t>00</w:t>
      </w:r>
      <w:r w:rsidRPr="00313331">
        <w:rPr>
          <w:rFonts w:cs="Times New Roman"/>
          <w:color w:val="000000" w:themeColor="text1"/>
          <w:szCs w:val="22"/>
        </w:rPr>
        <w:t xml:space="preserve"> tonnes</w:t>
      </w:r>
      <w:r w:rsidRPr="0049761B">
        <w:rPr>
          <w:rFonts w:cs="Times New Roman"/>
          <w:color w:val="000000" w:themeColor="text1"/>
          <w:szCs w:val="22"/>
        </w:rPr>
        <w:t xml:space="preserve"> presently in use to 3</w:t>
      </w:r>
      <w:r w:rsidR="00F15C6D">
        <w:rPr>
          <w:rFonts w:cs="Times New Roman"/>
          <w:color w:val="000000" w:themeColor="text1"/>
          <w:szCs w:val="22"/>
        </w:rPr>
        <w:t>10</w:t>
      </w:r>
      <w:r w:rsidRPr="0049761B">
        <w:rPr>
          <w:rFonts w:cs="Times New Roman"/>
          <w:color w:val="000000" w:themeColor="text1"/>
          <w:szCs w:val="22"/>
        </w:rPr>
        <w:t xml:space="preserve"> tonnes still employed by 2030.</w:t>
      </w:r>
    </w:p>
    <w:p w14:paraId="6B4EB558" w14:textId="303B5138" w:rsidR="00597996" w:rsidRDefault="00597996" w:rsidP="009A23AA">
      <w:pPr>
        <w:snapToGrid w:val="0"/>
        <w:rPr>
          <w:rFonts w:cs="Times New Roman"/>
          <w:color w:val="000000" w:themeColor="text1"/>
          <w:szCs w:val="22"/>
        </w:rPr>
      </w:pPr>
      <w:r>
        <w:rPr>
          <w:rFonts w:cs="Times New Roman"/>
          <w:color w:val="000000" w:themeColor="text1"/>
          <w:szCs w:val="22"/>
        </w:rPr>
        <w:t>Projections of Small AC, Medium AC and Large AC banks are available in tonnes and Mt CO</w:t>
      </w:r>
      <w:r w:rsidRPr="0049761B">
        <w:rPr>
          <w:rFonts w:cs="Times New Roman"/>
          <w:color w:val="000000" w:themeColor="text1"/>
          <w:szCs w:val="22"/>
          <w:vertAlign w:val="subscript"/>
        </w:rPr>
        <w:t>2</w:t>
      </w:r>
      <w:r>
        <w:rPr>
          <w:rFonts w:cs="Times New Roman"/>
          <w:color w:val="000000" w:themeColor="text1"/>
          <w:szCs w:val="22"/>
        </w:rPr>
        <w:t xml:space="preserve">e in </w:t>
      </w:r>
      <w:r w:rsidRPr="0049761B">
        <w:rPr>
          <w:rFonts w:cs="Times New Roman"/>
          <w:i/>
          <w:iCs/>
          <w:color w:val="000000" w:themeColor="text1"/>
          <w:szCs w:val="22"/>
        </w:rPr>
        <w:t xml:space="preserve">Appendix </w:t>
      </w:r>
      <w:r w:rsidR="00F15C6D">
        <w:rPr>
          <w:rFonts w:cs="Times New Roman"/>
          <w:i/>
          <w:iCs/>
          <w:color w:val="000000" w:themeColor="text1"/>
          <w:szCs w:val="22"/>
        </w:rPr>
        <w:t>B</w:t>
      </w:r>
      <w:r w:rsidR="00F15C6D" w:rsidRPr="00F15C6D">
        <w:rPr>
          <w:rFonts w:cs="Times New Roman"/>
          <w:i/>
          <w:iCs/>
          <w:color w:val="000000" w:themeColor="text1"/>
          <w:szCs w:val="22"/>
        </w:rPr>
        <w:t>3: Bank projections by class and segment</w:t>
      </w:r>
      <w:r>
        <w:rPr>
          <w:rFonts w:cs="Times New Roman"/>
          <w:color w:val="000000" w:themeColor="text1"/>
          <w:szCs w:val="22"/>
        </w:rPr>
        <w:t>.</w:t>
      </w:r>
    </w:p>
    <w:p w14:paraId="458FD36D" w14:textId="77777777" w:rsidR="00597996" w:rsidRDefault="00597996" w:rsidP="009A23AA">
      <w:pPr>
        <w:snapToGrid w:val="0"/>
        <w:rPr>
          <w:rFonts w:cs="Times New Roman"/>
          <w:color w:val="000000" w:themeColor="text1"/>
          <w:szCs w:val="22"/>
        </w:rPr>
      </w:pPr>
    </w:p>
    <w:p w14:paraId="39AECA26" w14:textId="77777777" w:rsidR="00597996" w:rsidRDefault="00597996" w:rsidP="009A23AA">
      <w:pPr>
        <w:pStyle w:val="Heading3"/>
        <w:jc w:val="both"/>
      </w:pPr>
      <w:bookmarkStart w:id="31" w:name="_Toc19601292"/>
      <w:bookmarkStart w:id="32" w:name="_Toc494190168"/>
      <w:r w:rsidRPr="001B0989">
        <w:t>Service rates and emissions projection</w:t>
      </w:r>
      <w:bookmarkEnd w:id="31"/>
      <w:r w:rsidRPr="001B0989">
        <w:t xml:space="preserve"> </w:t>
      </w:r>
    </w:p>
    <w:p w14:paraId="3CDFC4BE" w14:textId="025112DB" w:rsidR="00597996" w:rsidRDefault="00E37C92" w:rsidP="009A23AA">
      <w:pPr>
        <w:rPr>
          <w:rFonts w:cs="Times New Roman"/>
          <w:szCs w:val="22"/>
        </w:rPr>
      </w:pPr>
      <w:r>
        <w:rPr>
          <w:rFonts w:cs="Times New Roman"/>
          <w:szCs w:val="22"/>
        </w:rPr>
        <w:t>S</w:t>
      </w:r>
      <w:r w:rsidR="00597996" w:rsidRPr="00CB62F0">
        <w:rPr>
          <w:rFonts w:cs="Times New Roman"/>
          <w:szCs w:val="22"/>
        </w:rPr>
        <w:t xml:space="preserve">tationary AC overall is expected to increase </w:t>
      </w:r>
      <w:r w:rsidR="00AA0633">
        <w:rPr>
          <w:rFonts w:cs="Times New Roman"/>
          <w:szCs w:val="22"/>
        </w:rPr>
        <w:t xml:space="preserve">annual </w:t>
      </w:r>
      <w:r w:rsidR="00597996" w:rsidRPr="00CB62F0">
        <w:rPr>
          <w:rFonts w:cs="Times New Roman"/>
          <w:szCs w:val="22"/>
        </w:rPr>
        <w:t xml:space="preserve">direct emissions of HCFCs and HFCs from around </w:t>
      </w:r>
      <w:r w:rsidR="00597996" w:rsidRPr="00871D53">
        <w:rPr>
          <w:rFonts w:cs="Times New Roman"/>
          <w:szCs w:val="22"/>
        </w:rPr>
        <w:t>1,</w:t>
      </w:r>
      <w:r w:rsidR="00F15C6D" w:rsidRPr="00871D53">
        <w:rPr>
          <w:rFonts w:cs="Times New Roman"/>
          <w:szCs w:val="22"/>
        </w:rPr>
        <w:t>2</w:t>
      </w:r>
      <w:r w:rsidR="00CB62F0" w:rsidRPr="00871D53">
        <w:rPr>
          <w:rFonts w:cs="Times New Roman"/>
          <w:szCs w:val="22"/>
        </w:rPr>
        <w:t>45</w:t>
      </w:r>
      <w:r w:rsidR="00597996" w:rsidRPr="00871D53">
        <w:rPr>
          <w:rFonts w:cs="Times New Roman"/>
          <w:szCs w:val="22"/>
        </w:rPr>
        <w:t xml:space="preserve"> tonnes in 201</w:t>
      </w:r>
      <w:r w:rsidR="00036DCB" w:rsidRPr="00871D53">
        <w:rPr>
          <w:rFonts w:cs="Times New Roman"/>
          <w:szCs w:val="22"/>
        </w:rPr>
        <w:t>8</w:t>
      </w:r>
      <w:r w:rsidR="00597996" w:rsidRPr="00871D53">
        <w:rPr>
          <w:rFonts w:cs="Times New Roman"/>
          <w:szCs w:val="22"/>
        </w:rPr>
        <w:t xml:space="preserve"> to more than 1,5</w:t>
      </w:r>
      <w:r w:rsidR="00F15C6D" w:rsidRPr="00871D53">
        <w:rPr>
          <w:rFonts w:cs="Times New Roman"/>
          <w:szCs w:val="22"/>
        </w:rPr>
        <w:t>30</w:t>
      </w:r>
      <w:r w:rsidR="00597996" w:rsidRPr="00871D53">
        <w:rPr>
          <w:rFonts w:cs="Times New Roman"/>
          <w:szCs w:val="22"/>
        </w:rPr>
        <w:t xml:space="preserve"> tonnes in 2030, increasing the overall share of direct emissions of stationary AC from the entire stock of equipment from 3</w:t>
      </w:r>
      <w:r w:rsidR="007D12CD" w:rsidRPr="00871D53">
        <w:rPr>
          <w:rFonts w:cs="Times New Roman"/>
          <w:szCs w:val="22"/>
        </w:rPr>
        <w:t>9</w:t>
      </w:r>
      <w:r w:rsidR="00597996" w:rsidRPr="00871D53">
        <w:rPr>
          <w:rFonts w:cs="Times New Roman"/>
          <w:szCs w:val="22"/>
        </w:rPr>
        <w:t xml:space="preserve">% </w:t>
      </w:r>
      <w:r w:rsidR="00CB62F0" w:rsidRPr="00871D53">
        <w:rPr>
          <w:rFonts w:cs="Times New Roman"/>
          <w:szCs w:val="22"/>
        </w:rPr>
        <w:t xml:space="preserve">by mass </w:t>
      </w:r>
      <w:r w:rsidR="00597996" w:rsidRPr="00871D53">
        <w:rPr>
          <w:rFonts w:cs="Times New Roman"/>
          <w:szCs w:val="22"/>
        </w:rPr>
        <w:t>now</w:t>
      </w:r>
      <w:r>
        <w:rPr>
          <w:rFonts w:cs="Times New Roman"/>
          <w:szCs w:val="22"/>
        </w:rPr>
        <w:t>,</w:t>
      </w:r>
      <w:r w:rsidR="00597996" w:rsidRPr="00871D53">
        <w:rPr>
          <w:rFonts w:cs="Times New Roman"/>
          <w:szCs w:val="22"/>
        </w:rPr>
        <w:t xml:space="preserve"> to more than </w:t>
      </w:r>
      <w:r w:rsidR="007D12CD" w:rsidRPr="00871D53">
        <w:rPr>
          <w:rFonts w:cs="Times New Roman"/>
          <w:szCs w:val="22"/>
        </w:rPr>
        <w:t>50</w:t>
      </w:r>
      <w:r w:rsidR="00597996" w:rsidRPr="00871D53">
        <w:rPr>
          <w:rFonts w:cs="Times New Roman"/>
          <w:szCs w:val="22"/>
        </w:rPr>
        <w:t>% by 2030.</w:t>
      </w:r>
    </w:p>
    <w:p w14:paraId="574E8315" w14:textId="2CC65969" w:rsidR="00597996" w:rsidRDefault="007D12CD" w:rsidP="009A23AA">
      <w:pPr>
        <w:rPr>
          <w:rFonts w:cs="Times New Roman"/>
          <w:szCs w:val="22"/>
        </w:rPr>
      </w:pPr>
      <w:r w:rsidRPr="0060725B">
        <w:rPr>
          <w:rFonts w:cs="Times New Roman"/>
          <w:szCs w:val="22"/>
        </w:rPr>
        <w:t>The CO</w:t>
      </w:r>
      <w:r w:rsidRPr="0060725B">
        <w:rPr>
          <w:rFonts w:cs="Times New Roman"/>
          <w:szCs w:val="22"/>
          <w:vertAlign w:val="subscript"/>
        </w:rPr>
        <w:t>2</w:t>
      </w:r>
      <w:r w:rsidRPr="0060725B">
        <w:rPr>
          <w:rFonts w:cs="Times New Roman"/>
          <w:szCs w:val="22"/>
        </w:rPr>
        <w:t xml:space="preserve">e value of </w:t>
      </w:r>
      <w:r w:rsidR="00AA0633">
        <w:rPr>
          <w:rFonts w:cs="Times New Roman"/>
          <w:szCs w:val="22"/>
        </w:rPr>
        <w:t xml:space="preserve">annual </w:t>
      </w:r>
      <w:r w:rsidRPr="0060725B">
        <w:rPr>
          <w:rFonts w:cs="Times New Roman"/>
          <w:szCs w:val="22"/>
        </w:rPr>
        <w:t xml:space="preserve">emissions from </w:t>
      </w:r>
      <w:r w:rsidR="00197CD1" w:rsidRPr="0060725B">
        <w:rPr>
          <w:rFonts w:cs="Times New Roman"/>
          <w:szCs w:val="22"/>
        </w:rPr>
        <w:t>Stationary AC</w:t>
      </w:r>
      <w:r w:rsidRPr="0060725B">
        <w:rPr>
          <w:rFonts w:cs="Times New Roman"/>
          <w:szCs w:val="22"/>
        </w:rPr>
        <w:t xml:space="preserve"> is expected to decline from around 2.4 million tonnes CO</w:t>
      </w:r>
      <w:r w:rsidRPr="0060725B">
        <w:rPr>
          <w:rFonts w:cs="Times New Roman"/>
          <w:szCs w:val="22"/>
          <w:vertAlign w:val="subscript"/>
        </w:rPr>
        <w:t>2</w:t>
      </w:r>
      <w:r w:rsidRPr="0060725B">
        <w:rPr>
          <w:rFonts w:cs="Times New Roman"/>
          <w:szCs w:val="22"/>
        </w:rPr>
        <w:t>e in 2018 to 2.2 million tonnes CO</w:t>
      </w:r>
      <w:r w:rsidRPr="0060725B">
        <w:rPr>
          <w:rFonts w:cs="Times New Roman"/>
          <w:szCs w:val="22"/>
          <w:vertAlign w:val="subscript"/>
        </w:rPr>
        <w:t>2</w:t>
      </w:r>
      <w:r w:rsidRPr="0060725B">
        <w:rPr>
          <w:rFonts w:cs="Times New Roman"/>
          <w:szCs w:val="22"/>
        </w:rPr>
        <w:t xml:space="preserve">e in 2030. This is largely due to the move to HFC-32 charges in small AC, the emergence of options in medium AC and the adoption of HFOs in larger classes of equipment such as chillers. </w:t>
      </w:r>
      <w:r w:rsidR="00AA0633">
        <w:rPr>
          <w:rFonts w:cs="Times New Roman"/>
          <w:szCs w:val="22"/>
        </w:rPr>
        <w:t>Annual d</w:t>
      </w:r>
      <w:r w:rsidR="00597996" w:rsidRPr="0060725B">
        <w:rPr>
          <w:rFonts w:cs="Times New Roman"/>
          <w:szCs w:val="22"/>
        </w:rPr>
        <w:t xml:space="preserve">irect emissions from the </w:t>
      </w:r>
      <w:r w:rsidR="00CB62F0" w:rsidRPr="0060725B">
        <w:rPr>
          <w:rFonts w:cs="Times New Roman"/>
          <w:szCs w:val="22"/>
        </w:rPr>
        <w:t xml:space="preserve">small </w:t>
      </w:r>
      <w:r w:rsidR="00597996" w:rsidRPr="0060725B">
        <w:rPr>
          <w:rFonts w:cs="Times New Roman"/>
          <w:szCs w:val="22"/>
        </w:rPr>
        <w:t xml:space="preserve">AC split </w:t>
      </w:r>
      <w:r w:rsidR="00AA0633">
        <w:rPr>
          <w:rFonts w:cs="Times New Roman"/>
          <w:szCs w:val="22"/>
        </w:rPr>
        <w:t xml:space="preserve">system category </w:t>
      </w:r>
      <w:r w:rsidR="00313331" w:rsidRPr="0060725B">
        <w:rPr>
          <w:rFonts w:cs="Times New Roman"/>
          <w:szCs w:val="22"/>
        </w:rPr>
        <w:t xml:space="preserve">are expected </w:t>
      </w:r>
      <w:r w:rsidR="00197CD1" w:rsidRPr="0060725B">
        <w:rPr>
          <w:rFonts w:cs="Times New Roman"/>
          <w:szCs w:val="22"/>
        </w:rPr>
        <w:t xml:space="preserve">to </w:t>
      </w:r>
      <w:r w:rsidR="00CB62F0" w:rsidRPr="0060725B">
        <w:rPr>
          <w:rFonts w:cs="Times New Roman"/>
          <w:szCs w:val="22"/>
        </w:rPr>
        <w:t xml:space="preserve">remain relatively steady at 520 </w:t>
      </w:r>
      <w:r w:rsidR="00597996" w:rsidRPr="0060725B">
        <w:rPr>
          <w:rFonts w:cs="Times New Roman"/>
          <w:szCs w:val="22"/>
        </w:rPr>
        <w:t xml:space="preserve">tonnes </w:t>
      </w:r>
      <w:r w:rsidR="00CB62F0" w:rsidRPr="0060725B">
        <w:rPr>
          <w:rFonts w:cs="Times New Roman"/>
          <w:szCs w:val="22"/>
        </w:rPr>
        <w:t xml:space="preserve">from </w:t>
      </w:r>
      <w:r w:rsidR="00597996" w:rsidRPr="0060725B">
        <w:rPr>
          <w:rFonts w:cs="Times New Roman"/>
          <w:szCs w:val="22"/>
        </w:rPr>
        <w:t>201</w:t>
      </w:r>
      <w:r w:rsidR="00036DCB" w:rsidRPr="0060725B">
        <w:rPr>
          <w:rFonts w:cs="Times New Roman"/>
          <w:szCs w:val="22"/>
        </w:rPr>
        <w:t>8</w:t>
      </w:r>
      <w:r w:rsidR="00597996" w:rsidRPr="0060725B">
        <w:rPr>
          <w:rFonts w:cs="Times New Roman"/>
          <w:szCs w:val="22"/>
        </w:rPr>
        <w:t xml:space="preserve"> to 2030 </w:t>
      </w:r>
      <w:r w:rsidR="00036DCB" w:rsidRPr="0060725B">
        <w:rPr>
          <w:rFonts w:cs="Times New Roman"/>
          <w:szCs w:val="22"/>
        </w:rPr>
        <w:t xml:space="preserve">but </w:t>
      </w:r>
      <w:r w:rsidR="00597996" w:rsidRPr="0060725B">
        <w:rPr>
          <w:rFonts w:cs="Times New Roman"/>
          <w:szCs w:val="22"/>
        </w:rPr>
        <w:t xml:space="preserve">with a </w:t>
      </w:r>
      <w:r w:rsidR="00036DCB" w:rsidRPr="0060725B">
        <w:rPr>
          <w:rFonts w:cs="Times New Roman"/>
          <w:szCs w:val="22"/>
        </w:rPr>
        <w:t>de</w:t>
      </w:r>
      <w:r w:rsidR="00597996" w:rsidRPr="0060725B">
        <w:rPr>
          <w:rFonts w:cs="Times New Roman"/>
          <w:szCs w:val="22"/>
        </w:rPr>
        <w:t>crease in the CO</w:t>
      </w:r>
      <w:r w:rsidR="00597996" w:rsidRPr="0060725B">
        <w:rPr>
          <w:rFonts w:cs="Times New Roman"/>
          <w:szCs w:val="22"/>
          <w:vertAlign w:val="subscript"/>
        </w:rPr>
        <w:t>2</w:t>
      </w:r>
      <w:r w:rsidR="00597996" w:rsidRPr="0060725B">
        <w:rPr>
          <w:rFonts w:cs="Times New Roman"/>
          <w:szCs w:val="22"/>
        </w:rPr>
        <w:t xml:space="preserve">e value of emissions from this segment from around </w:t>
      </w:r>
      <w:r w:rsidR="00036DCB" w:rsidRPr="0060725B">
        <w:rPr>
          <w:rFonts w:cs="Times New Roman"/>
          <w:szCs w:val="22"/>
        </w:rPr>
        <w:t>1.</w:t>
      </w:r>
      <w:r w:rsidR="00CB62F0" w:rsidRPr="0060725B">
        <w:rPr>
          <w:rFonts w:cs="Times New Roman"/>
          <w:szCs w:val="22"/>
        </w:rPr>
        <w:t>0</w:t>
      </w:r>
      <w:r w:rsidR="00597996" w:rsidRPr="0060725B">
        <w:rPr>
          <w:rFonts w:cs="Times New Roman"/>
          <w:szCs w:val="22"/>
        </w:rPr>
        <w:t xml:space="preserve"> million tonnes CO</w:t>
      </w:r>
      <w:r w:rsidR="00597996" w:rsidRPr="0060725B">
        <w:rPr>
          <w:rFonts w:cs="Times New Roman"/>
          <w:szCs w:val="22"/>
          <w:vertAlign w:val="subscript"/>
        </w:rPr>
        <w:t>2</w:t>
      </w:r>
      <w:r w:rsidR="00597996" w:rsidRPr="0060725B">
        <w:rPr>
          <w:rFonts w:cs="Times New Roman"/>
          <w:szCs w:val="22"/>
        </w:rPr>
        <w:t>e in 201</w:t>
      </w:r>
      <w:r w:rsidR="00036DCB" w:rsidRPr="0060725B">
        <w:rPr>
          <w:rFonts w:cs="Times New Roman"/>
          <w:szCs w:val="22"/>
        </w:rPr>
        <w:t>8</w:t>
      </w:r>
      <w:r w:rsidR="00597996" w:rsidRPr="0060725B">
        <w:rPr>
          <w:rFonts w:cs="Times New Roman"/>
          <w:szCs w:val="22"/>
        </w:rPr>
        <w:t xml:space="preserve"> to nearly </w:t>
      </w:r>
      <w:r w:rsidR="00CB62F0" w:rsidRPr="0060725B">
        <w:rPr>
          <w:rFonts w:cs="Times New Roman"/>
          <w:szCs w:val="22"/>
        </w:rPr>
        <w:t>0.52</w:t>
      </w:r>
      <w:r w:rsidR="00597996" w:rsidRPr="0060725B">
        <w:rPr>
          <w:rFonts w:cs="Times New Roman"/>
          <w:szCs w:val="22"/>
        </w:rPr>
        <w:t xml:space="preserve"> million tonnes CO</w:t>
      </w:r>
      <w:r w:rsidR="00597996" w:rsidRPr="0060725B">
        <w:rPr>
          <w:rFonts w:cs="Times New Roman"/>
          <w:szCs w:val="22"/>
          <w:vertAlign w:val="subscript"/>
        </w:rPr>
        <w:t>2</w:t>
      </w:r>
      <w:r w:rsidR="00597996" w:rsidRPr="0060725B">
        <w:rPr>
          <w:rFonts w:cs="Times New Roman"/>
          <w:szCs w:val="22"/>
        </w:rPr>
        <w:t>e in 2030</w:t>
      </w:r>
      <w:r w:rsidR="0060100D" w:rsidRPr="0060725B">
        <w:rPr>
          <w:rFonts w:cs="Times New Roman"/>
          <w:szCs w:val="22"/>
        </w:rPr>
        <w:t xml:space="preserve"> as lower GWP refrigerant</w:t>
      </w:r>
      <w:r w:rsidR="00AA0633">
        <w:rPr>
          <w:rFonts w:cs="Times New Roman"/>
          <w:szCs w:val="22"/>
        </w:rPr>
        <w:t>s</w:t>
      </w:r>
      <w:r w:rsidR="0060100D" w:rsidRPr="0060725B">
        <w:rPr>
          <w:rFonts w:cs="Times New Roman"/>
          <w:szCs w:val="22"/>
        </w:rPr>
        <w:t xml:space="preserve"> (primarily HFC-32) form the larger part of this bank</w:t>
      </w:r>
      <w:r w:rsidR="00CB62F0" w:rsidRPr="0060725B">
        <w:rPr>
          <w:rFonts w:cs="Times New Roman"/>
          <w:szCs w:val="22"/>
        </w:rPr>
        <w:t>.</w:t>
      </w:r>
    </w:p>
    <w:p w14:paraId="131B2920" w14:textId="7B4CFED9" w:rsidR="00597996" w:rsidRDefault="00597996" w:rsidP="009A23AA">
      <w:pPr>
        <w:rPr>
          <w:rFonts w:cs="Times New Roman"/>
          <w:szCs w:val="22"/>
        </w:rPr>
      </w:pPr>
    </w:p>
    <w:p w14:paraId="53D9B9E1" w14:textId="62BCBEA2" w:rsidR="0045124B" w:rsidRDefault="0045124B" w:rsidP="009A23AA">
      <w:pPr>
        <w:rPr>
          <w:rFonts w:cs="Times New Roman"/>
          <w:szCs w:val="22"/>
        </w:rPr>
      </w:pPr>
    </w:p>
    <w:p w14:paraId="7DEA3B24" w14:textId="1DEBE2AB" w:rsidR="0045124B" w:rsidRDefault="0045124B" w:rsidP="009A23AA">
      <w:pPr>
        <w:rPr>
          <w:rFonts w:cs="Times New Roman"/>
          <w:szCs w:val="22"/>
        </w:rPr>
      </w:pPr>
    </w:p>
    <w:p w14:paraId="7D638712" w14:textId="6E41AC48" w:rsidR="0045124B" w:rsidRDefault="0045124B" w:rsidP="009A23AA">
      <w:pPr>
        <w:rPr>
          <w:rFonts w:cs="Times New Roman"/>
          <w:szCs w:val="22"/>
        </w:rPr>
      </w:pPr>
    </w:p>
    <w:p w14:paraId="687B31FA" w14:textId="77777777" w:rsidR="0045124B" w:rsidRDefault="0045124B" w:rsidP="009A23AA">
      <w:pPr>
        <w:rPr>
          <w:rFonts w:cs="Times New Roman"/>
          <w:szCs w:val="22"/>
        </w:rPr>
      </w:pPr>
    </w:p>
    <w:p w14:paraId="6EDE7A62" w14:textId="6809F331" w:rsidR="00AA0633" w:rsidRDefault="00AA0633" w:rsidP="009A23AA">
      <w:pPr>
        <w:rPr>
          <w:rFonts w:cs="Times New Roman"/>
          <w:szCs w:val="22"/>
        </w:rPr>
      </w:pPr>
    </w:p>
    <w:p w14:paraId="60C386BA" w14:textId="77777777" w:rsidR="00AA0633" w:rsidRDefault="00AA0633" w:rsidP="009A23AA">
      <w:pPr>
        <w:rPr>
          <w:rFonts w:cs="Times New Roman"/>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597996" w:rsidRPr="00613398" w14:paraId="31816137" w14:textId="77777777" w:rsidTr="00597996">
        <w:tc>
          <w:tcPr>
            <w:tcW w:w="9759" w:type="dxa"/>
            <w:vAlign w:val="center"/>
          </w:tcPr>
          <w:p w14:paraId="14057C61" w14:textId="77777777" w:rsidR="00597996" w:rsidRPr="000A23F9" w:rsidRDefault="00597996" w:rsidP="00D66D96">
            <w:pPr>
              <w:spacing w:after="120"/>
              <w:jc w:val="center"/>
              <w:rPr>
                <w:rFonts w:cs="Times New Roman"/>
                <w:b/>
              </w:rPr>
            </w:pPr>
            <w:r>
              <w:rPr>
                <w:rFonts w:cs="Times New Roman"/>
                <w:b/>
              </w:rPr>
              <w:t xml:space="preserve">Stationary AC: </w:t>
            </w:r>
            <w:r w:rsidRPr="000A23F9">
              <w:rPr>
                <w:rFonts w:cs="Times New Roman"/>
                <w:b/>
              </w:rPr>
              <w:br w:type="page"/>
            </w:r>
            <w:r>
              <w:rPr>
                <w:rFonts w:cs="Times New Roman"/>
                <w:b/>
              </w:rPr>
              <w:t xml:space="preserve">Direct emissions by species from </w:t>
            </w:r>
            <w:r w:rsidRPr="000A23F9">
              <w:rPr>
                <w:rFonts w:cs="Times New Roman"/>
                <w:b/>
              </w:rPr>
              <w:t>201</w:t>
            </w:r>
            <w:r>
              <w:rPr>
                <w:rFonts w:cs="Times New Roman"/>
                <w:b/>
              </w:rPr>
              <w:t>8</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t</w:t>
            </w:r>
            <w:r w:rsidRPr="000A23F9">
              <w:rPr>
                <w:rFonts w:cs="Times New Roman"/>
                <w:b/>
              </w:rPr>
              <w:t>onnes)</w:t>
            </w:r>
          </w:p>
        </w:tc>
      </w:tr>
      <w:tr w:rsidR="00597996" w:rsidRPr="000A23F9" w14:paraId="20F566C4" w14:textId="77777777" w:rsidTr="00E81AAB">
        <w:tc>
          <w:tcPr>
            <w:tcW w:w="9759" w:type="dxa"/>
            <w:vAlign w:val="center"/>
          </w:tcPr>
          <w:p w14:paraId="4B7B5BDD" w14:textId="77777777" w:rsidR="00597996" w:rsidRPr="000A23F9" w:rsidRDefault="00597996" w:rsidP="009A23AA">
            <w:pPr>
              <w:spacing w:before="60" w:after="60"/>
              <w:rPr>
                <w:rFonts w:cs="Times New Roman"/>
                <w:sz w:val="16"/>
                <w:szCs w:val="16"/>
              </w:rPr>
            </w:pPr>
          </w:p>
          <w:p w14:paraId="568001CE" w14:textId="22414F95" w:rsidR="00597996" w:rsidRPr="000A23F9" w:rsidRDefault="00E81AAB" w:rsidP="009A23AA">
            <w:pPr>
              <w:spacing w:before="60" w:after="60"/>
              <w:rPr>
                <w:rFonts w:cs="Times New Roman"/>
                <w:sz w:val="16"/>
                <w:szCs w:val="16"/>
              </w:rPr>
            </w:pPr>
            <w:r>
              <w:rPr>
                <w:noProof/>
                <w:lang w:val="en-AU" w:eastAsia="en-AU"/>
              </w:rPr>
              <w:drawing>
                <wp:inline distT="0" distB="0" distL="0" distR="0" wp14:anchorId="3E96CC23" wp14:editId="3A223FB8">
                  <wp:extent cx="6030595" cy="2145030"/>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0595" cy="2145030"/>
                          </a:xfrm>
                          <a:prstGeom prst="rect">
                            <a:avLst/>
                          </a:prstGeom>
                        </pic:spPr>
                      </pic:pic>
                    </a:graphicData>
                  </a:graphic>
                </wp:inline>
              </w:drawing>
            </w:r>
          </w:p>
          <w:p w14:paraId="07D2117C" w14:textId="77777777" w:rsidR="00597996" w:rsidRPr="000A23F9" w:rsidRDefault="00597996" w:rsidP="009A23AA">
            <w:pPr>
              <w:spacing w:before="60" w:after="60"/>
              <w:rPr>
                <w:rFonts w:cs="Times New Roman"/>
                <w:sz w:val="16"/>
                <w:szCs w:val="16"/>
              </w:rPr>
            </w:pPr>
          </w:p>
        </w:tc>
      </w:tr>
      <w:tr w:rsidR="00597996" w:rsidRPr="000A23F9" w14:paraId="5F1C449F" w14:textId="77777777" w:rsidTr="00597996">
        <w:tc>
          <w:tcPr>
            <w:tcW w:w="9759" w:type="dxa"/>
            <w:vAlign w:val="center"/>
          </w:tcPr>
          <w:p w14:paraId="017420D5" w14:textId="28831E43" w:rsidR="00597996" w:rsidRPr="0023612A" w:rsidRDefault="00597996" w:rsidP="009A23AA">
            <w:pPr>
              <w:pStyle w:val="Caption"/>
            </w:pPr>
            <w:bookmarkStart w:id="33" w:name="_Toc525141371"/>
            <w:bookmarkStart w:id="34" w:name="_Toc19601327"/>
            <w:r w:rsidRPr="0023612A">
              <w:t xml:space="preserve">Figure </w:t>
            </w:r>
            <w:r>
              <w:rPr>
                <w:noProof/>
              </w:rPr>
              <w:fldChar w:fldCharType="begin"/>
            </w:r>
            <w:r>
              <w:rPr>
                <w:noProof/>
              </w:rPr>
              <w:instrText xml:space="preserve"> SEQ Figure \* ARABIC </w:instrText>
            </w:r>
            <w:r>
              <w:rPr>
                <w:noProof/>
              </w:rPr>
              <w:fldChar w:fldCharType="separate"/>
            </w:r>
            <w:r w:rsidR="001D0DA3">
              <w:rPr>
                <w:noProof/>
              </w:rPr>
              <w:t>5</w:t>
            </w:r>
            <w:r>
              <w:rPr>
                <w:noProof/>
              </w:rPr>
              <w:fldChar w:fldCharType="end"/>
            </w:r>
            <w:r w:rsidRPr="0023612A">
              <w:t>:</w:t>
            </w:r>
            <w:r w:rsidRPr="0023612A">
              <w:rPr>
                <w:bCs w:val="0"/>
              </w:rPr>
              <w:t xml:space="preserve"> Stationary AC: Direct emissions by species from 201</w:t>
            </w:r>
            <w:r>
              <w:rPr>
                <w:bCs w:val="0"/>
              </w:rPr>
              <w:t>8</w:t>
            </w:r>
            <w:r w:rsidRPr="0023612A">
              <w:rPr>
                <w:bCs w:val="0"/>
              </w:rPr>
              <w:t xml:space="preserve"> to 2030 in </w:t>
            </w:r>
            <w:proofErr w:type="spellStart"/>
            <w:r w:rsidRPr="0023612A">
              <w:rPr>
                <w:bCs w:val="0"/>
              </w:rPr>
              <w:t>tonnes</w:t>
            </w:r>
            <w:proofErr w:type="spellEnd"/>
            <w:r w:rsidRPr="0023612A">
              <w:rPr>
                <w:bCs w:val="0"/>
              </w:rPr>
              <w:t>.</w:t>
            </w:r>
            <w:bookmarkEnd w:id="33"/>
            <w:bookmarkEnd w:id="34"/>
          </w:p>
        </w:tc>
      </w:tr>
    </w:tbl>
    <w:p w14:paraId="5A817F46" w14:textId="77777777" w:rsidR="00597996" w:rsidRPr="00573A8B" w:rsidRDefault="00597996" w:rsidP="009A23AA">
      <w:pPr>
        <w:spacing w:before="0"/>
        <w:rPr>
          <w:rFonts w:cs="Times New Roman"/>
          <w:sz w:val="20"/>
          <w:szCs w:val="20"/>
          <w:lang w:val="en-US"/>
        </w:rPr>
      </w:pPr>
      <w:r w:rsidRPr="00573A8B">
        <w:rPr>
          <w:rFonts w:cs="Times New Roman"/>
          <w:sz w:val="20"/>
          <w:szCs w:val="20"/>
          <w:lang w:val="en-US"/>
        </w:rPr>
        <w:t xml:space="preserve">(Source: </w:t>
      </w:r>
      <w:r>
        <w:rPr>
          <w:rFonts w:cs="Times New Roman"/>
          <w:sz w:val="20"/>
          <w:szCs w:val="20"/>
        </w:rPr>
        <w:t>CHF 2019 RAC Stock model</w:t>
      </w:r>
      <w:r w:rsidRPr="00573A8B">
        <w:rPr>
          <w:rFonts w:cs="Times New Roman"/>
          <w:sz w:val="20"/>
          <w:szCs w:val="20"/>
          <w:lang w:val="en-US"/>
        </w:rPr>
        <w:t>)</w:t>
      </w:r>
    </w:p>
    <w:p w14:paraId="34FC7ADE" w14:textId="77777777" w:rsidR="00597996" w:rsidRDefault="00597996" w:rsidP="009A23AA">
      <w:pPr>
        <w:spacing w:before="0"/>
        <w:rPr>
          <w:rFonts w:cs="Times New Roman"/>
        </w:rPr>
      </w:pPr>
    </w:p>
    <w:p w14:paraId="550279B4" w14:textId="77777777" w:rsidR="00597996" w:rsidRDefault="00597996" w:rsidP="009A23AA">
      <w:pPr>
        <w:spacing w:before="0"/>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597996" w:rsidRPr="00613398" w14:paraId="3BE30892" w14:textId="77777777" w:rsidTr="00597996">
        <w:tc>
          <w:tcPr>
            <w:tcW w:w="9759" w:type="dxa"/>
            <w:vAlign w:val="center"/>
          </w:tcPr>
          <w:p w14:paraId="5B03CD2C" w14:textId="77777777" w:rsidR="00597996" w:rsidRPr="000A23F9" w:rsidRDefault="00597996" w:rsidP="00D66D96">
            <w:pPr>
              <w:spacing w:after="120"/>
              <w:jc w:val="center"/>
              <w:rPr>
                <w:rFonts w:cs="Times New Roman"/>
                <w:b/>
              </w:rPr>
            </w:pPr>
            <w:r w:rsidRPr="000A23F9">
              <w:rPr>
                <w:rFonts w:cs="Times New Roman"/>
                <w:b/>
              </w:rPr>
              <w:br w:type="page"/>
            </w:r>
            <w:r>
              <w:rPr>
                <w:rFonts w:cs="Times New Roman"/>
                <w:b/>
              </w:rPr>
              <w:t xml:space="preserve">Stationary AC: </w:t>
            </w:r>
            <w:r w:rsidRPr="000A23F9">
              <w:rPr>
                <w:rFonts w:cs="Times New Roman"/>
                <w:b/>
              </w:rPr>
              <w:br w:type="page"/>
            </w:r>
            <w:r>
              <w:rPr>
                <w:rFonts w:cs="Times New Roman"/>
                <w:b/>
              </w:rPr>
              <w:t xml:space="preserve">Direct emissions by species from </w:t>
            </w:r>
            <w:r w:rsidRPr="000A23F9">
              <w:rPr>
                <w:rFonts w:cs="Times New Roman"/>
                <w:b/>
              </w:rPr>
              <w:t>201</w:t>
            </w:r>
            <w:r>
              <w:rPr>
                <w:rFonts w:cs="Times New Roman"/>
                <w:b/>
              </w:rPr>
              <w:t>8</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Mt CO</w:t>
            </w:r>
            <w:r w:rsidRPr="00B918A6">
              <w:rPr>
                <w:rFonts w:cs="Times New Roman"/>
                <w:b/>
                <w:vertAlign w:val="subscript"/>
              </w:rPr>
              <w:t>2</w:t>
            </w:r>
            <w:r>
              <w:rPr>
                <w:rFonts w:cs="Times New Roman"/>
                <w:b/>
              </w:rPr>
              <w:t>e</w:t>
            </w:r>
            <w:r w:rsidRPr="000A23F9">
              <w:rPr>
                <w:rFonts w:cs="Times New Roman"/>
                <w:b/>
              </w:rPr>
              <w:t>)</w:t>
            </w:r>
          </w:p>
        </w:tc>
      </w:tr>
      <w:tr w:rsidR="00597996" w:rsidRPr="000A23F9" w14:paraId="245EE774" w14:textId="77777777" w:rsidTr="00E81AAB">
        <w:tc>
          <w:tcPr>
            <w:tcW w:w="9759" w:type="dxa"/>
            <w:vAlign w:val="center"/>
          </w:tcPr>
          <w:p w14:paraId="0FCC9EFC" w14:textId="77777777" w:rsidR="00597996" w:rsidRPr="000A23F9" w:rsidRDefault="00597996" w:rsidP="009A23AA">
            <w:pPr>
              <w:spacing w:before="60" w:after="60"/>
              <w:rPr>
                <w:rFonts w:cs="Times New Roman"/>
                <w:sz w:val="16"/>
                <w:szCs w:val="16"/>
              </w:rPr>
            </w:pPr>
          </w:p>
          <w:p w14:paraId="37FBEA23" w14:textId="2525E814" w:rsidR="00597996" w:rsidRPr="000A23F9" w:rsidRDefault="00E81AAB" w:rsidP="009A23AA">
            <w:pPr>
              <w:spacing w:before="60" w:after="60"/>
              <w:rPr>
                <w:rFonts w:cs="Times New Roman"/>
                <w:sz w:val="16"/>
                <w:szCs w:val="16"/>
              </w:rPr>
            </w:pPr>
            <w:r>
              <w:rPr>
                <w:noProof/>
                <w:lang w:val="en-AU" w:eastAsia="en-AU"/>
              </w:rPr>
              <w:drawing>
                <wp:inline distT="0" distB="0" distL="0" distR="0" wp14:anchorId="3A450070" wp14:editId="042E92DF">
                  <wp:extent cx="6030595" cy="207581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0595" cy="2075815"/>
                          </a:xfrm>
                          <a:prstGeom prst="rect">
                            <a:avLst/>
                          </a:prstGeom>
                        </pic:spPr>
                      </pic:pic>
                    </a:graphicData>
                  </a:graphic>
                </wp:inline>
              </w:drawing>
            </w:r>
          </w:p>
          <w:p w14:paraId="56520A38" w14:textId="77777777" w:rsidR="00597996" w:rsidRPr="000A23F9" w:rsidRDefault="00597996" w:rsidP="009A23AA">
            <w:pPr>
              <w:spacing w:before="60" w:after="60"/>
              <w:rPr>
                <w:rFonts w:cs="Times New Roman"/>
                <w:sz w:val="16"/>
                <w:szCs w:val="16"/>
              </w:rPr>
            </w:pPr>
          </w:p>
        </w:tc>
      </w:tr>
      <w:tr w:rsidR="00597996" w:rsidRPr="000A23F9" w14:paraId="6694642B" w14:textId="77777777" w:rsidTr="00597996">
        <w:tc>
          <w:tcPr>
            <w:tcW w:w="9759" w:type="dxa"/>
            <w:vAlign w:val="center"/>
          </w:tcPr>
          <w:p w14:paraId="67E21033" w14:textId="7514AA3C" w:rsidR="00597996" w:rsidRPr="0023612A" w:rsidRDefault="00597996" w:rsidP="009A23AA">
            <w:pPr>
              <w:pStyle w:val="Caption"/>
            </w:pPr>
            <w:bookmarkStart w:id="35" w:name="_Toc525141372"/>
            <w:bookmarkStart w:id="36" w:name="_Toc19601328"/>
            <w:r w:rsidRPr="0023612A">
              <w:t xml:space="preserve">Figure </w:t>
            </w:r>
            <w:r>
              <w:rPr>
                <w:noProof/>
              </w:rPr>
              <w:fldChar w:fldCharType="begin"/>
            </w:r>
            <w:r>
              <w:rPr>
                <w:noProof/>
              </w:rPr>
              <w:instrText xml:space="preserve"> SEQ Figure \* ARABIC </w:instrText>
            </w:r>
            <w:r>
              <w:rPr>
                <w:noProof/>
              </w:rPr>
              <w:fldChar w:fldCharType="separate"/>
            </w:r>
            <w:r w:rsidR="001D0DA3">
              <w:rPr>
                <w:noProof/>
              </w:rPr>
              <w:t>6</w:t>
            </w:r>
            <w:r>
              <w:rPr>
                <w:noProof/>
              </w:rPr>
              <w:fldChar w:fldCharType="end"/>
            </w:r>
            <w:r w:rsidRPr="0023612A">
              <w:rPr>
                <w:bCs w:val="0"/>
              </w:rPr>
              <w:t>: Stationary AC: Direct emissions by species from 201</w:t>
            </w:r>
            <w:r>
              <w:rPr>
                <w:bCs w:val="0"/>
              </w:rPr>
              <w:t>8</w:t>
            </w:r>
            <w:r w:rsidRPr="0023612A">
              <w:rPr>
                <w:bCs w:val="0"/>
              </w:rPr>
              <w:t xml:space="preserve"> to 2030 in Mt CO</w:t>
            </w:r>
            <w:r w:rsidRPr="0023612A">
              <w:rPr>
                <w:bCs w:val="0"/>
                <w:vertAlign w:val="subscript"/>
              </w:rPr>
              <w:t>2</w:t>
            </w:r>
            <w:r w:rsidRPr="0023612A">
              <w:rPr>
                <w:bCs w:val="0"/>
              </w:rPr>
              <w:t>e.</w:t>
            </w:r>
            <w:bookmarkEnd w:id="35"/>
            <w:bookmarkEnd w:id="36"/>
          </w:p>
        </w:tc>
      </w:tr>
    </w:tbl>
    <w:p w14:paraId="65D3B82F" w14:textId="77777777" w:rsidR="00597996" w:rsidRPr="00573A8B" w:rsidRDefault="00597996" w:rsidP="009A23AA">
      <w:pPr>
        <w:spacing w:before="0"/>
        <w:rPr>
          <w:rFonts w:cs="Times New Roman"/>
          <w:sz w:val="20"/>
          <w:szCs w:val="20"/>
          <w:lang w:val="en-US"/>
        </w:rPr>
      </w:pPr>
      <w:r w:rsidRPr="00573A8B">
        <w:rPr>
          <w:rFonts w:cs="Times New Roman"/>
          <w:sz w:val="20"/>
          <w:szCs w:val="20"/>
          <w:lang w:val="en-US"/>
        </w:rPr>
        <w:t xml:space="preserve">(Source: </w:t>
      </w:r>
      <w:r>
        <w:rPr>
          <w:rFonts w:cs="Times New Roman"/>
          <w:sz w:val="20"/>
          <w:szCs w:val="20"/>
        </w:rPr>
        <w:t>CHF 2019 RAC Stock model</w:t>
      </w:r>
      <w:r w:rsidRPr="00573A8B">
        <w:rPr>
          <w:rFonts w:cs="Times New Roman"/>
          <w:sz w:val="20"/>
          <w:szCs w:val="20"/>
          <w:lang w:val="en-US"/>
        </w:rPr>
        <w:t>)</w:t>
      </w:r>
    </w:p>
    <w:bookmarkEnd w:id="32"/>
    <w:p w14:paraId="2DE6F08B" w14:textId="3C21D0D5" w:rsidR="00E42FBC" w:rsidRDefault="00E42FBC" w:rsidP="009A23AA">
      <w:pPr>
        <w:spacing w:before="0"/>
        <w:rPr>
          <w:rFonts w:cs="Times New Roman"/>
          <w:szCs w:val="22"/>
        </w:rPr>
      </w:pPr>
    </w:p>
    <w:p w14:paraId="78555D88" w14:textId="7DF228A8" w:rsidR="00597996" w:rsidRDefault="00597996" w:rsidP="009A23AA">
      <w:pPr>
        <w:spacing w:before="0"/>
        <w:rPr>
          <w:rFonts w:cs="Times New Roman"/>
          <w:szCs w:val="22"/>
        </w:rPr>
      </w:pPr>
    </w:p>
    <w:p w14:paraId="4E0EB7C8" w14:textId="68EAB68E" w:rsidR="00597996" w:rsidRDefault="00597996" w:rsidP="009A23AA">
      <w:pPr>
        <w:spacing w:before="0"/>
        <w:rPr>
          <w:rFonts w:cs="Times New Roman"/>
          <w:szCs w:val="22"/>
        </w:rPr>
      </w:pPr>
    </w:p>
    <w:p w14:paraId="0F6A536F" w14:textId="783C46DD" w:rsidR="00597996" w:rsidRDefault="00597996" w:rsidP="009A23AA">
      <w:pPr>
        <w:spacing w:before="0"/>
        <w:rPr>
          <w:rFonts w:cs="Times New Roman"/>
          <w:szCs w:val="22"/>
        </w:rPr>
      </w:pPr>
    </w:p>
    <w:p w14:paraId="3B779135" w14:textId="38A032BF" w:rsidR="00597996" w:rsidRDefault="00597996" w:rsidP="009A23AA">
      <w:pPr>
        <w:spacing w:before="0"/>
        <w:rPr>
          <w:rFonts w:cs="Times New Roman"/>
          <w:szCs w:val="22"/>
        </w:rPr>
      </w:pPr>
    </w:p>
    <w:p w14:paraId="74C7AC24" w14:textId="5EE2E3BB" w:rsidR="00597996" w:rsidRDefault="00597996" w:rsidP="009A23AA">
      <w:pPr>
        <w:spacing w:before="0"/>
        <w:rPr>
          <w:rFonts w:cs="Times New Roman"/>
          <w:szCs w:val="22"/>
        </w:rPr>
      </w:pPr>
    </w:p>
    <w:p w14:paraId="41476DDA" w14:textId="77777777" w:rsidR="00597996" w:rsidRDefault="00597996" w:rsidP="009A23AA">
      <w:pPr>
        <w:spacing w:before="0"/>
        <w:rPr>
          <w:rFonts w:cs="Times New Roman"/>
          <w:szCs w:val="22"/>
        </w:rPr>
      </w:pPr>
    </w:p>
    <w:p w14:paraId="1AF8D875" w14:textId="77777777" w:rsidR="00597996" w:rsidRDefault="00597996" w:rsidP="009A23AA">
      <w:pPr>
        <w:spacing w:before="0"/>
        <w:rPr>
          <w:rFonts w:ascii="Calibri" w:hAnsi="Calibri" w:cs="Times New Roman"/>
          <w:b/>
          <w:bCs/>
          <w:i/>
          <w:iCs/>
          <w:sz w:val="28"/>
          <w:szCs w:val="28"/>
          <w:lang w:val="en-US"/>
        </w:rPr>
      </w:pPr>
      <w:r>
        <w:br w:type="page"/>
      </w:r>
    </w:p>
    <w:p w14:paraId="0FA6DBDE" w14:textId="037AD98E" w:rsidR="00E42FBC" w:rsidRPr="00414D21" w:rsidRDefault="00E42FBC" w:rsidP="009A23AA">
      <w:pPr>
        <w:pStyle w:val="Heading2"/>
        <w:jc w:val="both"/>
        <w:rPr>
          <w:rFonts w:eastAsiaTheme="minorEastAsia"/>
        </w:rPr>
      </w:pPr>
      <w:bookmarkStart w:id="37" w:name="_Toc19601293"/>
      <w:r w:rsidRPr="00414D21">
        <w:rPr>
          <w:rFonts w:eastAsiaTheme="minorEastAsia"/>
        </w:rPr>
        <w:t>Mobile air conditioning</w:t>
      </w:r>
      <w:bookmarkEnd w:id="37"/>
    </w:p>
    <w:p w14:paraId="33DD0A0C" w14:textId="77777777" w:rsidR="00C3687F" w:rsidRDefault="00C3687F" w:rsidP="009A23AA">
      <w:pPr>
        <w:rPr>
          <w:rFonts w:cs="Times New Roman"/>
          <w:color w:val="000000" w:themeColor="text1"/>
          <w:szCs w:val="22"/>
        </w:rPr>
      </w:pPr>
      <w:bookmarkStart w:id="38" w:name="_Hlk508550897"/>
      <w:r w:rsidRPr="00542CD2">
        <w:rPr>
          <w:color w:val="000000" w:themeColor="text1"/>
          <w:szCs w:val="22"/>
        </w:rPr>
        <w:t xml:space="preserve">Mobile air conditioning (MAC) includes equipment </w:t>
      </w:r>
      <w:r>
        <w:rPr>
          <w:color w:val="000000" w:themeColor="text1"/>
          <w:szCs w:val="22"/>
        </w:rPr>
        <w:t xml:space="preserve">captured </w:t>
      </w:r>
      <w:r w:rsidRPr="00E607C8">
        <w:rPr>
          <w:rFonts w:cs="Times New Roman"/>
          <w:color w:val="000000" w:themeColor="text1"/>
          <w:szCs w:val="22"/>
        </w:rPr>
        <w:t>in two broad segments</w:t>
      </w:r>
      <w:r>
        <w:rPr>
          <w:rFonts w:cs="Times New Roman"/>
          <w:color w:val="000000" w:themeColor="text1"/>
          <w:szCs w:val="22"/>
        </w:rPr>
        <w:t xml:space="preserve"> of the RAC Stock Model</w:t>
      </w:r>
      <w:r w:rsidRPr="00E607C8">
        <w:rPr>
          <w:rFonts w:cs="Times New Roman"/>
          <w:color w:val="000000" w:themeColor="text1"/>
          <w:szCs w:val="22"/>
        </w:rPr>
        <w:t xml:space="preserve">, </w:t>
      </w:r>
      <w:r>
        <w:rPr>
          <w:rFonts w:cs="Times New Roman"/>
          <w:color w:val="000000" w:themeColor="text1"/>
          <w:szCs w:val="22"/>
        </w:rPr>
        <w:t>‘s</w:t>
      </w:r>
      <w:r w:rsidRPr="00E607C8">
        <w:rPr>
          <w:rFonts w:cs="Times New Roman"/>
          <w:color w:val="000000" w:themeColor="text1"/>
          <w:szCs w:val="22"/>
        </w:rPr>
        <w:t>mall MAC</w:t>
      </w:r>
      <w:r>
        <w:rPr>
          <w:rFonts w:cs="Times New Roman"/>
          <w:color w:val="000000" w:themeColor="text1"/>
          <w:szCs w:val="22"/>
        </w:rPr>
        <w:t>’</w:t>
      </w:r>
      <w:r w:rsidRPr="00E607C8">
        <w:rPr>
          <w:rFonts w:cs="Times New Roman"/>
          <w:color w:val="000000" w:themeColor="text1"/>
          <w:szCs w:val="22"/>
        </w:rPr>
        <w:t xml:space="preserve"> </w:t>
      </w:r>
      <w:r>
        <w:rPr>
          <w:rFonts w:cs="Times New Roman"/>
          <w:color w:val="000000" w:themeColor="text1"/>
          <w:szCs w:val="22"/>
        </w:rPr>
        <w:t xml:space="preserve">and ‘large MAC’. </w:t>
      </w:r>
    </w:p>
    <w:p w14:paraId="41D74FB1" w14:textId="1DED7C15" w:rsidR="00C3687F" w:rsidRDefault="00C3687F" w:rsidP="009A23AA">
      <w:pPr>
        <w:rPr>
          <w:rFonts w:cs="Times New Roman"/>
          <w:color w:val="000000" w:themeColor="text1"/>
          <w:szCs w:val="22"/>
        </w:rPr>
      </w:pPr>
      <w:r>
        <w:rPr>
          <w:rFonts w:cs="Times New Roman"/>
          <w:color w:val="000000" w:themeColor="text1"/>
          <w:szCs w:val="22"/>
        </w:rPr>
        <w:t>Small MAC</w:t>
      </w:r>
      <w:r w:rsidRPr="00E607C8">
        <w:rPr>
          <w:rFonts w:cs="Times New Roman"/>
          <w:color w:val="000000" w:themeColor="text1"/>
          <w:szCs w:val="22"/>
        </w:rPr>
        <w:t xml:space="preserve"> includes </w:t>
      </w:r>
      <w:r>
        <w:rPr>
          <w:rFonts w:cs="Times New Roman"/>
          <w:color w:val="000000" w:themeColor="text1"/>
          <w:szCs w:val="22"/>
        </w:rPr>
        <w:t xml:space="preserve">air conditioning equipment in </w:t>
      </w:r>
      <w:r w:rsidRPr="00E607C8">
        <w:rPr>
          <w:rFonts w:cs="Times New Roman"/>
          <w:color w:val="000000" w:themeColor="text1"/>
          <w:szCs w:val="22"/>
        </w:rPr>
        <w:t xml:space="preserve">passenger </w:t>
      </w:r>
      <w:r>
        <w:rPr>
          <w:rFonts w:cs="Times New Roman"/>
          <w:color w:val="000000" w:themeColor="text1"/>
          <w:szCs w:val="22"/>
        </w:rPr>
        <w:t xml:space="preserve">vehicles, </w:t>
      </w:r>
      <w:r w:rsidRPr="00E607C8">
        <w:rPr>
          <w:rFonts w:cs="Times New Roman"/>
          <w:color w:val="000000" w:themeColor="text1"/>
          <w:szCs w:val="22"/>
        </w:rPr>
        <w:t xml:space="preserve">light commercial vehicles, </w:t>
      </w:r>
      <w:r>
        <w:rPr>
          <w:rFonts w:cs="Times New Roman"/>
          <w:color w:val="000000" w:themeColor="text1"/>
          <w:szCs w:val="22"/>
        </w:rPr>
        <w:t xml:space="preserve">trucks and commuter buses which together </w:t>
      </w:r>
      <w:r w:rsidRPr="00E607C8">
        <w:rPr>
          <w:rFonts w:cs="Times New Roman"/>
          <w:color w:val="000000" w:themeColor="text1"/>
          <w:szCs w:val="22"/>
        </w:rPr>
        <w:t>employ</w:t>
      </w:r>
      <w:r>
        <w:rPr>
          <w:rFonts w:cs="Times New Roman"/>
          <w:color w:val="000000" w:themeColor="text1"/>
          <w:szCs w:val="22"/>
        </w:rPr>
        <w:t xml:space="preserve">ed around </w:t>
      </w:r>
      <w:r w:rsidRPr="00E607C8">
        <w:rPr>
          <w:rFonts w:cs="Times New Roman"/>
          <w:color w:val="000000" w:themeColor="text1"/>
          <w:szCs w:val="22"/>
        </w:rPr>
        <w:t>93% of the MAC bank in 2018</w:t>
      </w:r>
      <w:r>
        <w:rPr>
          <w:rFonts w:cs="Times New Roman"/>
          <w:color w:val="000000" w:themeColor="text1"/>
          <w:szCs w:val="22"/>
        </w:rPr>
        <w:t xml:space="preserve">. </w:t>
      </w:r>
      <w:r w:rsidRPr="00E607C8">
        <w:rPr>
          <w:rFonts w:cs="Times New Roman"/>
          <w:color w:val="000000" w:themeColor="text1"/>
          <w:szCs w:val="22"/>
        </w:rPr>
        <w:t xml:space="preserve">Large MAC </w:t>
      </w:r>
      <w:r>
        <w:rPr>
          <w:rFonts w:cs="Times New Roman"/>
          <w:color w:val="000000" w:themeColor="text1"/>
          <w:szCs w:val="22"/>
        </w:rPr>
        <w:t>includes equipment found in a diverse range of registered, unregistered and off-road vehicles</w:t>
      </w:r>
      <w:r w:rsidR="007E0085">
        <w:rPr>
          <w:rFonts w:cs="Times New Roman"/>
          <w:color w:val="000000" w:themeColor="text1"/>
          <w:szCs w:val="22"/>
        </w:rPr>
        <w:t>,</w:t>
      </w:r>
      <w:r>
        <w:rPr>
          <w:rFonts w:cs="Times New Roman"/>
          <w:color w:val="000000" w:themeColor="text1"/>
          <w:szCs w:val="22"/>
        </w:rPr>
        <w:t xml:space="preserve"> such as </w:t>
      </w:r>
      <w:r w:rsidRPr="00E607C8">
        <w:rPr>
          <w:rFonts w:cs="Times New Roman"/>
          <w:color w:val="000000" w:themeColor="text1"/>
          <w:szCs w:val="22"/>
        </w:rPr>
        <w:t>large</w:t>
      </w:r>
      <w:r>
        <w:rPr>
          <w:rFonts w:cs="Times New Roman"/>
          <w:color w:val="000000" w:themeColor="text1"/>
          <w:szCs w:val="22"/>
        </w:rPr>
        <w:t xml:space="preserve">r </w:t>
      </w:r>
      <w:r w:rsidRPr="00E607C8">
        <w:rPr>
          <w:rFonts w:cs="Times New Roman"/>
          <w:color w:val="000000" w:themeColor="text1"/>
          <w:szCs w:val="22"/>
        </w:rPr>
        <w:t>buses</w:t>
      </w:r>
      <w:r>
        <w:rPr>
          <w:rFonts w:cs="Times New Roman"/>
          <w:color w:val="000000" w:themeColor="text1"/>
          <w:szCs w:val="22"/>
        </w:rPr>
        <w:t xml:space="preserve"> and coaches;</w:t>
      </w:r>
      <w:r w:rsidRPr="00E607C8">
        <w:rPr>
          <w:rFonts w:cs="Times New Roman"/>
          <w:color w:val="000000" w:themeColor="text1"/>
          <w:szCs w:val="22"/>
        </w:rPr>
        <w:t xml:space="preserve"> </w:t>
      </w:r>
      <w:r>
        <w:rPr>
          <w:rFonts w:cs="Times New Roman"/>
          <w:color w:val="000000" w:themeColor="text1"/>
          <w:szCs w:val="22"/>
        </w:rPr>
        <w:t xml:space="preserve">locomotives, </w:t>
      </w:r>
      <w:r w:rsidRPr="00E607C8">
        <w:rPr>
          <w:rFonts w:cs="Times New Roman"/>
          <w:color w:val="000000" w:themeColor="text1"/>
          <w:szCs w:val="22"/>
        </w:rPr>
        <w:t>passenger trains</w:t>
      </w:r>
      <w:r>
        <w:rPr>
          <w:rFonts w:cs="Times New Roman"/>
          <w:color w:val="000000" w:themeColor="text1"/>
          <w:szCs w:val="22"/>
        </w:rPr>
        <w:t xml:space="preserve"> and trams;</w:t>
      </w:r>
      <w:r w:rsidRPr="00E607C8">
        <w:rPr>
          <w:rFonts w:cs="Times New Roman"/>
          <w:color w:val="000000" w:themeColor="text1"/>
          <w:szCs w:val="22"/>
        </w:rPr>
        <w:t xml:space="preserve"> recreational vehicles</w:t>
      </w:r>
      <w:r>
        <w:rPr>
          <w:rFonts w:cs="Times New Roman"/>
          <w:color w:val="000000" w:themeColor="text1"/>
          <w:szCs w:val="22"/>
        </w:rPr>
        <w:t xml:space="preserve"> and </w:t>
      </w:r>
      <w:r w:rsidRPr="00E607C8">
        <w:rPr>
          <w:rFonts w:cs="Times New Roman"/>
          <w:color w:val="000000" w:themeColor="text1"/>
          <w:szCs w:val="22"/>
        </w:rPr>
        <w:t>caravans</w:t>
      </w:r>
      <w:r>
        <w:rPr>
          <w:rFonts w:cs="Times New Roman"/>
          <w:color w:val="000000" w:themeColor="text1"/>
          <w:szCs w:val="22"/>
        </w:rPr>
        <w:t>; boats and</w:t>
      </w:r>
      <w:r w:rsidRPr="00E607C8">
        <w:rPr>
          <w:rFonts w:cs="Times New Roman"/>
          <w:color w:val="000000" w:themeColor="text1"/>
          <w:szCs w:val="22"/>
        </w:rPr>
        <w:t xml:space="preserve"> </w:t>
      </w:r>
      <w:r>
        <w:rPr>
          <w:rFonts w:cs="Times New Roman"/>
          <w:color w:val="000000" w:themeColor="text1"/>
          <w:szCs w:val="22"/>
        </w:rPr>
        <w:t xml:space="preserve">pleasure craft; aircraft systems; </w:t>
      </w:r>
      <w:r w:rsidRPr="00E607C8">
        <w:rPr>
          <w:rFonts w:cs="Times New Roman"/>
          <w:color w:val="000000" w:themeColor="text1"/>
          <w:szCs w:val="22"/>
        </w:rPr>
        <w:t>mobile cranes</w:t>
      </w:r>
      <w:r>
        <w:rPr>
          <w:rFonts w:cs="Times New Roman"/>
          <w:color w:val="000000" w:themeColor="text1"/>
          <w:szCs w:val="22"/>
        </w:rPr>
        <w:t>;</w:t>
      </w:r>
      <w:r w:rsidRPr="00E607C8">
        <w:rPr>
          <w:rFonts w:cs="Times New Roman"/>
          <w:color w:val="000000" w:themeColor="text1"/>
          <w:szCs w:val="22"/>
        </w:rPr>
        <w:t xml:space="preserve"> combine harvesters</w:t>
      </w:r>
      <w:r>
        <w:rPr>
          <w:rFonts w:cs="Times New Roman"/>
          <w:color w:val="000000" w:themeColor="text1"/>
          <w:szCs w:val="22"/>
        </w:rPr>
        <w:t xml:space="preserve">; and </w:t>
      </w:r>
      <w:r w:rsidRPr="00E607C8">
        <w:rPr>
          <w:rFonts w:cs="Times New Roman"/>
          <w:color w:val="000000" w:themeColor="text1"/>
          <w:szCs w:val="22"/>
        </w:rPr>
        <w:t xml:space="preserve">road </w:t>
      </w:r>
      <w:r>
        <w:rPr>
          <w:rFonts w:cs="Times New Roman"/>
          <w:color w:val="000000" w:themeColor="text1"/>
          <w:szCs w:val="22"/>
        </w:rPr>
        <w:t>construction</w:t>
      </w:r>
      <w:r w:rsidRPr="00E607C8">
        <w:rPr>
          <w:rFonts w:cs="Times New Roman"/>
          <w:color w:val="000000" w:themeColor="text1"/>
          <w:szCs w:val="22"/>
        </w:rPr>
        <w:t xml:space="preserve"> equipment.</w:t>
      </w:r>
    </w:p>
    <w:p w14:paraId="7C191143" w14:textId="43C93CD2" w:rsidR="00C3687F" w:rsidRPr="000601F4" w:rsidRDefault="00C3687F" w:rsidP="009A23AA">
      <w:pPr>
        <w:rPr>
          <w:color w:val="000000" w:themeColor="text1"/>
          <w:szCs w:val="22"/>
        </w:rPr>
      </w:pPr>
      <w:bookmarkStart w:id="39" w:name="_Hlk508546541"/>
      <w:r w:rsidRPr="000601F4">
        <w:rPr>
          <w:color w:val="000000" w:themeColor="text1"/>
          <w:szCs w:val="22"/>
        </w:rPr>
        <w:t>The</w:t>
      </w:r>
      <w:r>
        <w:rPr>
          <w:color w:val="000000" w:themeColor="text1"/>
          <w:szCs w:val="22"/>
        </w:rPr>
        <w:t>se</w:t>
      </w:r>
      <w:r w:rsidRPr="000601F4">
        <w:rPr>
          <w:color w:val="000000" w:themeColor="text1"/>
          <w:szCs w:val="22"/>
        </w:rPr>
        <w:t xml:space="preserve"> two segments and </w:t>
      </w:r>
      <w:r>
        <w:rPr>
          <w:color w:val="000000" w:themeColor="text1"/>
          <w:szCs w:val="22"/>
        </w:rPr>
        <w:t xml:space="preserve">the </w:t>
      </w:r>
      <w:r w:rsidRPr="000601F4">
        <w:rPr>
          <w:color w:val="000000" w:themeColor="text1"/>
          <w:szCs w:val="22"/>
        </w:rPr>
        <w:t xml:space="preserve">twelve product categories </w:t>
      </w:r>
      <w:r>
        <w:rPr>
          <w:color w:val="000000" w:themeColor="text1"/>
          <w:szCs w:val="22"/>
        </w:rPr>
        <w:t xml:space="preserve">in </w:t>
      </w:r>
      <w:r w:rsidRPr="000601F4">
        <w:rPr>
          <w:color w:val="000000" w:themeColor="text1"/>
          <w:szCs w:val="22"/>
        </w:rPr>
        <w:t>this class</w:t>
      </w:r>
      <w:r>
        <w:rPr>
          <w:color w:val="000000" w:themeColor="text1"/>
          <w:szCs w:val="22"/>
        </w:rPr>
        <w:t xml:space="preserve"> make up the second largest portion of the total bank of working refrigerants,</w:t>
      </w:r>
      <w:r w:rsidRPr="000601F4">
        <w:rPr>
          <w:color w:val="000000" w:themeColor="text1"/>
          <w:szCs w:val="22"/>
        </w:rPr>
        <w:t xml:space="preserve"> contain</w:t>
      </w:r>
      <w:r>
        <w:rPr>
          <w:color w:val="000000" w:themeColor="text1"/>
          <w:szCs w:val="22"/>
        </w:rPr>
        <w:t>ing</w:t>
      </w:r>
      <w:r w:rsidRPr="000601F4">
        <w:rPr>
          <w:color w:val="000000" w:themeColor="text1"/>
          <w:szCs w:val="22"/>
        </w:rPr>
        <w:t xml:space="preserve"> approximately </w:t>
      </w:r>
      <w:r w:rsidRPr="00813B74">
        <w:rPr>
          <w:color w:val="000000" w:themeColor="text1"/>
          <w:szCs w:val="22"/>
        </w:rPr>
        <w:t>21%</w:t>
      </w:r>
      <w:r w:rsidRPr="000601F4">
        <w:rPr>
          <w:color w:val="000000" w:themeColor="text1"/>
          <w:szCs w:val="22"/>
        </w:rPr>
        <w:t xml:space="preserve"> of the bank in Australia, or </w:t>
      </w:r>
      <w:r w:rsidRPr="00B26EA2">
        <w:rPr>
          <w:color w:val="000000" w:themeColor="text1"/>
          <w:szCs w:val="22"/>
        </w:rPr>
        <w:t>around 1</w:t>
      </w:r>
      <w:r w:rsidR="00294D09">
        <w:rPr>
          <w:color w:val="000000" w:themeColor="text1"/>
          <w:szCs w:val="22"/>
        </w:rPr>
        <w:t>1</w:t>
      </w:r>
      <w:r w:rsidRPr="00B26EA2">
        <w:rPr>
          <w:color w:val="000000" w:themeColor="text1"/>
          <w:szCs w:val="22"/>
        </w:rPr>
        <w:t>,</w:t>
      </w:r>
      <w:r w:rsidR="00294D09">
        <w:rPr>
          <w:color w:val="000000" w:themeColor="text1"/>
          <w:szCs w:val="22"/>
        </w:rPr>
        <w:t>2</w:t>
      </w:r>
      <w:r w:rsidRPr="00B26EA2">
        <w:rPr>
          <w:color w:val="000000" w:themeColor="text1"/>
          <w:szCs w:val="22"/>
        </w:rPr>
        <w:t>00</w:t>
      </w:r>
      <w:r w:rsidRPr="000601F4">
        <w:rPr>
          <w:color w:val="000000" w:themeColor="text1"/>
          <w:szCs w:val="22"/>
        </w:rPr>
        <w:t xml:space="preserve"> tonnes in more than </w:t>
      </w:r>
      <w:r>
        <w:rPr>
          <w:color w:val="000000" w:themeColor="text1"/>
          <w:szCs w:val="22"/>
        </w:rPr>
        <w:t>19.0</w:t>
      </w:r>
      <w:r w:rsidRPr="000601F4">
        <w:rPr>
          <w:color w:val="000000" w:themeColor="text1"/>
          <w:szCs w:val="22"/>
        </w:rPr>
        <w:t xml:space="preserve"> million vehicles of all sorts (</w:t>
      </w:r>
      <w:r w:rsidRPr="000601F4">
        <w:rPr>
          <w:i/>
          <w:color w:val="000000" w:themeColor="text1"/>
          <w:szCs w:val="22"/>
        </w:rPr>
        <w:t>CHF</w:t>
      </w:r>
      <w:r>
        <w:rPr>
          <w:i/>
          <w:color w:val="000000" w:themeColor="text1"/>
          <w:szCs w:val="22"/>
        </w:rPr>
        <w:t>3 2016</w:t>
      </w:r>
      <w:r w:rsidRPr="000601F4">
        <w:rPr>
          <w:i/>
          <w:color w:val="000000" w:themeColor="text1"/>
          <w:szCs w:val="22"/>
        </w:rPr>
        <w:t xml:space="preserve">, </w:t>
      </w:r>
      <w:r>
        <w:rPr>
          <w:i/>
          <w:color w:val="000000" w:themeColor="text1"/>
          <w:szCs w:val="22"/>
        </w:rPr>
        <w:t xml:space="preserve">21%, 10,800 tonnes </w:t>
      </w:r>
      <w:r w:rsidRPr="00B26EA2">
        <w:rPr>
          <w:i/>
          <w:color w:val="000000" w:themeColor="text1"/>
          <w:szCs w:val="22"/>
        </w:rPr>
        <w:t>and 18.2 million</w:t>
      </w:r>
      <w:r>
        <w:rPr>
          <w:i/>
          <w:color w:val="000000" w:themeColor="text1"/>
          <w:szCs w:val="22"/>
        </w:rPr>
        <w:t xml:space="preserve"> vehicles</w:t>
      </w:r>
      <w:r w:rsidRPr="000601F4">
        <w:rPr>
          <w:color w:val="000000" w:themeColor="text1"/>
          <w:szCs w:val="22"/>
        </w:rPr>
        <w:t xml:space="preserve">). </w:t>
      </w:r>
    </w:p>
    <w:bookmarkEnd w:id="39"/>
    <w:p w14:paraId="68B840FB" w14:textId="77777777" w:rsidR="00C3687F" w:rsidRDefault="00C3687F" w:rsidP="009A23AA">
      <w:pPr>
        <w:rPr>
          <w:lang w:val="en-US"/>
        </w:rPr>
      </w:pPr>
    </w:p>
    <w:p w14:paraId="7FA1D0F2" w14:textId="4DAA7278" w:rsidR="00C3687F" w:rsidRPr="00311821" w:rsidRDefault="00C3687F" w:rsidP="009A23AA">
      <w:pPr>
        <w:pStyle w:val="Caption"/>
        <w:keepNext/>
        <w:rPr>
          <w:szCs w:val="22"/>
        </w:rPr>
      </w:pPr>
      <w:bookmarkStart w:id="40" w:name="_Toc19601358"/>
      <w:r w:rsidRPr="00311821">
        <w:t xml:space="preserve">Table </w:t>
      </w:r>
      <w:r>
        <w:rPr>
          <w:noProof/>
        </w:rPr>
        <w:fldChar w:fldCharType="begin"/>
      </w:r>
      <w:r>
        <w:rPr>
          <w:noProof/>
        </w:rPr>
        <w:instrText xml:space="preserve"> SEQ Table \* ARABIC </w:instrText>
      </w:r>
      <w:r>
        <w:rPr>
          <w:noProof/>
        </w:rPr>
        <w:fldChar w:fldCharType="separate"/>
      </w:r>
      <w:r w:rsidR="001D0DA3">
        <w:rPr>
          <w:noProof/>
        </w:rPr>
        <w:t>6</w:t>
      </w:r>
      <w:r>
        <w:rPr>
          <w:noProof/>
        </w:rPr>
        <w:fldChar w:fldCharType="end"/>
      </w:r>
      <w:r w:rsidRPr="00311821">
        <w:t xml:space="preserve">: </w:t>
      </w:r>
      <w:r w:rsidRPr="00311821">
        <w:rPr>
          <w:szCs w:val="22"/>
        </w:rPr>
        <w:t xml:space="preserve">Mobile air conditioning main metrics: </w:t>
      </w:r>
      <w:r>
        <w:rPr>
          <w:szCs w:val="22"/>
        </w:rPr>
        <w:t>2018</w:t>
      </w:r>
      <w:r w:rsidRPr="00311821">
        <w:rPr>
          <w:szCs w:val="22"/>
        </w:rPr>
        <w:t>.</w:t>
      </w:r>
      <w:bookmarkEnd w:id="40"/>
    </w:p>
    <w:tbl>
      <w:tblPr>
        <w:tblStyle w:val="TableGrid"/>
        <w:tblW w:w="0" w:type="auto"/>
        <w:tblInd w:w="-5" w:type="dxa"/>
        <w:tblLook w:val="04A0" w:firstRow="1" w:lastRow="0" w:firstColumn="1" w:lastColumn="0" w:noHBand="0" w:noVBand="1"/>
      </w:tblPr>
      <w:tblGrid>
        <w:gridCol w:w="5387"/>
        <w:gridCol w:w="4105"/>
      </w:tblGrid>
      <w:tr w:rsidR="00C3687F" w14:paraId="4268E4F3" w14:textId="77777777" w:rsidTr="00A60CDA">
        <w:trPr>
          <w:trHeight w:val="567"/>
          <w:tblHeader/>
        </w:trPr>
        <w:tc>
          <w:tcPr>
            <w:tcW w:w="5387" w:type="dxa"/>
            <w:shd w:val="clear" w:color="auto" w:fill="B6DDE8" w:themeFill="accent5" w:themeFillTint="66"/>
            <w:vAlign w:val="center"/>
          </w:tcPr>
          <w:p w14:paraId="7DD9C61A" w14:textId="77777777" w:rsidR="00C3687F" w:rsidRPr="00EC0FE7" w:rsidRDefault="00C3687F" w:rsidP="009A23AA">
            <w:pPr>
              <w:tabs>
                <w:tab w:val="left" w:pos="513"/>
              </w:tabs>
              <w:spacing w:after="120"/>
              <w:rPr>
                <w:szCs w:val="22"/>
              </w:rPr>
            </w:pPr>
            <w:r w:rsidRPr="00EC0FE7">
              <w:rPr>
                <w:szCs w:val="22"/>
              </w:rPr>
              <w:t>Metric</w:t>
            </w:r>
          </w:p>
        </w:tc>
        <w:tc>
          <w:tcPr>
            <w:tcW w:w="4105" w:type="dxa"/>
            <w:shd w:val="clear" w:color="auto" w:fill="B6DDE8" w:themeFill="accent5" w:themeFillTint="66"/>
            <w:vAlign w:val="center"/>
          </w:tcPr>
          <w:p w14:paraId="2691CCC2" w14:textId="77777777" w:rsidR="00C3687F" w:rsidRPr="00EC0FE7" w:rsidRDefault="00C3687F" w:rsidP="0060725B">
            <w:pPr>
              <w:spacing w:after="120"/>
              <w:jc w:val="center"/>
              <w:rPr>
                <w:szCs w:val="22"/>
              </w:rPr>
            </w:pPr>
            <w:r w:rsidRPr="00EC0FE7">
              <w:rPr>
                <w:szCs w:val="22"/>
              </w:rPr>
              <w:t>201</w:t>
            </w:r>
            <w:r>
              <w:rPr>
                <w:szCs w:val="22"/>
              </w:rPr>
              <w:t>8</w:t>
            </w:r>
          </w:p>
        </w:tc>
      </w:tr>
      <w:tr w:rsidR="00C3687F" w14:paraId="42C8CD7A" w14:textId="77777777" w:rsidTr="00A60CDA">
        <w:trPr>
          <w:trHeight w:val="567"/>
        </w:trPr>
        <w:tc>
          <w:tcPr>
            <w:tcW w:w="5387" w:type="dxa"/>
            <w:vAlign w:val="center"/>
          </w:tcPr>
          <w:p w14:paraId="4D241A24" w14:textId="77777777" w:rsidR="00C3687F" w:rsidRPr="00285E9E" w:rsidRDefault="00C3687F" w:rsidP="002266F0">
            <w:pPr>
              <w:spacing w:before="60" w:after="60"/>
              <w:jc w:val="left"/>
              <w:rPr>
                <w:szCs w:val="22"/>
              </w:rPr>
            </w:pPr>
            <w:r w:rsidRPr="00285E9E">
              <w:rPr>
                <w:color w:val="000000"/>
                <w:szCs w:val="22"/>
              </w:rPr>
              <w:t>Share of refrigerant bank</w:t>
            </w:r>
          </w:p>
        </w:tc>
        <w:tc>
          <w:tcPr>
            <w:tcW w:w="4105" w:type="dxa"/>
            <w:vAlign w:val="center"/>
          </w:tcPr>
          <w:p w14:paraId="7D0BA513" w14:textId="77777777" w:rsidR="00C3687F" w:rsidRPr="000B590F" w:rsidRDefault="00C3687F" w:rsidP="0060725B">
            <w:pPr>
              <w:spacing w:before="60" w:after="60"/>
              <w:jc w:val="center"/>
              <w:rPr>
                <w:szCs w:val="22"/>
                <w:highlight w:val="yellow"/>
              </w:rPr>
            </w:pPr>
            <w:r w:rsidRPr="007453F0">
              <w:rPr>
                <w:szCs w:val="22"/>
              </w:rPr>
              <w:t>21%</w:t>
            </w:r>
          </w:p>
        </w:tc>
      </w:tr>
      <w:tr w:rsidR="00C3687F" w14:paraId="6EA95F40" w14:textId="77777777" w:rsidTr="00A60CDA">
        <w:trPr>
          <w:trHeight w:val="567"/>
        </w:trPr>
        <w:tc>
          <w:tcPr>
            <w:tcW w:w="5387" w:type="dxa"/>
            <w:vAlign w:val="center"/>
          </w:tcPr>
          <w:p w14:paraId="2C7F99AA" w14:textId="77777777" w:rsidR="00C3687F" w:rsidRPr="00285E9E" w:rsidRDefault="00C3687F" w:rsidP="002266F0">
            <w:pPr>
              <w:spacing w:before="60" w:after="60"/>
              <w:jc w:val="left"/>
              <w:rPr>
                <w:szCs w:val="22"/>
              </w:rPr>
            </w:pPr>
            <w:r w:rsidRPr="00285E9E">
              <w:rPr>
                <w:color w:val="000000"/>
                <w:szCs w:val="22"/>
              </w:rPr>
              <w:t>Size of refrigerant bank</w:t>
            </w:r>
          </w:p>
        </w:tc>
        <w:tc>
          <w:tcPr>
            <w:tcW w:w="4105" w:type="dxa"/>
            <w:vAlign w:val="center"/>
          </w:tcPr>
          <w:p w14:paraId="3636C827" w14:textId="33A075BB" w:rsidR="00C3687F" w:rsidRPr="000B590F" w:rsidRDefault="00C3687F" w:rsidP="0060725B">
            <w:pPr>
              <w:spacing w:before="60" w:after="60"/>
              <w:jc w:val="center"/>
              <w:rPr>
                <w:szCs w:val="22"/>
                <w:highlight w:val="yellow"/>
              </w:rPr>
            </w:pPr>
            <w:r w:rsidRPr="00B26EA2">
              <w:rPr>
                <w:color w:val="000000"/>
                <w:szCs w:val="22"/>
              </w:rPr>
              <w:t>11,200 tonnes</w:t>
            </w:r>
            <w:r w:rsidR="00294D09">
              <w:rPr>
                <w:color w:val="000000"/>
                <w:szCs w:val="22"/>
              </w:rPr>
              <w:t xml:space="preserve"> </w:t>
            </w:r>
            <w:r w:rsidR="00294D09" w:rsidRPr="00294D09">
              <w:rPr>
                <w:color w:val="000000"/>
                <w:szCs w:val="22"/>
                <w:vertAlign w:val="superscript"/>
              </w:rPr>
              <w:t>(1)</w:t>
            </w:r>
          </w:p>
        </w:tc>
      </w:tr>
      <w:tr w:rsidR="00C3687F" w14:paraId="7C517BE8" w14:textId="77777777" w:rsidTr="00A60CDA">
        <w:trPr>
          <w:trHeight w:val="567"/>
        </w:trPr>
        <w:tc>
          <w:tcPr>
            <w:tcW w:w="5387" w:type="dxa"/>
            <w:vAlign w:val="center"/>
          </w:tcPr>
          <w:p w14:paraId="72B80758" w14:textId="77777777" w:rsidR="00C3687F" w:rsidRPr="00285E9E" w:rsidRDefault="00C3687F" w:rsidP="002266F0">
            <w:pPr>
              <w:spacing w:before="60" w:after="60"/>
              <w:jc w:val="left"/>
              <w:rPr>
                <w:szCs w:val="22"/>
              </w:rPr>
            </w:pPr>
            <w:r w:rsidRPr="00285E9E">
              <w:rPr>
                <w:color w:val="000000"/>
                <w:szCs w:val="22"/>
              </w:rPr>
              <w:t>Annual usage to replace leaks (excludes re-use)</w:t>
            </w:r>
          </w:p>
        </w:tc>
        <w:tc>
          <w:tcPr>
            <w:tcW w:w="4105" w:type="dxa"/>
            <w:vAlign w:val="center"/>
          </w:tcPr>
          <w:p w14:paraId="18FEA6CB" w14:textId="246D6B08" w:rsidR="00C3687F" w:rsidRPr="000B590F" w:rsidRDefault="00294D09" w:rsidP="0060725B">
            <w:pPr>
              <w:spacing w:before="60" w:after="60"/>
              <w:jc w:val="center"/>
              <w:rPr>
                <w:szCs w:val="22"/>
                <w:highlight w:val="yellow"/>
              </w:rPr>
            </w:pPr>
            <w:r>
              <w:rPr>
                <w:color w:val="000000"/>
                <w:szCs w:val="22"/>
              </w:rPr>
              <w:t>707</w:t>
            </w:r>
            <w:r w:rsidR="00C3687F" w:rsidRPr="007453F0">
              <w:rPr>
                <w:color w:val="000000"/>
                <w:szCs w:val="22"/>
              </w:rPr>
              <w:t xml:space="preserve"> tonnes</w:t>
            </w:r>
          </w:p>
        </w:tc>
      </w:tr>
      <w:tr w:rsidR="00C3687F" w14:paraId="19870D33" w14:textId="77777777" w:rsidTr="00A60CDA">
        <w:trPr>
          <w:trHeight w:val="567"/>
        </w:trPr>
        <w:tc>
          <w:tcPr>
            <w:tcW w:w="5387" w:type="dxa"/>
            <w:vAlign w:val="center"/>
          </w:tcPr>
          <w:p w14:paraId="5D0B5C08" w14:textId="77777777" w:rsidR="00C3687F" w:rsidRPr="003620D9" w:rsidRDefault="00C3687F" w:rsidP="002266F0">
            <w:pPr>
              <w:spacing w:before="60" w:after="60"/>
              <w:jc w:val="left"/>
              <w:rPr>
                <w:szCs w:val="22"/>
              </w:rPr>
            </w:pPr>
            <w:r w:rsidRPr="003620D9">
              <w:rPr>
                <w:color w:val="000000"/>
                <w:szCs w:val="22"/>
              </w:rPr>
              <w:t xml:space="preserve">Refrigerant in pre-charged equipment imports 2018 </w:t>
            </w:r>
          </w:p>
        </w:tc>
        <w:tc>
          <w:tcPr>
            <w:tcW w:w="4105" w:type="dxa"/>
            <w:vAlign w:val="center"/>
          </w:tcPr>
          <w:p w14:paraId="17D6765A" w14:textId="762F76D3" w:rsidR="00C3687F" w:rsidRPr="00B26EA2" w:rsidRDefault="00C3687F" w:rsidP="0060725B">
            <w:pPr>
              <w:spacing w:before="60" w:after="60"/>
              <w:jc w:val="center"/>
              <w:rPr>
                <w:szCs w:val="22"/>
              </w:rPr>
            </w:pPr>
            <w:r w:rsidRPr="00B26EA2">
              <w:rPr>
                <w:szCs w:val="22"/>
              </w:rPr>
              <w:t>6</w:t>
            </w:r>
            <w:r w:rsidR="00294D09">
              <w:rPr>
                <w:szCs w:val="22"/>
              </w:rPr>
              <w:t>77</w:t>
            </w:r>
            <w:r w:rsidRPr="00B26EA2">
              <w:rPr>
                <w:szCs w:val="22"/>
              </w:rPr>
              <w:t xml:space="preserve"> tonnes</w:t>
            </w:r>
          </w:p>
        </w:tc>
      </w:tr>
      <w:tr w:rsidR="00C3687F" w14:paraId="009EB260" w14:textId="77777777" w:rsidTr="00A60CDA">
        <w:trPr>
          <w:trHeight w:val="567"/>
        </w:trPr>
        <w:tc>
          <w:tcPr>
            <w:tcW w:w="5387" w:type="dxa"/>
            <w:vAlign w:val="center"/>
          </w:tcPr>
          <w:p w14:paraId="739FA4E5" w14:textId="77777777" w:rsidR="00C3687F" w:rsidRPr="000B590F" w:rsidRDefault="00C3687F" w:rsidP="002266F0">
            <w:pPr>
              <w:spacing w:before="60" w:after="60"/>
              <w:jc w:val="left"/>
              <w:rPr>
                <w:szCs w:val="22"/>
                <w:highlight w:val="yellow"/>
              </w:rPr>
            </w:pPr>
            <w:r w:rsidRPr="003620D9">
              <w:rPr>
                <w:color w:val="000000"/>
                <w:szCs w:val="22"/>
              </w:rPr>
              <w:t>Estimated stock of equipment</w:t>
            </w:r>
          </w:p>
        </w:tc>
        <w:tc>
          <w:tcPr>
            <w:tcW w:w="4105" w:type="dxa"/>
            <w:vAlign w:val="center"/>
          </w:tcPr>
          <w:p w14:paraId="4E85DDE6" w14:textId="77777777" w:rsidR="00C3687F" w:rsidRPr="000B590F" w:rsidRDefault="00C3687F" w:rsidP="0060725B">
            <w:pPr>
              <w:spacing w:before="60" w:after="60"/>
              <w:jc w:val="center"/>
              <w:rPr>
                <w:szCs w:val="22"/>
                <w:highlight w:val="yellow"/>
              </w:rPr>
            </w:pPr>
            <w:r w:rsidRPr="003620D9">
              <w:rPr>
                <w:color w:val="000000"/>
                <w:szCs w:val="22"/>
              </w:rPr>
              <w:t>&gt; 19.0 million units</w:t>
            </w:r>
          </w:p>
        </w:tc>
      </w:tr>
      <w:tr w:rsidR="00C3687F" w14:paraId="5E8873EC" w14:textId="77777777" w:rsidTr="00A60CDA">
        <w:trPr>
          <w:trHeight w:val="567"/>
        </w:trPr>
        <w:tc>
          <w:tcPr>
            <w:tcW w:w="5387" w:type="dxa"/>
            <w:vAlign w:val="center"/>
          </w:tcPr>
          <w:p w14:paraId="632DBCFA" w14:textId="77777777" w:rsidR="00C3687F" w:rsidRPr="009560FA" w:rsidRDefault="00C3687F" w:rsidP="002266F0">
            <w:pPr>
              <w:spacing w:before="60" w:after="60"/>
              <w:jc w:val="left"/>
              <w:rPr>
                <w:color w:val="000000" w:themeColor="text1"/>
                <w:szCs w:val="22"/>
              </w:rPr>
            </w:pPr>
            <w:r w:rsidRPr="009560FA">
              <w:rPr>
                <w:color w:val="000000" w:themeColor="text1"/>
                <w:szCs w:val="22"/>
              </w:rPr>
              <w:t>Annual GHG indirect emissions</w:t>
            </w:r>
          </w:p>
        </w:tc>
        <w:tc>
          <w:tcPr>
            <w:tcW w:w="4105" w:type="dxa"/>
            <w:vAlign w:val="center"/>
          </w:tcPr>
          <w:p w14:paraId="6CB7B430" w14:textId="0F97ABF2" w:rsidR="00C3687F" w:rsidRPr="009560FA" w:rsidRDefault="00C3687F" w:rsidP="0060725B">
            <w:pPr>
              <w:spacing w:before="60" w:after="60"/>
              <w:jc w:val="center"/>
              <w:rPr>
                <w:color w:val="000000" w:themeColor="text1"/>
                <w:szCs w:val="22"/>
              </w:rPr>
            </w:pPr>
            <w:r w:rsidRPr="009560FA">
              <w:rPr>
                <w:color w:val="000000" w:themeColor="text1"/>
                <w:szCs w:val="22"/>
              </w:rPr>
              <w:t>2.9</w:t>
            </w:r>
            <w:r w:rsidR="009560FA" w:rsidRPr="009560FA">
              <w:rPr>
                <w:color w:val="000000" w:themeColor="text1"/>
                <w:szCs w:val="22"/>
              </w:rPr>
              <w:t>4</w:t>
            </w:r>
            <w:r w:rsidRPr="009560FA">
              <w:rPr>
                <w:color w:val="000000" w:themeColor="text1"/>
                <w:szCs w:val="22"/>
              </w:rPr>
              <w:t xml:space="preserve"> Mt CO</w:t>
            </w:r>
            <w:r w:rsidRPr="009560FA">
              <w:rPr>
                <w:color w:val="000000" w:themeColor="text1"/>
                <w:szCs w:val="22"/>
                <w:vertAlign w:val="subscript"/>
              </w:rPr>
              <w:t>2</w:t>
            </w:r>
            <w:r w:rsidRPr="009560FA">
              <w:rPr>
                <w:color w:val="000000" w:themeColor="text1"/>
                <w:szCs w:val="22"/>
              </w:rPr>
              <w:t>e</w:t>
            </w:r>
          </w:p>
        </w:tc>
      </w:tr>
      <w:tr w:rsidR="00C3687F" w14:paraId="0C0DB674" w14:textId="77777777" w:rsidTr="00A60CDA">
        <w:trPr>
          <w:trHeight w:val="567"/>
        </w:trPr>
        <w:tc>
          <w:tcPr>
            <w:tcW w:w="5387" w:type="dxa"/>
            <w:vAlign w:val="center"/>
          </w:tcPr>
          <w:p w14:paraId="33D40086" w14:textId="77777777" w:rsidR="00C3687F" w:rsidRPr="009560FA" w:rsidRDefault="00C3687F" w:rsidP="002266F0">
            <w:pPr>
              <w:spacing w:before="60" w:after="60"/>
              <w:jc w:val="left"/>
              <w:rPr>
                <w:color w:val="000000" w:themeColor="text1"/>
                <w:szCs w:val="22"/>
              </w:rPr>
            </w:pPr>
            <w:r w:rsidRPr="009560FA">
              <w:rPr>
                <w:color w:val="000000" w:themeColor="text1"/>
                <w:szCs w:val="22"/>
              </w:rPr>
              <w:t>Share of HVAC&amp;R indirect emissions</w:t>
            </w:r>
          </w:p>
        </w:tc>
        <w:tc>
          <w:tcPr>
            <w:tcW w:w="4105" w:type="dxa"/>
            <w:vAlign w:val="center"/>
          </w:tcPr>
          <w:p w14:paraId="6724DBB6" w14:textId="77777777" w:rsidR="00C3687F" w:rsidRPr="009560FA" w:rsidRDefault="00C3687F" w:rsidP="0060725B">
            <w:pPr>
              <w:spacing w:before="60" w:after="60"/>
              <w:jc w:val="center"/>
              <w:rPr>
                <w:color w:val="000000" w:themeColor="text1"/>
                <w:szCs w:val="22"/>
              </w:rPr>
            </w:pPr>
            <w:r w:rsidRPr="009560FA">
              <w:rPr>
                <w:color w:val="000000" w:themeColor="text1"/>
                <w:szCs w:val="22"/>
              </w:rPr>
              <w:t>5%</w:t>
            </w:r>
          </w:p>
        </w:tc>
      </w:tr>
      <w:tr w:rsidR="00C3687F" w14:paraId="3CDF62AA" w14:textId="77777777" w:rsidTr="00A60CDA">
        <w:trPr>
          <w:trHeight w:val="567"/>
        </w:trPr>
        <w:tc>
          <w:tcPr>
            <w:tcW w:w="5387" w:type="dxa"/>
            <w:vAlign w:val="center"/>
          </w:tcPr>
          <w:p w14:paraId="051D31BF" w14:textId="77777777" w:rsidR="00C3687F" w:rsidRPr="007453F0" w:rsidRDefault="00C3687F" w:rsidP="002266F0">
            <w:pPr>
              <w:spacing w:before="60" w:after="60"/>
              <w:jc w:val="left"/>
              <w:rPr>
                <w:color w:val="000000" w:themeColor="text1"/>
                <w:szCs w:val="22"/>
              </w:rPr>
            </w:pPr>
            <w:r w:rsidRPr="007453F0">
              <w:rPr>
                <w:color w:val="000000" w:themeColor="text1"/>
                <w:szCs w:val="22"/>
              </w:rPr>
              <w:t>Annual GHG direct emissions (ODS)</w:t>
            </w:r>
          </w:p>
        </w:tc>
        <w:tc>
          <w:tcPr>
            <w:tcW w:w="4105" w:type="dxa"/>
            <w:vAlign w:val="center"/>
          </w:tcPr>
          <w:p w14:paraId="4C0A294E" w14:textId="084FC62C" w:rsidR="00C3687F" w:rsidRPr="007453F0" w:rsidRDefault="00C3687F" w:rsidP="0060725B">
            <w:pPr>
              <w:spacing w:before="60" w:after="60"/>
              <w:jc w:val="center"/>
              <w:rPr>
                <w:color w:val="000000" w:themeColor="text1"/>
                <w:szCs w:val="22"/>
              </w:rPr>
            </w:pPr>
            <w:r w:rsidRPr="007453F0">
              <w:rPr>
                <w:color w:val="000000" w:themeColor="text1"/>
                <w:szCs w:val="22"/>
              </w:rPr>
              <w:t>0.01 Mt CO</w:t>
            </w:r>
            <w:r w:rsidRPr="007453F0">
              <w:rPr>
                <w:color w:val="000000" w:themeColor="text1"/>
                <w:szCs w:val="22"/>
                <w:vertAlign w:val="subscript"/>
              </w:rPr>
              <w:t>2</w:t>
            </w:r>
            <w:r w:rsidRPr="007453F0">
              <w:rPr>
                <w:color w:val="000000" w:themeColor="text1"/>
                <w:szCs w:val="22"/>
              </w:rPr>
              <w:t>e</w:t>
            </w:r>
            <w:r w:rsidR="00AA0633">
              <w:rPr>
                <w:color w:val="000000"/>
                <w:szCs w:val="22"/>
              </w:rPr>
              <w:t xml:space="preserve"> </w:t>
            </w:r>
            <w:r w:rsidR="00AA0633" w:rsidRPr="00294D09">
              <w:rPr>
                <w:color w:val="000000"/>
                <w:szCs w:val="22"/>
                <w:vertAlign w:val="superscript"/>
              </w:rPr>
              <w:t>(</w:t>
            </w:r>
            <w:r w:rsidR="00AA0633">
              <w:rPr>
                <w:color w:val="000000"/>
                <w:szCs w:val="22"/>
                <w:vertAlign w:val="superscript"/>
              </w:rPr>
              <w:t>2</w:t>
            </w:r>
            <w:r w:rsidR="00AA0633" w:rsidRPr="00294D09">
              <w:rPr>
                <w:color w:val="000000"/>
                <w:szCs w:val="22"/>
                <w:vertAlign w:val="superscript"/>
              </w:rPr>
              <w:t>)</w:t>
            </w:r>
          </w:p>
        </w:tc>
      </w:tr>
      <w:tr w:rsidR="00C3687F" w14:paraId="2CB43D9E" w14:textId="77777777" w:rsidTr="00A60CDA">
        <w:trPr>
          <w:trHeight w:val="567"/>
        </w:trPr>
        <w:tc>
          <w:tcPr>
            <w:tcW w:w="5387" w:type="dxa"/>
            <w:vAlign w:val="center"/>
          </w:tcPr>
          <w:p w14:paraId="60D8D89E" w14:textId="77777777" w:rsidR="00C3687F" w:rsidRPr="007453F0" w:rsidRDefault="00C3687F" w:rsidP="002266F0">
            <w:pPr>
              <w:spacing w:before="60" w:after="60"/>
              <w:jc w:val="left"/>
              <w:rPr>
                <w:color w:val="000000" w:themeColor="text1"/>
                <w:szCs w:val="22"/>
              </w:rPr>
            </w:pPr>
            <w:r w:rsidRPr="007453F0">
              <w:rPr>
                <w:color w:val="000000" w:themeColor="text1"/>
                <w:szCs w:val="22"/>
              </w:rPr>
              <w:t>Annual GHG direct emissions (SGG)</w:t>
            </w:r>
          </w:p>
        </w:tc>
        <w:tc>
          <w:tcPr>
            <w:tcW w:w="4105" w:type="dxa"/>
            <w:vAlign w:val="center"/>
          </w:tcPr>
          <w:p w14:paraId="79FAFC76" w14:textId="7963CD70" w:rsidR="00C3687F" w:rsidRPr="007453F0" w:rsidRDefault="00C3687F" w:rsidP="0060725B">
            <w:pPr>
              <w:spacing w:before="60" w:after="60"/>
              <w:jc w:val="center"/>
              <w:rPr>
                <w:color w:val="000000" w:themeColor="text1"/>
              </w:rPr>
            </w:pPr>
            <w:r w:rsidRPr="007453F0">
              <w:rPr>
                <w:color w:val="000000" w:themeColor="text1"/>
                <w:szCs w:val="22"/>
              </w:rPr>
              <w:t>1.</w:t>
            </w:r>
            <w:r w:rsidR="007453F0">
              <w:rPr>
                <w:color w:val="000000" w:themeColor="text1"/>
                <w:szCs w:val="22"/>
              </w:rPr>
              <w:t>3</w:t>
            </w:r>
            <w:r w:rsidR="00294D09">
              <w:rPr>
                <w:color w:val="000000" w:themeColor="text1"/>
                <w:szCs w:val="22"/>
              </w:rPr>
              <w:t>4</w:t>
            </w:r>
            <w:r w:rsidRPr="007453F0">
              <w:rPr>
                <w:color w:val="000000" w:themeColor="text1"/>
                <w:szCs w:val="22"/>
              </w:rPr>
              <w:t xml:space="preserve"> Mt CO</w:t>
            </w:r>
            <w:r w:rsidRPr="007453F0">
              <w:rPr>
                <w:color w:val="000000" w:themeColor="text1"/>
                <w:szCs w:val="22"/>
                <w:vertAlign w:val="subscript"/>
              </w:rPr>
              <w:t>2</w:t>
            </w:r>
            <w:r w:rsidRPr="007453F0">
              <w:rPr>
                <w:color w:val="000000" w:themeColor="text1"/>
                <w:szCs w:val="22"/>
              </w:rPr>
              <w:t>e</w:t>
            </w:r>
          </w:p>
        </w:tc>
      </w:tr>
      <w:tr w:rsidR="00C3687F" w14:paraId="6A1783BC" w14:textId="77777777" w:rsidTr="00A60CDA">
        <w:trPr>
          <w:trHeight w:val="567"/>
        </w:trPr>
        <w:tc>
          <w:tcPr>
            <w:tcW w:w="5387" w:type="dxa"/>
            <w:vAlign w:val="center"/>
          </w:tcPr>
          <w:p w14:paraId="19ACAEE4" w14:textId="77777777" w:rsidR="00C3687F" w:rsidRPr="007453F0" w:rsidRDefault="00C3687F" w:rsidP="002266F0">
            <w:pPr>
              <w:spacing w:before="60" w:after="60"/>
              <w:jc w:val="left"/>
              <w:rPr>
                <w:color w:val="000000" w:themeColor="text1"/>
                <w:szCs w:val="22"/>
              </w:rPr>
            </w:pPr>
            <w:r w:rsidRPr="007453F0">
              <w:rPr>
                <w:color w:val="000000" w:themeColor="text1"/>
                <w:szCs w:val="22"/>
              </w:rPr>
              <w:t>Share of HVAC&amp;R direct emissions</w:t>
            </w:r>
          </w:p>
        </w:tc>
        <w:tc>
          <w:tcPr>
            <w:tcW w:w="4105" w:type="dxa"/>
            <w:vAlign w:val="center"/>
          </w:tcPr>
          <w:p w14:paraId="10BE282A" w14:textId="2EC10DDD" w:rsidR="00C3687F" w:rsidRPr="007453F0" w:rsidRDefault="007453F0" w:rsidP="0060725B">
            <w:pPr>
              <w:spacing w:before="60" w:after="60"/>
              <w:jc w:val="center"/>
              <w:rPr>
                <w:color w:val="000000" w:themeColor="text1"/>
              </w:rPr>
            </w:pPr>
            <w:r>
              <w:rPr>
                <w:color w:val="000000" w:themeColor="text1"/>
                <w:szCs w:val="22"/>
              </w:rPr>
              <w:t>19</w:t>
            </w:r>
            <w:r w:rsidR="00C3687F" w:rsidRPr="007453F0">
              <w:rPr>
                <w:color w:val="000000" w:themeColor="text1"/>
                <w:szCs w:val="22"/>
              </w:rPr>
              <w:t>%</w:t>
            </w:r>
          </w:p>
        </w:tc>
      </w:tr>
      <w:tr w:rsidR="00C3687F" w14:paraId="22ED352A" w14:textId="77777777" w:rsidTr="00A60CDA">
        <w:trPr>
          <w:trHeight w:val="567"/>
        </w:trPr>
        <w:tc>
          <w:tcPr>
            <w:tcW w:w="5387" w:type="dxa"/>
            <w:vAlign w:val="center"/>
          </w:tcPr>
          <w:p w14:paraId="2325B125" w14:textId="77777777" w:rsidR="00C3687F" w:rsidRPr="007453F0" w:rsidRDefault="00C3687F" w:rsidP="002266F0">
            <w:pPr>
              <w:spacing w:before="60" w:after="60"/>
              <w:jc w:val="left"/>
              <w:rPr>
                <w:color w:val="000000" w:themeColor="text1"/>
                <w:szCs w:val="22"/>
              </w:rPr>
            </w:pPr>
            <w:r w:rsidRPr="007453F0">
              <w:rPr>
                <w:color w:val="000000" w:themeColor="text1"/>
                <w:szCs w:val="22"/>
              </w:rPr>
              <w:t>Share of HVAC&amp;R total emissions                                          (direct and indirect, not incl. EOL)</w:t>
            </w:r>
          </w:p>
        </w:tc>
        <w:tc>
          <w:tcPr>
            <w:tcW w:w="4105" w:type="dxa"/>
            <w:vAlign w:val="center"/>
          </w:tcPr>
          <w:p w14:paraId="780996DB" w14:textId="77777777" w:rsidR="00C3687F" w:rsidRPr="007453F0" w:rsidRDefault="00C3687F" w:rsidP="0060725B">
            <w:pPr>
              <w:spacing w:before="60" w:after="60"/>
              <w:jc w:val="center"/>
              <w:rPr>
                <w:color w:val="000000" w:themeColor="text1"/>
              </w:rPr>
            </w:pPr>
            <w:r w:rsidRPr="007453F0">
              <w:rPr>
                <w:color w:val="000000" w:themeColor="text1"/>
                <w:szCs w:val="22"/>
              </w:rPr>
              <w:t>6%</w:t>
            </w:r>
          </w:p>
        </w:tc>
      </w:tr>
    </w:tbl>
    <w:p w14:paraId="5BE34CCB" w14:textId="2DD14A12" w:rsidR="00C3687F" w:rsidRDefault="00C3687F" w:rsidP="00197CD1">
      <w:pPr>
        <w:spacing w:before="0"/>
        <w:rPr>
          <w:sz w:val="20"/>
          <w:szCs w:val="20"/>
        </w:rPr>
      </w:pPr>
      <w:r w:rsidRPr="00116557">
        <w:rPr>
          <w:sz w:val="20"/>
          <w:szCs w:val="20"/>
        </w:rPr>
        <w:t>(</w:t>
      </w:r>
      <w:r w:rsidRPr="001301E8">
        <w:rPr>
          <w:sz w:val="20"/>
          <w:szCs w:val="20"/>
        </w:rPr>
        <w:t>Sources: AB&amp;C 201</w:t>
      </w:r>
      <w:r>
        <w:rPr>
          <w:sz w:val="20"/>
          <w:szCs w:val="20"/>
        </w:rPr>
        <w:t xml:space="preserve">9, </w:t>
      </w:r>
      <w:r w:rsidRPr="001301E8">
        <w:rPr>
          <w:sz w:val="20"/>
          <w:szCs w:val="20"/>
        </w:rPr>
        <w:t>ABS 9309.0 201</w:t>
      </w:r>
      <w:r>
        <w:rPr>
          <w:sz w:val="20"/>
          <w:szCs w:val="20"/>
        </w:rPr>
        <w:t xml:space="preserve">9, </w:t>
      </w:r>
      <w:r w:rsidRPr="001301E8">
        <w:rPr>
          <w:sz w:val="20"/>
          <w:szCs w:val="20"/>
        </w:rPr>
        <w:t>ABS 9314.0 201</w:t>
      </w:r>
      <w:r>
        <w:rPr>
          <w:sz w:val="20"/>
          <w:szCs w:val="20"/>
        </w:rPr>
        <w:t>8</w:t>
      </w:r>
      <w:r w:rsidRPr="001301E8">
        <w:rPr>
          <w:sz w:val="20"/>
          <w:szCs w:val="20"/>
        </w:rPr>
        <w:t xml:space="preserve">, </w:t>
      </w:r>
      <w:r w:rsidRPr="00FC4A96">
        <w:rPr>
          <w:sz w:val="20"/>
          <w:szCs w:val="20"/>
        </w:rPr>
        <w:t>AMSA</w:t>
      </w:r>
      <w:r>
        <w:rPr>
          <w:sz w:val="20"/>
          <w:szCs w:val="20"/>
        </w:rPr>
        <w:t xml:space="preserve"> 2019, </w:t>
      </w:r>
      <w:r w:rsidRPr="009B32A1">
        <w:rPr>
          <w:sz w:val="20"/>
          <w:szCs w:val="20"/>
        </w:rPr>
        <w:t>BITRE 201</w:t>
      </w:r>
      <w:r>
        <w:rPr>
          <w:sz w:val="20"/>
          <w:szCs w:val="20"/>
        </w:rPr>
        <w:t xml:space="preserve">8, </w:t>
      </w:r>
      <w:r w:rsidRPr="009B32A1">
        <w:rPr>
          <w:sz w:val="20"/>
          <w:szCs w:val="20"/>
        </w:rPr>
        <w:t>BIC 201</w:t>
      </w:r>
      <w:r>
        <w:rPr>
          <w:sz w:val="20"/>
          <w:szCs w:val="20"/>
        </w:rPr>
        <w:t xml:space="preserve">7, </w:t>
      </w:r>
      <w:r w:rsidRPr="00140452">
        <w:rPr>
          <w:sz w:val="20"/>
          <w:szCs w:val="20"/>
        </w:rPr>
        <w:t>CVIAA 201</w:t>
      </w:r>
      <w:r>
        <w:rPr>
          <w:sz w:val="20"/>
          <w:szCs w:val="20"/>
        </w:rPr>
        <w:t xml:space="preserve">9, </w:t>
      </w:r>
      <w:proofErr w:type="spellStart"/>
      <w:r w:rsidRPr="001301E8">
        <w:rPr>
          <w:sz w:val="20"/>
          <w:szCs w:val="20"/>
        </w:rPr>
        <w:t>DoEE</w:t>
      </w:r>
      <w:proofErr w:type="spellEnd"/>
      <w:r w:rsidRPr="001301E8">
        <w:rPr>
          <w:sz w:val="20"/>
          <w:szCs w:val="20"/>
        </w:rPr>
        <w:t xml:space="preserve"> 201</w:t>
      </w:r>
      <w:r>
        <w:rPr>
          <w:sz w:val="20"/>
          <w:szCs w:val="20"/>
        </w:rPr>
        <w:t>9</w:t>
      </w:r>
      <w:r w:rsidRPr="001301E8">
        <w:rPr>
          <w:sz w:val="20"/>
          <w:szCs w:val="20"/>
        </w:rPr>
        <w:t>, FCAI 201</w:t>
      </w:r>
      <w:r>
        <w:rPr>
          <w:sz w:val="20"/>
          <w:szCs w:val="20"/>
        </w:rPr>
        <w:t>9</w:t>
      </w:r>
      <w:r w:rsidRPr="001301E8">
        <w:rPr>
          <w:sz w:val="20"/>
          <w:szCs w:val="20"/>
        </w:rPr>
        <w:t xml:space="preserve"> and industry informants)</w:t>
      </w:r>
    </w:p>
    <w:p w14:paraId="6C0225E9" w14:textId="77777777" w:rsidR="00294D09" w:rsidRPr="00B5198B" w:rsidRDefault="00294D09" w:rsidP="00294D09">
      <w:pPr>
        <w:snapToGrid w:val="0"/>
        <w:spacing w:before="60"/>
        <w:rPr>
          <w:rFonts w:cs="Times New Roman"/>
          <w:sz w:val="20"/>
          <w:szCs w:val="20"/>
        </w:rPr>
      </w:pPr>
      <w:r w:rsidRPr="00B5198B">
        <w:rPr>
          <w:rFonts w:cs="Times New Roman"/>
          <w:sz w:val="20"/>
          <w:szCs w:val="20"/>
        </w:rPr>
        <w:t>Notes:</w:t>
      </w:r>
    </w:p>
    <w:p w14:paraId="297545AB" w14:textId="317F9315" w:rsidR="00294D09" w:rsidRDefault="00294D09" w:rsidP="00294D09">
      <w:pPr>
        <w:pStyle w:val="ListParagraph"/>
        <w:numPr>
          <w:ilvl w:val="0"/>
          <w:numId w:val="38"/>
        </w:numPr>
        <w:snapToGrid w:val="0"/>
        <w:spacing w:before="60" w:after="0" w:line="240" w:lineRule="auto"/>
        <w:contextualSpacing w:val="0"/>
        <w:jc w:val="both"/>
        <w:rPr>
          <w:rFonts w:ascii="Times New Roman" w:hAnsi="Times New Roman"/>
          <w:sz w:val="20"/>
          <w:szCs w:val="20"/>
        </w:rPr>
      </w:pPr>
      <w:r>
        <w:rPr>
          <w:rFonts w:ascii="Times New Roman" w:hAnsi="Times New Roman"/>
          <w:sz w:val="20"/>
          <w:szCs w:val="20"/>
        </w:rPr>
        <w:t>An estimated 170 tonnes are refrigerants with a GWP&lt;10.</w:t>
      </w:r>
    </w:p>
    <w:p w14:paraId="063A553D" w14:textId="0BBE5534" w:rsidR="00AA0633" w:rsidRPr="00AA0633" w:rsidRDefault="00AA0633" w:rsidP="00AA0633">
      <w:pPr>
        <w:pStyle w:val="ListParagraph"/>
        <w:numPr>
          <w:ilvl w:val="0"/>
          <w:numId w:val="38"/>
        </w:numPr>
        <w:snapToGrid w:val="0"/>
        <w:spacing w:before="60" w:after="0" w:line="240" w:lineRule="auto"/>
        <w:contextualSpacing w:val="0"/>
        <w:jc w:val="both"/>
        <w:rPr>
          <w:rFonts w:ascii="Times New Roman" w:hAnsi="Times New Roman"/>
          <w:sz w:val="20"/>
          <w:szCs w:val="20"/>
        </w:rPr>
      </w:pPr>
      <w:r w:rsidRPr="00AA0633">
        <w:rPr>
          <w:rFonts w:ascii="Times New Roman" w:hAnsi="Times New Roman"/>
          <w:sz w:val="20"/>
          <w:szCs w:val="20"/>
        </w:rPr>
        <w:t>Emissions of ODS are not counted as part of the GHGs reported under the Kyoto Protocol of the United Nations Framework Convention on Climate Change, as they managed through the Montreal Protocol.</w:t>
      </w:r>
    </w:p>
    <w:p w14:paraId="511364C9" w14:textId="700E6176" w:rsidR="00294D09" w:rsidRDefault="00294D09" w:rsidP="00197CD1">
      <w:pPr>
        <w:spacing w:before="0"/>
        <w:rPr>
          <w:sz w:val="20"/>
          <w:szCs w:val="20"/>
        </w:rPr>
      </w:pPr>
    </w:p>
    <w:p w14:paraId="72BDE207" w14:textId="77777777" w:rsidR="00294D09" w:rsidRPr="00197CD1" w:rsidRDefault="00294D09" w:rsidP="00197CD1">
      <w:pPr>
        <w:spacing w:before="0"/>
        <w:rPr>
          <w:sz w:val="20"/>
          <w:szCs w:val="20"/>
        </w:rPr>
      </w:pPr>
    </w:p>
    <w:p w14:paraId="3A05EA6E" w14:textId="4ED66316" w:rsidR="00C3687F" w:rsidRPr="00197CD1" w:rsidRDefault="00C3687F" w:rsidP="00197CD1">
      <w:pPr>
        <w:spacing w:before="60" w:after="60"/>
        <w:rPr>
          <w:sz w:val="20"/>
          <w:szCs w:val="20"/>
        </w:rPr>
      </w:pPr>
    </w:p>
    <w:p w14:paraId="4F1504F5" w14:textId="77777777" w:rsidR="00C3687F" w:rsidRDefault="00C3687F" w:rsidP="009A23AA">
      <w:pPr>
        <w:pStyle w:val="Heading3"/>
        <w:jc w:val="both"/>
      </w:pPr>
      <w:bookmarkStart w:id="41" w:name="_Toc19601294"/>
      <w:r>
        <w:t>Small mobile air conditioning</w:t>
      </w:r>
      <w:bookmarkEnd w:id="41"/>
    </w:p>
    <w:p w14:paraId="746C14BA" w14:textId="7620396D" w:rsidR="00C3687F" w:rsidRPr="00C43463" w:rsidRDefault="00C3687F" w:rsidP="009A23AA">
      <w:pPr>
        <w:rPr>
          <w:szCs w:val="22"/>
        </w:rPr>
      </w:pPr>
      <w:r w:rsidRPr="00C43463">
        <w:rPr>
          <w:rFonts w:cs="Times New Roman"/>
          <w:lang w:val="en-AU"/>
        </w:rPr>
        <w:t xml:space="preserve">Stock numbers </w:t>
      </w:r>
      <w:r>
        <w:rPr>
          <w:rFonts w:cs="Times New Roman"/>
          <w:lang w:val="en-AU"/>
        </w:rPr>
        <w:t xml:space="preserve">of small MAC </w:t>
      </w:r>
      <w:r w:rsidRPr="00C43463">
        <w:rPr>
          <w:rFonts w:cs="Times New Roman"/>
          <w:lang w:val="en-AU"/>
        </w:rPr>
        <w:t>are very r</w:t>
      </w:r>
      <w:r>
        <w:rPr>
          <w:rFonts w:cs="Times New Roman"/>
          <w:lang w:val="en-AU"/>
        </w:rPr>
        <w:t xml:space="preserve">obust as they align with </w:t>
      </w:r>
      <w:r w:rsidRPr="00C43463">
        <w:rPr>
          <w:rFonts w:cs="Times New Roman"/>
          <w:lang w:val="en-AU"/>
        </w:rPr>
        <w:t>registration data</w:t>
      </w:r>
      <w:r>
        <w:rPr>
          <w:rFonts w:cs="Times New Roman"/>
          <w:lang w:val="en-AU"/>
        </w:rPr>
        <w:t xml:space="preserve"> published by </w:t>
      </w:r>
      <w:r w:rsidRPr="00C43463">
        <w:rPr>
          <w:rFonts w:cs="Times New Roman"/>
          <w:lang w:val="en-AU"/>
        </w:rPr>
        <w:t>the Australian Bureau of Statistics</w:t>
      </w:r>
      <w:r>
        <w:rPr>
          <w:rFonts w:cs="Times New Roman"/>
          <w:lang w:val="en-AU"/>
        </w:rPr>
        <w:t xml:space="preserve"> (ABS)</w:t>
      </w:r>
      <w:r w:rsidRPr="00C43463">
        <w:rPr>
          <w:rFonts w:cs="Times New Roman"/>
          <w:lang w:val="en-AU"/>
        </w:rPr>
        <w:t>. The RAC Stock model uses both sales (ABS 9314.0 201</w:t>
      </w:r>
      <w:r>
        <w:rPr>
          <w:rFonts w:cs="Times New Roman"/>
          <w:lang w:val="en-AU"/>
        </w:rPr>
        <w:t>8 and FCAI 2019</w:t>
      </w:r>
      <w:r w:rsidRPr="00C43463">
        <w:rPr>
          <w:rFonts w:cs="Times New Roman"/>
          <w:lang w:val="en-AU"/>
        </w:rPr>
        <w:t>) and registration data (ABS 93090.0 201</w:t>
      </w:r>
      <w:r>
        <w:rPr>
          <w:rFonts w:cs="Times New Roman"/>
          <w:lang w:val="en-AU"/>
        </w:rPr>
        <w:t>9</w:t>
      </w:r>
      <w:r w:rsidRPr="00C43463">
        <w:rPr>
          <w:rFonts w:cs="Times New Roman"/>
          <w:lang w:val="en-AU"/>
        </w:rPr>
        <w:t>) to calculate the current fleet of small MAC in passenger and</w:t>
      </w:r>
      <w:r w:rsidRPr="00C43463">
        <w:rPr>
          <w:szCs w:val="22"/>
        </w:rPr>
        <w:t xml:space="preserve"> light commercial vehicles; rigid trucks; articulated trucks; non-freight trucks; and</w:t>
      </w:r>
      <w:r>
        <w:rPr>
          <w:szCs w:val="22"/>
        </w:rPr>
        <w:t>,</w:t>
      </w:r>
      <w:r w:rsidRPr="00C43463">
        <w:rPr>
          <w:szCs w:val="22"/>
        </w:rPr>
        <w:t xml:space="preserve"> small buses with a GVM less than 4.5 tonnes. In these categories CHF</w:t>
      </w:r>
      <w:r>
        <w:rPr>
          <w:szCs w:val="22"/>
        </w:rPr>
        <w:t xml:space="preserve"> 2019</w:t>
      </w:r>
      <w:r w:rsidRPr="00C43463">
        <w:rPr>
          <w:szCs w:val="22"/>
        </w:rPr>
        <w:t xml:space="preserve"> assumes 100% of vehicles manufactured after 2000 contain air conditioning.</w:t>
      </w:r>
      <w:r w:rsidR="000D529D">
        <w:rPr>
          <w:rStyle w:val="FootnoteReference"/>
          <w:rFonts w:cs="Times New Roman"/>
          <w:color w:val="000000" w:themeColor="text1"/>
          <w:szCs w:val="22"/>
          <w:lang w:val="en-AU"/>
        </w:rPr>
        <w:footnoteReference w:id="12"/>
      </w:r>
    </w:p>
    <w:p w14:paraId="716408B9" w14:textId="2431E326" w:rsidR="00C3687F" w:rsidRPr="006D1A50" w:rsidRDefault="003343C6" w:rsidP="009A23AA">
      <w:pPr>
        <w:rPr>
          <w:rFonts w:cs="Times New Roman"/>
          <w:lang w:val="en-AU"/>
        </w:rPr>
      </w:pPr>
      <w:r>
        <w:rPr>
          <w:rFonts w:cs="Times New Roman"/>
          <w:lang w:val="en-AU"/>
        </w:rPr>
        <w:t>T</w:t>
      </w:r>
      <w:r w:rsidR="00C3687F" w:rsidRPr="006D1A50">
        <w:rPr>
          <w:rFonts w:cs="Times New Roman"/>
          <w:lang w:val="en-AU"/>
        </w:rPr>
        <w:t>he increase in total stock in those four categories</w:t>
      </w:r>
      <w:r>
        <w:rPr>
          <w:rFonts w:cs="Times New Roman"/>
          <w:lang w:val="en-AU"/>
        </w:rPr>
        <w:t xml:space="preserve">, </w:t>
      </w:r>
      <w:r w:rsidRPr="006D1A50">
        <w:rPr>
          <w:rFonts w:cs="Times New Roman"/>
          <w:lang w:val="en-AU"/>
        </w:rPr>
        <w:t xml:space="preserve">from a total of 16.7 million vehicles </w:t>
      </w:r>
      <w:r>
        <w:rPr>
          <w:rFonts w:cs="Times New Roman"/>
          <w:lang w:val="en-AU"/>
        </w:rPr>
        <w:t xml:space="preserve">in 2013 to more than </w:t>
      </w:r>
      <w:r w:rsidRPr="006D1A50">
        <w:rPr>
          <w:rFonts w:cs="Times New Roman"/>
          <w:lang w:val="en-AU"/>
        </w:rPr>
        <w:t>19.</w:t>
      </w:r>
      <w:r>
        <w:rPr>
          <w:rFonts w:cs="Times New Roman"/>
          <w:lang w:val="en-AU"/>
        </w:rPr>
        <w:t>0</w:t>
      </w:r>
      <w:r w:rsidRPr="006D1A50">
        <w:rPr>
          <w:rFonts w:cs="Times New Roman"/>
          <w:lang w:val="en-AU"/>
        </w:rPr>
        <w:t xml:space="preserve"> million vehicles </w:t>
      </w:r>
      <w:r>
        <w:rPr>
          <w:rFonts w:cs="Times New Roman"/>
          <w:lang w:val="en-AU"/>
        </w:rPr>
        <w:t>in 2018,</w:t>
      </w:r>
      <w:r w:rsidR="00C3687F" w:rsidRPr="006D1A50">
        <w:rPr>
          <w:rFonts w:cs="Times New Roman"/>
          <w:lang w:val="en-AU"/>
        </w:rPr>
        <w:t xml:space="preserve"> was a sizeable gain </w:t>
      </w:r>
      <w:r w:rsidR="00C3687F">
        <w:rPr>
          <w:rFonts w:cs="Times New Roman"/>
          <w:lang w:val="en-AU"/>
        </w:rPr>
        <w:t xml:space="preserve">of </w:t>
      </w:r>
      <w:r w:rsidR="00C3687F" w:rsidRPr="006D1A50">
        <w:rPr>
          <w:rFonts w:cs="Times New Roman"/>
          <w:lang w:val="en-AU"/>
        </w:rPr>
        <w:t>nearly 14% in the five period.</w:t>
      </w:r>
    </w:p>
    <w:p w14:paraId="25AF8371" w14:textId="5D2089FD" w:rsidR="00C3687F" w:rsidRPr="00C43463" w:rsidRDefault="00477FFA" w:rsidP="009A23AA">
      <w:pPr>
        <w:rPr>
          <w:szCs w:val="22"/>
        </w:rPr>
      </w:pPr>
      <w:r>
        <w:rPr>
          <w:rFonts w:cs="Times New Roman"/>
          <w:lang w:val="en-AU"/>
        </w:rPr>
        <w:t>Annual n</w:t>
      </w:r>
      <w:r w:rsidR="00C3687F" w:rsidRPr="00A23E24">
        <w:rPr>
          <w:rFonts w:cs="Times New Roman"/>
          <w:lang w:val="en-AU"/>
        </w:rPr>
        <w:t xml:space="preserve">ew vehicle sales </w:t>
      </w:r>
      <w:r w:rsidR="00C3687F">
        <w:rPr>
          <w:rFonts w:cs="Times New Roman"/>
          <w:lang w:val="en-AU"/>
        </w:rPr>
        <w:t xml:space="preserve">containing </w:t>
      </w:r>
      <w:r w:rsidR="00C3687F" w:rsidRPr="00A23E24">
        <w:rPr>
          <w:rFonts w:cs="Times New Roman"/>
          <w:lang w:val="en-AU"/>
        </w:rPr>
        <w:t xml:space="preserve">small MAC have grown at </w:t>
      </w:r>
      <w:r w:rsidR="00C3687F">
        <w:rPr>
          <w:rFonts w:cs="Times New Roman"/>
          <w:lang w:val="en-AU"/>
        </w:rPr>
        <w:t xml:space="preserve">a </w:t>
      </w:r>
      <w:r w:rsidR="00C3687F" w:rsidRPr="00A23E24">
        <w:rPr>
          <w:rFonts w:cs="Times New Roman"/>
          <w:lang w:val="en-AU"/>
        </w:rPr>
        <w:t xml:space="preserve">compound annual growth rate </w:t>
      </w:r>
      <w:r w:rsidR="00C3687F">
        <w:rPr>
          <w:rFonts w:cs="Times New Roman"/>
          <w:lang w:val="en-AU"/>
        </w:rPr>
        <w:t xml:space="preserve">of </w:t>
      </w:r>
      <w:r w:rsidR="00C3687F" w:rsidRPr="00A23E24">
        <w:rPr>
          <w:rFonts w:cs="Times New Roman"/>
          <w:lang w:val="en-AU"/>
        </w:rPr>
        <w:t xml:space="preserve">1.8% over </w:t>
      </w:r>
      <w:r w:rsidR="00C3687F">
        <w:rPr>
          <w:rFonts w:cs="Times New Roman"/>
          <w:lang w:val="en-AU"/>
        </w:rPr>
        <w:t xml:space="preserve">the </w:t>
      </w:r>
      <w:r w:rsidR="00C3687F" w:rsidRPr="00A23E24">
        <w:rPr>
          <w:rFonts w:cs="Times New Roman"/>
          <w:lang w:val="en-AU"/>
        </w:rPr>
        <w:t>past 20 years from 807,669</w:t>
      </w:r>
      <w:r>
        <w:rPr>
          <w:rFonts w:cs="Times New Roman"/>
          <w:lang w:val="en-AU"/>
        </w:rPr>
        <w:t xml:space="preserve"> </w:t>
      </w:r>
      <w:r w:rsidR="00C3687F" w:rsidRPr="00A23E24">
        <w:rPr>
          <w:rFonts w:cs="Times New Roman"/>
          <w:lang w:val="en-AU"/>
        </w:rPr>
        <w:t>in 1998</w:t>
      </w:r>
      <w:r w:rsidR="00C3687F">
        <w:rPr>
          <w:rFonts w:cs="Times New Roman"/>
          <w:lang w:val="en-AU"/>
        </w:rPr>
        <w:t>,</w:t>
      </w:r>
      <w:r w:rsidR="00C3687F" w:rsidRPr="00A23E24">
        <w:rPr>
          <w:rFonts w:cs="Times New Roman"/>
          <w:lang w:val="en-AU"/>
        </w:rPr>
        <w:t xml:space="preserve"> to 1,153,111 in 2018 (ABS 9314.0 2018 and FCAI 2019).</w:t>
      </w:r>
    </w:p>
    <w:p w14:paraId="59523E9F" w14:textId="77777777" w:rsidR="00C3687F" w:rsidRPr="00BD50DA" w:rsidRDefault="00C3687F" w:rsidP="009A23AA">
      <w:pPr>
        <w:rPr>
          <w:color w:val="000000" w:themeColor="text1"/>
          <w:szCs w:val="22"/>
        </w:rPr>
      </w:pPr>
      <w:r w:rsidRPr="00BD50DA">
        <w:rPr>
          <w:color w:val="000000" w:themeColor="text1"/>
          <w:szCs w:val="22"/>
        </w:rPr>
        <w:t xml:space="preserve">The majority of mobile air conditioning </w:t>
      </w:r>
      <w:r w:rsidRPr="003620D9">
        <w:rPr>
          <w:color w:val="000000" w:themeColor="text1"/>
          <w:szCs w:val="22"/>
        </w:rPr>
        <w:t>systems (94% based on</w:t>
      </w:r>
      <w:r>
        <w:rPr>
          <w:color w:val="000000" w:themeColor="text1"/>
          <w:szCs w:val="22"/>
        </w:rPr>
        <w:t xml:space="preserve"> units</w:t>
      </w:r>
      <w:r w:rsidRPr="00BD50DA">
        <w:rPr>
          <w:color w:val="000000" w:themeColor="text1"/>
          <w:szCs w:val="22"/>
        </w:rPr>
        <w:t xml:space="preserve">) are found in passenger and light commercial vehicles. These systems now generally contain between 600 to 700 grams of refrigerant when fully charged. The average charge size of MAC has fallen significantly since the early 1990s, </w:t>
      </w:r>
      <w:r>
        <w:rPr>
          <w:color w:val="000000" w:themeColor="text1"/>
          <w:szCs w:val="22"/>
        </w:rPr>
        <w:t xml:space="preserve">when it averaged around 1,100 grams per unit, at a time when </w:t>
      </w:r>
      <w:r w:rsidRPr="00BD50DA">
        <w:rPr>
          <w:color w:val="000000" w:themeColor="text1"/>
          <w:szCs w:val="22"/>
        </w:rPr>
        <w:t>MAC</w:t>
      </w:r>
      <w:r>
        <w:rPr>
          <w:color w:val="000000" w:themeColor="text1"/>
          <w:szCs w:val="22"/>
        </w:rPr>
        <w:t xml:space="preserve">s first </w:t>
      </w:r>
      <w:r w:rsidRPr="00BD50DA">
        <w:rPr>
          <w:color w:val="000000" w:themeColor="text1"/>
          <w:szCs w:val="22"/>
        </w:rPr>
        <w:t xml:space="preserve">started to become standard in most new vehicles.  </w:t>
      </w:r>
    </w:p>
    <w:p w14:paraId="433938EC" w14:textId="0AD413BD" w:rsidR="00C3687F" w:rsidRPr="00822CF6" w:rsidRDefault="00C3687F" w:rsidP="009A23AA">
      <w:pPr>
        <w:rPr>
          <w:color w:val="000000" w:themeColor="text1"/>
          <w:szCs w:val="22"/>
        </w:rPr>
      </w:pPr>
      <w:r w:rsidRPr="00AD4B28">
        <w:rPr>
          <w:i/>
          <w:color w:val="000000" w:themeColor="text1"/>
          <w:szCs w:val="22"/>
        </w:rPr>
        <w:t xml:space="preserve">Table </w:t>
      </w:r>
      <w:r w:rsidR="00AD4B28" w:rsidRPr="00AD4B28">
        <w:rPr>
          <w:i/>
          <w:color w:val="000000" w:themeColor="text1"/>
          <w:szCs w:val="22"/>
        </w:rPr>
        <w:t>7</w:t>
      </w:r>
      <w:r w:rsidRPr="00AD4B28">
        <w:rPr>
          <w:color w:val="000000" w:themeColor="text1"/>
          <w:szCs w:val="22"/>
        </w:rPr>
        <w:t xml:space="preserve"> below</w:t>
      </w:r>
      <w:r w:rsidRPr="00822CF6">
        <w:rPr>
          <w:color w:val="000000" w:themeColor="text1"/>
          <w:szCs w:val="22"/>
        </w:rPr>
        <w:t xml:space="preserve"> shows total new vehicle sales in Australia annually from 201</w:t>
      </w:r>
      <w:r>
        <w:rPr>
          <w:color w:val="000000" w:themeColor="text1"/>
          <w:szCs w:val="22"/>
        </w:rPr>
        <w:t>2</w:t>
      </w:r>
      <w:r w:rsidRPr="00822CF6">
        <w:rPr>
          <w:color w:val="000000" w:themeColor="text1"/>
          <w:szCs w:val="22"/>
        </w:rPr>
        <w:t>, and the number of vehicles manufactured in Australia</w:t>
      </w:r>
      <w:r>
        <w:rPr>
          <w:color w:val="000000" w:themeColor="text1"/>
          <w:szCs w:val="22"/>
        </w:rPr>
        <w:t xml:space="preserve"> during the period</w:t>
      </w:r>
      <w:r w:rsidRPr="00822CF6">
        <w:rPr>
          <w:color w:val="000000" w:themeColor="text1"/>
          <w:szCs w:val="22"/>
        </w:rPr>
        <w:t xml:space="preserve">. </w:t>
      </w:r>
    </w:p>
    <w:p w14:paraId="05498370" w14:textId="77777777" w:rsidR="00C3687F" w:rsidRPr="00822CF6" w:rsidRDefault="00C3687F" w:rsidP="009A23AA">
      <w:pPr>
        <w:rPr>
          <w:color w:val="000000" w:themeColor="text1"/>
          <w:szCs w:val="22"/>
        </w:rPr>
      </w:pPr>
    </w:p>
    <w:p w14:paraId="70442106" w14:textId="49DB38D7" w:rsidR="00C3687F" w:rsidRPr="00822CF6" w:rsidRDefault="00C3687F" w:rsidP="009A23AA">
      <w:pPr>
        <w:pStyle w:val="Caption"/>
        <w:rPr>
          <w:color w:val="000000" w:themeColor="text1"/>
          <w:szCs w:val="22"/>
        </w:rPr>
      </w:pPr>
      <w:bookmarkStart w:id="42" w:name="_Toc19601359"/>
      <w:r w:rsidRPr="003620D9">
        <w:rPr>
          <w:color w:val="000000" w:themeColor="text1"/>
        </w:rPr>
        <w:t xml:space="preserve">Table </w:t>
      </w:r>
      <w:r w:rsidRPr="003620D9">
        <w:rPr>
          <w:noProof/>
          <w:color w:val="000000" w:themeColor="text1"/>
        </w:rPr>
        <w:fldChar w:fldCharType="begin"/>
      </w:r>
      <w:r w:rsidRPr="003620D9">
        <w:rPr>
          <w:noProof/>
          <w:color w:val="000000" w:themeColor="text1"/>
        </w:rPr>
        <w:instrText xml:space="preserve"> SEQ Table \* ARABIC </w:instrText>
      </w:r>
      <w:r w:rsidRPr="003620D9">
        <w:rPr>
          <w:noProof/>
          <w:color w:val="000000" w:themeColor="text1"/>
        </w:rPr>
        <w:fldChar w:fldCharType="separate"/>
      </w:r>
      <w:r w:rsidR="001D0DA3">
        <w:rPr>
          <w:noProof/>
          <w:color w:val="000000" w:themeColor="text1"/>
        </w:rPr>
        <w:t>7</w:t>
      </w:r>
      <w:r w:rsidRPr="003620D9">
        <w:rPr>
          <w:noProof/>
          <w:color w:val="000000" w:themeColor="text1"/>
        </w:rPr>
        <w:fldChar w:fldCharType="end"/>
      </w:r>
      <w:r w:rsidRPr="003620D9">
        <w:rPr>
          <w:color w:val="000000" w:themeColor="text1"/>
        </w:rPr>
        <w:t xml:space="preserve">: </w:t>
      </w:r>
      <w:r w:rsidRPr="003620D9">
        <w:rPr>
          <w:color w:val="000000" w:themeColor="text1"/>
          <w:szCs w:val="22"/>
        </w:rPr>
        <w:t>New vehicles sales and local manufacture from 2012 to 2018.</w:t>
      </w:r>
      <w:bookmarkEnd w:id="42"/>
    </w:p>
    <w:tbl>
      <w:tblPr>
        <w:tblStyle w:val="TableGrid"/>
        <w:tblW w:w="9498" w:type="dxa"/>
        <w:tblInd w:w="-5" w:type="dxa"/>
        <w:tblLayout w:type="fixed"/>
        <w:tblLook w:val="04A0" w:firstRow="1" w:lastRow="0" w:firstColumn="1" w:lastColumn="0" w:noHBand="0" w:noVBand="1"/>
      </w:tblPr>
      <w:tblGrid>
        <w:gridCol w:w="1560"/>
        <w:gridCol w:w="1134"/>
        <w:gridCol w:w="1134"/>
        <w:gridCol w:w="1134"/>
        <w:gridCol w:w="1134"/>
        <w:gridCol w:w="1134"/>
        <w:gridCol w:w="1134"/>
        <w:gridCol w:w="1134"/>
      </w:tblGrid>
      <w:tr w:rsidR="00C3687F" w:rsidRPr="00C00439" w14:paraId="18985AA0" w14:textId="77777777" w:rsidTr="00D306E9">
        <w:trPr>
          <w:trHeight w:val="567"/>
        </w:trPr>
        <w:tc>
          <w:tcPr>
            <w:tcW w:w="1560" w:type="dxa"/>
            <w:shd w:val="clear" w:color="auto" w:fill="B6DDE8" w:themeFill="accent5" w:themeFillTint="66"/>
            <w:vAlign w:val="center"/>
          </w:tcPr>
          <w:p w14:paraId="00B3CC02" w14:textId="77777777" w:rsidR="00C3687F" w:rsidRPr="008751E3" w:rsidRDefault="00C3687F" w:rsidP="009A23AA">
            <w:pPr>
              <w:spacing w:after="120"/>
              <w:rPr>
                <w:color w:val="000000" w:themeColor="text1"/>
                <w:sz w:val="20"/>
              </w:rPr>
            </w:pPr>
          </w:p>
        </w:tc>
        <w:tc>
          <w:tcPr>
            <w:tcW w:w="1134" w:type="dxa"/>
            <w:shd w:val="clear" w:color="auto" w:fill="B6DDE8" w:themeFill="accent5" w:themeFillTint="66"/>
            <w:vAlign w:val="center"/>
          </w:tcPr>
          <w:p w14:paraId="0CA620B4" w14:textId="77777777" w:rsidR="00C3687F" w:rsidRPr="008751E3" w:rsidRDefault="00C3687F" w:rsidP="00AD4B28">
            <w:pPr>
              <w:spacing w:after="120"/>
              <w:jc w:val="center"/>
              <w:rPr>
                <w:color w:val="000000" w:themeColor="text1"/>
                <w:sz w:val="20"/>
              </w:rPr>
            </w:pPr>
            <w:r w:rsidRPr="008751E3">
              <w:rPr>
                <w:color w:val="000000" w:themeColor="text1"/>
                <w:sz w:val="20"/>
              </w:rPr>
              <w:t>2012</w:t>
            </w:r>
          </w:p>
        </w:tc>
        <w:tc>
          <w:tcPr>
            <w:tcW w:w="1134" w:type="dxa"/>
            <w:shd w:val="clear" w:color="auto" w:fill="B6DDE8" w:themeFill="accent5" w:themeFillTint="66"/>
            <w:vAlign w:val="center"/>
          </w:tcPr>
          <w:p w14:paraId="5C4140CD" w14:textId="77777777" w:rsidR="00C3687F" w:rsidRPr="008751E3" w:rsidRDefault="00C3687F" w:rsidP="00AD4B28">
            <w:pPr>
              <w:spacing w:after="120"/>
              <w:jc w:val="center"/>
              <w:rPr>
                <w:color w:val="000000" w:themeColor="text1"/>
                <w:sz w:val="20"/>
              </w:rPr>
            </w:pPr>
            <w:r w:rsidRPr="008751E3">
              <w:rPr>
                <w:color w:val="000000" w:themeColor="text1"/>
                <w:sz w:val="20"/>
              </w:rPr>
              <w:t>2013</w:t>
            </w:r>
          </w:p>
        </w:tc>
        <w:tc>
          <w:tcPr>
            <w:tcW w:w="1134" w:type="dxa"/>
            <w:shd w:val="clear" w:color="auto" w:fill="B6DDE8" w:themeFill="accent5" w:themeFillTint="66"/>
            <w:vAlign w:val="center"/>
          </w:tcPr>
          <w:p w14:paraId="4E5FF2A5" w14:textId="77777777" w:rsidR="00C3687F" w:rsidRPr="008751E3" w:rsidRDefault="00C3687F" w:rsidP="00AD4B28">
            <w:pPr>
              <w:spacing w:after="120"/>
              <w:jc w:val="center"/>
              <w:rPr>
                <w:color w:val="000000" w:themeColor="text1"/>
                <w:sz w:val="20"/>
              </w:rPr>
            </w:pPr>
            <w:r w:rsidRPr="008751E3">
              <w:rPr>
                <w:color w:val="000000" w:themeColor="text1"/>
                <w:sz w:val="20"/>
              </w:rPr>
              <w:t>2014</w:t>
            </w:r>
          </w:p>
        </w:tc>
        <w:tc>
          <w:tcPr>
            <w:tcW w:w="1134" w:type="dxa"/>
            <w:shd w:val="clear" w:color="auto" w:fill="B6DDE8" w:themeFill="accent5" w:themeFillTint="66"/>
            <w:vAlign w:val="center"/>
          </w:tcPr>
          <w:p w14:paraId="51EC70F8" w14:textId="77777777" w:rsidR="00C3687F" w:rsidRPr="008751E3" w:rsidRDefault="00C3687F" w:rsidP="00AD4B28">
            <w:pPr>
              <w:spacing w:after="120"/>
              <w:jc w:val="center"/>
              <w:rPr>
                <w:color w:val="000000" w:themeColor="text1"/>
                <w:sz w:val="20"/>
              </w:rPr>
            </w:pPr>
            <w:r w:rsidRPr="008751E3">
              <w:rPr>
                <w:color w:val="000000" w:themeColor="text1"/>
                <w:sz w:val="20"/>
              </w:rPr>
              <w:t>2015</w:t>
            </w:r>
          </w:p>
        </w:tc>
        <w:tc>
          <w:tcPr>
            <w:tcW w:w="1134" w:type="dxa"/>
            <w:shd w:val="clear" w:color="auto" w:fill="B6DDE8" w:themeFill="accent5" w:themeFillTint="66"/>
            <w:vAlign w:val="center"/>
          </w:tcPr>
          <w:p w14:paraId="76B6A971" w14:textId="77777777" w:rsidR="00C3687F" w:rsidRPr="008751E3" w:rsidRDefault="00C3687F" w:rsidP="00AD4B28">
            <w:pPr>
              <w:spacing w:after="120"/>
              <w:jc w:val="center"/>
              <w:rPr>
                <w:color w:val="000000" w:themeColor="text1"/>
                <w:sz w:val="20"/>
              </w:rPr>
            </w:pPr>
            <w:r w:rsidRPr="008751E3">
              <w:rPr>
                <w:color w:val="000000" w:themeColor="text1"/>
                <w:sz w:val="20"/>
              </w:rPr>
              <w:t>2016</w:t>
            </w:r>
          </w:p>
        </w:tc>
        <w:tc>
          <w:tcPr>
            <w:tcW w:w="1134" w:type="dxa"/>
            <w:shd w:val="clear" w:color="auto" w:fill="B6DDE8" w:themeFill="accent5" w:themeFillTint="66"/>
            <w:vAlign w:val="center"/>
          </w:tcPr>
          <w:p w14:paraId="588F3B9A" w14:textId="77777777" w:rsidR="00C3687F" w:rsidRPr="008751E3" w:rsidRDefault="00C3687F" w:rsidP="00AD4B28">
            <w:pPr>
              <w:spacing w:after="120"/>
              <w:jc w:val="center"/>
              <w:rPr>
                <w:color w:val="000000" w:themeColor="text1"/>
                <w:sz w:val="20"/>
              </w:rPr>
            </w:pPr>
            <w:r w:rsidRPr="008751E3">
              <w:rPr>
                <w:color w:val="000000" w:themeColor="text1"/>
                <w:sz w:val="20"/>
              </w:rPr>
              <w:t>2017</w:t>
            </w:r>
          </w:p>
        </w:tc>
        <w:tc>
          <w:tcPr>
            <w:tcW w:w="1134" w:type="dxa"/>
            <w:shd w:val="clear" w:color="auto" w:fill="B6DDE8" w:themeFill="accent5" w:themeFillTint="66"/>
            <w:vAlign w:val="center"/>
          </w:tcPr>
          <w:p w14:paraId="09EE5DFD" w14:textId="77777777" w:rsidR="00C3687F" w:rsidRPr="008751E3" w:rsidRDefault="00C3687F" w:rsidP="00AD4B28">
            <w:pPr>
              <w:spacing w:after="120"/>
              <w:jc w:val="center"/>
              <w:rPr>
                <w:color w:val="000000" w:themeColor="text1"/>
                <w:sz w:val="20"/>
              </w:rPr>
            </w:pPr>
            <w:r w:rsidRPr="008751E3">
              <w:rPr>
                <w:color w:val="000000" w:themeColor="text1"/>
                <w:sz w:val="20"/>
              </w:rPr>
              <w:t>2018</w:t>
            </w:r>
          </w:p>
        </w:tc>
      </w:tr>
      <w:tr w:rsidR="00C3687F" w:rsidRPr="00C00439" w14:paraId="6B0A943F" w14:textId="77777777" w:rsidTr="00D306E9">
        <w:trPr>
          <w:trHeight w:val="567"/>
        </w:trPr>
        <w:tc>
          <w:tcPr>
            <w:tcW w:w="1560" w:type="dxa"/>
            <w:vAlign w:val="center"/>
          </w:tcPr>
          <w:p w14:paraId="27D969F1" w14:textId="77777777" w:rsidR="00C3687F" w:rsidRPr="008751E3" w:rsidRDefault="00C3687F" w:rsidP="00AD4B28">
            <w:pPr>
              <w:spacing w:after="120"/>
              <w:jc w:val="left"/>
              <w:rPr>
                <w:color w:val="000000" w:themeColor="text1"/>
                <w:sz w:val="20"/>
              </w:rPr>
            </w:pPr>
            <w:r w:rsidRPr="008751E3">
              <w:rPr>
                <w:color w:val="000000" w:themeColor="text1"/>
                <w:sz w:val="20"/>
              </w:rPr>
              <w:t>Vehicle sales</w:t>
            </w:r>
          </w:p>
        </w:tc>
        <w:tc>
          <w:tcPr>
            <w:tcW w:w="1134" w:type="dxa"/>
            <w:vAlign w:val="center"/>
          </w:tcPr>
          <w:p w14:paraId="5AC216C5" w14:textId="77777777" w:rsidR="00C3687F" w:rsidRPr="008751E3" w:rsidRDefault="00C3687F" w:rsidP="00AD4B28">
            <w:pPr>
              <w:spacing w:after="120"/>
              <w:jc w:val="center"/>
              <w:rPr>
                <w:color w:val="000000" w:themeColor="text1"/>
                <w:sz w:val="20"/>
              </w:rPr>
            </w:pPr>
            <w:r w:rsidRPr="008751E3">
              <w:rPr>
                <w:color w:val="000000" w:themeColor="text1"/>
                <w:sz w:val="20"/>
              </w:rPr>
              <w:t>1,112,032</w:t>
            </w:r>
          </w:p>
        </w:tc>
        <w:tc>
          <w:tcPr>
            <w:tcW w:w="1134" w:type="dxa"/>
            <w:vAlign w:val="center"/>
          </w:tcPr>
          <w:p w14:paraId="62F063B3" w14:textId="77777777" w:rsidR="00C3687F" w:rsidRPr="008751E3" w:rsidRDefault="00C3687F" w:rsidP="00AD4B28">
            <w:pPr>
              <w:spacing w:after="120"/>
              <w:jc w:val="center"/>
              <w:rPr>
                <w:color w:val="000000" w:themeColor="text1"/>
                <w:sz w:val="20"/>
              </w:rPr>
            </w:pPr>
            <w:r w:rsidRPr="008751E3">
              <w:rPr>
                <w:color w:val="000000" w:themeColor="text1"/>
                <w:sz w:val="20"/>
              </w:rPr>
              <w:t>1,136,227</w:t>
            </w:r>
          </w:p>
        </w:tc>
        <w:tc>
          <w:tcPr>
            <w:tcW w:w="1134" w:type="dxa"/>
            <w:vAlign w:val="center"/>
          </w:tcPr>
          <w:p w14:paraId="3B2DA597" w14:textId="77777777" w:rsidR="00C3687F" w:rsidRPr="008751E3" w:rsidRDefault="00C3687F" w:rsidP="00AD4B28">
            <w:pPr>
              <w:spacing w:after="120"/>
              <w:jc w:val="center"/>
              <w:rPr>
                <w:color w:val="000000" w:themeColor="text1"/>
                <w:sz w:val="20"/>
              </w:rPr>
            </w:pPr>
            <w:r w:rsidRPr="008751E3">
              <w:rPr>
                <w:color w:val="000000" w:themeColor="text1"/>
                <w:sz w:val="20"/>
              </w:rPr>
              <w:t>1,113,230</w:t>
            </w:r>
          </w:p>
        </w:tc>
        <w:tc>
          <w:tcPr>
            <w:tcW w:w="1134" w:type="dxa"/>
            <w:vAlign w:val="center"/>
          </w:tcPr>
          <w:p w14:paraId="61366A58" w14:textId="77777777" w:rsidR="00C3687F" w:rsidRPr="008751E3" w:rsidRDefault="00C3687F" w:rsidP="00AD4B28">
            <w:pPr>
              <w:spacing w:after="120"/>
              <w:jc w:val="center"/>
              <w:rPr>
                <w:color w:val="000000" w:themeColor="text1"/>
                <w:sz w:val="20"/>
              </w:rPr>
            </w:pPr>
            <w:r w:rsidRPr="008751E3">
              <w:rPr>
                <w:color w:val="000000" w:themeColor="text1"/>
                <w:sz w:val="20"/>
              </w:rPr>
              <w:t>1,155,408</w:t>
            </w:r>
          </w:p>
        </w:tc>
        <w:tc>
          <w:tcPr>
            <w:tcW w:w="1134" w:type="dxa"/>
            <w:vAlign w:val="center"/>
          </w:tcPr>
          <w:p w14:paraId="7F9A9FA9" w14:textId="77777777" w:rsidR="00C3687F" w:rsidRPr="008751E3" w:rsidRDefault="00C3687F" w:rsidP="00AD4B28">
            <w:pPr>
              <w:spacing w:after="120"/>
              <w:jc w:val="center"/>
              <w:rPr>
                <w:color w:val="000000" w:themeColor="text1"/>
                <w:sz w:val="20"/>
              </w:rPr>
            </w:pPr>
            <w:r w:rsidRPr="008751E3">
              <w:rPr>
                <w:color w:val="000000" w:themeColor="text1"/>
                <w:sz w:val="20"/>
              </w:rPr>
              <w:t>1,178,133</w:t>
            </w:r>
          </w:p>
        </w:tc>
        <w:tc>
          <w:tcPr>
            <w:tcW w:w="1134" w:type="dxa"/>
            <w:vAlign w:val="center"/>
          </w:tcPr>
          <w:p w14:paraId="69EC1399" w14:textId="77777777" w:rsidR="00C3687F" w:rsidRPr="008751E3" w:rsidRDefault="00C3687F" w:rsidP="00AD4B28">
            <w:pPr>
              <w:spacing w:after="120"/>
              <w:jc w:val="center"/>
              <w:rPr>
                <w:color w:val="000000" w:themeColor="text1"/>
                <w:sz w:val="20"/>
              </w:rPr>
            </w:pPr>
            <w:r w:rsidRPr="008751E3">
              <w:rPr>
                <w:color w:val="000000" w:themeColor="text1"/>
                <w:sz w:val="20"/>
              </w:rPr>
              <w:t>1,189,116</w:t>
            </w:r>
          </w:p>
        </w:tc>
        <w:tc>
          <w:tcPr>
            <w:tcW w:w="1134" w:type="dxa"/>
            <w:vAlign w:val="center"/>
          </w:tcPr>
          <w:p w14:paraId="20B8C281" w14:textId="77777777" w:rsidR="00C3687F" w:rsidRPr="008751E3" w:rsidRDefault="00C3687F" w:rsidP="00AD4B28">
            <w:pPr>
              <w:spacing w:after="120"/>
              <w:jc w:val="center"/>
              <w:rPr>
                <w:color w:val="000000" w:themeColor="text1"/>
                <w:sz w:val="20"/>
              </w:rPr>
            </w:pPr>
            <w:r w:rsidRPr="008751E3">
              <w:rPr>
                <w:color w:val="000000" w:themeColor="text1"/>
                <w:sz w:val="20"/>
              </w:rPr>
              <w:t>1,153,111</w:t>
            </w:r>
          </w:p>
        </w:tc>
      </w:tr>
      <w:tr w:rsidR="00C3687F" w:rsidRPr="00C00439" w14:paraId="23C33E00" w14:textId="77777777" w:rsidTr="00D306E9">
        <w:trPr>
          <w:trHeight w:val="567"/>
        </w:trPr>
        <w:tc>
          <w:tcPr>
            <w:tcW w:w="1560" w:type="dxa"/>
            <w:vAlign w:val="center"/>
          </w:tcPr>
          <w:p w14:paraId="0FE6165F" w14:textId="77777777" w:rsidR="00C3687F" w:rsidRPr="008751E3" w:rsidRDefault="00C3687F" w:rsidP="00AD4B28">
            <w:pPr>
              <w:spacing w:after="120"/>
              <w:jc w:val="left"/>
              <w:rPr>
                <w:color w:val="000000" w:themeColor="text1"/>
                <w:sz w:val="20"/>
              </w:rPr>
            </w:pPr>
            <w:r w:rsidRPr="008751E3">
              <w:rPr>
                <w:color w:val="000000" w:themeColor="text1"/>
                <w:sz w:val="20"/>
              </w:rPr>
              <w:t>Vehicles locally manufactured</w:t>
            </w:r>
          </w:p>
        </w:tc>
        <w:tc>
          <w:tcPr>
            <w:tcW w:w="1134" w:type="dxa"/>
            <w:vAlign w:val="center"/>
          </w:tcPr>
          <w:p w14:paraId="08F4FA21" w14:textId="77777777" w:rsidR="00C3687F" w:rsidRPr="008751E3" w:rsidRDefault="00C3687F" w:rsidP="00AD4B28">
            <w:pPr>
              <w:spacing w:after="120"/>
              <w:jc w:val="center"/>
              <w:rPr>
                <w:color w:val="000000" w:themeColor="text1"/>
                <w:sz w:val="20"/>
              </w:rPr>
            </w:pPr>
            <w:r w:rsidRPr="008751E3">
              <w:rPr>
                <w:color w:val="000000" w:themeColor="text1"/>
                <w:sz w:val="20"/>
              </w:rPr>
              <w:t>221,073</w:t>
            </w:r>
          </w:p>
        </w:tc>
        <w:tc>
          <w:tcPr>
            <w:tcW w:w="1134" w:type="dxa"/>
            <w:vAlign w:val="center"/>
          </w:tcPr>
          <w:p w14:paraId="392C7FA2" w14:textId="77777777" w:rsidR="00C3687F" w:rsidRPr="008751E3" w:rsidRDefault="00C3687F" w:rsidP="00AD4B28">
            <w:pPr>
              <w:spacing w:after="120"/>
              <w:jc w:val="center"/>
              <w:rPr>
                <w:color w:val="000000" w:themeColor="text1"/>
                <w:sz w:val="20"/>
              </w:rPr>
            </w:pPr>
            <w:r w:rsidRPr="008751E3">
              <w:rPr>
                <w:color w:val="000000" w:themeColor="text1"/>
                <w:sz w:val="20"/>
              </w:rPr>
              <w:t>210,538</w:t>
            </w:r>
          </w:p>
        </w:tc>
        <w:tc>
          <w:tcPr>
            <w:tcW w:w="1134" w:type="dxa"/>
            <w:vAlign w:val="center"/>
          </w:tcPr>
          <w:p w14:paraId="7B2933CD" w14:textId="77777777" w:rsidR="00C3687F" w:rsidRPr="008751E3" w:rsidRDefault="00C3687F" w:rsidP="00AD4B28">
            <w:pPr>
              <w:spacing w:after="120"/>
              <w:jc w:val="center"/>
              <w:rPr>
                <w:color w:val="000000" w:themeColor="text1"/>
                <w:sz w:val="20"/>
              </w:rPr>
            </w:pPr>
            <w:r w:rsidRPr="008751E3">
              <w:rPr>
                <w:color w:val="000000" w:themeColor="text1"/>
                <w:sz w:val="20"/>
              </w:rPr>
              <w:t>174,986</w:t>
            </w:r>
          </w:p>
        </w:tc>
        <w:tc>
          <w:tcPr>
            <w:tcW w:w="1134" w:type="dxa"/>
            <w:vAlign w:val="center"/>
          </w:tcPr>
          <w:p w14:paraId="76B54A63" w14:textId="77777777" w:rsidR="00C3687F" w:rsidRPr="008751E3" w:rsidRDefault="00C3687F" w:rsidP="00AD4B28">
            <w:pPr>
              <w:spacing w:after="120"/>
              <w:jc w:val="center"/>
              <w:rPr>
                <w:color w:val="000000" w:themeColor="text1"/>
                <w:sz w:val="20"/>
              </w:rPr>
            </w:pPr>
            <w:r w:rsidRPr="008751E3">
              <w:rPr>
                <w:color w:val="000000" w:themeColor="text1"/>
                <w:sz w:val="20"/>
              </w:rPr>
              <w:t>167,538</w:t>
            </w:r>
          </w:p>
        </w:tc>
        <w:tc>
          <w:tcPr>
            <w:tcW w:w="1134" w:type="dxa"/>
            <w:vAlign w:val="center"/>
          </w:tcPr>
          <w:p w14:paraId="23F3AF2E" w14:textId="77777777" w:rsidR="00C3687F" w:rsidRPr="008751E3" w:rsidRDefault="00C3687F" w:rsidP="00AD4B28">
            <w:pPr>
              <w:spacing w:after="120"/>
              <w:jc w:val="center"/>
              <w:rPr>
                <w:color w:val="000000" w:themeColor="text1"/>
                <w:sz w:val="20"/>
              </w:rPr>
            </w:pPr>
            <w:r w:rsidRPr="008751E3">
              <w:rPr>
                <w:color w:val="000000" w:themeColor="text1"/>
                <w:sz w:val="20"/>
              </w:rPr>
              <w:t>1</w:t>
            </w:r>
            <w:r>
              <w:rPr>
                <w:color w:val="000000" w:themeColor="text1"/>
                <w:sz w:val="20"/>
              </w:rPr>
              <w:t>61</w:t>
            </w:r>
            <w:r w:rsidRPr="008751E3">
              <w:rPr>
                <w:color w:val="000000" w:themeColor="text1"/>
                <w:sz w:val="20"/>
              </w:rPr>
              <w:t>,</w:t>
            </w:r>
            <w:r>
              <w:rPr>
                <w:color w:val="000000" w:themeColor="text1"/>
                <w:sz w:val="20"/>
              </w:rPr>
              <w:t>632</w:t>
            </w:r>
          </w:p>
        </w:tc>
        <w:tc>
          <w:tcPr>
            <w:tcW w:w="1134" w:type="dxa"/>
            <w:vAlign w:val="center"/>
          </w:tcPr>
          <w:p w14:paraId="56942AE3" w14:textId="77777777" w:rsidR="00C3687F" w:rsidRPr="008751E3" w:rsidRDefault="00C3687F" w:rsidP="00AD4B28">
            <w:pPr>
              <w:spacing w:after="120"/>
              <w:jc w:val="center"/>
              <w:rPr>
                <w:color w:val="000000" w:themeColor="text1"/>
                <w:sz w:val="20"/>
              </w:rPr>
            </w:pPr>
            <w:r w:rsidRPr="00D95D59">
              <w:rPr>
                <w:color w:val="000000" w:themeColor="text1"/>
                <w:sz w:val="20"/>
              </w:rPr>
              <w:t>9</w:t>
            </w:r>
            <w:r>
              <w:rPr>
                <w:color w:val="000000" w:themeColor="text1"/>
                <w:sz w:val="20"/>
              </w:rPr>
              <w:t>8</w:t>
            </w:r>
            <w:r w:rsidRPr="00D95D59">
              <w:rPr>
                <w:color w:val="000000" w:themeColor="text1"/>
                <w:sz w:val="20"/>
              </w:rPr>
              <w:t>,</w:t>
            </w:r>
            <w:r>
              <w:rPr>
                <w:color w:val="000000" w:themeColor="text1"/>
                <w:sz w:val="20"/>
              </w:rPr>
              <w:t>632</w:t>
            </w:r>
          </w:p>
        </w:tc>
        <w:tc>
          <w:tcPr>
            <w:tcW w:w="1134" w:type="dxa"/>
            <w:vAlign w:val="center"/>
          </w:tcPr>
          <w:p w14:paraId="0D3E22A1" w14:textId="77777777" w:rsidR="00C3687F" w:rsidRPr="008751E3" w:rsidRDefault="00C3687F" w:rsidP="00AD4B28">
            <w:pPr>
              <w:spacing w:after="120"/>
              <w:jc w:val="center"/>
              <w:rPr>
                <w:color w:val="000000" w:themeColor="text1"/>
                <w:sz w:val="20"/>
              </w:rPr>
            </w:pPr>
            <w:r w:rsidRPr="008751E3">
              <w:rPr>
                <w:color w:val="000000" w:themeColor="text1"/>
                <w:sz w:val="20"/>
              </w:rPr>
              <w:t>0</w:t>
            </w:r>
          </w:p>
        </w:tc>
      </w:tr>
    </w:tbl>
    <w:p w14:paraId="142E52BB" w14:textId="77777777" w:rsidR="00C3687F" w:rsidRPr="003620D9" w:rsidRDefault="00C3687F" w:rsidP="009A23AA">
      <w:pPr>
        <w:spacing w:before="0"/>
        <w:rPr>
          <w:sz w:val="20"/>
          <w:szCs w:val="20"/>
        </w:rPr>
      </w:pPr>
      <w:r w:rsidRPr="003620D9">
        <w:rPr>
          <w:color w:val="000000" w:themeColor="text1"/>
          <w:sz w:val="20"/>
          <w:szCs w:val="20"/>
        </w:rPr>
        <w:t xml:space="preserve">(Source: </w:t>
      </w:r>
      <w:r w:rsidRPr="003620D9">
        <w:rPr>
          <w:rFonts w:cs="Times New Roman"/>
          <w:sz w:val="20"/>
          <w:szCs w:val="20"/>
          <w:lang w:val="en-AU"/>
        </w:rPr>
        <w:t>ABS 9314.0 2018</w:t>
      </w:r>
      <w:r>
        <w:rPr>
          <w:rFonts w:cs="Times New Roman"/>
          <w:sz w:val="20"/>
          <w:szCs w:val="20"/>
          <w:lang w:val="en-AU"/>
        </w:rPr>
        <w:t xml:space="preserve">, </w:t>
      </w:r>
      <w:r w:rsidRPr="003620D9">
        <w:rPr>
          <w:rFonts w:cs="Times New Roman"/>
          <w:sz w:val="20"/>
          <w:szCs w:val="20"/>
          <w:lang w:val="en-AU"/>
        </w:rPr>
        <w:t>FCAI 2019</w:t>
      </w:r>
      <w:r>
        <w:rPr>
          <w:rFonts w:cs="Times New Roman"/>
          <w:sz w:val="20"/>
          <w:szCs w:val="20"/>
          <w:lang w:val="en-AU"/>
        </w:rPr>
        <w:t xml:space="preserve"> and OICA 2019</w:t>
      </w:r>
      <w:r w:rsidRPr="003620D9">
        <w:rPr>
          <w:rFonts w:cs="Times New Roman"/>
          <w:sz w:val="20"/>
          <w:szCs w:val="20"/>
          <w:lang w:val="en-AU"/>
        </w:rPr>
        <w:t>)</w:t>
      </w:r>
    </w:p>
    <w:p w14:paraId="50288369" w14:textId="77777777" w:rsidR="00C3687F" w:rsidRPr="00822CF6" w:rsidRDefault="00C3687F" w:rsidP="009A23AA">
      <w:pPr>
        <w:rPr>
          <w:color w:val="000000" w:themeColor="text1"/>
          <w:sz w:val="20"/>
          <w:szCs w:val="20"/>
        </w:rPr>
      </w:pPr>
      <w:r w:rsidRPr="00822CF6">
        <w:rPr>
          <w:color w:val="000000" w:themeColor="text1"/>
          <w:sz w:val="20"/>
          <w:szCs w:val="20"/>
        </w:rPr>
        <w:t>Notes:</w:t>
      </w:r>
    </w:p>
    <w:p w14:paraId="3D4624D1" w14:textId="77777777" w:rsidR="00C3687F" w:rsidRPr="003620D9" w:rsidRDefault="00C3687F" w:rsidP="009A23AA">
      <w:pPr>
        <w:pStyle w:val="ListParagraph"/>
        <w:numPr>
          <w:ilvl w:val="0"/>
          <w:numId w:val="7"/>
        </w:numPr>
        <w:spacing w:before="60" w:after="60" w:line="240" w:lineRule="auto"/>
        <w:ind w:left="357" w:hanging="357"/>
        <w:contextualSpacing w:val="0"/>
        <w:jc w:val="both"/>
        <w:rPr>
          <w:rFonts w:ascii="Times New Roman" w:hAnsi="Times New Roman"/>
          <w:color w:val="000000" w:themeColor="text1"/>
          <w:sz w:val="20"/>
          <w:szCs w:val="20"/>
        </w:rPr>
      </w:pPr>
      <w:r>
        <w:rPr>
          <w:rFonts w:ascii="Times New Roman" w:hAnsi="Times New Roman"/>
          <w:color w:val="000000" w:themeColor="text1"/>
          <w:sz w:val="20"/>
          <w:szCs w:val="20"/>
        </w:rPr>
        <w:t>New vehicle sales include all small MAC categories.</w:t>
      </w:r>
    </w:p>
    <w:p w14:paraId="46FF3F51" w14:textId="77777777" w:rsidR="00C3687F" w:rsidRDefault="00C3687F" w:rsidP="009A23AA">
      <w:pPr>
        <w:rPr>
          <w:color w:val="000000" w:themeColor="text1"/>
          <w:szCs w:val="22"/>
        </w:rPr>
      </w:pPr>
    </w:p>
    <w:p w14:paraId="492CD4A7" w14:textId="77723317" w:rsidR="00C3687F" w:rsidRPr="00834D95" w:rsidRDefault="00C3687F" w:rsidP="009A23AA">
      <w:pPr>
        <w:rPr>
          <w:szCs w:val="22"/>
        </w:rPr>
      </w:pPr>
      <w:r w:rsidRPr="00834D95">
        <w:rPr>
          <w:szCs w:val="22"/>
        </w:rPr>
        <w:t>All significant passenger vehicle manufacturing in Australia ceased on October 20, 2017 with the closure of the Holden manufacturing plant in Adelaide. Toyota’s Altona factory in Melbourne, closed only days prior on October 3, 2017.</w:t>
      </w:r>
    </w:p>
    <w:p w14:paraId="57E6D66B" w14:textId="7FB668D3" w:rsidR="00C3687F" w:rsidRDefault="00C3687F" w:rsidP="009A23AA">
      <w:pPr>
        <w:rPr>
          <w:color w:val="000000" w:themeColor="text1"/>
          <w:szCs w:val="22"/>
        </w:rPr>
      </w:pPr>
      <w:r w:rsidRPr="00C4338A">
        <w:rPr>
          <w:color w:val="000000" w:themeColor="text1"/>
          <w:szCs w:val="22"/>
        </w:rPr>
        <w:t xml:space="preserve">The decline in vehicle production reduced demand for HFC-134a for vehicle manufacturing from around 140 tonnes in 2012 to around </w:t>
      </w:r>
      <w:r>
        <w:rPr>
          <w:color w:val="000000" w:themeColor="text1"/>
          <w:szCs w:val="22"/>
        </w:rPr>
        <w:t>56</w:t>
      </w:r>
      <w:r w:rsidRPr="00C4338A">
        <w:rPr>
          <w:color w:val="000000" w:themeColor="text1"/>
          <w:szCs w:val="22"/>
        </w:rPr>
        <w:t xml:space="preserve"> tonnes in</w:t>
      </w:r>
      <w:r>
        <w:rPr>
          <w:color w:val="000000" w:themeColor="text1"/>
          <w:szCs w:val="22"/>
        </w:rPr>
        <w:t xml:space="preserve"> the final year of Australian vehicle manufacturing in</w:t>
      </w:r>
      <w:r w:rsidRPr="00C4338A">
        <w:rPr>
          <w:color w:val="000000" w:themeColor="text1"/>
          <w:szCs w:val="22"/>
        </w:rPr>
        <w:t xml:space="preserve"> 2017. The effect of the end of all significant vehicle manufacturing means that since the year 2000 more than 300 tonnes of annual bulk HFC demand has been removed from the Australian economy</w:t>
      </w:r>
      <w:r w:rsidR="008617A7">
        <w:rPr>
          <w:color w:val="000000" w:themeColor="text1"/>
          <w:szCs w:val="22"/>
        </w:rPr>
        <w:t>. I</w:t>
      </w:r>
      <w:r w:rsidR="00197CD1">
        <w:rPr>
          <w:color w:val="000000" w:themeColor="text1"/>
          <w:szCs w:val="22"/>
        </w:rPr>
        <w:t>mport of HFCs in new vehicle</w:t>
      </w:r>
      <w:r w:rsidR="00AA0633">
        <w:rPr>
          <w:color w:val="000000" w:themeColor="text1"/>
          <w:szCs w:val="22"/>
        </w:rPr>
        <w:t>s</w:t>
      </w:r>
      <w:r w:rsidR="00197CD1">
        <w:rPr>
          <w:color w:val="000000" w:themeColor="text1"/>
          <w:szCs w:val="22"/>
        </w:rPr>
        <w:t xml:space="preserve"> ha</w:t>
      </w:r>
      <w:r w:rsidR="00AA0633">
        <w:rPr>
          <w:color w:val="000000" w:themeColor="text1"/>
          <w:szCs w:val="22"/>
        </w:rPr>
        <w:t>s</w:t>
      </w:r>
      <w:r w:rsidR="00197CD1">
        <w:rPr>
          <w:color w:val="000000" w:themeColor="text1"/>
          <w:szCs w:val="22"/>
        </w:rPr>
        <w:t xml:space="preserve"> </w:t>
      </w:r>
      <w:r w:rsidR="00FE0CAE">
        <w:rPr>
          <w:color w:val="000000" w:themeColor="text1"/>
          <w:szCs w:val="22"/>
        </w:rPr>
        <w:t>continued to rise however</w:t>
      </w:r>
      <w:r w:rsidR="008617A7">
        <w:rPr>
          <w:color w:val="000000" w:themeColor="text1"/>
          <w:szCs w:val="22"/>
        </w:rPr>
        <w:t xml:space="preserve"> as </w:t>
      </w:r>
      <w:r w:rsidR="00FE0CAE">
        <w:rPr>
          <w:color w:val="000000" w:themeColor="text1"/>
          <w:szCs w:val="22"/>
        </w:rPr>
        <w:t xml:space="preserve">sales of locally manufactured vehicles has been replaced by imported vehicles and the expected replacement of HFCs in MAC </w:t>
      </w:r>
      <w:r w:rsidR="003343C6">
        <w:rPr>
          <w:color w:val="000000" w:themeColor="text1"/>
          <w:szCs w:val="22"/>
        </w:rPr>
        <w:t xml:space="preserve">with </w:t>
      </w:r>
      <w:r w:rsidR="008617A7">
        <w:rPr>
          <w:color w:val="000000" w:themeColor="text1"/>
          <w:szCs w:val="22"/>
        </w:rPr>
        <w:t>HFOs</w:t>
      </w:r>
      <w:r w:rsidR="00FE0CAE">
        <w:rPr>
          <w:color w:val="000000" w:themeColor="text1"/>
          <w:szCs w:val="22"/>
        </w:rPr>
        <w:t xml:space="preserve"> has not occurred</w:t>
      </w:r>
      <w:r w:rsidR="008617A7">
        <w:rPr>
          <w:color w:val="000000" w:themeColor="text1"/>
          <w:szCs w:val="22"/>
        </w:rPr>
        <w:t>.</w:t>
      </w:r>
    </w:p>
    <w:p w14:paraId="222A3911" w14:textId="77777777" w:rsidR="00AA0633" w:rsidRDefault="00AA0633">
      <w:pPr>
        <w:spacing w:before="0"/>
        <w:jc w:val="left"/>
        <w:rPr>
          <w:rFonts w:cs="Times New Roman"/>
          <w:b/>
          <w:lang w:val="en-AU"/>
        </w:rPr>
      </w:pPr>
      <w:r>
        <w:rPr>
          <w:rFonts w:cs="Times New Roman"/>
          <w:b/>
          <w:lang w:val="en-AU"/>
        </w:rPr>
        <w:br w:type="page"/>
      </w:r>
    </w:p>
    <w:p w14:paraId="4DBCB936" w14:textId="13E0625D" w:rsidR="00C3687F" w:rsidRPr="00C54A1E" w:rsidRDefault="00C3687F" w:rsidP="009A23AA">
      <w:pPr>
        <w:spacing w:before="240"/>
        <w:rPr>
          <w:rFonts w:cs="Times New Roman"/>
          <w:b/>
          <w:lang w:val="en-AU"/>
        </w:rPr>
      </w:pPr>
      <w:r w:rsidRPr="00C54A1E">
        <w:rPr>
          <w:rFonts w:cs="Times New Roman"/>
          <w:b/>
          <w:lang w:val="en-AU"/>
        </w:rPr>
        <w:t>Trucks</w:t>
      </w:r>
    </w:p>
    <w:p w14:paraId="5C1A2D80" w14:textId="77777777" w:rsidR="00C3687F" w:rsidRPr="00BD50DA" w:rsidRDefault="00C3687F" w:rsidP="009A23AA">
      <w:pPr>
        <w:rPr>
          <w:rFonts w:cs="Times New Roman"/>
          <w:color w:val="000000" w:themeColor="text1"/>
          <w:lang w:val="en-AU"/>
        </w:rPr>
      </w:pPr>
      <w:r w:rsidRPr="00BD50DA">
        <w:rPr>
          <w:rFonts w:cs="Times New Roman"/>
          <w:color w:val="000000" w:themeColor="text1"/>
          <w:lang w:val="en-AU"/>
        </w:rPr>
        <w:t xml:space="preserve">While the </w:t>
      </w:r>
      <w:r>
        <w:rPr>
          <w:rFonts w:cs="Times New Roman"/>
          <w:color w:val="000000" w:themeColor="text1"/>
          <w:lang w:val="en-AU"/>
        </w:rPr>
        <w:t>taxonomy of the RAC Stock Model</w:t>
      </w:r>
      <w:r w:rsidRPr="00BD50DA">
        <w:rPr>
          <w:rFonts w:cs="Times New Roman"/>
          <w:color w:val="000000" w:themeColor="text1"/>
          <w:lang w:val="en-AU"/>
        </w:rPr>
        <w:t xml:space="preserve"> incorporates some </w:t>
      </w:r>
      <w:r>
        <w:rPr>
          <w:rFonts w:cs="Times New Roman"/>
          <w:color w:val="000000" w:themeColor="text1"/>
          <w:lang w:val="en-AU"/>
        </w:rPr>
        <w:t xml:space="preserve">large </w:t>
      </w:r>
      <w:r w:rsidRPr="00BD50DA">
        <w:rPr>
          <w:rFonts w:cs="Times New Roman"/>
          <w:color w:val="000000" w:themeColor="text1"/>
          <w:lang w:val="en-AU"/>
        </w:rPr>
        <w:t>vehicles in the small MAC segment, and vice versa, the taxonomy is based on the size of the average charge in the MAC installed in the vehicle, not the size of the vehicle.</w:t>
      </w:r>
    </w:p>
    <w:p w14:paraId="73505C04" w14:textId="77777777" w:rsidR="00C3687F" w:rsidRPr="00BD50DA" w:rsidRDefault="00C3687F" w:rsidP="009A23AA">
      <w:pPr>
        <w:rPr>
          <w:rFonts w:cs="Times New Roman"/>
          <w:color w:val="000000" w:themeColor="text1"/>
          <w:lang w:val="en-AU"/>
        </w:rPr>
      </w:pPr>
      <w:r w:rsidRPr="00BD50DA">
        <w:rPr>
          <w:rFonts w:cs="Times New Roman"/>
          <w:color w:val="000000" w:themeColor="text1"/>
          <w:lang w:val="en-AU"/>
        </w:rPr>
        <w:t>The size of the MAC system and its refrigerant charge does not always necessarily equate to the size of the vehicle, or its gross vehicle mass, but rather the use of the vehicle and the investment in equipment required for passenger and</w:t>
      </w:r>
      <w:r>
        <w:rPr>
          <w:rFonts w:cs="Times New Roman"/>
          <w:color w:val="000000" w:themeColor="text1"/>
          <w:lang w:val="en-AU"/>
        </w:rPr>
        <w:t xml:space="preserve">/or </w:t>
      </w:r>
      <w:r w:rsidRPr="00BD50DA">
        <w:rPr>
          <w:rFonts w:cs="Times New Roman"/>
          <w:color w:val="000000" w:themeColor="text1"/>
          <w:lang w:val="en-AU"/>
        </w:rPr>
        <w:t>operator comfort.</w:t>
      </w:r>
    </w:p>
    <w:p w14:paraId="6CE70175" w14:textId="660B67A2" w:rsidR="00C3687F" w:rsidRPr="00C54A1E" w:rsidRDefault="00C3687F" w:rsidP="009A23AA">
      <w:pPr>
        <w:rPr>
          <w:rFonts w:cs="Times New Roman"/>
          <w:szCs w:val="22"/>
          <w:lang w:val="en-AU"/>
        </w:rPr>
      </w:pPr>
      <w:r w:rsidRPr="004F69A9">
        <w:rPr>
          <w:rFonts w:cs="Times New Roman"/>
          <w:color w:val="000000" w:themeColor="text1"/>
          <w:szCs w:val="22"/>
          <w:lang w:val="en-AU"/>
        </w:rPr>
        <w:t xml:space="preserve">A fleet of more than </w:t>
      </w:r>
      <w:r w:rsidRPr="003620D9">
        <w:rPr>
          <w:rFonts w:cs="Times New Roman"/>
          <w:color w:val="000000" w:themeColor="text1"/>
          <w:szCs w:val="22"/>
          <w:lang w:val="en-AU"/>
        </w:rPr>
        <w:t>6</w:t>
      </w:r>
      <w:r w:rsidR="00070B1C">
        <w:rPr>
          <w:rFonts w:cs="Times New Roman"/>
          <w:color w:val="000000" w:themeColor="text1"/>
          <w:szCs w:val="22"/>
          <w:lang w:val="en-AU"/>
        </w:rPr>
        <w:t>21</w:t>
      </w:r>
      <w:r w:rsidRPr="003620D9">
        <w:rPr>
          <w:rFonts w:cs="Times New Roman"/>
          <w:color w:val="000000" w:themeColor="text1"/>
          <w:szCs w:val="22"/>
          <w:lang w:val="en-AU"/>
        </w:rPr>
        <w:t>,000</w:t>
      </w:r>
      <w:r w:rsidRPr="004F69A9">
        <w:rPr>
          <w:rFonts w:cs="Times New Roman"/>
          <w:color w:val="000000" w:themeColor="text1"/>
          <w:szCs w:val="22"/>
          <w:lang w:val="en-AU"/>
        </w:rPr>
        <w:t xml:space="preserve"> registered rigid body</w:t>
      </w:r>
      <w:r>
        <w:rPr>
          <w:rFonts w:cs="Times New Roman"/>
          <w:color w:val="000000" w:themeColor="text1"/>
          <w:szCs w:val="22"/>
          <w:lang w:val="en-AU"/>
        </w:rPr>
        <w:t xml:space="preserve">, </w:t>
      </w:r>
      <w:r w:rsidRPr="004F69A9">
        <w:rPr>
          <w:rFonts w:cs="Times New Roman"/>
          <w:color w:val="000000" w:themeColor="text1"/>
          <w:szCs w:val="22"/>
          <w:lang w:val="en-AU"/>
        </w:rPr>
        <w:t xml:space="preserve">articulated </w:t>
      </w:r>
      <w:r w:rsidR="005F2892">
        <w:rPr>
          <w:rFonts w:cs="Times New Roman"/>
          <w:color w:val="000000" w:themeColor="text1"/>
          <w:szCs w:val="22"/>
          <w:lang w:val="en-AU"/>
        </w:rPr>
        <w:t xml:space="preserve">and non-freight </w:t>
      </w:r>
      <w:r w:rsidRPr="004F69A9">
        <w:rPr>
          <w:rFonts w:cs="Times New Roman"/>
          <w:color w:val="000000" w:themeColor="text1"/>
          <w:szCs w:val="22"/>
          <w:lang w:val="en-AU"/>
        </w:rPr>
        <w:t xml:space="preserve">trucks on the road in Australia in 2018 is estimated to have air conditioning installed. The RAC Stock model assumes 5% of the smaller rigid body and non-freight vehicles do not have MAC installed. </w:t>
      </w:r>
      <w:r w:rsidRPr="00C54A1E">
        <w:rPr>
          <w:rFonts w:cs="Times New Roman"/>
          <w:szCs w:val="22"/>
          <w:lang w:val="en-AU"/>
        </w:rPr>
        <w:t>These are likely to be older vehicles, tipper trucks and flat beds used for short hauls on farms</w:t>
      </w:r>
      <w:r>
        <w:rPr>
          <w:rFonts w:cs="Times New Roman"/>
          <w:szCs w:val="22"/>
          <w:lang w:val="en-AU"/>
        </w:rPr>
        <w:t>, in small construction and landscaping firms</w:t>
      </w:r>
      <w:r w:rsidRPr="00C54A1E">
        <w:rPr>
          <w:rFonts w:cs="Times New Roman"/>
          <w:szCs w:val="22"/>
          <w:lang w:val="en-AU"/>
        </w:rPr>
        <w:t>, in other rural environments and possibly only in part time use.</w:t>
      </w:r>
    </w:p>
    <w:p w14:paraId="752FD704" w14:textId="06A110B3" w:rsidR="00C3687F" w:rsidRPr="00C54A1E" w:rsidRDefault="00C3687F" w:rsidP="009A23AA">
      <w:pPr>
        <w:rPr>
          <w:rFonts w:cs="Times New Roman"/>
          <w:szCs w:val="22"/>
          <w:lang w:val="en-AU"/>
        </w:rPr>
      </w:pPr>
      <w:r w:rsidRPr="00C54A1E">
        <w:rPr>
          <w:rFonts w:cs="Times New Roman"/>
          <w:szCs w:val="22"/>
          <w:lang w:val="en-AU"/>
        </w:rPr>
        <w:t xml:space="preserve">Most new truck prime movers sold in Australia are imported, and in most instances, if they have MAC on board, they will come pre-charged. More than 30,000 new trucks are sold every year in Australia and the majority have some kind of final customising or </w:t>
      </w:r>
      <w:r>
        <w:rPr>
          <w:rFonts w:cs="Times New Roman"/>
          <w:szCs w:val="22"/>
          <w:lang w:val="en-AU"/>
        </w:rPr>
        <w:t xml:space="preserve">other </w:t>
      </w:r>
      <w:r w:rsidRPr="00C54A1E">
        <w:rPr>
          <w:rFonts w:cs="Times New Roman"/>
          <w:szCs w:val="22"/>
          <w:lang w:val="en-AU"/>
        </w:rPr>
        <w:t>work completed in Australia, including the incorporation of locally manufactured components, to make them fit for purpose. There are also a number of truck manufacturers operating in Australia that assemble almost the entire prime mover and truck body in Australia including:</w:t>
      </w:r>
    </w:p>
    <w:p w14:paraId="4758BBD9" w14:textId="77777777" w:rsidR="00C3687F" w:rsidRPr="00C54A1E" w:rsidRDefault="00C3687F" w:rsidP="009A23AA">
      <w:pPr>
        <w:pStyle w:val="ListParagraph"/>
        <w:numPr>
          <w:ilvl w:val="0"/>
          <w:numId w:val="6"/>
        </w:numPr>
        <w:spacing w:before="120" w:after="0" w:line="240" w:lineRule="auto"/>
        <w:contextualSpacing w:val="0"/>
        <w:jc w:val="both"/>
        <w:rPr>
          <w:rFonts w:ascii="Times New Roman" w:hAnsi="Times New Roman"/>
          <w:lang w:val="en-AU"/>
        </w:rPr>
      </w:pPr>
      <w:r w:rsidRPr="00C54A1E">
        <w:rPr>
          <w:rFonts w:ascii="Times New Roman" w:hAnsi="Times New Roman"/>
          <w:lang w:val="en-AU"/>
        </w:rPr>
        <w:t>Volvo Group Australia manufacturing Volvo and Mack brand trucks at Wacol, Queensland;</w:t>
      </w:r>
    </w:p>
    <w:p w14:paraId="322B565D" w14:textId="77777777" w:rsidR="00C3687F" w:rsidRPr="00C54A1E" w:rsidRDefault="00C3687F" w:rsidP="009A23AA">
      <w:pPr>
        <w:pStyle w:val="ListParagraph"/>
        <w:numPr>
          <w:ilvl w:val="0"/>
          <w:numId w:val="6"/>
        </w:numPr>
        <w:spacing w:before="120" w:after="0" w:line="240" w:lineRule="auto"/>
        <w:contextualSpacing w:val="0"/>
        <w:jc w:val="both"/>
        <w:rPr>
          <w:rFonts w:ascii="Times New Roman" w:hAnsi="Times New Roman"/>
          <w:lang w:val="en-AU"/>
        </w:rPr>
      </w:pPr>
      <w:r w:rsidRPr="00C54A1E">
        <w:rPr>
          <w:rFonts w:ascii="Times New Roman" w:hAnsi="Times New Roman"/>
          <w:lang w:val="en-AU"/>
        </w:rPr>
        <w:t>PACCAR Australia manufacturing Kenworth trucks at Bayswater, Victoria; and,</w:t>
      </w:r>
    </w:p>
    <w:p w14:paraId="439D0228" w14:textId="77777777" w:rsidR="00C3687F" w:rsidRPr="00C54A1E" w:rsidRDefault="00C3687F" w:rsidP="009A23AA">
      <w:pPr>
        <w:pStyle w:val="ListParagraph"/>
        <w:numPr>
          <w:ilvl w:val="0"/>
          <w:numId w:val="6"/>
        </w:numPr>
        <w:spacing w:before="120" w:after="0" w:line="240" w:lineRule="auto"/>
        <w:contextualSpacing w:val="0"/>
        <w:jc w:val="both"/>
        <w:rPr>
          <w:rFonts w:ascii="Times New Roman" w:hAnsi="Times New Roman"/>
          <w:lang w:val="en-AU"/>
        </w:rPr>
      </w:pPr>
      <w:r w:rsidRPr="00C54A1E">
        <w:rPr>
          <w:rFonts w:ascii="Times New Roman" w:hAnsi="Times New Roman"/>
          <w:lang w:val="en-AU"/>
        </w:rPr>
        <w:t>IVECO Trucks Australia manufacturing IVECO trucks at Dandenong, Victoria.</w:t>
      </w:r>
    </w:p>
    <w:p w14:paraId="7968803C" w14:textId="77777777" w:rsidR="00C3687F" w:rsidRDefault="00C3687F" w:rsidP="009A23AA">
      <w:pPr>
        <w:rPr>
          <w:rFonts w:cs="Times New Roman"/>
          <w:color w:val="000000" w:themeColor="text1"/>
          <w:szCs w:val="22"/>
          <w:lang w:val="en-AU"/>
        </w:rPr>
      </w:pPr>
      <w:r w:rsidRPr="00097873">
        <w:rPr>
          <w:rFonts w:cs="Times New Roman"/>
          <w:color w:val="000000" w:themeColor="text1"/>
          <w:szCs w:val="22"/>
          <w:lang w:val="en-AU"/>
        </w:rPr>
        <w:t>Market intelligence from MAC component suppliers suggest that in total these manufacturers between them are purchasing components for about 2,600 new MAC systems a year.</w:t>
      </w:r>
    </w:p>
    <w:p w14:paraId="390C777B" w14:textId="77777777" w:rsidR="00C3687F" w:rsidRPr="008617A7" w:rsidRDefault="00C3687F" w:rsidP="009A23AA">
      <w:pPr>
        <w:spacing w:before="0"/>
        <w:rPr>
          <w:rFonts w:cs="Times New Roman"/>
          <w:szCs w:val="22"/>
          <w:lang w:val="en-US"/>
        </w:rPr>
      </w:pPr>
    </w:p>
    <w:p w14:paraId="2E5082ED" w14:textId="7183FC93" w:rsidR="00C3687F" w:rsidRPr="00487D1D" w:rsidRDefault="00C3687F" w:rsidP="009A23AA">
      <w:pPr>
        <w:snapToGrid w:val="0"/>
        <w:rPr>
          <w:rFonts w:cs="Times New Roman"/>
          <w:b/>
          <w:color w:val="000000" w:themeColor="text1"/>
          <w:szCs w:val="22"/>
        </w:rPr>
      </w:pPr>
      <w:r w:rsidRPr="00487D1D">
        <w:rPr>
          <w:rFonts w:cs="Times New Roman"/>
          <w:b/>
          <w:color w:val="000000" w:themeColor="text1"/>
          <w:szCs w:val="22"/>
        </w:rPr>
        <w:t xml:space="preserve">Next </w:t>
      </w:r>
      <w:r>
        <w:rPr>
          <w:rFonts w:cs="Times New Roman"/>
          <w:b/>
          <w:color w:val="000000" w:themeColor="text1"/>
          <w:szCs w:val="22"/>
        </w:rPr>
        <w:t>g</w:t>
      </w:r>
      <w:r w:rsidRPr="00487D1D">
        <w:rPr>
          <w:rFonts w:cs="Times New Roman"/>
          <w:b/>
          <w:color w:val="000000" w:themeColor="text1"/>
          <w:szCs w:val="22"/>
        </w:rPr>
        <w:t xml:space="preserve">eneration </w:t>
      </w:r>
      <w:r>
        <w:rPr>
          <w:rFonts w:cs="Times New Roman"/>
          <w:b/>
          <w:color w:val="000000" w:themeColor="text1"/>
          <w:szCs w:val="22"/>
        </w:rPr>
        <w:t>of r</w:t>
      </w:r>
      <w:r w:rsidRPr="00487D1D">
        <w:rPr>
          <w:rFonts w:cs="Times New Roman"/>
          <w:b/>
          <w:color w:val="000000" w:themeColor="text1"/>
          <w:szCs w:val="22"/>
        </w:rPr>
        <w:t xml:space="preserve">efrigerants </w:t>
      </w:r>
      <w:r>
        <w:rPr>
          <w:rFonts w:cs="Times New Roman"/>
          <w:b/>
          <w:color w:val="000000" w:themeColor="text1"/>
          <w:szCs w:val="22"/>
        </w:rPr>
        <w:t>m</w:t>
      </w:r>
      <w:r w:rsidRPr="00487D1D">
        <w:rPr>
          <w:rFonts w:cs="Times New Roman"/>
          <w:b/>
          <w:color w:val="000000" w:themeColor="text1"/>
          <w:szCs w:val="22"/>
        </w:rPr>
        <w:t xml:space="preserve">aking </w:t>
      </w:r>
      <w:r>
        <w:rPr>
          <w:rFonts w:cs="Times New Roman"/>
          <w:b/>
          <w:color w:val="000000" w:themeColor="text1"/>
          <w:szCs w:val="22"/>
        </w:rPr>
        <w:t>n</w:t>
      </w:r>
      <w:r w:rsidRPr="00487D1D">
        <w:rPr>
          <w:rFonts w:cs="Times New Roman"/>
          <w:b/>
          <w:color w:val="000000" w:themeColor="text1"/>
          <w:szCs w:val="22"/>
        </w:rPr>
        <w:t xml:space="preserve">o </w:t>
      </w:r>
      <w:r>
        <w:rPr>
          <w:rFonts w:cs="Times New Roman"/>
          <w:b/>
          <w:color w:val="000000" w:themeColor="text1"/>
          <w:szCs w:val="22"/>
        </w:rPr>
        <w:t>i</w:t>
      </w:r>
      <w:r w:rsidRPr="00487D1D">
        <w:rPr>
          <w:rFonts w:cs="Times New Roman"/>
          <w:b/>
          <w:color w:val="000000" w:themeColor="text1"/>
          <w:szCs w:val="22"/>
        </w:rPr>
        <w:t xml:space="preserve">mpact on the Australian </w:t>
      </w:r>
      <w:r w:rsidR="00EA26DE">
        <w:rPr>
          <w:rFonts w:cs="Times New Roman"/>
          <w:b/>
          <w:color w:val="000000" w:themeColor="text1"/>
          <w:szCs w:val="22"/>
        </w:rPr>
        <w:t>f</w:t>
      </w:r>
      <w:r w:rsidRPr="00487D1D">
        <w:rPr>
          <w:rFonts w:cs="Times New Roman"/>
          <w:b/>
          <w:color w:val="000000" w:themeColor="text1"/>
          <w:szCs w:val="22"/>
        </w:rPr>
        <w:t>leet</w:t>
      </w:r>
      <w:r>
        <w:rPr>
          <w:rFonts w:cs="Times New Roman"/>
          <w:b/>
          <w:color w:val="000000" w:themeColor="text1"/>
          <w:szCs w:val="22"/>
        </w:rPr>
        <w:t xml:space="preserve"> in 2018</w:t>
      </w:r>
    </w:p>
    <w:p w14:paraId="61BB7E62" w14:textId="7B3205AE" w:rsidR="00C3687F" w:rsidRDefault="00C3687F" w:rsidP="009A23AA">
      <w:pPr>
        <w:snapToGrid w:val="0"/>
        <w:rPr>
          <w:rFonts w:cs="Times New Roman"/>
          <w:color w:val="000000" w:themeColor="text1"/>
          <w:szCs w:val="22"/>
        </w:rPr>
      </w:pPr>
      <w:r>
        <w:rPr>
          <w:rFonts w:cs="Times New Roman"/>
          <w:color w:val="000000" w:themeColor="text1"/>
          <w:szCs w:val="22"/>
        </w:rPr>
        <w:t xml:space="preserve">The most important event on the horizon for the MAC bank is the </w:t>
      </w:r>
      <w:r w:rsidR="00A146FB">
        <w:rPr>
          <w:rFonts w:cs="Times New Roman"/>
          <w:color w:val="000000" w:themeColor="text1"/>
          <w:szCs w:val="22"/>
        </w:rPr>
        <w:t>long</w:t>
      </w:r>
      <w:r w:rsidR="003343C6">
        <w:rPr>
          <w:rFonts w:cs="Times New Roman"/>
          <w:color w:val="000000" w:themeColor="text1"/>
          <w:szCs w:val="22"/>
        </w:rPr>
        <w:t>-</w:t>
      </w:r>
      <w:r w:rsidR="00A146FB">
        <w:rPr>
          <w:rFonts w:cs="Times New Roman"/>
          <w:color w:val="000000" w:themeColor="text1"/>
          <w:szCs w:val="22"/>
        </w:rPr>
        <w:t>awaited</w:t>
      </w:r>
      <w:r>
        <w:rPr>
          <w:rFonts w:cs="Times New Roman"/>
          <w:color w:val="000000" w:themeColor="text1"/>
          <w:szCs w:val="22"/>
        </w:rPr>
        <w:t xml:space="preserve"> </w:t>
      </w:r>
      <w:r w:rsidRPr="00BD50DA">
        <w:rPr>
          <w:rFonts w:cs="Times New Roman"/>
          <w:color w:val="000000" w:themeColor="text1"/>
          <w:szCs w:val="22"/>
        </w:rPr>
        <w:t xml:space="preserve">introduction of </w:t>
      </w:r>
      <w:r>
        <w:rPr>
          <w:rFonts w:cs="Times New Roman"/>
          <w:color w:val="000000" w:themeColor="text1"/>
          <w:szCs w:val="22"/>
        </w:rPr>
        <w:t xml:space="preserve">the </w:t>
      </w:r>
      <w:r w:rsidRPr="00EB4664">
        <w:rPr>
          <w:rFonts w:cs="Times New Roman"/>
          <w:color w:val="000000" w:themeColor="text1"/>
          <w:szCs w:val="22"/>
        </w:rPr>
        <w:t xml:space="preserve">new generation of low GWP refrigerants, </w:t>
      </w:r>
      <w:proofErr w:type="spellStart"/>
      <w:r w:rsidRPr="00EB4664">
        <w:rPr>
          <w:rFonts w:cs="Times New Roman"/>
          <w:color w:val="000000" w:themeColor="text1"/>
          <w:szCs w:val="22"/>
        </w:rPr>
        <w:t>hydro</w:t>
      </w:r>
      <w:r w:rsidR="00B518DB">
        <w:rPr>
          <w:rFonts w:cs="Times New Roman"/>
          <w:color w:val="000000" w:themeColor="text1"/>
          <w:szCs w:val="22"/>
        </w:rPr>
        <w:t>fluoro</w:t>
      </w:r>
      <w:proofErr w:type="spellEnd"/>
      <w:r w:rsidRPr="00EB4664">
        <w:rPr>
          <w:rFonts w:cs="Times New Roman"/>
          <w:color w:val="000000" w:themeColor="text1"/>
          <w:szCs w:val="22"/>
        </w:rPr>
        <w:t>-olefins, known as HFOs, developed with MAC in mind (HFO-1234yf</w:t>
      </w:r>
      <w:r w:rsidR="00B518DB">
        <w:rPr>
          <w:rFonts w:cs="Times New Roman"/>
          <w:color w:val="000000" w:themeColor="text1"/>
          <w:szCs w:val="22"/>
        </w:rPr>
        <w:t>,</w:t>
      </w:r>
      <w:r w:rsidRPr="00EB4664">
        <w:rPr>
          <w:rFonts w:cs="Times New Roman"/>
          <w:color w:val="000000" w:themeColor="text1"/>
          <w:szCs w:val="22"/>
        </w:rPr>
        <w:t xml:space="preserve"> </w:t>
      </w:r>
      <w:r w:rsidRPr="00B26EA2">
        <w:rPr>
          <w:rFonts w:cs="Times New Roman"/>
          <w:color w:val="000000" w:themeColor="text1"/>
          <w:szCs w:val="22"/>
        </w:rPr>
        <w:t>GWP of 1</w:t>
      </w:r>
      <w:r w:rsidR="00B518DB">
        <w:rPr>
          <w:rFonts w:cs="Times New Roman"/>
          <w:color w:val="000000" w:themeColor="text1"/>
          <w:szCs w:val="22"/>
        </w:rPr>
        <w:t xml:space="preserve">, IPCC </w:t>
      </w:r>
      <w:r w:rsidR="005F2892">
        <w:rPr>
          <w:rFonts w:cs="Times New Roman"/>
          <w:color w:val="000000" w:themeColor="text1"/>
          <w:szCs w:val="22"/>
        </w:rPr>
        <w:t xml:space="preserve">Assessment Report </w:t>
      </w:r>
      <w:r w:rsidR="00A926BE">
        <w:rPr>
          <w:rFonts w:cs="Times New Roman"/>
          <w:color w:val="000000" w:themeColor="text1"/>
          <w:szCs w:val="22"/>
        </w:rPr>
        <w:t>5</w:t>
      </w:r>
      <w:r w:rsidRPr="00B26EA2">
        <w:rPr>
          <w:rFonts w:cs="Times New Roman"/>
          <w:color w:val="000000" w:themeColor="text1"/>
          <w:szCs w:val="22"/>
        </w:rPr>
        <w:t xml:space="preserve">). </w:t>
      </w:r>
    </w:p>
    <w:p w14:paraId="398FFB99" w14:textId="4E6F300F" w:rsidR="00C3687F" w:rsidRPr="00BD50DA" w:rsidRDefault="00C3687F" w:rsidP="009A23AA">
      <w:pPr>
        <w:snapToGrid w:val="0"/>
        <w:rPr>
          <w:rFonts w:cs="Times New Roman"/>
          <w:color w:val="000000" w:themeColor="text1"/>
          <w:szCs w:val="22"/>
        </w:rPr>
      </w:pPr>
      <w:r w:rsidRPr="00B26EA2">
        <w:rPr>
          <w:rFonts w:cs="Times New Roman"/>
          <w:color w:val="000000" w:themeColor="text1"/>
          <w:szCs w:val="22"/>
        </w:rPr>
        <w:t xml:space="preserve">As the use of this new generation refrigerant extends across a larger number of international manufacturers </w:t>
      </w:r>
      <w:r w:rsidRPr="00A926BE">
        <w:rPr>
          <w:rFonts w:cs="Times New Roman"/>
          <w:color w:val="000000" w:themeColor="text1"/>
          <w:szCs w:val="22"/>
        </w:rPr>
        <w:t>and new vehicle models, the CO</w:t>
      </w:r>
      <w:r w:rsidRPr="00A926BE">
        <w:rPr>
          <w:rFonts w:cs="Times New Roman"/>
          <w:color w:val="000000" w:themeColor="text1"/>
          <w:szCs w:val="22"/>
          <w:vertAlign w:val="subscript"/>
        </w:rPr>
        <w:t>2</w:t>
      </w:r>
      <w:r w:rsidRPr="00A926BE">
        <w:rPr>
          <w:rFonts w:cs="Times New Roman"/>
          <w:color w:val="000000" w:themeColor="text1"/>
          <w:szCs w:val="22"/>
        </w:rPr>
        <w:t>e value of the MAC bank</w:t>
      </w:r>
      <w:r w:rsidR="00A146FB" w:rsidRPr="00A926BE">
        <w:rPr>
          <w:rFonts w:cs="Times New Roman"/>
          <w:color w:val="000000" w:themeColor="text1"/>
          <w:szCs w:val="22"/>
        </w:rPr>
        <w:t xml:space="preserve"> in Australia</w:t>
      </w:r>
      <w:r w:rsidRPr="00A926BE">
        <w:rPr>
          <w:rFonts w:cs="Times New Roman"/>
          <w:color w:val="000000" w:themeColor="text1"/>
          <w:szCs w:val="22"/>
        </w:rPr>
        <w:t xml:space="preserve"> is projected to fall by 3</w:t>
      </w:r>
      <w:r w:rsidR="00A926BE" w:rsidRPr="00A926BE">
        <w:rPr>
          <w:rFonts w:cs="Times New Roman"/>
          <w:color w:val="000000" w:themeColor="text1"/>
          <w:szCs w:val="22"/>
        </w:rPr>
        <w:t>4</w:t>
      </w:r>
      <w:r w:rsidRPr="00A926BE">
        <w:rPr>
          <w:rFonts w:cs="Times New Roman"/>
          <w:color w:val="000000" w:themeColor="text1"/>
          <w:szCs w:val="22"/>
        </w:rPr>
        <w:t>% from an estimated 16.0 million tonnes CO</w:t>
      </w:r>
      <w:r w:rsidRPr="00A926BE">
        <w:rPr>
          <w:rFonts w:cs="Times New Roman"/>
          <w:color w:val="000000" w:themeColor="text1"/>
          <w:szCs w:val="22"/>
          <w:vertAlign w:val="subscript"/>
        </w:rPr>
        <w:t>2</w:t>
      </w:r>
      <w:r w:rsidRPr="00A926BE">
        <w:rPr>
          <w:rFonts w:cs="Times New Roman"/>
          <w:color w:val="000000" w:themeColor="text1"/>
          <w:szCs w:val="22"/>
        </w:rPr>
        <w:t>e in 2018 to 10.</w:t>
      </w:r>
      <w:r w:rsidR="00A926BE" w:rsidRPr="00A926BE">
        <w:rPr>
          <w:rFonts w:cs="Times New Roman"/>
          <w:color w:val="000000" w:themeColor="text1"/>
          <w:szCs w:val="22"/>
        </w:rPr>
        <w:t>5</w:t>
      </w:r>
      <w:r w:rsidRPr="00A926BE">
        <w:rPr>
          <w:rFonts w:cs="Times New Roman"/>
          <w:color w:val="000000" w:themeColor="text1"/>
          <w:szCs w:val="22"/>
        </w:rPr>
        <w:t xml:space="preserve"> million tonnes CO</w:t>
      </w:r>
      <w:r w:rsidRPr="00A926BE">
        <w:rPr>
          <w:rFonts w:cs="Times New Roman"/>
          <w:color w:val="000000" w:themeColor="text1"/>
          <w:szCs w:val="22"/>
          <w:vertAlign w:val="subscript"/>
        </w:rPr>
        <w:t>2</w:t>
      </w:r>
      <w:r w:rsidRPr="00A926BE">
        <w:rPr>
          <w:rFonts w:cs="Times New Roman"/>
          <w:color w:val="000000" w:themeColor="text1"/>
          <w:szCs w:val="22"/>
        </w:rPr>
        <w:t>e by 2030.</w:t>
      </w:r>
      <w:r w:rsidR="00A146FB">
        <w:rPr>
          <w:rFonts w:cs="Times New Roman"/>
          <w:color w:val="000000" w:themeColor="text1"/>
          <w:szCs w:val="22"/>
        </w:rPr>
        <w:t xml:space="preserve"> </w:t>
      </w:r>
      <w:r w:rsidR="00A926BE">
        <w:rPr>
          <w:rFonts w:cs="Times New Roman"/>
          <w:color w:val="000000" w:themeColor="text1"/>
          <w:szCs w:val="22"/>
        </w:rPr>
        <w:t>However,</w:t>
      </w:r>
      <w:r w:rsidR="00A146FB">
        <w:rPr>
          <w:rFonts w:cs="Times New Roman"/>
          <w:color w:val="000000" w:themeColor="text1"/>
          <w:szCs w:val="22"/>
        </w:rPr>
        <w:t xml:space="preserve"> it has to be noted that previous projections of the rate of HFO deployment in MAC have failed to materialise. Auto makers appear content to continue to supply models with older generation</w:t>
      </w:r>
      <w:r w:rsidR="003343C6">
        <w:rPr>
          <w:rFonts w:cs="Times New Roman"/>
          <w:color w:val="000000" w:themeColor="text1"/>
          <w:szCs w:val="22"/>
        </w:rPr>
        <w:t>s</w:t>
      </w:r>
      <w:r w:rsidR="00A146FB">
        <w:rPr>
          <w:rFonts w:cs="Times New Roman"/>
          <w:color w:val="000000" w:themeColor="text1"/>
          <w:szCs w:val="22"/>
        </w:rPr>
        <w:t xml:space="preserve"> of refrigerants to any markets that permit HFCs</w:t>
      </w:r>
      <w:r w:rsidR="003343C6">
        <w:rPr>
          <w:rFonts w:cs="Times New Roman"/>
          <w:color w:val="000000" w:themeColor="text1"/>
          <w:szCs w:val="22"/>
        </w:rPr>
        <w:t>,</w:t>
      </w:r>
      <w:r w:rsidR="00A146FB">
        <w:rPr>
          <w:rFonts w:cs="Times New Roman"/>
          <w:color w:val="000000" w:themeColor="text1"/>
          <w:szCs w:val="22"/>
        </w:rPr>
        <w:t xml:space="preserve"> while making HFO charged models available where they are required to</w:t>
      </w:r>
      <w:r w:rsidR="003343C6">
        <w:rPr>
          <w:rFonts w:cs="Times New Roman"/>
          <w:color w:val="000000" w:themeColor="text1"/>
          <w:szCs w:val="22"/>
        </w:rPr>
        <w:t xml:space="preserve"> by law</w:t>
      </w:r>
      <w:r w:rsidR="00A146FB">
        <w:rPr>
          <w:rFonts w:cs="Times New Roman"/>
          <w:color w:val="000000" w:themeColor="text1"/>
          <w:szCs w:val="22"/>
        </w:rPr>
        <w:t>.</w:t>
      </w:r>
    </w:p>
    <w:p w14:paraId="63B3DE24" w14:textId="33BFC6E6" w:rsidR="00C3687F" w:rsidRPr="00EB4664" w:rsidRDefault="00C3687F" w:rsidP="009A23AA">
      <w:pPr>
        <w:rPr>
          <w:rFonts w:cs="Times New Roman"/>
          <w:color w:val="000000" w:themeColor="text1"/>
          <w:szCs w:val="22"/>
        </w:rPr>
      </w:pPr>
      <w:r>
        <w:rPr>
          <w:rFonts w:cs="Times New Roman"/>
          <w:color w:val="000000" w:themeColor="text1"/>
          <w:szCs w:val="22"/>
        </w:rPr>
        <w:t xml:space="preserve">HFOs </w:t>
      </w:r>
      <w:r w:rsidRPr="00EB4664">
        <w:rPr>
          <w:rFonts w:cs="Times New Roman"/>
          <w:color w:val="000000" w:themeColor="text1"/>
          <w:szCs w:val="22"/>
        </w:rPr>
        <w:t>have been entering use in international vehicle markets since 201</w:t>
      </w:r>
      <w:r w:rsidR="003343C6">
        <w:rPr>
          <w:rFonts w:cs="Times New Roman"/>
          <w:color w:val="000000" w:themeColor="text1"/>
          <w:szCs w:val="22"/>
        </w:rPr>
        <w:t>1</w:t>
      </w:r>
      <w:r w:rsidRPr="00EB4664">
        <w:rPr>
          <w:rFonts w:cs="Times New Roman"/>
          <w:color w:val="000000" w:themeColor="text1"/>
          <w:szCs w:val="22"/>
        </w:rPr>
        <w:t xml:space="preserve">, initially in Europe. EU regulations required all new car model releases, or ‘new platforms’ manufactured with MAC to have a refrigerant with a GWP of less than 150 from January 2011, and all new vehicles with MAC were to meet these requirements by January 2017. </w:t>
      </w:r>
    </w:p>
    <w:p w14:paraId="065E08D0" w14:textId="5F3E33A1" w:rsidR="00C3687F" w:rsidRDefault="00C3687F" w:rsidP="009A23AA">
      <w:pPr>
        <w:rPr>
          <w:rFonts w:cs="Times New Roman"/>
          <w:color w:val="000000" w:themeColor="text1"/>
          <w:szCs w:val="22"/>
          <w:lang w:val="en-US"/>
        </w:rPr>
      </w:pPr>
      <w:r>
        <w:rPr>
          <w:rFonts w:cs="Times New Roman"/>
          <w:color w:val="000000" w:themeColor="text1"/>
          <w:szCs w:val="22"/>
          <w:lang w:val="en-US"/>
        </w:rPr>
        <w:t>Despite this low GWP option being employed by global manufacturers for several years now, i</w:t>
      </w:r>
      <w:r w:rsidRPr="00CE7662">
        <w:rPr>
          <w:rFonts w:cs="Times New Roman"/>
          <w:color w:val="000000" w:themeColor="text1"/>
          <w:szCs w:val="22"/>
          <w:lang w:val="en-US"/>
        </w:rPr>
        <w:t xml:space="preserve">nterviews with </w:t>
      </w:r>
      <w:r>
        <w:rPr>
          <w:rFonts w:cs="Times New Roman"/>
          <w:color w:val="000000" w:themeColor="text1"/>
          <w:szCs w:val="22"/>
          <w:lang w:val="en-US"/>
        </w:rPr>
        <w:t xml:space="preserve">Australian </w:t>
      </w:r>
      <w:r w:rsidRPr="00CE7662">
        <w:rPr>
          <w:rFonts w:cs="Times New Roman"/>
          <w:color w:val="000000" w:themeColor="text1"/>
          <w:szCs w:val="22"/>
          <w:lang w:val="en-US"/>
        </w:rPr>
        <w:t>participants of the aftermarket survey confirmed that</w:t>
      </w:r>
      <w:r w:rsidR="003343C6">
        <w:rPr>
          <w:rFonts w:cs="Times New Roman"/>
          <w:color w:val="000000" w:themeColor="text1"/>
          <w:szCs w:val="22"/>
          <w:lang w:val="en-US"/>
        </w:rPr>
        <w:t>,</w:t>
      </w:r>
      <w:r>
        <w:rPr>
          <w:rFonts w:cs="Times New Roman"/>
          <w:color w:val="000000" w:themeColor="text1"/>
          <w:szCs w:val="22"/>
          <w:lang w:val="en-US"/>
        </w:rPr>
        <w:t xml:space="preserve"> while</w:t>
      </w:r>
      <w:r w:rsidRPr="00CE7662">
        <w:rPr>
          <w:rFonts w:cs="Times New Roman"/>
          <w:color w:val="000000" w:themeColor="text1"/>
          <w:szCs w:val="22"/>
          <w:lang w:val="en-US"/>
        </w:rPr>
        <w:t xml:space="preserve"> many were stocking HFO1234yf,</w:t>
      </w:r>
      <w:r>
        <w:rPr>
          <w:rFonts w:cs="Times New Roman"/>
          <w:color w:val="000000" w:themeColor="text1"/>
          <w:szCs w:val="22"/>
          <w:lang w:val="en-US"/>
        </w:rPr>
        <w:t xml:space="preserve"> none</w:t>
      </w:r>
      <w:r w:rsidRPr="00CE7662">
        <w:rPr>
          <w:rFonts w:cs="Times New Roman"/>
          <w:color w:val="000000" w:themeColor="text1"/>
          <w:szCs w:val="22"/>
          <w:lang w:val="en-US"/>
        </w:rPr>
        <w:t xml:space="preserve"> </w:t>
      </w:r>
      <w:r>
        <w:rPr>
          <w:rFonts w:cs="Times New Roman"/>
          <w:color w:val="000000" w:themeColor="text1"/>
          <w:szCs w:val="22"/>
          <w:lang w:val="en-US"/>
        </w:rPr>
        <w:t xml:space="preserve">were </w:t>
      </w:r>
      <w:r w:rsidRPr="00CE7662">
        <w:rPr>
          <w:rFonts w:cs="Times New Roman"/>
          <w:color w:val="000000" w:themeColor="text1"/>
          <w:szCs w:val="22"/>
          <w:lang w:val="en-US"/>
        </w:rPr>
        <w:t xml:space="preserve">selling </w:t>
      </w:r>
      <w:r>
        <w:rPr>
          <w:rFonts w:cs="Times New Roman"/>
          <w:color w:val="000000" w:themeColor="text1"/>
          <w:szCs w:val="22"/>
          <w:lang w:val="en-US"/>
        </w:rPr>
        <w:t xml:space="preserve">any </w:t>
      </w:r>
      <w:r w:rsidRPr="00CE7662">
        <w:rPr>
          <w:rFonts w:cs="Times New Roman"/>
          <w:color w:val="000000" w:themeColor="text1"/>
          <w:szCs w:val="22"/>
          <w:lang w:val="en-US"/>
        </w:rPr>
        <w:t xml:space="preserve">volumes worth noting. </w:t>
      </w:r>
    </w:p>
    <w:p w14:paraId="6084BF18" w14:textId="29F792BC" w:rsidR="00C3687F" w:rsidRPr="00CE7662" w:rsidRDefault="00C3687F" w:rsidP="009A23AA">
      <w:pPr>
        <w:rPr>
          <w:rFonts w:cs="Times New Roman"/>
          <w:color w:val="000000" w:themeColor="text1"/>
          <w:szCs w:val="22"/>
          <w:lang w:val="en-US"/>
        </w:rPr>
      </w:pPr>
      <w:r w:rsidRPr="00CE7662">
        <w:rPr>
          <w:rFonts w:cs="Times New Roman"/>
          <w:color w:val="000000" w:themeColor="text1"/>
          <w:szCs w:val="22"/>
          <w:lang w:val="en-US"/>
        </w:rPr>
        <w:t xml:space="preserve">The expectation </w:t>
      </w:r>
      <w:r w:rsidR="00A73F2F">
        <w:rPr>
          <w:rFonts w:cs="Times New Roman"/>
          <w:color w:val="000000" w:themeColor="text1"/>
          <w:szCs w:val="22"/>
          <w:lang w:val="en-US"/>
        </w:rPr>
        <w:t>has been</w:t>
      </w:r>
      <w:r w:rsidRPr="00CE7662">
        <w:rPr>
          <w:rFonts w:cs="Times New Roman"/>
          <w:color w:val="000000" w:themeColor="text1"/>
          <w:szCs w:val="22"/>
          <w:lang w:val="en-US"/>
        </w:rPr>
        <w:t xml:space="preserve"> th</w:t>
      </w:r>
      <w:r>
        <w:rPr>
          <w:rFonts w:cs="Times New Roman"/>
          <w:color w:val="000000" w:themeColor="text1"/>
          <w:szCs w:val="22"/>
          <w:lang w:val="en-US"/>
        </w:rPr>
        <w:t>at the</w:t>
      </w:r>
      <w:r w:rsidRPr="00CE7662">
        <w:rPr>
          <w:rFonts w:cs="Times New Roman"/>
          <w:color w:val="000000" w:themeColor="text1"/>
          <w:szCs w:val="22"/>
          <w:lang w:val="en-US"/>
        </w:rPr>
        <w:t xml:space="preserve"> first signs of HF</w:t>
      </w:r>
      <w:r w:rsidR="005F2892">
        <w:rPr>
          <w:rFonts w:cs="Times New Roman"/>
          <w:color w:val="000000" w:themeColor="text1"/>
          <w:szCs w:val="22"/>
          <w:lang w:val="en-US"/>
        </w:rPr>
        <w:t>O</w:t>
      </w:r>
      <w:r w:rsidRPr="00CE7662">
        <w:rPr>
          <w:rFonts w:cs="Times New Roman"/>
          <w:color w:val="000000" w:themeColor="text1"/>
          <w:szCs w:val="22"/>
          <w:lang w:val="en-US"/>
        </w:rPr>
        <w:t xml:space="preserve">-1234yf </w:t>
      </w:r>
      <w:r w:rsidR="00A73F2F">
        <w:rPr>
          <w:rFonts w:cs="Times New Roman"/>
          <w:color w:val="000000" w:themeColor="text1"/>
          <w:szCs w:val="22"/>
          <w:lang w:val="en-US"/>
        </w:rPr>
        <w:t xml:space="preserve">in the market </w:t>
      </w:r>
      <w:r w:rsidRPr="00CE7662">
        <w:rPr>
          <w:rFonts w:cs="Times New Roman"/>
          <w:color w:val="000000" w:themeColor="text1"/>
          <w:szCs w:val="22"/>
          <w:lang w:val="en-US"/>
        </w:rPr>
        <w:t xml:space="preserve">would be via the </w:t>
      </w:r>
      <w:r w:rsidRPr="00CE7662">
        <w:t xml:space="preserve">service departments of the main dealerships and smash repairers. </w:t>
      </w:r>
      <w:r w:rsidRPr="00CE7662">
        <w:rPr>
          <w:rFonts w:cs="Times New Roman"/>
          <w:color w:val="000000" w:themeColor="text1"/>
          <w:szCs w:val="22"/>
          <w:lang w:val="en-US"/>
        </w:rPr>
        <w:t xml:space="preserve">A site visit to the largest Toyota Service Centre in Australia confirmed </w:t>
      </w:r>
      <w:r>
        <w:rPr>
          <w:rFonts w:cs="Times New Roman"/>
          <w:color w:val="000000" w:themeColor="text1"/>
          <w:szCs w:val="22"/>
          <w:lang w:val="en-US"/>
        </w:rPr>
        <w:t xml:space="preserve">that </w:t>
      </w:r>
      <w:r w:rsidRPr="00CE7662">
        <w:rPr>
          <w:rFonts w:cs="Times New Roman"/>
          <w:color w:val="000000" w:themeColor="text1"/>
          <w:szCs w:val="22"/>
          <w:lang w:val="en-US"/>
        </w:rPr>
        <w:t xml:space="preserve">no </w:t>
      </w:r>
      <w:r w:rsidR="00A73F2F">
        <w:rPr>
          <w:rFonts w:cs="Times New Roman"/>
          <w:color w:val="000000" w:themeColor="text1"/>
          <w:szCs w:val="22"/>
          <w:lang w:val="en-US"/>
        </w:rPr>
        <w:t xml:space="preserve">Toyota </w:t>
      </w:r>
      <w:r w:rsidRPr="00CE7662">
        <w:rPr>
          <w:rFonts w:cs="Times New Roman"/>
          <w:color w:val="000000" w:themeColor="text1"/>
          <w:szCs w:val="22"/>
          <w:lang w:val="en-US"/>
        </w:rPr>
        <w:t>models imported to date contained HFO-1234yf</w:t>
      </w:r>
      <w:r w:rsidR="00A73F2F">
        <w:rPr>
          <w:rFonts w:cs="Times New Roman"/>
          <w:color w:val="000000" w:themeColor="text1"/>
          <w:szCs w:val="22"/>
          <w:lang w:val="en-US"/>
        </w:rPr>
        <w:t>,</w:t>
      </w:r>
      <w:r w:rsidRPr="00CE7662">
        <w:rPr>
          <w:rFonts w:cs="Times New Roman"/>
          <w:color w:val="000000" w:themeColor="text1"/>
          <w:szCs w:val="22"/>
          <w:lang w:val="en-US"/>
        </w:rPr>
        <w:t xml:space="preserve"> and discussions with </w:t>
      </w:r>
      <w:r>
        <w:rPr>
          <w:rFonts w:cs="Times New Roman"/>
          <w:color w:val="000000" w:themeColor="text1"/>
          <w:szCs w:val="22"/>
          <w:lang w:val="en-US"/>
        </w:rPr>
        <w:t xml:space="preserve">Toyota </w:t>
      </w:r>
      <w:r w:rsidRPr="00CE7662">
        <w:rPr>
          <w:rFonts w:cs="Times New Roman"/>
          <w:color w:val="000000" w:themeColor="text1"/>
          <w:szCs w:val="22"/>
          <w:lang w:val="en-US"/>
        </w:rPr>
        <w:t xml:space="preserve">head office engineering confirmed </w:t>
      </w:r>
      <w:r>
        <w:rPr>
          <w:rFonts w:cs="Times New Roman"/>
          <w:color w:val="000000" w:themeColor="text1"/>
          <w:szCs w:val="22"/>
          <w:lang w:val="en-US"/>
        </w:rPr>
        <w:t xml:space="preserve">that </w:t>
      </w:r>
      <w:r w:rsidRPr="00CE7662">
        <w:rPr>
          <w:rFonts w:cs="Times New Roman"/>
          <w:color w:val="000000" w:themeColor="text1"/>
          <w:szCs w:val="22"/>
          <w:lang w:val="en-US"/>
        </w:rPr>
        <w:t xml:space="preserve">no </w:t>
      </w:r>
      <w:r>
        <w:rPr>
          <w:rFonts w:cs="Times New Roman"/>
          <w:color w:val="000000" w:themeColor="text1"/>
          <w:szCs w:val="22"/>
          <w:lang w:val="en-US"/>
        </w:rPr>
        <w:t xml:space="preserve">imports of HFO charged vehicle </w:t>
      </w:r>
      <w:r w:rsidRPr="00CE7662">
        <w:rPr>
          <w:rFonts w:cs="Times New Roman"/>
          <w:color w:val="000000" w:themeColor="text1"/>
          <w:szCs w:val="22"/>
          <w:lang w:val="en-US"/>
        </w:rPr>
        <w:t>models were</w:t>
      </w:r>
      <w:r>
        <w:rPr>
          <w:rFonts w:cs="Times New Roman"/>
          <w:color w:val="000000" w:themeColor="text1"/>
          <w:szCs w:val="22"/>
          <w:lang w:val="en-US"/>
        </w:rPr>
        <w:t xml:space="preserve"> </w:t>
      </w:r>
      <w:r w:rsidR="0000529B">
        <w:rPr>
          <w:rFonts w:cs="Times New Roman"/>
          <w:color w:val="000000" w:themeColor="text1"/>
          <w:szCs w:val="22"/>
          <w:lang w:val="en-US"/>
        </w:rPr>
        <w:t>being</w:t>
      </w:r>
      <w:r>
        <w:rPr>
          <w:rFonts w:cs="Times New Roman"/>
          <w:color w:val="000000" w:themeColor="text1"/>
          <w:szCs w:val="22"/>
          <w:lang w:val="en-US"/>
        </w:rPr>
        <w:t xml:space="preserve"> </w:t>
      </w:r>
      <w:r w:rsidRPr="00CE7662">
        <w:rPr>
          <w:rFonts w:cs="Times New Roman"/>
          <w:color w:val="000000" w:themeColor="text1"/>
          <w:szCs w:val="22"/>
          <w:lang w:val="en-US"/>
        </w:rPr>
        <w:t>planned.</w:t>
      </w:r>
    </w:p>
    <w:p w14:paraId="5FA3EA03" w14:textId="43958E75" w:rsidR="00C3687F" w:rsidRDefault="00C3687F" w:rsidP="009A23AA">
      <w:pPr>
        <w:rPr>
          <w:rFonts w:cs="Times New Roman"/>
          <w:color w:val="000000" w:themeColor="text1"/>
          <w:szCs w:val="22"/>
          <w:lang w:val="en-US"/>
        </w:rPr>
      </w:pPr>
      <w:r>
        <w:rPr>
          <w:rFonts w:cs="Times New Roman"/>
          <w:color w:val="000000" w:themeColor="text1"/>
          <w:szCs w:val="22"/>
          <w:lang w:val="en-US"/>
        </w:rPr>
        <w:t xml:space="preserve">Because HFOs are not a reportable substance, there </w:t>
      </w:r>
      <w:r w:rsidR="004505A3">
        <w:rPr>
          <w:rFonts w:cs="Times New Roman"/>
          <w:color w:val="000000" w:themeColor="text1"/>
          <w:szCs w:val="22"/>
          <w:lang w:val="en-US"/>
        </w:rPr>
        <w:t>are</w:t>
      </w:r>
      <w:r>
        <w:rPr>
          <w:rFonts w:cs="Times New Roman"/>
          <w:color w:val="000000" w:themeColor="text1"/>
          <w:szCs w:val="22"/>
          <w:lang w:val="en-US"/>
        </w:rPr>
        <w:t xml:space="preserve"> no records collected at the point of import that would explicitly reveal if new vehicles are entering the market pre-charged with HFOs. </w:t>
      </w:r>
      <w:r w:rsidR="004505A3">
        <w:rPr>
          <w:rFonts w:cs="Times New Roman"/>
          <w:color w:val="000000" w:themeColor="text1"/>
          <w:szCs w:val="22"/>
          <w:lang w:val="en-US"/>
        </w:rPr>
        <w:t>However,</w:t>
      </w:r>
      <w:r>
        <w:rPr>
          <w:rFonts w:cs="Times New Roman"/>
          <w:color w:val="000000" w:themeColor="text1"/>
          <w:szCs w:val="22"/>
          <w:lang w:val="en-US"/>
        </w:rPr>
        <w:t xml:space="preserve"> a</w:t>
      </w:r>
      <w:r w:rsidRPr="00EB4664">
        <w:rPr>
          <w:rFonts w:cs="Times New Roman"/>
          <w:color w:val="000000" w:themeColor="text1"/>
          <w:szCs w:val="22"/>
          <w:lang w:val="en-US"/>
        </w:rPr>
        <w:t xml:space="preserve"> comparison </w:t>
      </w:r>
      <w:r w:rsidRPr="00097873">
        <w:rPr>
          <w:rFonts w:cs="Times New Roman"/>
          <w:color w:val="000000" w:themeColor="text1"/>
          <w:szCs w:val="22"/>
          <w:lang w:val="en-US"/>
        </w:rPr>
        <w:t xml:space="preserve">between PCE imports, plus local manufacturing less exports </w:t>
      </w:r>
      <w:r>
        <w:rPr>
          <w:rFonts w:cs="Times New Roman"/>
          <w:color w:val="000000" w:themeColor="text1"/>
          <w:szCs w:val="22"/>
          <w:lang w:val="en-US"/>
        </w:rPr>
        <w:t>in</w:t>
      </w:r>
      <w:r w:rsidRPr="00097873">
        <w:rPr>
          <w:rFonts w:cs="Times New Roman"/>
          <w:color w:val="000000" w:themeColor="text1"/>
          <w:szCs w:val="22"/>
          <w:lang w:val="en-US"/>
        </w:rPr>
        <w:t xml:space="preserve"> 2017</w:t>
      </w:r>
      <w:r w:rsidR="004505A3">
        <w:rPr>
          <w:rFonts w:cs="Times New Roman"/>
          <w:color w:val="000000" w:themeColor="text1"/>
          <w:szCs w:val="22"/>
          <w:lang w:val="en-US"/>
        </w:rPr>
        <w:t xml:space="preserve"> and 2018</w:t>
      </w:r>
      <w:r w:rsidRPr="00097873">
        <w:rPr>
          <w:rFonts w:cs="Times New Roman"/>
          <w:color w:val="000000" w:themeColor="text1"/>
          <w:szCs w:val="22"/>
          <w:lang w:val="en-US"/>
        </w:rPr>
        <w:t>, versus new vehicle sales</w:t>
      </w:r>
      <w:r>
        <w:rPr>
          <w:rFonts w:cs="Times New Roman"/>
          <w:color w:val="000000" w:themeColor="text1"/>
          <w:szCs w:val="22"/>
          <w:lang w:val="en-US"/>
        </w:rPr>
        <w:t xml:space="preserve"> in that year</w:t>
      </w:r>
      <w:r w:rsidRPr="00097873">
        <w:rPr>
          <w:rFonts w:cs="Times New Roman"/>
          <w:color w:val="000000" w:themeColor="text1"/>
          <w:szCs w:val="22"/>
          <w:lang w:val="en-US"/>
        </w:rPr>
        <w:t xml:space="preserve">, found a statistical difference of </w:t>
      </w:r>
      <w:r>
        <w:rPr>
          <w:rFonts w:cs="Times New Roman"/>
          <w:color w:val="000000" w:themeColor="text1"/>
          <w:szCs w:val="22"/>
          <w:lang w:val="en-US"/>
        </w:rPr>
        <w:t>just</w:t>
      </w:r>
      <w:r w:rsidRPr="00097873">
        <w:rPr>
          <w:rFonts w:cs="Times New Roman"/>
          <w:color w:val="000000" w:themeColor="text1"/>
          <w:szCs w:val="22"/>
          <w:lang w:val="en-US"/>
        </w:rPr>
        <w:t xml:space="preserve"> 1.</w:t>
      </w:r>
      <w:r>
        <w:rPr>
          <w:rFonts w:cs="Times New Roman"/>
          <w:color w:val="000000" w:themeColor="text1"/>
          <w:szCs w:val="22"/>
          <w:lang w:val="en-US"/>
        </w:rPr>
        <w:t>8</w:t>
      </w:r>
      <w:r w:rsidRPr="00097873">
        <w:rPr>
          <w:rFonts w:cs="Times New Roman"/>
          <w:color w:val="000000" w:themeColor="text1"/>
          <w:szCs w:val="22"/>
          <w:lang w:val="en-US"/>
        </w:rPr>
        <w:t>% over the last 2 years</w:t>
      </w:r>
      <w:r>
        <w:rPr>
          <w:rFonts w:cs="Times New Roman"/>
          <w:color w:val="000000" w:themeColor="text1"/>
          <w:szCs w:val="22"/>
          <w:lang w:val="en-US"/>
        </w:rPr>
        <w:t>. This</w:t>
      </w:r>
      <w:r w:rsidRPr="00097873">
        <w:rPr>
          <w:rFonts w:cs="Times New Roman"/>
          <w:color w:val="000000" w:themeColor="text1"/>
          <w:szCs w:val="22"/>
          <w:lang w:val="en-US"/>
        </w:rPr>
        <w:t xml:space="preserve"> confirmed report</w:t>
      </w:r>
      <w:r w:rsidRPr="00EB4664">
        <w:rPr>
          <w:rFonts w:cs="Times New Roman"/>
          <w:color w:val="000000" w:themeColor="text1"/>
          <w:szCs w:val="22"/>
          <w:lang w:val="en-US"/>
        </w:rPr>
        <w:t>s from industry that there is no statistically significant decline in PCE charged with HFCs.</w:t>
      </w:r>
      <w:r>
        <w:rPr>
          <w:rFonts w:cs="Times New Roman"/>
          <w:color w:val="000000" w:themeColor="text1"/>
          <w:szCs w:val="22"/>
          <w:lang w:val="en-US"/>
        </w:rPr>
        <w:t xml:space="preserve"> </w:t>
      </w:r>
      <w:r w:rsidRPr="00CE7662">
        <w:rPr>
          <w:rFonts w:cs="Times New Roman"/>
          <w:color w:val="000000" w:themeColor="text1"/>
          <w:szCs w:val="22"/>
          <w:lang w:val="en-US"/>
        </w:rPr>
        <w:t xml:space="preserve">Further analysis of PCE imports by major brand (i.e. BMW, Mazda, Mercedes, Hyundai, Audi, </w:t>
      </w:r>
      <w:proofErr w:type="gramStart"/>
      <w:r w:rsidRPr="00CE7662">
        <w:rPr>
          <w:rFonts w:cs="Times New Roman"/>
          <w:color w:val="000000" w:themeColor="text1"/>
          <w:szCs w:val="22"/>
          <w:lang w:val="en-US"/>
        </w:rPr>
        <w:t>Subaru</w:t>
      </w:r>
      <w:proofErr w:type="gramEnd"/>
      <w:r>
        <w:rPr>
          <w:rFonts w:cs="Times New Roman"/>
          <w:color w:val="000000" w:themeColor="text1"/>
          <w:szCs w:val="22"/>
          <w:lang w:val="en-US"/>
        </w:rPr>
        <w:t>)</w:t>
      </w:r>
      <w:r w:rsidRPr="00CE7662">
        <w:rPr>
          <w:rFonts w:cs="Times New Roman"/>
          <w:color w:val="000000" w:themeColor="text1"/>
          <w:szCs w:val="22"/>
          <w:lang w:val="en-US"/>
        </w:rPr>
        <w:t xml:space="preserve"> over the last 5 years show no statistical difference that would indicate switching to HFO-1234yf.</w:t>
      </w:r>
      <w:r>
        <w:rPr>
          <w:rFonts w:cs="Times New Roman"/>
          <w:color w:val="000000" w:themeColor="text1"/>
          <w:szCs w:val="22"/>
          <w:lang w:val="en-US"/>
        </w:rPr>
        <w:t xml:space="preserve"> </w:t>
      </w:r>
    </w:p>
    <w:p w14:paraId="2E555D51" w14:textId="5BF71D2C" w:rsidR="00C3687F" w:rsidRDefault="00C3687F" w:rsidP="009A23AA">
      <w:r>
        <w:t>A</w:t>
      </w:r>
      <w:r w:rsidRPr="00822CF6">
        <w:t>t this point in time the cost of the</w:t>
      </w:r>
      <w:r>
        <w:t xml:space="preserve"> HFO</w:t>
      </w:r>
      <w:r w:rsidRPr="00822CF6">
        <w:t xml:space="preserve"> refrigerant and components </w:t>
      </w:r>
      <w:r>
        <w:t xml:space="preserve">for HFO charged systems </w:t>
      </w:r>
      <w:r w:rsidR="005F2892">
        <w:t xml:space="preserve">is </w:t>
      </w:r>
      <w:r w:rsidRPr="00822CF6">
        <w:t>higher than HFC-134a system</w:t>
      </w:r>
      <w:r>
        <w:t>s</w:t>
      </w:r>
      <w:r w:rsidRPr="00822CF6">
        <w:t xml:space="preserve">. </w:t>
      </w:r>
      <w:r>
        <w:t>However, the relative costs are starting to change as HFO charged MAC go into production for more vehicles for sale in markets where only HFOs meet regulatory requirements.</w:t>
      </w:r>
    </w:p>
    <w:p w14:paraId="1BE9B94E" w14:textId="4F90EC0F" w:rsidR="00C3687F" w:rsidRPr="00EB4664" w:rsidRDefault="00C3687F" w:rsidP="009A23AA">
      <w:pPr>
        <w:rPr>
          <w:rFonts w:cs="Times New Roman"/>
          <w:color w:val="000000" w:themeColor="text1"/>
          <w:szCs w:val="22"/>
        </w:rPr>
      </w:pPr>
      <w:r w:rsidRPr="00EB4664">
        <w:rPr>
          <w:rFonts w:cs="Times New Roman"/>
          <w:color w:val="000000" w:themeColor="text1"/>
          <w:szCs w:val="22"/>
        </w:rPr>
        <w:t xml:space="preserve">With the international agreement </w:t>
      </w:r>
      <w:r w:rsidR="00A73F2F">
        <w:rPr>
          <w:rFonts w:cs="Times New Roman"/>
          <w:color w:val="000000" w:themeColor="text1"/>
          <w:szCs w:val="22"/>
        </w:rPr>
        <w:t>reached in 201</w:t>
      </w:r>
      <w:r w:rsidR="005F2892">
        <w:rPr>
          <w:rFonts w:cs="Times New Roman"/>
          <w:color w:val="000000" w:themeColor="text1"/>
          <w:szCs w:val="22"/>
        </w:rPr>
        <w:t>6</w:t>
      </w:r>
      <w:r w:rsidR="00A73F2F">
        <w:rPr>
          <w:rFonts w:cs="Times New Roman"/>
          <w:color w:val="000000" w:themeColor="text1"/>
          <w:szCs w:val="22"/>
        </w:rPr>
        <w:t xml:space="preserve"> </w:t>
      </w:r>
      <w:r w:rsidR="002A3D0E">
        <w:rPr>
          <w:rFonts w:cs="Times New Roman"/>
          <w:color w:val="000000" w:themeColor="text1"/>
          <w:szCs w:val="22"/>
        </w:rPr>
        <w:t>under</w:t>
      </w:r>
      <w:r w:rsidRPr="00EB4664">
        <w:rPr>
          <w:rFonts w:cs="Times New Roman"/>
          <w:color w:val="000000" w:themeColor="text1"/>
          <w:szCs w:val="22"/>
        </w:rPr>
        <w:t xml:space="preserve"> </w:t>
      </w:r>
      <w:r w:rsidR="00A73F2F">
        <w:rPr>
          <w:rFonts w:cs="Times New Roman"/>
          <w:color w:val="000000" w:themeColor="text1"/>
          <w:szCs w:val="22"/>
        </w:rPr>
        <w:t xml:space="preserve">the </w:t>
      </w:r>
      <w:r w:rsidRPr="00EB4664">
        <w:rPr>
          <w:rFonts w:cs="Times New Roman"/>
          <w:color w:val="000000" w:themeColor="text1"/>
          <w:szCs w:val="22"/>
        </w:rPr>
        <w:t>Montreal Protocol</w:t>
      </w:r>
      <w:r w:rsidR="002A3D0E" w:rsidRPr="002A3D0E">
        <w:rPr>
          <w:rFonts w:cs="Times New Roman"/>
          <w:color w:val="000000" w:themeColor="text1"/>
          <w:szCs w:val="22"/>
        </w:rPr>
        <w:t xml:space="preserve"> </w:t>
      </w:r>
      <w:r w:rsidR="002A3D0E" w:rsidRPr="00EB4664">
        <w:rPr>
          <w:rFonts w:cs="Times New Roman"/>
          <w:color w:val="000000" w:themeColor="text1"/>
          <w:szCs w:val="22"/>
        </w:rPr>
        <w:t xml:space="preserve">to </w:t>
      </w:r>
      <w:r w:rsidR="002A3D0E">
        <w:rPr>
          <w:rFonts w:cs="Times New Roman"/>
          <w:color w:val="000000" w:themeColor="text1"/>
          <w:szCs w:val="22"/>
        </w:rPr>
        <w:t>phase down HFC production</w:t>
      </w:r>
      <w:r w:rsidR="00A73F2F">
        <w:rPr>
          <w:rFonts w:cs="Times New Roman"/>
          <w:color w:val="000000" w:themeColor="text1"/>
          <w:szCs w:val="22"/>
        </w:rPr>
        <w:t xml:space="preserve"> and </w:t>
      </w:r>
      <w:r w:rsidR="005F2892">
        <w:rPr>
          <w:rFonts w:cs="Times New Roman"/>
          <w:color w:val="000000" w:themeColor="text1"/>
          <w:szCs w:val="22"/>
        </w:rPr>
        <w:t>imports</w:t>
      </w:r>
      <w:r w:rsidRPr="00EB4664">
        <w:rPr>
          <w:rFonts w:cs="Times New Roman"/>
          <w:color w:val="000000" w:themeColor="text1"/>
          <w:szCs w:val="22"/>
        </w:rPr>
        <w:t>, it is expected that new vehicles from most leading manufacturers will be charged with HFO-1234yf by the mid-2020s, and a small portion (&lt;0.5%) charged with CO</w:t>
      </w:r>
      <w:r w:rsidRPr="00EB4664">
        <w:rPr>
          <w:rFonts w:cs="Times New Roman"/>
          <w:color w:val="000000" w:themeColor="text1"/>
          <w:szCs w:val="22"/>
          <w:vertAlign w:val="subscript"/>
        </w:rPr>
        <w:t>2</w:t>
      </w:r>
      <w:r w:rsidRPr="00EB4664">
        <w:rPr>
          <w:rFonts w:cs="Times New Roman"/>
          <w:color w:val="000000" w:themeColor="text1"/>
          <w:szCs w:val="22"/>
        </w:rPr>
        <w:t>.</w:t>
      </w:r>
    </w:p>
    <w:p w14:paraId="7076A6BF" w14:textId="0FDC659A" w:rsidR="00C3687F" w:rsidRPr="00EB4664" w:rsidRDefault="002A3D0E" w:rsidP="009A23AA">
      <w:pPr>
        <w:rPr>
          <w:rFonts w:cs="Times New Roman"/>
          <w:color w:val="000000" w:themeColor="text1"/>
        </w:rPr>
      </w:pPr>
      <w:r>
        <w:rPr>
          <w:rFonts w:cs="Times New Roman"/>
          <w:color w:val="000000" w:themeColor="text1"/>
        </w:rPr>
        <w:t xml:space="preserve">The move away from </w:t>
      </w:r>
      <w:r w:rsidR="00A926BE">
        <w:rPr>
          <w:rFonts w:cs="Times New Roman"/>
          <w:color w:val="000000" w:themeColor="text1"/>
        </w:rPr>
        <w:t>HFC-</w:t>
      </w:r>
      <w:r>
        <w:rPr>
          <w:rFonts w:cs="Times New Roman"/>
          <w:color w:val="000000" w:themeColor="text1"/>
        </w:rPr>
        <w:t>134a</w:t>
      </w:r>
      <w:r w:rsidR="00A146FB">
        <w:rPr>
          <w:rFonts w:cs="Times New Roman"/>
          <w:color w:val="000000" w:themeColor="text1"/>
        </w:rPr>
        <w:t xml:space="preserve"> is</w:t>
      </w:r>
      <w:r w:rsidR="00C3687F" w:rsidRPr="00EB4664">
        <w:rPr>
          <w:rFonts w:cs="Times New Roman"/>
          <w:color w:val="000000" w:themeColor="text1"/>
        </w:rPr>
        <w:t xml:space="preserve"> now supported by regulations in the majority of </w:t>
      </w:r>
      <w:r w:rsidR="00A73F2F">
        <w:rPr>
          <w:rFonts w:cs="Times New Roman"/>
          <w:color w:val="000000" w:themeColor="text1"/>
        </w:rPr>
        <w:t>leading</w:t>
      </w:r>
      <w:r w:rsidR="007320BE">
        <w:rPr>
          <w:rFonts w:cs="Times New Roman"/>
          <w:color w:val="000000" w:themeColor="text1"/>
        </w:rPr>
        <w:t xml:space="preserve"> </w:t>
      </w:r>
      <w:r w:rsidR="00C3687F" w:rsidRPr="00EB4664">
        <w:rPr>
          <w:rFonts w:cs="Times New Roman"/>
          <w:color w:val="000000" w:themeColor="text1"/>
        </w:rPr>
        <w:t>economies. Japan’s Act on the Rational Use and Proper Management of Fluorocarbons, for instance, mandates a maximum GWP of 150 for refrigerants in air conditioners of all new passenger cars, effective from 1 January 2023. The Expert Group model assumes that 90% of vehicles manufactured in Japan from this point will contain HFO</w:t>
      </w:r>
      <w:r>
        <w:rPr>
          <w:rFonts w:cs="Times New Roman"/>
          <w:color w:val="000000" w:themeColor="text1"/>
        </w:rPr>
        <w:noBreakHyphen/>
      </w:r>
      <w:r w:rsidR="00C3687F" w:rsidRPr="00EB4664">
        <w:rPr>
          <w:rFonts w:cs="Times New Roman"/>
          <w:color w:val="000000" w:themeColor="text1"/>
        </w:rPr>
        <w:t xml:space="preserve">1234yf, and 100% in 2030. Japanese industry sources suggest there are no plans to manufacture vehicles with </w:t>
      </w:r>
      <w:r w:rsidR="00A73F2F">
        <w:rPr>
          <w:rFonts w:cs="Times New Roman"/>
          <w:color w:val="000000" w:themeColor="text1"/>
        </w:rPr>
        <w:t>MAC</w:t>
      </w:r>
      <w:r w:rsidR="00C3687F" w:rsidRPr="00EB4664">
        <w:rPr>
          <w:rFonts w:cs="Times New Roman"/>
          <w:color w:val="000000" w:themeColor="text1"/>
        </w:rPr>
        <w:t xml:space="preserve"> charged with CO</w:t>
      </w:r>
      <w:r w:rsidR="00C3687F" w:rsidRPr="00EB4664">
        <w:rPr>
          <w:rFonts w:cs="Times New Roman"/>
          <w:color w:val="000000" w:themeColor="text1"/>
          <w:vertAlign w:val="subscript"/>
        </w:rPr>
        <w:t>2</w:t>
      </w:r>
      <w:r w:rsidR="00C3687F" w:rsidRPr="00EB4664">
        <w:rPr>
          <w:rFonts w:cs="Times New Roman"/>
          <w:color w:val="000000" w:themeColor="text1"/>
        </w:rPr>
        <w:t xml:space="preserve">. </w:t>
      </w:r>
    </w:p>
    <w:p w14:paraId="12E7DD2F" w14:textId="2CF91868" w:rsidR="00C3687F" w:rsidRPr="00EB4664" w:rsidRDefault="00C3687F" w:rsidP="009A23AA">
      <w:pPr>
        <w:rPr>
          <w:rFonts w:cs="Times New Roman"/>
          <w:color w:val="000000" w:themeColor="text1"/>
        </w:rPr>
      </w:pPr>
      <w:r w:rsidRPr="00EB4664">
        <w:rPr>
          <w:rFonts w:cs="Times New Roman"/>
          <w:color w:val="000000" w:themeColor="text1"/>
        </w:rPr>
        <w:t xml:space="preserve">The US Environmental Protection Agency and the Department of Transportation’s National Highway Traffic Safety Administration have set standards to reduce </w:t>
      </w:r>
      <w:r w:rsidR="005F2892">
        <w:rPr>
          <w:rFonts w:cs="Times New Roman"/>
          <w:color w:val="000000" w:themeColor="text1"/>
        </w:rPr>
        <w:t>g</w:t>
      </w:r>
      <w:r w:rsidRPr="00EB4664">
        <w:rPr>
          <w:rFonts w:cs="Times New Roman"/>
          <w:color w:val="000000" w:themeColor="text1"/>
        </w:rPr>
        <w:t xml:space="preserve">reenhouse </w:t>
      </w:r>
      <w:r w:rsidR="005F2892">
        <w:rPr>
          <w:rFonts w:cs="Times New Roman"/>
          <w:color w:val="000000" w:themeColor="text1"/>
        </w:rPr>
        <w:t>g</w:t>
      </w:r>
      <w:r w:rsidRPr="00EB4664">
        <w:rPr>
          <w:rFonts w:cs="Times New Roman"/>
          <w:color w:val="000000" w:themeColor="text1"/>
        </w:rPr>
        <w:t xml:space="preserve">ases and </w:t>
      </w:r>
      <w:r w:rsidR="005F2892">
        <w:rPr>
          <w:rFonts w:cs="Times New Roman"/>
          <w:color w:val="000000" w:themeColor="text1"/>
        </w:rPr>
        <w:t>i</w:t>
      </w:r>
      <w:r w:rsidRPr="00EB4664">
        <w:rPr>
          <w:rFonts w:cs="Times New Roman"/>
          <w:color w:val="000000" w:themeColor="text1"/>
        </w:rPr>
        <w:t xml:space="preserve">mprove </w:t>
      </w:r>
      <w:r w:rsidR="005F2892">
        <w:rPr>
          <w:rFonts w:cs="Times New Roman"/>
          <w:color w:val="000000" w:themeColor="text1"/>
        </w:rPr>
        <w:t>f</w:t>
      </w:r>
      <w:r w:rsidRPr="00EB4664">
        <w:rPr>
          <w:rFonts w:cs="Times New Roman"/>
          <w:color w:val="000000" w:themeColor="text1"/>
        </w:rPr>
        <w:t xml:space="preserve">uel </w:t>
      </w:r>
      <w:r w:rsidR="005F2892">
        <w:rPr>
          <w:rFonts w:cs="Times New Roman"/>
          <w:color w:val="000000" w:themeColor="text1"/>
        </w:rPr>
        <w:t>e</w:t>
      </w:r>
      <w:r w:rsidRPr="00EB4664">
        <w:rPr>
          <w:rFonts w:cs="Times New Roman"/>
          <w:color w:val="000000" w:themeColor="text1"/>
        </w:rPr>
        <w:t xml:space="preserve">conomy for </w:t>
      </w:r>
      <w:r w:rsidR="005F2892">
        <w:rPr>
          <w:rFonts w:cs="Times New Roman"/>
          <w:color w:val="000000" w:themeColor="text1"/>
        </w:rPr>
        <w:t>c</w:t>
      </w:r>
      <w:r w:rsidRPr="00EB4664">
        <w:rPr>
          <w:rFonts w:cs="Times New Roman"/>
          <w:color w:val="000000" w:themeColor="text1"/>
        </w:rPr>
        <w:t xml:space="preserve">ars and </w:t>
      </w:r>
      <w:r w:rsidR="005F2892">
        <w:rPr>
          <w:rFonts w:cs="Times New Roman"/>
          <w:color w:val="000000" w:themeColor="text1"/>
        </w:rPr>
        <w:t>l</w:t>
      </w:r>
      <w:r w:rsidRPr="00EB4664">
        <w:rPr>
          <w:rFonts w:cs="Times New Roman"/>
          <w:color w:val="000000" w:themeColor="text1"/>
        </w:rPr>
        <w:t xml:space="preserve">ight </w:t>
      </w:r>
      <w:r w:rsidR="005F2892">
        <w:rPr>
          <w:rFonts w:cs="Times New Roman"/>
          <w:color w:val="000000" w:themeColor="text1"/>
        </w:rPr>
        <w:t>t</w:t>
      </w:r>
      <w:r w:rsidRPr="00EB4664">
        <w:rPr>
          <w:rFonts w:cs="Times New Roman"/>
          <w:color w:val="000000" w:themeColor="text1"/>
        </w:rPr>
        <w:t xml:space="preserve">rucks manufactured </w:t>
      </w:r>
      <w:r w:rsidR="005F2892">
        <w:rPr>
          <w:rFonts w:cs="Times New Roman"/>
          <w:color w:val="000000" w:themeColor="text1"/>
        </w:rPr>
        <w:t xml:space="preserve">from </w:t>
      </w:r>
      <w:r w:rsidRPr="00EB4664">
        <w:rPr>
          <w:rFonts w:cs="Times New Roman"/>
          <w:color w:val="000000" w:themeColor="text1"/>
        </w:rPr>
        <w:t xml:space="preserve">2017 to 2025. These emission standards are driving a rapid transition of mobile air conditioning technology to HFO-1234yf in new vehicles sold in the US. </w:t>
      </w:r>
    </w:p>
    <w:p w14:paraId="641D07D9" w14:textId="1F669782" w:rsidR="00C3687F" w:rsidRDefault="00C3687F" w:rsidP="009A23AA">
      <w:r>
        <w:t>It is only a matter of time before the Australia fleet starts to see HFO charged MAC in new vehicle sales</w:t>
      </w:r>
      <w:r w:rsidR="00477FFA">
        <w:t>.</w:t>
      </w:r>
      <w:r w:rsidR="00813B74">
        <w:t xml:space="preserve"> </w:t>
      </w:r>
      <w:r w:rsidR="00477FFA">
        <w:t>H</w:t>
      </w:r>
      <w:r>
        <w:t xml:space="preserve">owever because existing production lines for HFC charged MAC are clearly </w:t>
      </w:r>
      <w:r w:rsidR="00A73F2F">
        <w:t xml:space="preserve">still </w:t>
      </w:r>
      <w:r>
        <w:t>profitable, global vehicle manufacturers are also likely to continue to manufacture and supply HFC charged systems, for as long as regulation allows.</w:t>
      </w:r>
    </w:p>
    <w:p w14:paraId="6DC26693" w14:textId="77777777" w:rsidR="003A1844" w:rsidRDefault="003A1844" w:rsidP="009A23AA"/>
    <w:p w14:paraId="48C2FD61" w14:textId="77777777" w:rsidR="00C3687F" w:rsidRDefault="00C3687F" w:rsidP="009A23AA">
      <w:pPr>
        <w:pStyle w:val="Heading3"/>
        <w:jc w:val="both"/>
      </w:pPr>
      <w:bookmarkStart w:id="43" w:name="_Toc19601295"/>
      <w:r>
        <w:t>Large mobile air conditioning</w:t>
      </w:r>
      <w:bookmarkEnd w:id="43"/>
    </w:p>
    <w:p w14:paraId="7B7F3B24" w14:textId="042D2103" w:rsidR="00C3687F" w:rsidRPr="004F69A9" w:rsidRDefault="00C3687F" w:rsidP="009A23AA">
      <w:pPr>
        <w:rPr>
          <w:rFonts w:cs="Times New Roman"/>
          <w:color w:val="000000" w:themeColor="text1"/>
          <w:lang w:val="en-AU"/>
        </w:rPr>
      </w:pPr>
      <w:r w:rsidRPr="004F69A9">
        <w:rPr>
          <w:rFonts w:cs="Times New Roman"/>
          <w:color w:val="000000" w:themeColor="text1"/>
          <w:lang w:val="en-AU"/>
        </w:rPr>
        <w:t>This segment comprises large buses and coaches dissected into two sizes,</w:t>
      </w:r>
      <w:r w:rsidRPr="00A666F2">
        <w:rPr>
          <w:rFonts w:cs="Times New Roman"/>
          <w:color w:val="000000" w:themeColor="text1"/>
          <w:lang w:val="en-AU"/>
        </w:rPr>
        <w:t xml:space="preserve"> </w:t>
      </w:r>
      <w:r w:rsidRPr="004F69A9">
        <w:rPr>
          <w:rFonts w:cs="Times New Roman"/>
          <w:color w:val="000000" w:themeColor="text1"/>
          <w:lang w:val="en-AU"/>
        </w:rPr>
        <w:t>&gt;4.5t and &lt;12t GVM</w:t>
      </w:r>
      <w:r>
        <w:rPr>
          <w:rFonts w:cs="Times New Roman"/>
          <w:color w:val="000000" w:themeColor="text1"/>
          <w:lang w:val="en-AU"/>
        </w:rPr>
        <w:t>, and</w:t>
      </w:r>
      <w:r w:rsidRPr="004F69A9">
        <w:rPr>
          <w:rFonts w:cs="Times New Roman"/>
          <w:color w:val="000000" w:themeColor="text1"/>
          <w:lang w:val="en-AU"/>
        </w:rPr>
        <w:t xml:space="preserve"> &gt;12t GVM; Passenger rail; Locomotive; Un-registered vehicles including off-road, defence and other (marine, etc.), and the rapidly growing category recreational vehicles (RVs) and caravans. RVs are defined by the ABS as self-propelled motor vehicles containing an area primarily used for accommodation, which includes motor homes.</w:t>
      </w:r>
    </w:p>
    <w:p w14:paraId="5B0CCA2A" w14:textId="77777777" w:rsidR="00C3687F" w:rsidRPr="004F69A9" w:rsidRDefault="00C3687F" w:rsidP="009A23AA">
      <w:pPr>
        <w:spacing w:before="240"/>
        <w:rPr>
          <w:rFonts w:cs="Times New Roman"/>
          <w:b/>
          <w:color w:val="000000" w:themeColor="text1"/>
          <w:lang w:val="en-AU"/>
        </w:rPr>
      </w:pPr>
      <w:r w:rsidRPr="004F69A9">
        <w:rPr>
          <w:rFonts w:cs="Times New Roman"/>
          <w:b/>
          <w:color w:val="000000" w:themeColor="text1"/>
          <w:lang w:val="en-AU"/>
        </w:rPr>
        <w:t>Bus air conditioning</w:t>
      </w:r>
    </w:p>
    <w:p w14:paraId="14B4914A" w14:textId="15327EF1" w:rsidR="00C3687F" w:rsidRPr="004F69A9" w:rsidRDefault="00C3687F" w:rsidP="009A23AA">
      <w:pPr>
        <w:rPr>
          <w:rFonts w:cs="Times New Roman"/>
          <w:color w:val="000000" w:themeColor="text1"/>
          <w:lang w:val="en-AU"/>
        </w:rPr>
      </w:pPr>
      <w:r w:rsidRPr="004F69A9">
        <w:rPr>
          <w:rFonts w:cs="Times New Roman"/>
          <w:color w:val="000000" w:themeColor="text1"/>
          <w:lang w:val="en-AU"/>
        </w:rPr>
        <w:t xml:space="preserve">The fleet of buses and coaches with air conditioning is </w:t>
      </w:r>
      <w:r w:rsidR="00A73F2F">
        <w:rPr>
          <w:rFonts w:cs="Times New Roman"/>
          <w:color w:val="000000" w:themeColor="text1"/>
          <w:lang w:val="en-AU"/>
        </w:rPr>
        <w:t>estimated to be greater</w:t>
      </w:r>
      <w:r w:rsidRPr="004F69A9">
        <w:rPr>
          <w:rFonts w:cs="Times New Roman"/>
          <w:color w:val="000000" w:themeColor="text1"/>
          <w:lang w:val="en-AU"/>
        </w:rPr>
        <w:t xml:space="preserve"> than 4</w:t>
      </w:r>
      <w:r w:rsidR="003A56AC">
        <w:rPr>
          <w:rFonts w:cs="Times New Roman"/>
          <w:color w:val="000000" w:themeColor="text1"/>
          <w:lang w:val="en-AU"/>
        </w:rPr>
        <w:t>2</w:t>
      </w:r>
      <w:r w:rsidRPr="004F69A9">
        <w:rPr>
          <w:rFonts w:cs="Times New Roman"/>
          <w:color w:val="000000" w:themeColor="text1"/>
          <w:lang w:val="en-AU"/>
        </w:rPr>
        <w:t>,</w:t>
      </w:r>
      <w:r w:rsidR="003A56AC">
        <w:rPr>
          <w:rFonts w:cs="Times New Roman"/>
          <w:color w:val="000000" w:themeColor="text1"/>
          <w:lang w:val="en-AU"/>
        </w:rPr>
        <w:t>7</w:t>
      </w:r>
      <w:r w:rsidRPr="004F69A9">
        <w:rPr>
          <w:rFonts w:cs="Times New Roman"/>
          <w:color w:val="000000" w:themeColor="text1"/>
          <w:lang w:val="en-AU"/>
        </w:rPr>
        <w:t>00 with 2</w:t>
      </w:r>
      <w:r w:rsidR="003A56AC">
        <w:rPr>
          <w:rFonts w:cs="Times New Roman"/>
          <w:color w:val="000000" w:themeColor="text1"/>
          <w:lang w:val="en-AU"/>
        </w:rPr>
        <w:t>5</w:t>
      </w:r>
      <w:r w:rsidRPr="004F69A9">
        <w:rPr>
          <w:rFonts w:cs="Times New Roman"/>
          <w:color w:val="000000" w:themeColor="text1"/>
          <w:lang w:val="en-AU"/>
        </w:rPr>
        <w:t>,</w:t>
      </w:r>
      <w:r w:rsidR="003A56AC">
        <w:rPr>
          <w:rFonts w:cs="Times New Roman"/>
          <w:color w:val="000000" w:themeColor="text1"/>
          <w:lang w:val="en-AU"/>
        </w:rPr>
        <w:t>400</w:t>
      </w:r>
      <w:r w:rsidRPr="004F69A9">
        <w:rPr>
          <w:rFonts w:cs="Times New Roman"/>
          <w:color w:val="000000" w:themeColor="text1"/>
          <w:lang w:val="en-AU"/>
        </w:rPr>
        <w:t xml:space="preserve"> buses with a GVM greater </w:t>
      </w:r>
      <w:r w:rsidRPr="00B26EA2">
        <w:rPr>
          <w:rFonts w:cs="Times New Roman"/>
          <w:color w:val="000000" w:themeColor="text1"/>
          <w:lang w:val="en-AU"/>
        </w:rPr>
        <w:t>than 12 tonnes, and 17,</w:t>
      </w:r>
      <w:r w:rsidR="003A56AC">
        <w:rPr>
          <w:rFonts w:cs="Times New Roman"/>
          <w:color w:val="000000" w:themeColor="text1"/>
          <w:lang w:val="en-AU"/>
        </w:rPr>
        <w:t>3</w:t>
      </w:r>
      <w:r w:rsidRPr="00B26EA2">
        <w:rPr>
          <w:rFonts w:cs="Times New Roman"/>
          <w:color w:val="000000" w:themeColor="text1"/>
          <w:lang w:val="en-AU"/>
        </w:rPr>
        <w:t>00 buses greater than 4.5 tonnes GVM and less than 12 tonnes GVM. The RAC Stock model assumes bus air conditioning systems have an average lifespan of 20 years as most contracts for purchasing new buses set a maximum lifespan of 25 years (BIC 2017). Given the</w:t>
      </w:r>
      <w:r w:rsidRPr="004F69A9">
        <w:rPr>
          <w:rFonts w:cs="Times New Roman"/>
          <w:color w:val="000000" w:themeColor="text1"/>
          <w:lang w:val="en-AU"/>
        </w:rPr>
        <w:t xml:space="preserve"> longevity of a passenger bus working life it would be fair to expect the air conditioning system in a bus would be completely refurbished at least once during its typical lifespan.</w:t>
      </w:r>
    </w:p>
    <w:p w14:paraId="6E368A2A" w14:textId="77777777" w:rsidR="00C3687F" w:rsidRDefault="00C3687F" w:rsidP="009A23AA">
      <w:pPr>
        <w:rPr>
          <w:rFonts w:cs="Times New Roman"/>
          <w:lang w:val="en-AU"/>
        </w:rPr>
      </w:pPr>
      <w:r w:rsidRPr="00C54A1E">
        <w:rPr>
          <w:rFonts w:cs="Times New Roman"/>
          <w:lang w:val="en-AU"/>
        </w:rPr>
        <w:t xml:space="preserve">The main bus manufacturers are Iveco, Scania and Volvo. </w:t>
      </w:r>
    </w:p>
    <w:p w14:paraId="3D5F55A2" w14:textId="15D852DA" w:rsidR="00C3687F" w:rsidRPr="00C54A1E" w:rsidRDefault="00C3687F" w:rsidP="009A23AA">
      <w:pPr>
        <w:rPr>
          <w:rFonts w:cs="Times New Roman"/>
          <w:lang w:val="en-AU"/>
        </w:rPr>
      </w:pPr>
      <w:r w:rsidRPr="00C54A1E">
        <w:rPr>
          <w:rFonts w:cs="Times New Roman"/>
          <w:lang w:val="en-AU"/>
        </w:rPr>
        <w:t>Australasian Bus &amp; Coach (AB&amp;C) publishes a comprehensive analysis of bus and coach deliveries nation-</w:t>
      </w:r>
      <w:r w:rsidR="00FA0605">
        <w:rPr>
          <w:rFonts w:cs="Times New Roman"/>
          <w:lang w:val="en-AU"/>
        </w:rPr>
        <w:t>w</w:t>
      </w:r>
      <w:r w:rsidRPr="00C54A1E">
        <w:rPr>
          <w:rFonts w:cs="Times New Roman"/>
          <w:lang w:val="en-AU"/>
        </w:rPr>
        <w:t xml:space="preserve">ide from 1998 to the present day that includes detailed specifications down to the supplier of the air conditioner. Bus and coach air conditioning OEM sales have grown from 466 in 1998 </w:t>
      </w:r>
      <w:r w:rsidRPr="000406D7">
        <w:rPr>
          <w:rFonts w:cs="Times New Roman"/>
          <w:lang w:val="en-AU"/>
        </w:rPr>
        <w:t xml:space="preserve">to an average of </w:t>
      </w:r>
      <w:r w:rsidR="000406D7" w:rsidRPr="000406D7">
        <w:rPr>
          <w:rFonts w:cs="Times New Roman"/>
          <w:lang w:val="en-AU"/>
        </w:rPr>
        <w:t xml:space="preserve">around </w:t>
      </w:r>
      <w:r w:rsidRPr="000406D7">
        <w:rPr>
          <w:rFonts w:cs="Times New Roman"/>
          <w:lang w:val="en-AU"/>
        </w:rPr>
        <w:t>1,3</w:t>
      </w:r>
      <w:r w:rsidR="000406D7" w:rsidRPr="000406D7">
        <w:rPr>
          <w:rFonts w:cs="Times New Roman"/>
          <w:lang w:val="en-AU"/>
        </w:rPr>
        <w:t>00</w:t>
      </w:r>
      <w:r w:rsidRPr="000406D7">
        <w:rPr>
          <w:rFonts w:cs="Times New Roman"/>
          <w:lang w:val="en-AU"/>
        </w:rPr>
        <w:t xml:space="preserve"> per annum from 2012 to 201</w:t>
      </w:r>
      <w:r w:rsidR="004505A3" w:rsidRPr="000406D7">
        <w:rPr>
          <w:rFonts w:cs="Times New Roman"/>
          <w:lang w:val="en-AU"/>
        </w:rPr>
        <w:t>8</w:t>
      </w:r>
      <w:r w:rsidRPr="000406D7">
        <w:rPr>
          <w:rFonts w:cs="Times New Roman"/>
          <w:lang w:val="en-AU"/>
        </w:rPr>
        <w:t xml:space="preserve"> (AB&amp;C 201</w:t>
      </w:r>
      <w:r w:rsidR="000406D7" w:rsidRPr="000406D7">
        <w:rPr>
          <w:rFonts w:cs="Times New Roman"/>
          <w:lang w:val="en-AU"/>
        </w:rPr>
        <w:t>9</w:t>
      </w:r>
      <w:r w:rsidRPr="000406D7">
        <w:rPr>
          <w:rFonts w:cs="Times New Roman"/>
          <w:lang w:val="en-AU"/>
        </w:rPr>
        <w:t>).</w:t>
      </w:r>
      <w:r w:rsidRPr="00C54A1E">
        <w:rPr>
          <w:rFonts w:cs="Times New Roman"/>
          <w:lang w:val="en-AU"/>
        </w:rPr>
        <w:t xml:space="preserve"> </w:t>
      </w:r>
    </w:p>
    <w:p w14:paraId="0D6502BE" w14:textId="77777777" w:rsidR="00C3687F" w:rsidRPr="00C54A1E" w:rsidRDefault="00C3687F" w:rsidP="009A23AA">
      <w:pPr>
        <w:rPr>
          <w:rFonts w:cs="Times New Roman"/>
          <w:lang w:val="en-AU"/>
        </w:rPr>
      </w:pPr>
      <w:r w:rsidRPr="00C54A1E">
        <w:rPr>
          <w:rFonts w:cs="Times New Roman"/>
          <w:lang w:val="en-AU"/>
        </w:rPr>
        <w:t xml:space="preserve">The main bus air conditioning suppliers are </w:t>
      </w:r>
      <w:proofErr w:type="spellStart"/>
      <w:r w:rsidRPr="00C54A1E">
        <w:rPr>
          <w:rFonts w:cs="Times New Roman"/>
          <w:lang w:val="en-AU"/>
        </w:rPr>
        <w:t>Thermo</w:t>
      </w:r>
      <w:proofErr w:type="spellEnd"/>
      <w:r w:rsidRPr="00C54A1E">
        <w:rPr>
          <w:rFonts w:cs="Times New Roman"/>
          <w:lang w:val="en-AU"/>
        </w:rPr>
        <w:t xml:space="preserve"> King, </w:t>
      </w:r>
      <w:proofErr w:type="spellStart"/>
      <w:r w:rsidRPr="00C54A1E">
        <w:rPr>
          <w:rFonts w:cs="Times New Roman"/>
          <w:lang w:val="en-AU"/>
        </w:rPr>
        <w:t>CoachAir</w:t>
      </w:r>
      <w:proofErr w:type="spellEnd"/>
      <w:r w:rsidRPr="00C54A1E">
        <w:rPr>
          <w:rFonts w:cs="Times New Roman"/>
          <w:lang w:val="en-AU"/>
        </w:rPr>
        <w:t xml:space="preserve">, Denso and Carrier, however over the last decade there have been many new suppliers enter the market including </w:t>
      </w:r>
      <w:proofErr w:type="spellStart"/>
      <w:r w:rsidRPr="00C54A1E">
        <w:rPr>
          <w:rFonts w:cs="Times New Roman"/>
          <w:lang w:val="en-AU"/>
        </w:rPr>
        <w:t>Cooltek</w:t>
      </w:r>
      <w:proofErr w:type="spellEnd"/>
      <w:r w:rsidRPr="00C54A1E">
        <w:rPr>
          <w:rFonts w:cs="Times New Roman"/>
          <w:lang w:val="en-AU"/>
        </w:rPr>
        <w:t xml:space="preserve">, Daewoo, </w:t>
      </w:r>
      <w:proofErr w:type="spellStart"/>
      <w:r w:rsidRPr="00C54A1E">
        <w:rPr>
          <w:rFonts w:cs="Times New Roman"/>
          <w:lang w:val="en-AU"/>
        </w:rPr>
        <w:t>Fainsa</w:t>
      </w:r>
      <w:proofErr w:type="spellEnd"/>
      <w:r w:rsidRPr="00C54A1E">
        <w:rPr>
          <w:rFonts w:cs="Times New Roman"/>
          <w:lang w:val="en-AU"/>
        </w:rPr>
        <w:t xml:space="preserve">, Higher Air, </w:t>
      </w:r>
      <w:proofErr w:type="spellStart"/>
      <w:r w:rsidRPr="00C54A1E">
        <w:rPr>
          <w:rFonts w:cs="Times New Roman"/>
          <w:lang w:val="en-AU"/>
        </w:rPr>
        <w:t>Hispacold</w:t>
      </w:r>
      <w:proofErr w:type="spellEnd"/>
      <w:r w:rsidRPr="00C54A1E">
        <w:rPr>
          <w:rFonts w:cs="Times New Roman"/>
          <w:lang w:val="en-AU"/>
        </w:rPr>
        <w:t xml:space="preserve">, </w:t>
      </w:r>
      <w:proofErr w:type="spellStart"/>
      <w:r w:rsidRPr="00C54A1E">
        <w:rPr>
          <w:rFonts w:cs="Times New Roman"/>
          <w:lang w:val="en-AU"/>
        </w:rPr>
        <w:t>Kingtech</w:t>
      </w:r>
      <w:proofErr w:type="spellEnd"/>
      <w:r w:rsidRPr="00C54A1E">
        <w:rPr>
          <w:rFonts w:cs="Times New Roman"/>
          <w:lang w:val="en-AU"/>
        </w:rPr>
        <w:t xml:space="preserve">, </w:t>
      </w:r>
      <w:proofErr w:type="spellStart"/>
      <w:r w:rsidRPr="00C54A1E">
        <w:rPr>
          <w:rFonts w:cs="Times New Roman"/>
          <w:lang w:val="en-AU"/>
        </w:rPr>
        <w:t>Konvekta</w:t>
      </w:r>
      <w:proofErr w:type="spellEnd"/>
      <w:r w:rsidRPr="00C54A1E">
        <w:rPr>
          <w:rFonts w:cs="Times New Roman"/>
          <w:lang w:val="en-AU"/>
        </w:rPr>
        <w:t xml:space="preserve">; KT, Lou Air, MCC, </w:t>
      </w:r>
      <w:proofErr w:type="spellStart"/>
      <w:r w:rsidRPr="00C54A1E">
        <w:rPr>
          <w:rFonts w:cs="Times New Roman"/>
          <w:lang w:val="en-AU"/>
        </w:rPr>
        <w:t>Spheros</w:t>
      </w:r>
      <w:proofErr w:type="spellEnd"/>
      <w:r w:rsidRPr="00C54A1E">
        <w:rPr>
          <w:rFonts w:cs="Times New Roman"/>
          <w:lang w:val="en-AU"/>
        </w:rPr>
        <w:t xml:space="preserve">, </w:t>
      </w:r>
      <w:proofErr w:type="spellStart"/>
      <w:r w:rsidRPr="00C54A1E">
        <w:rPr>
          <w:rFonts w:cs="Times New Roman"/>
          <w:lang w:val="en-AU"/>
        </w:rPr>
        <w:t>Sutrak</w:t>
      </w:r>
      <w:proofErr w:type="spellEnd"/>
      <w:r w:rsidRPr="00C54A1E">
        <w:rPr>
          <w:rFonts w:cs="Times New Roman"/>
          <w:lang w:val="en-AU"/>
        </w:rPr>
        <w:t xml:space="preserve">, Tracs, and </w:t>
      </w:r>
      <w:proofErr w:type="spellStart"/>
      <w:r w:rsidRPr="00C54A1E">
        <w:rPr>
          <w:rFonts w:cs="Times New Roman"/>
          <w:lang w:val="en-AU"/>
        </w:rPr>
        <w:t>Yutong</w:t>
      </w:r>
      <w:proofErr w:type="spellEnd"/>
      <w:r w:rsidRPr="00C54A1E">
        <w:rPr>
          <w:rFonts w:cs="Times New Roman"/>
          <w:lang w:val="en-AU"/>
        </w:rPr>
        <w:t>.</w:t>
      </w:r>
    </w:p>
    <w:p w14:paraId="7726F329" w14:textId="6E24F9B4" w:rsidR="00C3687F" w:rsidRPr="00C54A1E" w:rsidRDefault="00C3687F" w:rsidP="009A23AA">
      <w:pPr>
        <w:rPr>
          <w:rFonts w:cs="Times New Roman"/>
          <w:lang w:val="en-AU"/>
        </w:rPr>
      </w:pPr>
      <w:r w:rsidRPr="00B26EA2">
        <w:rPr>
          <w:rFonts w:cs="Times New Roman"/>
          <w:lang w:val="en-AU"/>
        </w:rPr>
        <w:t>Bus and coach air conditioning systems are generally charged in Australia with around 65% containing HFC</w:t>
      </w:r>
      <w:r w:rsidR="002A3D0E">
        <w:rPr>
          <w:rFonts w:cs="Times New Roman"/>
          <w:lang w:val="en-AU"/>
        </w:rPr>
        <w:noBreakHyphen/>
      </w:r>
      <w:r w:rsidRPr="00B26EA2">
        <w:rPr>
          <w:rFonts w:cs="Times New Roman"/>
          <w:lang w:val="en-AU"/>
        </w:rPr>
        <w:t>134a and the balance HFC-407C.</w:t>
      </w:r>
      <w:r w:rsidRPr="00C54A1E">
        <w:rPr>
          <w:rFonts w:cs="Times New Roman"/>
          <w:lang w:val="en-AU"/>
        </w:rPr>
        <w:t xml:space="preserve"> </w:t>
      </w:r>
    </w:p>
    <w:p w14:paraId="2C4B5851" w14:textId="77777777" w:rsidR="00C3687F" w:rsidRPr="004F69A9" w:rsidRDefault="00C3687F" w:rsidP="009A23AA">
      <w:pPr>
        <w:spacing w:before="240"/>
        <w:rPr>
          <w:rFonts w:cs="Times New Roman"/>
          <w:b/>
          <w:color w:val="000000" w:themeColor="text1"/>
          <w:lang w:val="en-AU"/>
        </w:rPr>
      </w:pPr>
      <w:r w:rsidRPr="004F69A9">
        <w:rPr>
          <w:rFonts w:cs="Times New Roman"/>
          <w:b/>
          <w:color w:val="000000" w:themeColor="text1"/>
          <w:lang w:val="en-AU"/>
        </w:rPr>
        <w:t>Rail air conditioning</w:t>
      </w:r>
    </w:p>
    <w:p w14:paraId="6187EEF8" w14:textId="77777777" w:rsidR="00C3687F" w:rsidRPr="004F69A9" w:rsidRDefault="00C3687F" w:rsidP="009A23AA">
      <w:pPr>
        <w:rPr>
          <w:rFonts w:cs="Times New Roman"/>
          <w:color w:val="000000" w:themeColor="text1"/>
          <w:lang w:val="en-AU"/>
        </w:rPr>
      </w:pPr>
      <w:r w:rsidRPr="004F69A9">
        <w:rPr>
          <w:rFonts w:cs="Times New Roman"/>
          <w:color w:val="000000" w:themeColor="text1"/>
          <w:lang w:val="en-AU"/>
        </w:rPr>
        <w:t xml:space="preserve">The air conditioned rail fleet in Australia comprises </w:t>
      </w:r>
      <w:r>
        <w:rPr>
          <w:rFonts w:cs="Times New Roman"/>
          <w:color w:val="000000" w:themeColor="text1"/>
          <w:lang w:val="en-AU"/>
        </w:rPr>
        <w:t>1,997</w:t>
      </w:r>
      <w:r w:rsidRPr="004F69A9">
        <w:rPr>
          <w:rFonts w:cs="Times New Roman"/>
          <w:color w:val="000000" w:themeColor="text1"/>
          <w:lang w:val="en-AU"/>
        </w:rPr>
        <w:t xml:space="preserve"> locomotives</w:t>
      </w:r>
      <w:r>
        <w:rPr>
          <w:rStyle w:val="FootnoteReference"/>
          <w:rFonts w:cs="Times New Roman"/>
          <w:color w:val="000000" w:themeColor="text1"/>
          <w:lang w:val="en-AU"/>
        </w:rPr>
        <w:footnoteReference w:id="13"/>
      </w:r>
      <w:r w:rsidRPr="004F69A9">
        <w:rPr>
          <w:rFonts w:cs="Times New Roman"/>
          <w:color w:val="000000" w:themeColor="text1"/>
          <w:lang w:val="en-AU"/>
        </w:rPr>
        <w:t xml:space="preserve"> and 5,</w:t>
      </w:r>
      <w:r>
        <w:rPr>
          <w:rFonts w:cs="Times New Roman"/>
          <w:color w:val="000000" w:themeColor="text1"/>
          <w:lang w:val="en-AU"/>
        </w:rPr>
        <w:t>816</w:t>
      </w:r>
      <w:r w:rsidRPr="004F69A9">
        <w:rPr>
          <w:rFonts w:cs="Times New Roman"/>
          <w:color w:val="000000" w:themeColor="text1"/>
          <w:lang w:val="en-AU"/>
        </w:rPr>
        <w:t xml:space="preserve"> passenger rail cars. Not all passenger rail cars are air conditioned, for instance in 201</w:t>
      </w:r>
      <w:r>
        <w:rPr>
          <w:rFonts w:cs="Times New Roman"/>
          <w:color w:val="000000" w:themeColor="text1"/>
          <w:lang w:val="en-AU"/>
        </w:rPr>
        <w:t>8</w:t>
      </w:r>
      <w:r w:rsidRPr="004F69A9">
        <w:rPr>
          <w:rFonts w:cs="Times New Roman"/>
          <w:color w:val="000000" w:themeColor="text1"/>
          <w:lang w:val="en-AU"/>
        </w:rPr>
        <w:t xml:space="preserve"> there were 1,619 passenger rail cars in Sydney of which 1,427 were air conditioned</w:t>
      </w:r>
      <w:r>
        <w:rPr>
          <w:rFonts w:cs="Times New Roman"/>
          <w:color w:val="000000" w:themeColor="text1"/>
          <w:lang w:val="en-AU"/>
        </w:rPr>
        <w:t xml:space="preserve"> (BITRE 2019)</w:t>
      </w:r>
      <w:r w:rsidRPr="004F69A9">
        <w:rPr>
          <w:rFonts w:cs="Times New Roman"/>
          <w:color w:val="000000" w:themeColor="text1"/>
          <w:lang w:val="en-AU"/>
        </w:rPr>
        <w:t>.</w:t>
      </w:r>
    </w:p>
    <w:p w14:paraId="36E78E3D" w14:textId="521E71B6" w:rsidR="00C3687F" w:rsidRPr="00502F17" w:rsidRDefault="00C3687F" w:rsidP="009A23AA">
      <w:pPr>
        <w:rPr>
          <w:rFonts w:cs="Times New Roman"/>
          <w:color w:val="000000" w:themeColor="text1"/>
          <w:lang w:val="en-AU"/>
        </w:rPr>
      </w:pPr>
      <w:r w:rsidRPr="00502F17">
        <w:rPr>
          <w:rFonts w:cs="Times New Roman"/>
          <w:color w:val="000000" w:themeColor="text1"/>
          <w:lang w:val="en-AU"/>
        </w:rPr>
        <w:t>All locomotives on Australian railway networks are air conditioned for the comfort and security of drivers, and typically contain 3 to 4 kg of HFC-134a. Locomotive air conditioning systems are generally specified to cope with higher ambient temperatures as they may have to endure temperatures up to 50</w:t>
      </w:r>
      <w:r w:rsidRPr="00502F17">
        <w:rPr>
          <w:rFonts w:cs="Times New Roman"/>
          <w:color w:val="000000" w:themeColor="text1"/>
          <w:vertAlign w:val="superscript"/>
          <w:lang w:val="en-AU"/>
        </w:rPr>
        <w:t>o</w:t>
      </w:r>
      <w:r w:rsidRPr="00502F17">
        <w:rPr>
          <w:rFonts w:cs="Times New Roman"/>
          <w:color w:val="000000" w:themeColor="text1"/>
          <w:lang w:val="en-AU"/>
        </w:rPr>
        <w:t xml:space="preserve">C on various sections of the trans-Australia network.  </w:t>
      </w:r>
    </w:p>
    <w:p w14:paraId="6C489472" w14:textId="77777777" w:rsidR="00C3687F" w:rsidRPr="00502F17" w:rsidRDefault="00C3687F" w:rsidP="009A23AA">
      <w:pPr>
        <w:rPr>
          <w:rFonts w:cs="Times New Roman"/>
          <w:color w:val="000000" w:themeColor="text1"/>
          <w:lang w:val="en-AU"/>
        </w:rPr>
      </w:pPr>
      <w:r w:rsidRPr="00502F17">
        <w:rPr>
          <w:rFonts w:cs="Times New Roman"/>
          <w:color w:val="000000" w:themeColor="text1"/>
          <w:lang w:val="en-AU"/>
        </w:rPr>
        <w:t xml:space="preserve">Passenger railcar air conditioning units are generally much larger than those required for locomotive drivers’ cabins and at 40 </w:t>
      </w:r>
      <w:proofErr w:type="spellStart"/>
      <w:r w:rsidRPr="00502F17">
        <w:rPr>
          <w:rFonts w:cs="Times New Roman"/>
          <w:color w:val="000000" w:themeColor="text1"/>
          <w:lang w:val="en-AU"/>
        </w:rPr>
        <w:t>kWr</w:t>
      </w:r>
      <w:proofErr w:type="spellEnd"/>
      <w:r w:rsidRPr="00502F17">
        <w:rPr>
          <w:rFonts w:cs="Times New Roman"/>
          <w:color w:val="000000" w:themeColor="text1"/>
          <w:lang w:val="en-AU"/>
        </w:rPr>
        <w:t xml:space="preserve"> capacity will typically contain much larger charges of around 15 kg of HFC-407C.</w:t>
      </w:r>
    </w:p>
    <w:p w14:paraId="3773D4E6" w14:textId="77777777" w:rsidR="00C3687F" w:rsidRPr="00C54A1E" w:rsidRDefault="00C3687F" w:rsidP="009A23AA">
      <w:pPr>
        <w:rPr>
          <w:rFonts w:cs="Times New Roman"/>
          <w:lang w:val="en-AU"/>
        </w:rPr>
      </w:pPr>
      <w:r w:rsidRPr="00C54A1E">
        <w:rPr>
          <w:rFonts w:cs="Times New Roman"/>
          <w:lang w:val="en-AU"/>
        </w:rPr>
        <w:t>Rail air conditioning units are imported to Australia as pre-charged equipment typically as part of a complete train set. Replacement MAC units are imported separately.</w:t>
      </w:r>
    </w:p>
    <w:p w14:paraId="71BB3C37" w14:textId="77777777" w:rsidR="00C3687F" w:rsidRPr="00C54A1E" w:rsidRDefault="00C3687F" w:rsidP="009A23AA">
      <w:pPr>
        <w:rPr>
          <w:rFonts w:cs="Times New Roman"/>
          <w:lang w:val="en-AU"/>
        </w:rPr>
      </w:pPr>
      <w:r w:rsidRPr="00C54A1E">
        <w:rPr>
          <w:rFonts w:cs="Times New Roman"/>
          <w:lang w:val="en-AU"/>
        </w:rPr>
        <w:t xml:space="preserve">The key market participants in the service of MAC in locomotives, rail and trams include Sigma </w:t>
      </w:r>
      <w:proofErr w:type="spellStart"/>
      <w:r w:rsidRPr="00C54A1E">
        <w:rPr>
          <w:rFonts w:cs="Times New Roman"/>
          <w:lang w:val="en-AU"/>
        </w:rPr>
        <w:t>Coachair</w:t>
      </w:r>
      <w:proofErr w:type="spellEnd"/>
      <w:r w:rsidRPr="00C54A1E">
        <w:rPr>
          <w:rFonts w:cs="Times New Roman"/>
          <w:lang w:val="en-AU"/>
        </w:rPr>
        <w:t xml:space="preserve"> Group (subsidiary of Knorr </w:t>
      </w:r>
      <w:proofErr w:type="spellStart"/>
      <w:r w:rsidRPr="00C54A1E">
        <w:rPr>
          <w:rFonts w:cs="Times New Roman"/>
          <w:lang w:val="en-AU"/>
        </w:rPr>
        <w:t>Bramsse</w:t>
      </w:r>
      <w:proofErr w:type="spellEnd"/>
      <w:r w:rsidRPr="00C54A1E">
        <w:rPr>
          <w:rFonts w:cs="Times New Roman"/>
          <w:lang w:val="en-AU"/>
        </w:rPr>
        <w:t xml:space="preserve">); Mitsubishi Electric (Transportation &amp; Heavy Engineering Division); </w:t>
      </w:r>
      <w:proofErr w:type="spellStart"/>
      <w:r w:rsidRPr="00C54A1E">
        <w:rPr>
          <w:rFonts w:cs="Times New Roman"/>
          <w:lang w:val="en-AU"/>
        </w:rPr>
        <w:t>Faiveley</w:t>
      </w:r>
      <w:proofErr w:type="spellEnd"/>
      <w:r w:rsidRPr="00C54A1E">
        <w:rPr>
          <w:rFonts w:cs="Times New Roman"/>
          <w:lang w:val="en-AU"/>
        </w:rPr>
        <w:t xml:space="preserve"> Transport, and to a lesser extent </w:t>
      </w:r>
      <w:proofErr w:type="spellStart"/>
      <w:r w:rsidRPr="00C54A1E">
        <w:rPr>
          <w:rFonts w:cs="Times New Roman"/>
          <w:lang w:val="en-AU"/>
        </w:rPr>
        <w:t>Noska</w:t>
      </w:r>
      <w:proofErr w:type="spellEnd"/>
      <w:r w:rsidRPr="00C54A1E">
        <w:rPr>
          <w:rFonts w:cs="Times New Roman"/>
          <w:lang w:val="en-AU"/>
        </w:rPr>
        <w:t xml:space="preserve"> </w:t>
      </w:r>
      <w:proofErr w:type="spellStart"/>
      <w:r w:rsidRPr="00C54A1E">
        <w:rPr>
          <w:rFonts w:cs="Times New Roman"/>
          <w:lang w:val="en-AU"/>
        </w:rPr>
        <w:t>Kieser</w:t>
      </w:r>
      <w:proofErr w:type="spellEnd"/>
      <w:r w:rsidRPr="00C54A1E">
        <w:rPr>
          <w:rFonts w:cs="Times New Roman"/>
          <w:lang w:val="en-AU"/>
        </w:rPr>
        <w:t>.</w:t>
      </w:r>
    </w:p>
    <w:p w14:paraId="370200D1" w14:textId="77777777" w:rsidR="00C3687F" w:rsidRPr="00992595" w:rsidRDefault="00C3687F" w:rsidP="009A23AA">
      <w:pPr>
        <w:spacing w:before="240"/>
        <w:rPr>
          <w:rFonts w:cs="Times New Roman"/>
          <w:b/>
          <w:color w:val="000000" w:themeColor="text1"/>
          <w:lang w:val="en-AU"/>
        </w:rPr>
      </w:pPr>
      <w:r w:rsidRPr="00992595">
        <w:rPr>
          <w:rFonts w:cs="Times New Roman"/>
          <w:b/>
          <w:color w:val="000000" w:themeColor="text1"/>
          <w:lang w:val="en-AU"/>
        </w:rPr>
        <w:t>Recreational vehicles and caravans</w:t>
      </w:r>
    </w:p>
    <w:p w14:paraId="62E62F0F" w14:textId="7234698C" w:rsidR="00C3687F" w:rsidRDefault="00C3687F" w:rsidP="009A23AA">
      <w:pPr>
        <w:rPr>
          <w:color w:val="000000" w:themeColor="text1"/>
          <w:szCs w:val="22"/>
        </w:rPr>
      </w:pPr>
      <w:r w:rsidRPr="00D95D59">
        <w:rPr>
          <w:color w:val="000000" w:themeColor="text1"/>
          <w:szCs w:val="22"/>
        </w:rPr>
        <w:t>The Caravan Industry Association of Australia</w:t>
      </w:r>
      <w:r w:rsidRPr="00D95D59">
        <w:rPr>
          <w:rStyle w:val="FootnoteReference"/>
          <w:color w:val="000000" w:themeColor="text1"/>
          <w:szCs w:val="22"/>
        </w:rPr>
        <w:footnoteReference w:id="14"/>
      </w:r>
      <w:r w:rsidRPr="00D95D59">
        <w:rPr>
          <w:color w:val="000000" w:themeColor="text1"/>
          <w:szCs w:val="22"/>
        </w:rPr>
        <w:t xml:space="preserve"> reports that </w:t>
      </w:r>
      <w:r>
        <w:rPr>
          <w:color w:val="000000" w:themeColor="text1"/>
          <w:szCs w:val="22"/>
        </w:rPr>
        <w:t xml:space="preserve">total </w:t>
      </w:r>
      <w:r w:rsidRPr="00D95D59">
        <w:rPr>
          <w:color w:val="000000" w:themeColor="text1"/>
          <w:szCs w:val="22"/>
        </w:rPr>
        <w:t xml:space="preserve">caravan registrations have soared by 29% in the last five years to more than 612,000 in January 2018. Campervan registrations climbed 23% in the same period </w:t>
      </w:r>
      <w:r w:rsidR="003A56AC">
        <w:rPr>
          <w:color w:val="000000" w:themeColor="text1"/>
          <w:szCs w:val="22"/>
        </w:rPr>
        <w:t xml:space="preserve">and has now grown to </w:t>
      </w:r>
      <w:r w:rsidRPr="00D95D59">
        <w:rPr>
          <w:color w:val="000000" w:themeColor="text1"/>
          <w:szCs w:val="22"/>
        </w:rPr>
        <w:t>6</w:t>
      </w:r>
      <w:r w:rsidR="003A56AC">
        <w:rPr>
          <w:color w:val="000000" w:themeColor="text1"/>
          <w:szCs w:val="22"/>
        </w:rPr>
        <w:t>9</w:t>
      </w:r>
      <w:r w:rsidRPr="00D95D59">
        <w:rPr>
          <w:color w:val="000000" w:themeColor="text1"/>
          <w:szCs w:val="22"/>
        </w:rPr>
        <w:t>,</w:t>
      </w:r>
      <w:r w:rsidR="003A56AC">
        <w:rPr>
          <w:color w:val="000000" w:themeColor="text1"/>
          <w:szCs w:val="22"/>
        </w:rPr>
        <w:t>753</w:t>
      </w:r>
      <w:r w:rsidRPr="00D95D59">
        <w:rPr>
          <w:color w:val="000000" w:themeColor="text1"/>
          <w:szCs w:val="22"/>
        </w:rPr>
        <w:t xml:space="preserve"> </w:t>
      </w:r>
      <w:r w:rsidR="003A56AC">
        <w:rPr>
          <w:color w:val="000000" w:themeColor="text1"/>
          <w:szCs w:val="22"/>
        </w:rPr>
        <w:t xml:space="preserve">registrations </w:t>
      </w:r>
      <w:r w:rsidRPr="00D95D59">
        <w:rPr>
          <w:color w:val="000000" w:themeColor="text1"/>
          <w:szCs w:val="22"/>
        </w:rPr>
        <w:t>by January 2019</w:t>
      </w:r>
      <w:r w:rsidR="003A56AC">
        <w:rPr>
          <w:color w:val="000000" w:themeColor="text1"/>
          <w:szCs w:val="22"/>
        </w:rPr>
        <w:t xml:space="preserve"> (ABS </w:t>
      </w:r>
      <w:r w:rsidR="004D170E">
        <w:rPr>
          <w:color w:val="000000" w:themeColor="text1"/>
          <w:szCs w:val="22"/>
        </w:rPr>
        <w:t>93090 2019)</w:t>
      </w:r>
      <w:r w:rsidRPr="00D95D59">
        <w:rPr>
          <w:color w:val="000000" w:themeColor="text1"/>
          <w:szCs w:val="22"/>
        </w:rPr>
        <w:t xml:space="preserve">. Of the more than 30,000 new registrations of both caravans and campervans in the previous year, more than 21,000 were manufactured in Australia. </w:t>
      </w:r>
    </w:p>
    <w:p w14:paraId="33A84A30" w14:textId="3BD87D54" w:rsidR="00C3687F" w:rsidRDefault="00C3687F" w:rsidP="009A23AA">
      <w:pPr>
        <w:rPr>
          <w:rFonts w:cs="Times New Roman"/>
          <w:lang w:val="en-AU"/>
        </w:rPr>
      </w:pPr>
      <w:r w:rsidRPr="00D95D59">
        <w:rPr>
          <w:color w:val="000000" w:themeColor="text1"/>
          <w:szCs w:val="22"/>
        </w:rPr>
        <w:t>Anecdotal reports from manufacturers point to new caravan buyers generally being older, and having a preference for higher end vehicles, which will include air conditioning.</w:t>
      </w:r>
      <w:r>
        <w:rPr>
          <w:color w:val="000000" w:themeColor="text1"/>
          <w:szCs w:val="22"/>
        </w:rPr>
        <w:t xml:space="preserve"> </w:t>
      </w:r>
      <w:r w:rsidRPr="00502F17">
        <w:rPr>
          <w:rFonts w:cs="Times New Roman"/>
          <w:color w:val="000000" w:themeColor="text1"/>
          <w:lang w:val="en-AU"/>
        </w:rPr>
        <w:t xml:space="preserve">The RAC Stock model assumes that 100% of RVs and </w:t>
      </w:r>
      <w:r>
        <w:rPr>
          <w:rFonts w:cs="Times New Roman"/>
          <w:color w:val="000000" w:themeColor="text1"/>
          <w:lang w:val="en-AU"/>
        </w:rPr>
        <w:t>75%</w:t>
      </w:r>
      <w:r w:rsidRPr="00502F17">
        <w:rPr>
          <w:rFonts w:cs="Times New Roman"/>
          <w:color w:val="000000" w:themeColor="text1"/>
          <w:lang w:val="en-AU"/>
        </w:rPr>
        <w:t xml:space="preserve"> of caravans have air conditioning equating to a fleet of some </w:t>
      </w:r>
      <w:r>
        <w:rPr>
          <w:rFonts w:cs="Times New Roman"/>
          <w:color w:val="000000" w:themeColor="text1"/>
          <w:lang w:val="en-AU"/>
        </w:rPr>
        <w:t>550</w:t>
      </w:r>
      <w:r w:rsidRPr="00502F17">
        <w:rPr>
          <w:rFonts w:cs="Times New Roman"/>
          <w:color w:val="000000" w:themeColor="text1"/>
          <w:lang w:val="en-AU"/>
        </w:rPr>
        <w:t>,000 RVs and caravans with an average charge of 750 grams.</w:t>
      </w:r>
      <w:r w:rsidRPr="00C00439">
        <w:rPr>
          <w:rFonts w:cs="Times New Roman"/>
          <w:color w:val="00B0F0"/>
          <w:lang w:val="en-AU"/>
        </w:rPr>
        <w:t xml:space="preserve"> </w:t>
      </w:r>
      <w:r w:rsidRPr="00C43463">
        <w:rPr>
          <w:rFonts w:cs="Times New Roman"/>
          <w:lang w:val="en-AU"/>
        </w:rPr>
        <w:t xml:space="preserve">The assumptions on the proportion of </w:t>
      </w:r>
      <w:r>
        <w:rPr>
          <w:rFonts w:cs="Times New Roman"/>
          <w:lang w:val="en-AU"/>
        </w:rPr>
        <w:t xml:space="preserve">caravans fitted with </w:t>
      </w:r>
      <w:r w:rsidRPr="00C43463">
        <w:rPr>
          <w:rFonts w:cs="Times New Roman"/>
          <w:lang w:val="en-AU"/>
        </w:rPr>
        <w:t>air conditioning was based on a review of second</w:t>
      </w:r>
      <w:r w:rsidR="00477FFA">
        <w:rPr>
          <w:rFonts w:cs="Times New Roman"/>
          <w:lang w:val="en-AU"/>
        </w:rPr>
        <w:t>-</w:t>
      </w:r>
      <w:r w:rsidRPr="00C43463">
        <w:rPr>
          <w:rFonts w:cs="Times New Roman"/>
          <w:lang w:val="en-AU"/>
        </w:rPr>
        <w:t xml:space="preserve">hand vehicles for sale </w:t>
      </w:r>
      <w:r>
        <w:rPr>
          <w:rFonts w:cs="Times New Roman"/>
          <w:lang w:val="en-AU"/>
        </w:rPr>
        <w:t xml:space="preserve">and a physical </w:t>
      </w:r>
      <w:r w:rsidRPr="00C43463">
        <w:rPr>
          <w:rFonts w:cs="Times New Roman"/>
          <w:lang w:val="en-AU"/>
        </w:rPr>
        <w:t xml:space="preserve">survey conducted </w:t>
      </w:r>
      <w:r w:rsidR="00FA0605">
        <w:rPr>
          <w:rFonts w:cs="Times New Roman"/>
          <w:lang w:val="en-AU"/>
        </w:rPr>
        <w:t xml:space="preserve">in 2018 </w:t>
      </w:r>
      <w:r w:rsidRPr="00C43463">
        <w:rPr>
          <w:rFonts w:cs="Times New Roman"/>
          <w:lang w:val="en-AU"/>
        </w:rPr>
        <w:t>on the Hume Highway in Victoria over a 5 hour period that counted 12 RVs and 53 caravans</w:t>
      </w:r>
      <w:r>
        <w:rPr>
          <w:rFonts w:cs="Times New Roman"/>
          <w:lang w:val="en-AU"/>
        </w:rPr>
        <w:t>, identifying those that were fitted with AC</w:t>
      </w:r>
      <w:r w:rsidRPr="00C43463">
        <w:rPr>
          <w:rFonts w:cs="Times New Roman"/>
          <w:lang w:val="en-AU"/>
        </w:rPr>
        <w:t>.</w:t>
      </w:r>
    </w:p>
    <w:p w14:paraId="59754991" w14:textId="6F5CBF18" w:rsidR="00477FFA" w:rsidRPr="00C43463" w:rsidRDefault="00477FFA" w:rsidP="009A23AA">
      <w:pPr>
        <w:rPr>
          <w:rFonts w:cs="Times New Roman"/>
          <w:lang w:val="en-AU"/>
        </w:rPr>
      </w:pPr>
      <w:r>
        <w:rPr>
          <w:rFonts w:cs="Times New Roman"/>
          <w:lang w:val="en-AU"/>
        </w:rPr>
        <w:t>Future editions of Cold Hard Facts will extend the survey model in this rapidly growing mobile AC segment.</w:t>
      </w:r>
    </w:p>
    <w:p w14:paraId="5A32D0F4" w14:textId="26C1BA96" w:rsidR="00C3687F" w:rsidRDefault="00C3687F" w:rsidP="009A23AA">
      <w:pPr>
        <w:rPr>
          <w:rFonts w:cs="Times New Roman"/>
          <w:color w:val="000000" w:themeColor="text1"/>
          <w:lang w:val="en-AU"/>
        </w:rPr>
      </w:pPr>
      <w:r w:rsidRPr="00502F17">
        <w:rPr>
          <w:rFonts w:cs="Times New Roman"/>
          <w:color w:val="000000" w:themeColor="text1"/>
          <w:lang w:val="en-AU"/>
        </w:rPr>
        <w:t>Analysis of pre-charged imports of sealed units destined for caravan manufacturers in Australia shows the main refrigerant employed is HFC-407C (~90%) and some HFC-410A (</w:t>
      </w:r>
      <w:proofErr w:type="spellStart"/>
      <w:r w:rsidRPr="00502F17">
        <w:rPr>
          <w:rFonts w:cs="Times New Roman"/>
          <w:color w:val="000000" w:themeColor="text1"/>
          <w:lang w:val="en-AU"/>
        </w:rPr>
        <w:t>DoEE</w:t>
      </w:r>
      <w:proofErr w:type="spellEnd"/>
      <w:r w:rsidRPr="00502F17">
        <w:rPr>
          <w:rFonts w:cs="Times New Roman"/>
          <w:color w:val="000000" w:themeColor="text1"/>
          <w:lang w:val="en-AU"/>
        </w:rPr>
        <w:t xml:space="preserve"> 2019).</w:t>
      </w:r>
    </w:p>
    <w:p w14:paraId="711FD565" w14:textId="77777777" w:rsidR="004505A3" w:rsidRPr="00EB05A5" w:rsidRDefault="004505A3" w:rsidP="009A23AA">
      <w:pPr>
        <w:rPr>
          <w:color w:val="000000" w:themeColor="text1"/>
          <w:szCs w:val="22"/>
        </w:rPr>
      </w:pPr>
    </w:p>
    <w:p w14:paraId="6A86FF59" w14:textId="77777777" w:rsidR="00C3687F" w:rsidRDefault="00C3687F" w:rsidP="009A23AA">
      <w:pPr>
        <w:pStyle w:val="Heading3"/>
        <w:jc w:val="both"/>
      </w:pPr>
      <w:bookmarkStart w:id="44" w:name="_Toc19601296"/>
      <w:r>
        <w:t>Mobile air conditioning bank and projection</w:t>
      </w:r>
      <w:bookmarkEnd w:id="44"/>
    </w:p>
    <w:p w14:paraId="57FEE9F3" w14:textId="380D310F" w:rsidR="00C3687F" w:rsidRDefault="00C3687F" w:rsidP="009A23AA">
      <w:pPr>
        <w:rPr>
          <w:color w:val="000000" w:themeColor="text1"/>
          <w:szCs w:val="22"/>
        </w:rPr>
      </w:pPr>
      <w:r w:rsidRPr="00822CF6">
        <w:rPr>
          <w:color w:val="000000" w:themeColor="text1"/>
          <w:szCs w:val="22"/>
        </w:rPr>
        <w:t xml:space="preserve">The vast majority of MAC enters </w:t>
      </w:r>
      <w:r w:rsidR="00477FFA">
        <w:rPr>
          <w:color w:val="000000" w:themeColor="text1"/>
          <w:szCs w:val="22"/>
        </w:rPr>
        <w:t xml:space="preserve">the </w:t>
      </w:r>
      <w:r>
        <w:rPr>
          <w:color w:val="000000" w:themeColor="text1"/>
          <w:szCs w:val="22"/>
        </w:rPr>
        <w:t xml:space="preserve">country </w:t>
      </w:r>
      <w:r w:rsidRPr="00822CF6">
        <w:rPr>
          <w:color w:val="000000" w:themeColor="text1"/>
          <w:szCs w:val="22"/>
        </w:rPr>
        <w:t xml:space="preserve">pre-charged with HFC-134a in imported vehicles. While individual </w:t>
      </w:r>
      <w:r>
        <w:rPr>
          <w:color w:val="000000" w:themeColor="text1"/>
          <w:szCs w:val="22"/>
        </w:rPr>
        <w:t xml:space="preserve">refrigerant </w:t>
      </w:r>
      <w:r w:rsidRPr="00822CF6">
        <w:rPr>
          <w:color w:val="000000" w:themeColor="text1"/>
          <w:szCs w:val="22"/>
        </w:rPr>
        <w:t xml:space="preserve">charges are small, with more than 1.1 million new vehicles entering the economy annually for the past five years, the addition to the total bank of refrigerant </w:t>
      </w:r>
      <w:r>
        <w:rPr>
          <w:color w:val="000000" w:themeColor="text1"/>
          <w:szCs w:val="22"/>
        </w:rPr>
        <w:t>in</w:t>
      </w:r>
      <w:r w:rsidRPr="00822CF6">
        <w:rPr>
          <w:color w:val="000000" w:themeColor="text1"/>
          <w:szCs w:val="22"/>
        </w:rPr>
        <w:t xml:space="preserve"> MAC is quite substantial, even after subtracting the number of vehicles reaching end-of-life each year. </w:t>
      </w:r>
      <w:r w:rsidRPr="00BD50DA">
        <w:rPr>
          <w:color w:val="000000" w:themeColor="text1"/>
          <w:szCs w:val="22"/>
        </w:rPr>
        <w:t xml:space="preserve">The majority of the MAC bank is HFC-134a </w:t>
      </w:r>
      <w:r w:rsidRPr="004D170E">
        <w:rPr>
          <w:color w:val="000000" w:themeColor="text1"/>
          <w:szCs w:val="22"/>
        </w:rPr>
        <w:t>(~9</w:t>
      </w:r>
      <w:r w:rsidR="004D170E" w:rsidRPr="004D170E">
        <w:rPr>
          <w:color w:val="000000" w:themeColor="text1"/>
          <w:szCs w:val="22"/>
        </w:rPr>
        <w:t>3</w:t>
      </w:r>
      <w:r w:rsidRPr="004D170E">
        <w:rPr>
          <w:color w:val="000000" w:themeColor="text1"/>
          <w:szCs w:val="22"/>
        </w:rPr>
        <w:t>%).</w:t>
      </w:r>
      <w:r w:rsidRPr="00BD50DA">
        <w:rPr>
          <w:color w:val="000000" w:themeColor="text1"/>
          <w:szCs w:val="22"/>
        </w:rPr>
        <w:t xml:space="preserve"> It is estimated that there are still more than </w:t>
      </w:r>
      <w:r w:rsidRPr="00097873">
        <w:rPr>
          <w:color w:val="000000" w:themeColor="text1"/>
          <w:szCs w:val="22"/>
        </w:rPr>
        <w:t>290,000 older vehicles</w:t>
      </w:r>
      <w:r w:rsidRPr="00BD50DA">
        <w:rPr>
          <w:color w:val="000000" w:themeColor="text1"/>
          <w:szCs w:val="22"/>
        </w:rPr>
        <w:t xml:space="preserve"> in the fleet that were originally manufactured </w:t>
      </w:r>
      <w:r>
        <w:rPr>
          <w:color w:val="000000" w:themeColor="text1"/>
          <w:szCs w:val="22"/>
        </w:rPr>
        <w:t xml:space="preserve">with MACs </w:t>
      </w:r>
      <w:r w:rsidRPr="00BD50DA">
        <w:rPr>
          <w:color w:val="000000" w:themeColor="text1"/>
          <w:szCs w:val="22"/>
        </w:rPr>
        <w:t xml:space="preserve">containing CFCs, the large majority of which are </w:t>
      </w:r>
      <w:r>
        <w:rPr>
          <w:color w:val="000000" w:themeColor="text1"/>
          <w:szCs w:val="22"/>
        </w:rPr>
        <w:t xml:space="preserve">thought most </w:t>
      </w:r>
      <w:r w:rsidRPr="00BD50DA">
        <w:rPr>
          <w:color w:val="000000" w:themeColor="text1"/>
          <w:szCs w:val="22"/>
        </w:rPr>
        <w:t>likely to have been converted to HFC-134a or hydrocarbons at some stage in the last two decades.</w:t>
      </w:r>
    </w:p>
    <w:p w14:paraId="6961E957" w14:textId="27CC2880" w:rsidR="00C3687F" w:rsidRPr="00285E9E" w:rsidRDefault="00C3687F" w:rsidP="009A23AA">
      <w:pPr>
        <w:rPr>
          <w:color w:val="000000" w:themeColor="text1"/>
          <w:szCs w:val="22"/>
        </w:rPr>
      </w:pPr>
      <w:r w:rsidRPr="00BD50DA">
        <w:rPr>
          <w:color w:val="000000" w:themeColor="text1"/>
          <w:szCs w:val="22"/>
        </w:rPr>
        <w:t xml:space="preserve">Hydrocarbons, which are sometimes </w:t>
      </w:r>
      <w:r w:rsidR="002A3D0E">
        <w:rPr>
          <w:color w:val="000000" w:themeColor="text1"/>
          <w:szCs w:val="22"/>
        </w:rPr>
        <w:t>used</w:t>
      </w:r>
      <w:r w:rsidR="002A3D0E" w:rsidRPr="00BD50DA">
        <w:rPr>
          <w:color w:val="000000" w:themeColor="text1"/>
          <w:szCs w:val="22"/>
        </w:rPr>
        <w:t xml:space="preserve"> </w:t>
      </w:r>
      <w:r w:rsidRPr="00BD50DA">
        <w:rPr>
          <w:color w:val="000000" w:themeColor="text1"/>
          <w:szCs w:val="22"/>
        </w:rPr>
        <w:t>as an aftermarket option in MAC in Australia, are estimated to be used in about 4% of the fleet</w:t>
      </w:r>
      <w:r w:rsidRPr="00285E9E">
        <w:rPr>
          <w:szCs w:val="22"/>
        </w:rPr>
        <w:t xml:space="preserve">, which </w:t>
      </w:r>
      <w:r w:rsidRPr="00285E9E">
        <w:rPr>
          <w:color w:val="000000" w:themeColor="text1"/>
          <w:lang w:val="en-AU"/>
        </w:rPr>
        <w:t>equates to around 753,000 vehicles</w:t>
      </w:r>
      <w:r w:rsidRPr="00C4338A">
        <w:rPr>
          <w:color w:val="000000" w:themeColor="text1"/>
          <w:lang w:val="en-AU"/>
        </w:rPr>
        <w:t xml:space="preserve">. Refer to </w:t>
      </w:r>
      <w:r w:rsidRPr="00C4338A">
        <w:rPr>
          <w:i/>
          <w:color w:val="000000" w:themeColor="text1"/>
          <w:lang w:val="en-AU"/>
        </w:rPr>
        <w:t>Appendix A: Section 11.2.5: Proportion of hydrocarbon in small MAC</w:t>
      </w:r>
      <w:r w:rsidRPr="00C4338A">
        <w:rPr>
          <w:color w:val="000000" w:themeColor="text1"/>
          <w:lang w:val="en-AU"/>
        </w:rPr>
        <w:t xml:space="preserve"> for details on the calculation methodology and assumptions.</w:t>
      </w:r>
    </w:p>
    <w:p w14:paraId="6C41952E" w14:textId="77777777" w:rsidR="00C3687F" w:rsidRDefault="00C3687F" w:rsidP="009A23AA">
      <w:pPr>
        <w:rPr>
          <w:color w:val="000000" w:themeColor="text1"/>
          <w:szCs w:val="22"/>
        </w:rPr>
      </w:pPr>
      <w:r w:rsidRPr="00BD50DA">
        <w:rPr>
          <w:color w:val="000000" w:themeColor="text1"/>
          <w:szCs w:val="22"/>
        </w:rPr>
        <w:t>Other refrigerants used in mobile air conditioning applications include HFC-407C and HFC-410A which are more likely to be used in large MAC including locomotive, passenger rail, recreational vehicles, caravans and off-road applications such as marine. The relatively rare HCFC-124 can be found in extreme ambient applications such as in mobile cranes.</w:t>
      </w:r>
    </w:p>
    <w:p w14:paraId="2B04F91A" w14:textId="65D8CCE5" w:rsidR="00C3687F" w:rsidRPr="00502F17" w:rsidRDefault="00C3687F" w:rsidP="009A23AA">
      <w:pPr>
        <w:rPr>
          <w:rFonts w:cs="Times New Roman"/>
          <w:color w:val="000000" w:themeColor="text1"/>
          <w:szCs w:val="22"/>
        </w:rPr>
      </w:pPr>
      <w:r w:rsidRPr="00285E9E">
        <w:t>The Expert Group predict</w:t>
      </w:r>
      <w:r w:rsidR="00DF0B9F">
        <w:t>s 2025 as the tipping point for HFO systems</w:t>
      </w:r>
      <w:r w:rsidRPr="00285E9E">
        <w:t xml:space="preserve">, which is reflected in </w:t>
      </w:r>
      <w:r w:rsidRPr="004D170E">
        <w:rPr>
          <w:i/>
          <w:iCs/>
        </w:rPr>
        <w:t xml:space="preserve">Figure </w:t>
      </w:r>
      <w:r w:rsidR="004D170E" w:rsidRPr="004D170E">
        <w:rPr>
          <w:i/>
          <w:iCs/>
        </w:rPr>
        <w:t>7</w:t>
      </w:r>
      <w:r w:rsidRPr="00285E9E">
        <w:t xml:space="preserve"> of the MAC bank projection below. The n</w:t>
      </w:r>
      <w:proofErr w:type="spellStart"/>
      <w:r w:rsidRPr="00285E9E">
        <w:rPr>
          <w:rFonts w:cs="Times New Roman"/>
          <w:lang w:val="en-AU"/>
        </w:rPr>
        <w:t>ew</w:t>
      </w:r>
      <w:proofErr w:type="spellEnd"/>
      <w:r w:rsidRPr="00285E9E">
        <w:rPr>
          <w:rFonts w:cs="Times New Roman"/>
          <w:lang w:val="en-AU"/>
        </w:rPr>
        <w:t xml:space="preserve"> sales mix projection for small MAC and large MAC from 2018 to 2030 can be found in </w:t>
      </w:r>
      <w:r w:rsidRPr="00502F17">
        <w:rPr>
          <w:rFonts w:cs="Times New Roman"/>
          <w:i/>
          <w:color w:val="000000" w:themeColor="text1"/>
          <w:szCs w:val="22"/>
        </w:rPr>
        <w:t xml:space="preserve">Appendix B2: New equipment sales mix by segment, </w:t>
      </w:r>
      <w:r w:rsidRPr="00502F17">
        <w:rPr>
          <w:rFonts w:cs="Times New Roman"/>
          <w:color w:val="000000" w:themeColor="text1"/>
          <w:szCs w:val="22"/>
        </w:rPr>
        <w:t>for new sales mix predictions to 2030.</w:t>
      </w:r>
      <w:r w:rsidR="00477FFA">
        <w:rPr>
          <w:rFonts w:cs="Times New Roman"/>
          <w:color w:val="000000" w:themeColor="text1"/>
          <w:szCs w:val="22"/>
        </w:rPr>
        <w:t xml:space="preserve"> </w:t>
      </w:r>
      <w:r w:rsidR="00813B74">
        <w:rPr>
          <w:rFonts w:cs="Times New Roman"/>
          <w:color w:val="000000" w:themeColor="text1"/>
          <w:szCs w:val="22"/>
        </w:rPr>
        <w:t>T</w:t>
      </w:r>
      <w:r w:rsidR="00477FFA">
        <w:rPr>
          <w:rFonts w:cs="Times New Roman"/>
          <w:color w:val="000000" w:themeColor="text1"/>
          <w:szCs w:val="22"/>
        </w:rPr>
        <w:t xml:space="preserve">his </w:t>
      </w:r>
      <w:r w:rsidR="00813B74">
        <w:rPr>
          <w:rFonts w:cs="Times New Roman"/>
          <w:color w:val="000000" w:themeColor="text1"/>
          <w:szCs w:val="22"/>
        </w:rPr>
        <w:t xml:space="preserve">estimated projection </w:t>
      </w:r>
      <w:r w:rsidR="00477FFA">
        <w:rPr>
          <w:rFonts w:cs="Times New Roman"/>
          <w:color w:val="000000" w:themeColor="text1"/>
          <w:szCs w:val="22"/>
        </w:rPr>
        <w:t>is based purely on market dynamics and cannot account for potential changes in policy settings that may impact on the timing or rate of introduction of HFO charged MAC.</w:t>
      </w:r>
    </w:p>
    <w:p w14:paraId="78D529CB" w14:textId="77777777" w:rsidR="00C3687F" w:rsidRPr="00502F17" w:rsidRDefault="00C3687F" w:rsidP="009A23AA">
      <w:pPr>
        <w:rPr>
          <w:rFonts w:cs="Times New Roman"/>
          <w:color w:val="000000" w:themeColor="text1"/>
          <w:szCs w:val="22"/>
        </w:rPr>
      </w:pPr>
      <w:r>
        <w:rPr>
          <w:rFonts w:cs="Times New Roman"/>
          <w:color w:val="000000" w:themeColor="text1"/>
          <w:szCs w:val="22"/>
        </w:rPr>
        <w:t>T</w:t>
      </w:r>
      <w:r w:rsidRPr="00502F17">
        <w:rPr>
          <w:rFonts w:cs="Times New Roman"/>
          <w:color w:val="000000" w:themeColor="text1"/>
          <w:szCs w:val="22"/>
        </w:rPr>
        <w:t>he RAC Stock model predicts that there may be around 23.</w:t>
      </w:r>
      <w:r>
        <w:rPr>
          <w:rFonts w:cs="Times New Roman"/>
          <w:color w:val="000000" w:themeColor="text1"/>
          <w:szCs w:val="22"/>
        </w:rPr>
        <w:t>5</w:t>
      </w:r>
      <w:r w:rsidRPr="00502F17">
        <w:rPr>
          <w:rFonts w:cs="Times New Roman"/>
          <w:color w:val="000000" w:themeColor="text1"/>
          <w:szCs w:val="22"/>
        </w:rPr>
        <w:t xml:space="preserve"> million vehicles with small MAC on Australian roads in 2030</w:t>
      </w:r>
      <w:r>
        <w:rPr>
          <w:rFonts w:cs="Times New Roman"/>
          <w:color w:val="000000" w:themeColor="text1"/>
          <w:szCs w:val="22"/>
        </w:rPr>
        <w:t>. I</w:t>
      </w:r>
      <w:r w:rsidRPr="00502F17">
        <w:rPr>
          <w:rFonts w:cs="Times New Roman"/>
          <w:color w:val="000000" w:themeColor="text1"/>
          <w:szCs w:val="22"/>
        </w:rPr>
        <w:t>t is expected that around 41% of those vehicles, or around 9.</w:t>
      </w:r>
      <w:r>
        <w:rPr>
          <w:rFonts w:cs="Times New Roman"/>
          <w:color w:val="000000" w:themeColor="text1"/>
          <w:szCs w:val="22"/>
        </w:rPr>
        <w:t>7</w:t>
      </w:r>
      <w:r w:rsidRPr="00502F17">
        <w:rPr>
          <w:rFonts w:cs="Times New Roman"/>
          <w:color w:val="000000" w:themeColor="text1"/>
          <w:szCs w:val="22"/>
        </w:rPr>
        <w:t xml:space="preserve"> million vehicles will, by that time, be charged with a refrigerant with a GWP less than 10, with the large majority of those (~99%) containing HFO-1234yf.</w:t>
      </w:r>
    </w:p>
    <w:p w14:paraId="3DC996A6" w14:textId="140A388A" w:rsidR="00C3687F" w:rsidRPr="00FE0CAE" w:rsidRDefault="00FA0605" w:rsidP="00FE0CAE">
      <w:pPr>
        <w:snapToGrid w:val="0"/>
        <w:rPr>
          <w:rFonts w:cs="Times New Roman"/>
          <w:color w:val="000000" w:themeColor="text1"/>
          <w:szCs w:val="22"/>
        </w:rPr>
      </w:pPr>
      <w:r w:rsidRPr="00FA0605">
        <w:rPr>
          <w:rFonts w:cs="Times New Roman"/>
          <w:color w:val="000000" w:themeColor="text1"/>
          <w:szCs w:val="22"/>
        </w:rPr>
        <w:t>By 2030 more than 5,400 tonnes of HFOs is predicted to be employed in the small MAC bank, mostly in private and small commercial vehicles, out of a total small MAC bank of approximately 11,900 tonnes at that time. Total volumes of HFC-134a in small MAC are forecast to decline from its peak of around 10,400 tonnes in 2020, to around 6,300 tonnes in 2030.</w:t>
      </w:r>
      <w:r w:rsidR="00C3687F" w:rsidRPr="00822CF6">
        <w:rPr>
          <w:rFonts w:cs="Times New Roman"/>
          <w:color w:val="000000" w:themeColor="text1"/>
          <w:szCs w:val="22"/>
        </w:rPr>
        <w:t xml:space="preserve"> </w:t>
      </w:r>
    </w:p>
    <w:p w14:paraId="79A52C60" w14:textId="77777777" w:rsidR="00C3687F" w:rsidRDefault="00C3687F" w:rsidP="009A23AA">
      <w:pPr>
        <w:snapToGrid w:val="0"/>
        <w:rPr>
          <w:rFonts w:cs="Times New Roman"/>
          <w:color w:val="000000" w:themeColor="text1"/>
          <w:szCs w:val="22"/>
        </w:rPr>
      </w:pPr>
      <w:r w:rsidRPr="00285E9E">
        <w:rPr>
          <w:rFonts w:cs="Times New Roman"/>
          <w:color w:val="000000" w:themeColor="text1"/>
          <w:szCs w:val="22"/>
        </w:rPr>
        <w:t>Hydrocarbons in small MAC is predicted to grow modestly, in line with the fleet growth, from 164 tonnes in 2018 to 198 tonnes in 2030. A small bank of around 60 tonnes of CO</w:t>
      </w:r>
      <w:r w:rsidRPr="00285E9E">
        <w:rPr>
          <w:rFonts w:cs="Times New Roman"/>
          <w:color w:val="000000" w:themeColor="text1"/>
          <w:szCs w:val="22"/>
          <w:vertAlign w:val="subscript"/>
        </w:rPr>
        <w:t>2</w:t>
      </w:r>
      <w:r w:rsidRPr="00285E9E">
        <w:rPr>
          <w:rFonts w:cs="Times New Roman"/>
          <w:color w:val="000000" w:themeColor="text1"/>
          <w:szCs w:val="22"/>
        </w:rPr>
        <w:t xml:space="preserve"> is also predicted to be in operation in small MAC by 2030.</w:t>
      </w:r>
    </w:p>
    <w:p w14:paraId="50A4696B" w14:textId="77777777" w:rsidR="00C3687F" w:rsidRPr="00822CF6" w:rsidRDefault="00C3687F" w:rsidP="009A23AA">
      <w:pPr>
        <w:snapToGrid w:val="0"/>
        <w:rPr>
          <w:rFonts w:cs="Times New Roman"/>
          <w:color w:val="000000" w:themeColor="text1"/>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C3687F" w:rsidRPr="00613398" w14:paraId="56905CDD" w14:textId="77777777" w:rsidTr="00A60CDA">
        <w:tc>
          <w:tcPr>
            <w:tcW w:w="9759" w:type="dxa"/>
            <w:vAlign w:val="center"/>
          </w:tcPr>
          <w:p w14:paraId="46F8EC5C" w14:textId="77777777" w:rsidR="00C3687F" w:rsidRPr="000A23F9" w:rsidRDefault="00C3687F" w:rsidP="00D66D96">
            <w:pPr>
              <w:spacing w:after="120"/>
              <w:jc w:val="center"/>
              <w:rPr>
                <w:rFonts w:cs="Times New Roman"/>
                <w:b/>
              </w:rPr>
            </w:pPr>
            <w:r w:rsidRPr="000A23F9">
              <w:rPr>
                <w:rFonts w:cs="Times New Roman"/>
                <w:b/>
              </w:rPr>
              <w:br w:type="page"/>
            </w:r>
            <w:r>
              <w:rPr>
                <w:rFonts w:cs="Times New Roman"/>
                <w:b/>
              </w:rPr>
              <w:t xml:space="preserve">Mobile AC bank by species from </w:t>
            </w:r>
            <w:r w:rsidRPr="000A23F9">
              <w:rPr>
                <w:rFonts w:cs="Times New Roman"/>
                <w:b/>
              </w:rPr>
              <w:t>201</w:t>
            </w:r>
            <w:r>
              <w:rPr>
                <w:rFonts w:cs="Times New Roman"/>
                <w:b/>
              </w:rPr>
              <w:t>8</w:t>
            </w:r>
            <w:r w:rsidRPr="000A23F9">
              <w:rPr>
                <w:rFonts w:cs="Times New Roman"/>
                <w:b/>
              </w:rPr>
              <w:t xml:space="preserve"> to 20</w:t>
            </w:r>
            <w:r>
              <w:rPr>
                <w:rFonts w:cs="Times New Roman"/>
                <w:b/>
              </w:rPr>
              <w:t>30 (t</w:t>
            </w:r>
            <w:r w:rsidRPr="000A23F9">
              <w:rPr>
                <w:rFonts w:cs="Times New Roman"/>
                <w:b/>
              </w:rPr>
              <w:t>onnes)</w:t>
            </w:r>
          </w:p>
        </w:tc>
      </w:tr>
      <w:tr w:rsidR="00C3687F" w:rsidRPr="000A23F9" w14:paraId="604DFD88" w14:textId="77777777" w:rsidTr="00D66C44">
        <w:tc>
          <w:tcPr>
            <w:tcW w:w="9759" w:type="dxa"/>
            <w:vAlign w:val="center"/>
          </w:tcPr>
          <w:p w14:paraId="7B476326" w14:textId="77777777" w:rsidR="00C3687F" w:rsidRPr="000A23F9" w:rsidRDefault="00C3687F" w:rsidP="00D66C44">
            <w:pPr>
              <w:spacing w:before="60" w:after="60"/>
              <w:jc w:val="center"/>
              <w:rPr>
                <w:rFonts w:cs="Times New Roman"/>
                <w:sz w:val="16"/>
                <w:szCs w:val="16"/>
              </w:rPr>
            </w:pPr>
          </w:p>
          <w:p w14:paraId="7CB392FA" w14:textId="4943F11A" w:rsidR="00C3687F" w:rsidRPr="000A23F9" w:rsidRDefault="00D66C44" w:rsidP="00D66C44">
            <w:pPr>
              <w:spacing w:before="60" w:after="60"/>
              <w:jc w:val="center"/>
              <w:rPr>
                <w:rFonts w:cs="Times New Roman"/>
                <w:sz w:val="16"/>
                <w:szCs w:val="16"/>
              </w:rPr>
            </w:pPr>
            <w:r>
              <w:rPr>
                <w:noProof/>
                <w:lang w:val="en-AU" w:eastAsia="en-AU"/>
              </w:rPr>
              <w:drawing>
                <wp:inline distT="0" distB="0" distL="0" distR="0" wp14:anchorId="4E854205" wp14:editId="69428FE8">
                  <wp:extent cx="6030595" cy="23501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0595" cy="2350135"/>
                          </a:xfrm>
                          <a:prstGeom prst="rect">
                            <a:avLst/>
                          </a:prstGeom>
                        </pic:spPr>
                      </pic:pic>
                    </a:graphicData>
                  </a:graphic>
                </wp:inline>
              </w:drawing>
            </w:r>
          </w:p>
          <w:p w14:paraId="101A6980" w14:textId="77777777" w:rsidR="00C3687F" w:rsidRPr="000A23F9" w:rsidRDefault="00C3687F" w:rsidP="00D66C44">
            <w:pPr>
              <w:spacing w:before="60" w:after="60"/>
              <w:jc w:val="center"/>
              <w:rPr>
                <w:rFonts w:cs="Times New Roman"/>
                <w:sz w:val="16"/>
                <w:szCs w:val="16"/>
              </w:rPr>
            </w:pPr>
          </w:p>
        </w:tc>
      </w:tr>
      <w:tr w:rsidR="00C3687F" w:rsidRPr="000A23F9" w14:paraId="5E1C7AF0" w14:textId="77777777" w:rsidTr="00A60CDA">
        <w:tc>
          <w:tcPr>
            <w:tcW w:w="9759" w:type="dxa"/>
            <w:vAlign w:val="center"/>
          </w:tcPr>
          <w:p w14:paraId="2B0446CA" w14:textId="46FCED96" w:rsidR="00C3687F" w:rsidRPr="00E23B32" w:rsidRDefault="00C3687F" w:rsidP="009A23AA">
            <w:pPr>
              <w:pStyle w:val="Caption"/>
            </w:pPr>
            <w:bookmarkStart w:id="45" w:name="_Toc19601329"/>
            <w:r w:rsidRPr="00E23B32">
              <w:t xml:space="preserve">Figure </w:t>
            </w:r>
            <w:r>
              <w:rPr>
                <w:noProof/>
              </w:rPr>
              <w:fldChar w:fldCharType="begin"/>
            </w:r>
            <w:r>
              <w:rPr>
                <w:noProof/>
              </w:rPr>
              <w:instrText xml:space="preserve"> SEQ Figure \* ARABIC </w:instrText>
            </w:r>
            <w:r>
              <w:rPr>
                <w:noProof/>
              </w:rPr>
              <w:fldChar w:fldCharType="separate"/>
            </w:r>
            <w:r w:rsidR="001D0DA3">
              <w:rPr>
                <w:noProof/>
              </w:rPr>
              <w:t>7</w:t>
            </w:r>
            <w:r>
              <w:rPr>
                <w:noProof/>
              </w:rPr>
              <w:fldChar w:fldCharType="end"/>
            </w:r>
            <w:r w:rsidRPr="00E23B32">
              <w:t>:</w:t>
            </w:r>
            <w:r w:rsidRPr="00E23B32">
              <w:rPr>
                <w:bCs w:val="0"/>
              </w:rPr>
              <w:t xml:space="preserve"> Mobile AC refrigerant bank by species from 201</w:t>
            </w:r>
            <w:r>
              <w:rPr>
                <w:bCs w:val="0"/>
              </w:rPr>
              <w:t>8</w:t>
            </w:r>
            <w:r w:rsidRPr="00E23B32">
              <w:rPr>
                <w:bCs w:val="0"/>
              </w:rPr>
              <w:t xml:space="preserve"> to 2030 in </w:t>
            </w:r>
            <w:proofErr w:type="spellStart"/>
            <w:r w:rsidRPr="00E23B32">
              <w:rPr>
                <w:bCs w:val="0"/>
              </w:rPr>
              <w:t>tonnes</w:t>
            </w:r>
            <w:proofErr w:type="spellEnd"/>
            <w:r w:rsidRPr="00E23B32">
              <w:rPr>
                <w:bCs w:val="0"/>
              </w:rPr>
              <w:t>.</w:t>
            </w:r>
            <w:bookmarkEnd w:id="45"/>
          </w:p>
        </w:tc>
      </w:tr>
    </w:tbl>
    <w:p w14:paraId="05A534F0" w14:textId="77777777" w:rsidR="00C3687F" w:rsidRDefault="00C3687F" w:rsidP="009A23AA">
      <w:pPr>
        <w:spacing w:before="0"/>
        <w:rPr>
          <w:rFonts w:cs="Times New Roman"/>
          <w:sz w:val="20"/>
          <w:szCs w:val="20"/>
          <w:lang w:val="en-US"/>
        </w:rPr>
      </w:pPr>
      <w:r w:rsidRPr="00573A8B">
        <w:rPr>
          <w:rFonts w:cs="Times New Roman"/>
          <w:sz w:val="20"/>
          <w:szCs w:val="20"/>
          <w:lang w:val="en-US"/>
        </w:rPr>
        <w:t xml:space="preserve">(Source: </w:t>
      </w:r>
      <w:r>
        <w:rPr>
          <w:rFonts w:cs="Times New Roman"/>
          <w:sz w:val="20"/>
          <w:szCs w:val="20"/>
        </w:rPr>
        <w:t>CHF 2019 RAC Stock model</w:t>
      </w:r>
      <w:r w:rsidRPr="00573A8B">
        <w:rPr>
          <w:rFonts w:cs="Times New Roman"/>
          <w:sz w:val="20"/>
          <w:szCs w:val="20"/>
          <w:lang w:val="en-US"/>
        </w:rPr>
        <w:t>)</w:t>
      </w:r>
    </w:p>
    <w:p w14:paraId="684F143C" w14:textId="77777777" w:rsidR="00C3687F" w:rsidRPr="00992595" w:rsidRDefault="00C3687F" w:rsidP="009A23AA">
      <w:pPr>
        <w:spacing w:before="240"/>
        <w:rPr>
          <w:b/>
          <w:color w:val="000000" w:themeColor="text1"/>
          <w:szCs w:val="22"/>
        </w:rPr>
      </w:pPr>
      <w:r w:rsidRPr="00992595">
        <w:rPr>
          <w:b/>
          <w:color w:val="000000" w:themeColor="text1"/>
          <w:szCs w:val="22"/>
        </w:rPr>
        <w:t>Large MAC Bank</w:t>
      </w:r>
    </w:p>
    <w:p w14:paraId="3CC84333" w14:textId="2957E601" w:rsidR="00C3687F" w:rsidRPr="009B56DA" w:rsidRDefault="00C3687F" w:rsidP="009A23AA">
      <w:pPr>
        <w:snapToGrid w:val="0"/>
        <w:rPr>
          <w:rFonts w:cs="Times New Roman"/>
          <w:color w:val="000000" w:themeColor="text1"/>
          <w:szCs w:val="22"/>
        </w:rPr>
      </w:pPr>
      <w:r w:rsidRPr="009B56DA">
        <w:rPr>
          <w:rFonts w:cs="Times New Roman"/>
          <w:color w:val="000000" w:themeColor="text1"/>
          <w:szCs w:val="22"/>
        </w:rPr>
        <w:t xml:space="preserve">The more complex and specialized segment, Large MAC, includes a range of applications for which high GWP HFCs are still needed to deliver the performance required </w:t>
      </w:r>
      <w:r w:rsidR="00FA0605">
        <w:rPr>
          <w:rFonts w:cs="Times New Roman"/>
          <w:color w:val="000000" w:themeColor="text1"/>
          <w:szCs w:val="22"/>
        </w:rPr>
        <w:t>for</w:t>
      </w:r>
      <w:r w:rsidRPr="009B56DA">
        <w:rPr>
          <w:rFonts w:cs="Times New Roman"/>
          <w:color w:val="000000" w:themeColor="text1"/>
          <w:szCs w:val="22"/>
        </w:rPr>
        <w:t xml:space="preserve"> the application. Current components of the Large MAC bank that are expected to either grow or roughly maintain their share of this segment include:</w:t>
      </w:r>
    </w:p>
    <w:p w14:paraId="69C6C99A" w14:textId="1B188386" w:rsidR="00C3687F" w:rsidRPr="009B56DA" w:rsidRDefault="00C3687F"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9B56DA">
        <w:rPr>
          <w:rFonts w:ascii="Times New Roman" w:hAnsi="Times New Roman"/>
          <w:color w:val="000000" w:themeColor="text1"/>
        </w:rPr>
        <w:t xml:space="preserve">HFC-407C, from </w:t>
      </w:r>
      <w:r w:rsidR="009B56DA" w:rsidRPr="009B56DA">
        <w:rPr>
          <w:rFonts w:ascii="Times New Roman" w:hAnsi="Times New Roman"/>
          <w:color w:val="000000" w:themeColor="text1"/>
        </w:rPr>
        <w:t>442</w:t>
      </w:r>
      <w:r w:rsidRPr="009B56DA">
        <w:rPr>
          <w:rFonts w:ascii="Times New Roman" w:hAnsi="Times New Roman"/>
          <w:color w:val="000000" w:themeColor="text1"/>
        </w:rPr>
        <w:t xml:space="preserve"> tonnes in 201</w:t>
      </w:r>
      <w:r w:rsidR="000406D7" w:rsidRPr="009B56DA">
        <w:rPr>
          <w:rFonts w:ascii="Times New Roman" w:hAnsi="Times New Roman"/>
          <w:color w:val="000000" w:themeColor="text1"/>
        </w:rPr>
        <w:t>8</w:t>
      </w:r>
      <w:r w:rsidRPr="009B56DA">
        <w:rPr>
          <w:rFonts w:ascii="Times New Roman" w:hAnsi="Times New Roman"/>
          <w:color w:val="000000" w:themeColor="text1"/>
        </w:rPr>
        <w:t>, rising to a peak of 5</w:t>
      </w:r>
      <w:r w:rsidR="009B56DA" w:rsidRPr="009B56DA">
        <w:rPr>
          <w:rFonts w:ascii="Times New Roman" w:hAnsi="Times New Roman"/>
          <w:color w:val="000000" w:themeColor="text1"/>
        </w:rPr>
        <w:t>35</w:t>
      </w:r>
      <w:r w:rsidRPr="009B56DA">
        <w:rPr>
          <w:rFonts w:ascii="Times New Roman" w:hAnsi="Times New Roman"/>
          <w:color w:val="000000" w:themeColor="text1"/>
        </w:rPr>
        <w:t xml:space="preserve"> tonnes in 202</w:t>
      </w:r>
      <w:r w:rsidR="009B56DA" w:rsidRPr="009B56DA">
        <w:rPr>
          <w:rFonts w:ascii="Times New Roman" w:hAnsi="Times New Roman"/>
          <w:color w:val="000000" w:themeColor="text1"/>
        </w:rPr>
        <w:t>4</w:t>
      </w:r>
      <w:r w:rsidRPr="009B56DA">
        <w:rPr>
          <w:rFonts w:ascii="Times New Roman" w:hAnsi="Times New Roman"/>
          <w:color w:val="000000" w:themeColor="text1"/>
        </w:rPr>
        <w:t xml:space="preserve"> before starting to exhibit a gentle decline to around </w:t>
      </w:r>
      <w:r w:rsidR="009B56DA" w:rsidRPr="009B56DA">
        <w:rPr>
          <w:rFonts w:ascii="Times New Roman" w:hAnsi="Times New Roman"/>
          <w:color w:val="000000" w:themeColor="text1"/>
        </w:rPr>
        <w:t>453</w:t>
      </w:r>
      <w:r w:rsidRPr="009B56DA">
        <w:rPr>
          <w:rFonts w:ascii="Times New Roman" w:hAnsi="Times New Roman"/>
          <w:color w:val="000000" w:themeColor="text1"/>
        </w:rPr>
        <w:t xml:space="preserve"> tonnes in 2030;</w:t>
      </w:r>
    </w:p>
    <w:p w14:paraId="0A30FD21" w14:textId="7E46555E" w:rsidR="00C3687F" w:rsidRPr="009B56DA" w:rsidRDefault="00C3687F"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9B56DA">
        <w:rPr>
          <w:rFonts w:ascii="Times New Roman" w:hAnsi="Times New Roman"/>
          <w:color w:val="000000" w:themeColor="text1"/>
        </w:rPr>
        <w:t>HFC-134a, from 22</w:t>
      </w:r>
      <w:r w:rsidR="009B56DA" w:rsidRPr="009B56DA">
        <w:rPr>
          <w:rFonts w:ascii="Times New Roman" w:hAnsi="Times New Roman"/>
          <w:color w:val="000000" w:themeColor="text1"/>
        </w:rPr>
        <w:t>6</w:t>
      </w:r>
      <w:r w:rsidRPr="009B56DA">
        <w:rPr>
          <w:rFonts w:ascii="Times New Roman" w:hAnsi="Times New Roman"/>
          <w:color w:val="000000" w:themeColor="text1"/>
        </w:rPr>
        <w:t xml:space="preserve"> tonnes in 201</w:t>
      </w:r>
      <w:r w:rsidR="000406D7" w:rsidRPr="009B56DA">
        <w:rPr>
          <w:rFonts w:ascii="Times New Roman" w:hAnsi="Times New Roman"/>
          <w:color w:val="000000" w:themeColor="text1"/>
        </w:rPr>
        <w:t>8</w:t>
      </w:r>
      <w:r w:rsidRPr="009B56DA">
        <w:rPr>
          <w:rFonts w:ascii="Times New Roman" w:hAnsi="Times New Roman"/>
          <w:color w:val="000000" w:themeColor="text1"/>
        </w:rPr>
        <w:t xml:space="preserve"> to </w:t>
      </w:r>
      <w:r w:rsidR="009B56DA" w:rsidRPr="009B56DA">
        <w:rPr>
          <w:rFonts w:ascii="Times New Roman" w:hAnsi="Times New Roman"/>
          <w:color w:val="000000" w:themeColor="text1"/>
        </w:rPr>
        <w:t>148</w:t>
      </w:r>
      <w:r w:rsidRPr="009B56DA">
        <w:rPr>
          <w:rFonts w:ascii="Times New Roman" w:hAnsi="Times New Roman"/>
          <w:color w:val="000000" w:themeColor="text1"/>
        </w:rPr>
        <w:t xml:space="preserve"> tonnes in 2030; and, </w:t>
      </w:r>
    </w:p>
    <w:p w14:paraId="146B88D9" w14:textId="0A8B41D8" w:rsidR="00C3687F" w:rsidRPr="009B56DA" w:rsidRDefault="00C3687F"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9B56DA">
        <w:rPr>
          <w:rFonts w:ascii="Times New Roman" w:hAnsi="Times New Roman"/>
          <w:color w:val="000000" w:themeColor="text1"/>
        </w:rPr>
        <w:t xml:space="preserve">HFC-410A, from </w:t>
      </w:r>
      <w:r w:rsidR="009B56DA" w:rsidRPr="009B56DA">
        <w:rPr>
          <w:rFonts w:ascii="Times New Roman" w:hAnsi="Times New Roman"/>
          <w:color w:val="000000" w:themeColor="text1"/>
        </w:rPr>
        <w:t>115</w:t>
      </w:r>
      <w:r w:rsidRPr="009B56DA">
        <w:rPr>
          <w:rFonts w:ascii="Times New Roman" w:hAnsi="Times New Roman"/>
          <w:color w:val="000000" w:themeColor="text1"/>
        </w:rPr>
        <w:t xml:space="preserve"> tonnes in 201</w:t>
      </w:r>
      <w:r w:rsidR="000406D7" w:rsidRPr="009B56DA">
        <w:rPr>
          <w:rFonts w:ascii="Times New Roman" w:hAnsi="Times New Roman"/>
          <w:color w:val="000000" w:themeColor="text1"/>
        </w:rPr>
        <w:t>8</w:t>
      </w:r>
      <w:r w:rsidRPr="009B56DA">
        <w:rPr>
          <w:rFonts w:ascii="Times New Roman" w:hAnsi="Times New Roman"/>
          <w:color w:val="000000" w:themeColor="text1"/>
        </w:rPr>
        <w:t xml:space="preserve"> to </w:t>
      </w:r>
      <w:r w:rsidR="009B56DA" w:rsidRPr="009B56DA">
        <w:rPr>
          <w:rFonts w:ascii="Times New Roman" w:hAnsi="Times New Roman"/>
          <w:color w:val="000000" w:themeColor="text1"/>
        </w:rPr>
        <w:t>176</w:t>
      </w:r>
      <w:r w:rsidRPr="009B56DA">
        <w:rPr>
          <w:rFonts w:ascii="Times New Roman" w:hAnsi="Times New Roman"/>
          <w:color w:val="000000" w:themeColor="text1"/>
        </w:rPr>
        <w:t xml:space="preserve"> tonnes in 2030.</w:t>
      </w:r>
    </w:p>
    <w:p w14:paraId="7C6DA699" w14:textId="08E8937B" w:rsidR="00C3687F" w:rsidRPr="00DC5DA8" w:rsidRDefault="00C3687F" w:rsidP="009A23AA">
      <w:pPr>
        <w:snapToGrid w:val="0"/>
        <w:rPr>
          <w:rFonts w:cs="Times New Roman"/>
          <w:color w:val="000000" w:themeColor="text1"/>
          <w:szCs w:val="22"/>
        </w:rPr>
      </w:pPr>
      <w:r w:rsidRPr="009B56DA">
        <w:rPr>
          <w:rFonts w:cs="Times New Roman"/>
          <w:color w:val="000000" w:themeColor="text1"/>
          <w:szCs w:val="22"/>
        </w:rPr>
        <w:t xml:space="preserve">The Large MAC bank is predicted to grow from around </w:t>
      </w:r>
      <w:r w:rsidR="009B56DA" w:rsidRPr="009B56DA">
        <w:rPr>
          <w:rFonts w:cs="Times New Roman"/>
          <w:color w:val="000000" w:themeColor="text1"/>
          <w:szCs w:val="22"/>
        </w:rPr>
        <w:t>805</w:t>
      </w:r>
      <w:r w:rsidRPr="009B56DA">
        <w:rPr>
          <w:rFonts w:cs="Times New Roman"/>
          <w:color w:val="000000" w:themeColor="text1"/>
          <w:szCs w:val="22"/>
        </w:rPr>
        <w:t xml:space="preserve"> tonnes in 201</w:t>
      </w:r>
      <w:r w:rsidR="000406D7" w:rsidRPr="009B56DA">
        <w:rPr>
          <w:rFonts w:cs="Times New Roman"/>
          <w:color w:val="000000" w:themeColor="text1"/>
          <w:szCs w:val="22"/>
        </w:rPr>
        <w:t>8</w:t>
      </w:r>
      <w:r w:rsidRPr="009B56DA">
        <w:rPr>
          <w:rFonts w:cs="Times New Roman"/>
          <w:color w:val="000000" w:themeColor="text1"/>
          <w:szCs w:val="22"/>
        </w:rPr>
        <w:t xml:space="preserve"> to approximately 1,0</w:t>
      </w:r>
      <w:r w:rsidR="009B56DA" w:rsidRPr="009B56DA">
        <w:rPr>
          <w:rFonts w:cs="Times New Roman"/>
          <w:color w:val="000000" w:themeColor="text1"/>
          <w:szCs w:val="22"/>
        </w:rPr>
        <w:t>26</w:t>
      </w:r>
      <w:r w:rsidRPr="009B56DA">
        <w:rPr>
          <w:rFonts w:cs="Times New Roman"/>
          <w:color w:val="000000" w:themeColor="text1"/>
          <w:szCs w:val="22"/>
        </w:rPr>
        <w:t xml:space="preserve"> tonnes</w:t>
      </w:r>
      <w:r w:rsidRPr="00DC5DA8">
        <w:rPr>
          <w:rFonts w:cs="Times New Roman"/>
          <w:color w:val="000000" w:themeColor="text1"/>
          <w:szCs w:val="22"/>
        </w:rPr>
        <w:t xml:space="preserve"> in 2030, at that time comprising around 1.5% of the total bank</w:t>
      </w:r>
      <w:r>
        <w:rPr>
          <w:rFonts w:cs="Times New Roman"/>
          <w:color w:val="000000" w:themeColor="text1"/>
          <w:szCs w:val="22"/>
        </w:rPr>
        <w:t xml:space="preserve"> of high GWP refrigerants</w:t>
      </w:r>
      <w:r w:rsidRPr="00DC5DA8">
        <w:rPr>
          <w:rFonts w:cs="Times New Roman"/>
          <w:color w:val="000000" w:themeColor="text1"/>
          <w:szCs w:val="22"/>
        </w:rPr>
        <w:t>.</w:t>
      </w:r>
    </w:p>
    <w:p w14:paraId="159D3D83" w14:textId="36443FF2" w:rsidR="00C3687F" w:rsidRPr="00DC5DA8" w:rsidRDefault="00C3687F" w:rsidP="009A23AA">
      <w:pPr>
        <w:snapToGrid w:val="0"/>
        <w:rPr>
          <w:rFonts w:cs="Times New Roman"/>
          <w:color w:val="000000" w:themeColor="text1"/>
          <w:szCs w:val="22"/>
        </w:rPr>
      </w:pPr>
      <w:r w:rsidRPr="00DC5DA8">
        <w:rPr>
          <w:rFonts w:cs="Times New Roman"/>
          <w:color w:val="000000" w:themeColor="text1"/>
          <w:szCs w:val="22"/>
        </w:rPr>
        <w:t xml:space="preserve">While there are some low GWP refrigerants in this segment, HFC-407C is predicted to continue to be employed in a significant </w:t>
      </w:r>
      <w:r w:rsidRPr="00E40622">
        <w:rPr>
          <w:rFonts w:cs="Times New Roman"/>
          <w:color w:val="000000" w:themeColor="text1"/>
          <w:szCs w:val="22"/>
        </w:rPr>
        <w:t>portion of the equipment in this segment, rising to a peak of 5</w:t>
      </w:r>
      <w:r w:rsidR="00E40622" w:rsidRPr="00E40622">
        <w:rPr>
          <w:rFonts w:cs="Times New Roman"/>
          <w:color w:val="000000" w:themeColor="text1"/>
          <w:szCs w:val="22"/>
        </w:rPr>
        <w:t>34</w:t>
      </w:r>
      <w:r w:rsidRPr="00E40622">
        <w:rPr>
          <w:rFonts w:cs="Times New Roman"/>
          <w:color w:val="000000" w:themeColor="text1"/>
          <w:szCs w:val="22"/>
        </w:rPr>
        <w:t xml:space="preserve"> tonnes in 202</w:t>
      </w:r>
      <w:r w:rsidR="00E40622" w:rsidRPr="00E40622">
        <w:rPr>
          <w:rFonts w:cs="Times New Roman"/>
          <w:color w:val="000000" w:themeColor="text1"/>
          <w:szCs w:val="22"/>
        </w:rPr>
        <w:t>4</w:t>
      </w:r>
      <w:r w:rsidRPr="00E40622">
        <w:rPr>
          <w:rFonts w:cs="Times New Roman"/>
          <w:color w:val="000000" w:themeColor="text1"/>
          <w:szCs w:val="22"/>
        </w:rPr>
        <w:t>.</w:t>
      </w:r>
      <w:r w:rsidR="00FA0605">
        <w:rPr>
          <w:rFonts w:cs="Times New Roman"/>
          <w:color w:val="000000" w:themeColor="text1"/>
          <w:szCs w:val="22"/>
        </w:rPr>
        <w:t xml:space="preserve"> </w:t>
      </w:r>
      <w:r w:rsidR="00FA0605" w:rsidRPr="00FA0605">
        <w:rPr>
          <w:rFonts w:cs="Times New Roman"/>
          <w:color w:val="000000" w:themeColor="text1"/>
          <w:szCs w:val="22"/>
        </w:rPr>
        <w:t xml:space="preserve">The larger charge sizes used in large buses and trains </w:t>
      </w:r>
      <w:r w:rsidR="00FA0605">
        <w:rPr>
          <w:rFonts w:cs="Times New Roman"/>
          <w:color w:val="000000" w:themeColor="text1"/>
          <w:szCs w:val="22"/>
        </w:rPr>
        <w:t xml:space="preserve">for public transport </w:t>
      </w:r>
      <w:r w:rsidR="00FA0605" w:rsidRPr="00FA0605">
        <w:rPr>
          <w:rFonts w:cs="Times New Roman"/>
          <w:color w:val="000000" w:themeColor="text1"/>
          <w:szCs w:val="22"/>
        </w:rPr>
        <w:t>means the mild flammability of low</w:t>
      </w:r>
      <w:r w:rsidR="00FA0605">
        <w:rPr>
          <w:rFonts w:cs="Times New Roman"/>
          <w:color w:val="000000" w:themeColor="text1"/>
          <w:szCs w:val="22"/>
        </w:rPr>
        <w:t>er</w:t>
      </w:r>
      <w:r w:rsidR="00FA0605" w:rsidRPr="00FA0605">
        <w:rPr>
          <w:rFonts w:cs="Times New Roman"/>
          <w:color w:val="000000" w:themeColor="text1"/>
          <w:szCs w:val="22"/>
        </w:rPr>
        <w:t xml:space="preserve"> GWP refrigerants may be </w:t>
      </w:r>
      <w:r w:rsidR="006625D9">
        <w:rPr>
          <w:rFonts w:cs="Times New Roman"/>
          <w:color w:val="000000" w:themeColor="text1"/>
          <w:szCs w:val="22"/>
        </w:rPr>
        <w:t>influencing</w:t>
      </w:r>
      <w:r w:rsidR="00FA0605">
        <w:rPr>
          <w:rFonts w:cs="Times New Roman"/>
          <w:color w:val="000000" w:themeColor="text1"/>
          <w:szCs w:val="22"/>
        </w:rPr>
        <w:t xml:space="preserve"> refrigerant </w:t>
      </w:r>
      <w:r w:rsidR="00FA0605" w:rsidRPr="00FA0605">
        <w:rPr>
          <w:rFonts w:cs="Times New Roman"/>
          <w:color w:val="000000" w:themeColor="text1"/>
          <w:szCs w:val="22"/>
        </w:rPr>
        <w:t>choice.</w:t>
      </w:r>
    </w:p>
    <w:p w14:paraId="4C4D7CDE" w14:textId="470AD01A" w:rsidR="00C3687F" w:rsidRDefault="00C3687F" w:rsidP="009A23AA">
      <w:pPr>
        <w:snapToGrid w:val="0"/>
        <w:rPr>
          <w:rFonts w:cs="Times New Roman"/>
          <w:color w:val="000000" w:themeColor="text1"/>
          <w:szCs w:val="22"/>
        </w:rPr>
      </w:pPr>
      <w:r w:rsidRPr="00DC5DA8">
        <w:rPr>
          <w:rFonts w:cs="Times New Roman"/>
          <w:color w:val="000000" w:themeColor="text1"/>
          <w:szCs w:val="22"/>
        </w:rPr>
        <w:t>During the projection period nearly all of the currently HCFC-22 charged Large MAC systems are expected to be retired or be retrofitted. HCFC-22 in this segment is predicted to fall from around 33 tonnes presently to effectively zero by 2030.</w:t>
      </w:r>
    </w:p>
    <w:p w14:paraId="04DE5548" w14:textId="77777777" w:rsidR="003A1844" w:rsidRPr="00BB1479" w:rsidRDefault="003A1844" w:rsidP="009A23AA">
      <w:pPr>
        <w:snapToGrid w:val="0"/>
        <w:rPr>
          <w:rFonts w:cs="Times New Roman"/>
          <w:color w:val="000000" w:themeColor="text1"/>
        </w:rPr>
      </w:pPr>
    </w:p>
    <w:p w14:paraId="53BC25EA" w14:textId="77777777" w:rsidR="00C3687F" w:rsidRDefault="00C3687F" w:rsidP="009A23AA">
      <w:pPr>
        <w:pStyle w:val="Heading3"/>
        <w:jc w:val="both"/>
      </w:pPr>
      <w:bookmarkStart w:id="46" w:name="_Toc19601297"/>
      <w:r>
        <w:t>Service rates and emissions projection</w:t>
      </w:r>
      <w:bookmarkEnd w:id="46"/>
    </w:p>
    <w:p w14:paraId="740776F8" w14:textId="77777777" w:rsidR="00C3687F" w:rsidRPr="00992595" w:rsidRDefault="00C3687F" w:rsidP="009A23AA">
      <w:pPr>
        <w:rPr>
          <w:b/>
          <w:color w:val="000000" w:themeColor="text1"/>
          <w:szCs w:val="22"/>
        </w:rPr>
      </w:pPr>
      <w:r w:rsidRPr="00992595">
        <w:rPr>
          <w:b/>
          <w:color w:val="000000" w:themeColor="text1"/>
          <w:szCs w:val="22"/>
        </w:rPr>
        <w:t>Service Rates</w:t>
      </w:r>
    </w:p>
    <w:p w14:paraId="5D6BF6B0" w14:textId="5AE67A28" w:rsidR="00C3687F" w:rsidRPr="00C43463" w:rsidRDefault="00C3687F" w:rsidP="009A23AA">
      <w:pPr>
        <w:rPr>
          <w:szCs w:val="22"/>
        </w:rPr>
      </w:pPr>
      <w:r w:rsidRPr="00C43463">
        <w:rPr>
          <w:szCs w:val="22"/>
        </w:rPr>
        <w:t xml:space="preserve">Estimates of bulk refrigerant use for servicing the vehicle fleet in </w:t>
      </w:r>
      <w:r w:rsidRPr="00CE7662">
        <w:rPr>
          <w:szCs w:val="22"/>
        </w:rPr>
        <w:t xml:space="preserve">2018 is </w:t>
      </w:r>
      <w:r w:rsidR="00F206F3">
        <w:rPr>
          <w:szCs w:val="22"/>
        </w:rPr>
        <w:t>636</w:t>
      </w:r>
      <w:r w:rsidRPr="00CE7662">
        <w:rPr>
          <w:szCs w:val="22"/>
        </w:rPr>
        <w:t xml:space="preserve"> tonnes, </w:t>
      </w:r>
      <w:r w:rsidRPr="00F24C59">
        <w:rPr>
          <w:szCs w:val="22"/>
        </w:rPr>
        <w:t xml:space="preserve">or an </w:t>
      </w:r>
      <w:r w:rsidRPr="00F206F3">
        <w:rPr>
          <w:szCs w:val="22"/>
        </w:rPr>
        <w:t>estimated 1</w:t>
      </w:r>
      <w:r w:rsidR="00F206F3" w:rsidRPr="00F206F3">
        <w:rPr>
          <w:szCs w:val="22"/>
        </w:rPr>
        <w:t>8</w:t>
      </w:r>
      <w:r w:rsidRPr="00F206F3">
        <w:rPr>
          <w:szCs w:val="22"/>
        </w:rPr>
        <w:t xml:space="preserve">% </w:t>
      </w:r>
      <w:r w:rsidRPr="00F24C59">
        <w:rPr>
          <w:szCs w:val="22"/>
        </w:rPr>
        <w:t>of all bulk HCFCs and HFCs used in Australia in 2018.</w:t>
      </w:r>
      <w:r w:rsidRPr="00C43463">
        <w:rPr>
          <w:szCs w:val="22"/>
        </w:rPr>
        <w:t xml:space="preserve"> This refrigerant was used to replace leaked refrigerant </w:t>
      </w:r>
      <w:r>
        <w:rPr>
          <w:szCs w:val="22"/>
        </w:rPr>
        <w:t>from operating vehicles</w:t>
      </w:r>
      <w:r w:rsidR="009B56DA">
        <w:rPr>
          <w:szCs w:val="22"/>
        </w:rPr>
        <w:t>, equipment repairs and smash repairs.</w:t>
      </w:r>
    </w:p>
    <w:p w14:paraId="11E39BAD" w14:textId="77777777" w:rsidR="00C3687F" w:rsidRPr="00C43463" w:rsidRDefault="00C3687F" w:rsidP="009A23AA">
      <w:pPr>
        <w:rPr>
          <w:szCs w:val="22"/>
        </w:rPr>
      </w:pPr>
      <w:r w:rsidRPr="00F24C59">
        <w:rPr>
          <w:szCs w:val="22"/>
        </w:rPr>
        <w:t>This estimate of 2018 service refrigerant is a very robust value and is based on five consecutive years of surveying of market participants who supply more than 95% of this market. The survey results are summarised in the table below</w:t>
      </w:r>
      <w:r>
        <w:rPr>
          <w:szCs w:val="22"/>
        </w:rPr>
        <w:t xml:space="preserve"> although these values</w:t>
      </w:r>
      <w:r w:rsidRPr="00F24C59">
        <w:rPr>
          <w:szCs w:val="22"/>
        </w:rPr>
        <w:t xml:space="preserve"> do not take into account any aftermarket recovery and reuse.</w:t>
      </w:r>
    </w:p>
    <w:p w14:paraId="63D7F83D" w14:textId="77777777" w:rsidR="00C3687F" w:rsidRPr="00C00439" w:rsidRDefault="00C3687F" w:rsidP="009A23AA">
      <w:pPr>
        <w:rPr>
          <w:color w:val="00B0F0"/>
          <w:szCs w:val="22"/>
        </w:rPr>
      </w:pPr>
    </w:p>
    <w:p w14:paraId="6F5B256F" w14:textId="697BB02D" w:rsidR="00C3687F" w:rsidRPr="00EB4664" w:rsidRDefault="00C3687F" w:rsidP="009A23AA">
      <w:pPr>
        <w:pStyle w:val="Caption"/>
        <w:keepNext/>
        <w:rPr>
          <w:color w:val="000000" w:themeColor="text1"/>
          <w:lang w:val="en-AU"/>
        </w:rPr>
      </w:pPr>
      <w:bookmarkStart w:id="47" w:name="_Toc19601360"/>
      <w:r w:rsidRPr="00EB4664">
        <w:rPr>
          <w:color w:val="000000" w:themeColor="text1"/>
        </w:rPr>
        <w:t xml:space="preserve">Table </w:t>
      </w:r>
      <w:r w:rsidRPr="00EB4664">
        <w:rPr>
          <w:noProof/>
          <w:color w:val="000000" w:themeColor="text1"/>
        </w:rPr>
        <w:fldChar w:fldCharType="begin"/>
      </w:r>
      <w:r w:rsidRPr="00EB4664">
        <w:rPr>
          <w:noProof/>
          <w:color w:val="000000" w:themeColor="text1"/>
        </w:rPr>
        <w:instrText xml:space="preserve"> SEQ Table \* ARABIC </w:instrText>
      </w:r>
      <w:r w:rsidRPr="00EB4664">
        <w:rPr>
          <w:noProof/>
          <w:color w:val="000000" w:themeColor="text1"/>
        </w:rPr>
        <w:fldChar w:fldCharType="separate"/>
      </w:r>
      <w:r w:rsidR="001D0DA3">
        <w:rPr>
          <w:noProof/>
          <w:color w:val="000000" w:themeColor="text1"/>
        </w:rPr>
        <w:t>8</w:t>
      </w:r>
      <w:r w:rsidRPr="00EB4664">
        <w:rPr>
          <w:noProof/>
          <w:color w:val="000000" w:themeColor="text1"/>
        </w:rPr>
        <w:fldChar w:fldCharType="end"/>
      </w:r>
      <w:r w:rsidRPr="00EB4664">
        <w:rPr>
          <w:color w:val="000000" w:themeColor="text1"/>
        </w:rPr>
        <w:t xml:space="preserve">: </w:t>
      </w:r>
      <w:r w:rsidRPr="00EB4664">
        <w:rPr>
          <w:color w:val="000000" w:themeColor="text1"/>
          <w:lang w:val="en-AU"/>
        </w:rPr>
        <w:t>Volumes of HFC-134a sold by calendar year (kilograms) based on aftermarket supplier survey.</w:t>
      </w:r>
      <w:bookmarkEnd w:id="47"/>
    </w:p>
    <w:tbl>
      <w:tblPr>
        <w:tblStyle w:val="TableGrid"/>
        <w:tblW w:w="9498" w:type="dxa"/>
        <w:tblInd w:w="-5" w:type="dxa"/>
        <w:tblLook w:val="04A0" w:firstRow="1" w:lastRow="0" w:firstColumn="1" w:lastColumn="0" w:noHBand="0" w:noVBand="1"/>
      </w:tblPr>
      <w:tblGrid>
        <w:gridCol w:w="1927"/>
        <w:gridCol w:w="1928"/>
        <w:gridCol w:w="1928"/>
        <w:gridCol w:w="1928"/>
        <w:gridCol w:w="1787"/>
      </w:tblGrid>
      <w:tr w:rsidR="00C3687F" w:rsidRPr="00EB4664" w14:paraId="064DADF0" w14:textId="77777777" w:rsidTr="009B56DA">
        <w:tc>
          <w:tcPr>
            <w:tcW w:w="1927" w:type="dxa"/>
            <w:tcBorders>
              <w:right w:val="single" w:sz="4" w:space="0" w:color="000000"/>
            </w:tcBorders>
            <w:shd w:val="clear" w:color="auto" w:fill="B6DDE8" w:themeFill="accent5" w:themeFillTint="66"/>
          </w:tcPr>
          <w:p w14:paraId="16B7F509" w14:textId="77777777" w:rsidR="00C3687F" w:rsidRPr="00EB4664" w:rsidRDefault="00C3687F" w:rsidP="009B56DA">
            <w:pPr>
              <w:spacing w:after="120"/>
              <w:jc w:val="center"/>
              <w:rPr>
                <w:color w:val="000000" w:themeColor="text1"/>
                <w:szCs w:val="22"/>
                <w:lang w:val="en-AU"/>
              </w:rPr>
            </w:pPr>
            <w:r w:rsidRPr="00EB4664">
              <w:rPr>
                <w:color w:val="000000" w:themeColor="text1"/>
                <w:szCs w:val="22"/>
                <w:lang w:val="en-AU"/>
              </w:rPr>
              <w:t>2014</w:t>
            </w:r>
          </w:p>
        </w:tc>
        <w:tc>
          <w:tcPr>
            <w:tcW w:w="1928" w:type="dxa"/>
            <w:tcBorders>
              <w:left w:val="single" w:sz="4" w:space="0" w:color="000000"/>
              <w:right w:val="single" w:sz="4" w:space="0" w:color="000000"/>
            </w:tcBorders>
            <w:shd w:val="clear" w:color="auto" w:fill="B6DDE8" w:themeFill="accent5" w:themeFillTint="66"/>
          </w:tcPr>
          <w:p w14:paraId="2A40085A" w14:textId="77777777" w:rsidR="00C3687F" w:rsidRPr="00EB4664" w:rsidRDefault="00C3687F" w:rsidP="009B56DA">
            <w:pPr>
              <w:spacing w:after="120"/>
              <w:jc w:val="center"/>
              <w:rPr>
                <w:color w:val="000000" w:themeColor="text1"/>
                <w:szCs w:val="22"/>
                <w:lang w:val="en-AU"/>
              </w:rPr>
            </w:pPr>
            <w:r w:rsidRPr="00EB4664">
              <w:rPr>
                <w:color w:val="000000" w:themeColor="text1"/>
                <w:szCs w:val="22"/>
                <w:lang w:val="en-AU"/>
              </w:rPr>
              <w:t>2015</w:t>
            </w:r>
          </w:p>
        </w:tc>
        <w:tc>
          <w:tcPr>
            <w:tcW w:w="1928" w:type="dxa"/>
            <w:tcBorders>
              <w:left w:val="single" w:sz="4" w:space="0" w:color="000000"/>
            </w:tcBorders>
            <w:shd w:val="clear" w:color="auto" w:fill="B6DDE8" w:themeFill="accent5" w:themeFillTint="66"/>
          </w:tcPr>
          <w:p w14:paraId="758D335E" w14:textId="77777777" w:rsidR="00C3687F" w:rsidRPr="00EB4664" w:rsidRDefault="00C3687F" w:rsidP="009B56DA">
            <w:pPr>
              <w:spacing w:after="120"/>
              <w:jc w:val="center"/>
              <w:rPr>
                <w:color w:val="000000" w:themeColor="text1"/>
                <w:szCs w:val="22"/>
                <w:lang w:val="en-AU"/>
              </w:rPr>
            </w:pPr>
            <w:r w:rsidRPr="00EB4664">
              <w:rPr>
                <w:color w:val="000000" w:themeColor="text1"/>
                <w:szCs w:val="22"/>
                <w:lang w:val="en-AU"/>
              </w:rPr>
              <w:t>2016</w:t>
            </w:r>
          </w:p>
        </w:tc>
        <w:tc>
          <w:tcPr>
            <w:tcW w:w="1928" w:type="dxa"/>
            <w:tcBorders>
              <w:left w:val="single" w:sz="4" w:space="0" w:color="000000"/>
            </w:tcBorders>
            <w:shd w:val="clear" w:color="auto" w:fill="B6DDE8" w:themeFill="accent5" w:themeFillTint="66"/>
          </w:tcPr>
          <w:p w14:paraId="44F892B6" w14:textId="77777777" w:rsidR="00C3687F" w:rsidRPr="00EB4664" w:rsidRDefault="00C3687F" w:rsidP="009B56DA">
            <w:pPr>
              <w:spacing w:after="120"/>
              <w:jc w:val="center"/>
              <w:rPr>
                <w:color w:val="000000" w:themeColor="text1"/>
                <w:szCs w:val="22"/>
                <w:lang w:val="en-AU"/>
              </w:rPr>
            </w:pPr>
            <w:r>
              <w:rPr>
                <w:color w:val="000000" w:themeColor="text1"/>
                <w:szCs w:val="22"/>
                <w:lang w:val="en-AU"/>
              </w:rPr>
              <w:t>2017</w:t>
            </w:r>
          </w:p>
        </w:tc>
        <w:tc>
          <w:tcPr>
            <w:tcW w:w="1787" w:type="dxa"/>
            <w:tcBorders>
              <w:left w:val="single" w:sz="4" w:space="0" w:color="000000"/>
            </w:tcBorders>
            <w:shd w:val="clear" w:color="auto" w:fill="B6DDE8" w:themeFill="accent5" w:themeFillTint="66"/>
          </w:tcPr>
          <w:p w14:paraId="0F2129CF" w14:textId="77777777" w:rsidR="00C3687F" w:rsidRPr="00EB4664" w:rsidRDefault="00C3687F" w:rsidP="009B56DA">
            <w:pPr>
              <w:spacing w:after="120"/>
              <w:jc w:val="center"/>
              <w:rPr>
                <w:color w:val="000000" w:themeColor="text1"/>
                <w:szCs w:val="22"/>
                <w:lang w:val="en-AU"/>
              </w:rPr>
            </w:pPr>
            <w:r>
              <w:rPr>
                <w:color w:val="000000" w:themeColor="text1"/>
                <w:szCs w:val="22"/>
                <w:lang w:val="en-AU"/>
              </w:rPr>
              <w:t>2018</w:t>
            </w:r>
          </w:p>
        </w:tc>
      </w:tr>
      <w:tr w:rsidR="00C3687F" w:rsidRPr="00EB4664" w14:paraId="7B9A3FCD" w14:textId="77777777" w:rsidTr="009B56DA">
        <w:tc>
          <w:tcPr>
            <w:tcW w:w="1927" w:type="dxa"/>
          </w:tcPr>
          <w:p w14:paraId="6D168B74" w14:textId="77777777" w:rsidR="00C3687F" w:rsidRPr="00EB4664" w:rsidRDefault="00C3687F" w:rsidP="009B56DA">
            <w:pPr>
              <w:spacing w:after="120"/>
              <w:jc w:val="center"/>
              <w:rPr>
                <w:color w:val="000000" w:themeColor="text1"/>
                <w:szCs w:val="22"/>
                <w:lang w:val="en-AU"/>
              </w:rPr>
            </w:pPr>
            <w:r w:rsidRPr="00EB4664">
              <w:rPr>
                <w:color w:val="000000" w:themeColor="text1"/>
                <w:szCs w:val="22"/>
              </w:rPr>
              <w:t>557,429</w:t>
            </w:r>
          </w:p>
        </w:tc>
        <w:tc>
          <w:tcPr>
            <w:tcW w:w="1928" w:type="dxa"/>
          </w:tcPr>
          <w:p w14:paraId="14F0D4FC" w14:textId="77777777" w:rsidR="00C3687F" w:rsidRPr="00EB4664" w:rsidRDefault="00C3687F" w:rsidP="009B56DA">
            <w:pPr>
              <w:spacing w:after="120"/>
              <w:jc w:val="center"/>
              <w:rPr>
                <w:color w:val="000000" w:themeColor="text1"/>
                <w:szCs w:val="22"/>
                <w:lang w:val="en-AU"/>
              </w:rPr>
            </w:pPr>
            <w:r w:rsidRPr="00EB4664">
              <w:rPr>
                <w:color w:val="000000" w:themeColor="text1"/>
                <w:szCs w:val="22"/>
              </w:rPr>
              <w:t>563,655</w:t>
            </w:r>
          </w:p>
        </w:tc>
        <w:tc>
          <w:tcPr>
            <w:tcW w:w="1928" w:type="dxa"/>
          </w:tcPr>
          <w:p w14:paraId="76277420" w14:textId="77777777" w:rsidR="00C3687F" w:rsidRPr="00EB4664" w:rsidRDefault="00C3687F" w:rsidP="009B56DA">
            <w:pPr>
              <w:spacing w:after="120"/>
              <w:jc w:val="center"/>
              <w:rPr>
                <w:color w:val="000000" w:themeColor="text1"/>
                <w:szCs w:val="22"/>
                <w:lang w:val="en-AU"/>
              </w:rPr>
            </w:pPr>
            <w:r w:rsidRPr="00EB4664">
              <w:rPr>
                <w:color w:val="000000" w:themeColor="text1"/>
                <w:szCs w:val="22"/>
              </w:rPr>
              <w:t>569,996</w:t>
            </w:r>
          </w:p>
        </w:tc>
        <w:tc>
          <w:tcPr>
            <w:tcW w:w="1928" w:type="dxa"/>
          </w:tcPr>
          <w:p w14:paraId="629EF2BF" w14:textId="4F497074" w:rsidR="00C3687F" w:rsidRPr="00EB4664" w:rsidRDefault="0028008A" w:rsidP="009B56DA">
            <w:pPr>
              <w:spacing w:after="120"/>
              <w:jc w:val="center"/>
              <w:rPr>
                <w:color w:val="000000" w:themeColor="text1"/>
                <w:szCs w:val="22"/>
              </w:rPr>
            </w:pPr>
            <w:r>
              <w:rPr>
                <w:color w:val="000000" w:themeColor="text1"/>
                <w:szCs w:val="22"/>
              </w:rPr>
              <w:t>654,590</w:t>
            </w:r>
          </w:p>
        </w:tc>
        <w:tc>
          <w:tcPr>
            <w:tcW w:w="1787" w:type="dxa"/>
          </w:tcPr>
          <w:p w14:paraId="06D384CC" w14:textId="69994868" w:rsidR="00C3687F" w:rsidRPr="00EB4664" w:rsidRDefault="0028008A" w:rsidP="009B56DA">
            <w:pPr>
              <w:spacing w:after="120"/>
              <w:jc w:val="center"/>
              <w:rPr>
                <w:color w:val="000000" w:themeColor="text1"/>
                <w:szCs w:val="22"/>
              </w:rPr>
            </w:pPr>
            <w:r>
              <w:rPr>
                <w:color w:val="000000" w:themeColor="text1"/>
                <w:szCs w:val="22"/>
              </w:rPr>
              <w:t>636,425</w:t>
            </w:r>
          </w:p>
        </w:tc>
      </w:tr>
    </w:tbl>
    <w:p w14:paraId="678E966E" w14:textId="77777777" w:rsidR="00C3687F" w:rsidRPr="00EB4664" w:rsidRDefault="00C3687F" w:rsidP="009A23AA">
      <w:pPr>
        <w:spacing w:before="60" w:after="60"/>
        <w:rPr>
          <w:rFonts w:cs="Times New Roman"/>
          <w:color w:val="000000" w:themeColor="text1"/>
          <w:sz w:val="20"/>
          <w:szCs w:val="20"/>
          <w:lang w:val="en-AU"/>
        </w:rPr>
      </w:pPr>
      <w:r w:rsidRPr="00EB4664">
        <w:rPr>
          <w:rFonts w:cs="Times New Roman"/>
          <w:color w:val="000000" w:themeColor="text1"/>
          <w:sz w:val="20"/>
          <w:szCs w:val="20"/>
          <w:lang w:val="en-AU"/>
        </w:rPr>
        <w:t>Notes:</w:t>
      </w:r>
    </w:p>
    <w:p w14:paraId="642DD6A5" w14:textId="77777777" w:rsidR="00C3687F" w:rsidRPr="00EB4664" w:rsidRDefault="00C3687F" w:rsidP="009A23AA">
      <w:pPr>
        <w:pStyle w:val="ListParagraph"/>
        <w:numPr>
          <w:ilvl w:val="0"/>
          <w:numId w:val="5"/>
        </w:numPr>
        <w:spacing w:before="60" w:after="60" w:line="240" w:lineRule="auto"/>
        <w:contextualSpacing w:val="0"/>
        <w:jc w:val="both"/>
        <w:rPr>
          <w:rFonts w:ascii="Times New Roman" w:hAnsi="Times New Roman"/>
          <w:color w:val="000000" w:themeColor="text1"/>
          <w:sz w:val="20"/>
          <w:szCs w:val="20"/>
          <w:lang w:val="en-AU"/>
        </w:rPr>
      </w:pPr>
      <w:r w:rsidRPr="00EB4664">
        <w:rPr>
          <w:rFonts w:ascii="Times New Roman" w:hAnsi="Times New Roman"/>
          <w:color w:val="000000" w:themeColor="text1"/>
          <w:sz w:val="20"/>
          <w:szCs w:val="20"/>
          <w:lang w:val="en-AU"/>
        </w:rPr>
        <w:t>Excludes volumes supplied to major OEMs (i.e. Toyota, Holden, Ford) for the manufacture of vehicles</w:t>
      </w:r>
      <w:r>
        <w:rPr>
          <w:rFonts w:ascii="Times New Roman" w:hAnsi="Times New Roman"/>
          <w:color w:val="000000" w:themeColor="text1"/>
          <w:sz w:val="20"/>
          <w:szCs w:val="20"/>
          <w:lang w:val="en-AU"/>
        </w:rPr>
        <w:t xml:space="preserve"> up to October 2017 when manufacturing in of vehicles in Australia ceased</w:t>
      </w:r>
      <w:r w:rsidRPr="00EB4664">
        <w:rPr>
          <w:rFonts w:ascii="Times New Roman" w:hAnsi="Times New Roman"/>
          <w:color w:val="000000" w:themeColor="text1"/>
          <w:sz w:val="20"/>
          <w:szCs w:val="20"/>
          <w:lang w:val="en-AU"/>
        </w:rPr>
        <w:t>.</w:t>
      </w:r>
    </w:p>
    <w:p w14:paraId="4D906C3B" w14:textId="77777777" w:rsidR="00C3687F" w:rsidRPr="00EB4664" w:rsidRDefault="00C3687F" w:rsidP="009A23AA">
      <w:pPr>
        <w:pStyle w:val="ListParagraph"/>
        <w:numPr>
          <w:ilvl w:val="0"/>
          <w:numId w:val="5"/>
        </w:numPr>
        <w:spacing w:before="60" w:after="60" w:line="240" w:lineRule="auto"/>
        <w:contextualSpacing w:val="0"/>
        <w:jc w:val="both"/>
        <w:rPr>
          <w:rFonts w:ascii="Times New Roman" w:hAnsi="Times New Roman"/>
          <w:color w:val="000000" w:themeColor="text1"/>
          <w:sz w:val="20"/>
          <w:szCs w:val="20"/>
          <w:lang w:val="en-AU"/>
        </w:rPr>
      </w:pPr>
      <w:r w:rsidRPr="00EB4664">
        <w:rPr>
          <w:rFonts w:ascii="Times New Roman" w:hAnsi="Times New Roman"/>
          <w:color w:val="000000" w:themeColor="text1"/>
          <w:sz w:val="20"/>
          <w:szCs w:val="20"/>
          <w:lang w:val="en-AU"/>
        </w:rPr>
        <w:t>HFC-134a including all variants such as R134a UV plus.</w:t>
      </w:r>
    </w:p>
    <w:p w14:paraId="3894E9AD" w14:textId="77777777" w:rsidR="00C3687F" w:rsidRPr="00EB4664" w:rsidRDefault="00C3687F" w:rsidP="009A23AA">
      <w:pPr>
        <w:pStyle w:val="ListParagraph"/>
        <w:numPr>
          <w:ilvl w:val="0"/>
          <w:numId w:val="5"/>
        </w:numPr>
        <w:spacing w:before="60" w:after="60" w:line="240" w:lineRule="auto"/>
        <w:contextualSpacing w:val="0"/>
        <w:jc w:val="both"/>
        <w:rPr>
          <w:rFonts w:ascii="Times New Roman" w:hAnsi="Times New Roman"/>
          <w:color w:val="000000" w:themeColor="text1"/>
          <w:sz w:val="20"/>
          <w:szCs w:val="20"/>
          <w:lang w:val="en-AU"/>
        </w:rPr>
      </w:pPr>
      <w:r w:rsidRPr="00EB4664">
        <w:rPr>
          <w:rFonts w:ascii="Times New Roman" w:hAnsi="Times New Roman"/>
          <w:color w:val="000000" w:themeColor="text1"/>
          <w:sz w:val="20"/>
          <w:szCs w:val="20"/>
          <w:lang w:val="en-AU"/>
        </w:rPr>
        <w:t xml:space="preserve">Survey participants includes Ashdown-Ingram, </w:t>
      </w:r>
      <w:proofErr w:type="spellStart"/>
      <w:r w:rsidRPr="00EB4664">
        <w:rPr>
          <w:rFonts w:ascii="Times New Roman" w:hAnsi="Times New Roman"/>
          <w:color w:val="000000" w:themeColor="text1"/>
          <w:sz w:val="20"/>
          <w:szCs w:val="20"/>
          <w:lang w:val="en-AU"/>
        </w:rPr>
        <w:t>Cooldrive</w:t>
      </w:r>
      <w:proofErr w:type="spellEnd"/>
      <w:r w:rsidRPr="00EB4664">
        <w:rPr>
          <w:rFonts w:ascii="Times New Roman" w:hAnsi="Times New Roman"/>
          <w:color w:val="000000" w:themeColor="text1"/>
          <w:sz w:val="20"/>
          <w:szCs w:val="20"/>
          <w:lang w:val="en-AU"/>
        </w:rPr>
        <w:t xml:space="preserve">, </w:t>
      </w:r>
      <w:proofErr w:type="spellStart"/>
      <w:r w:rsidRPr="00EB4664">
        <w:rPr>
          <w:rFonts w:ascii="Times New Roman" w:hAnsi="Times New Roman"/>
          <w:color w:val="000000" w:themeColor="text1"/>
          <w:sz w:val="20"/>
          <w:szCs w:val="20"/>
          <w:lang w:val="en-AU"/>
        </w:rPr>
        <w:t>Burson</w:t>
      </w:r>
      <w:proofErr w:type="spellEnd"/>
      <w:r w:rsidRPr="00EB4664">
        <w:rPr>
          <w:rFonts w:ascii="Times New Roman" w:hAnsi="Times New Roman"/>
          <w:color w:val="000000" w:themeColor="text1"/>
          <w:sz w:val="20"/>
          <w:szCs w:val="20"/>
          <w:lang w:val="en-AU"/>
        </w:rPr>
        <w:t xml:space="preserve">, Repco, JAS Oceania, Highgate, BOC, </w:t>
      </w:r>
      <w:proofErr w:type="spellStart"/>
      <w:r w:rsidRPr="00EB4664">
        <w:rPr>
          <w:rFonts w:ascii="Times New Roman" w:hAnsi="Times New Roman"/>
          <w:color w:val="000000" w:themeColor="text1"/>
          <w:sz w:val="20"/>
          <w:szCs w:val="20"/>
          <w:lang w:val="en-AU"/>
        </w:rPr>
        <w:t>Heatcraft</w:t>
      </w:r>
      <w:proofErr w:type="spellEnd"/>
      <w:r w:rsidRPr="00EB4664">
        <w:rPr>
          <w:rFonts w:ascii="Times New Roman" w:hAnsi="Times New Roman"/>
          <w:color w:val="000000" w:themeColor="text1"/>
          <w:sz w:val="20"/>
          <w:szCs w:val="20"/>
          <w:lang w:val="en-AU"/>
        </w:rPr>
        <w:t xml:space="preserve">, </w:t>
      </w:r>
      <w:proofErr w:type="spellStart"/>
      <w:r w:rsidRPr="00EB4664">
        <w:rPr>
          <w:rFonts w:ascii="Times New Roman" w:hAnsi="Times New Roman"/>
          <w:color w:val="000000" w:themeColor="text1"/>
          <w:sz w:val="20"/>
          <w:szCs w:val="20"/>
          <w:lang w:val="en-AU"/>
        </w:rPr>
        <w:t>Actrol</w:t>
      </w:r>
      <w:proofErr w:type="spellEnd"/>
      <w:r w:rsidRPr="00EB4664">
        <w:rPr>
          <w:rFonts w:ascii="Times New Roman" w:hAnsi="Times New Roman"/>
          <w:color w:val="000000" w:themeColor="text1"/>
          <w:sz w:val="20"/>
          <w:szCs w:val="20"/>
          <w:lang w:val="en-AU"/>
        </w:rPr>
        <w:t xml:space="preserve"> and an allowance of 10 tonnes for Ready Gas, and miscellaneous independent wholesalers.</w:t>
      </w:r>
    </w:p>
    <w:p w14:paraId="43D56E4F" w14:textId="77777777" w:rsidR="00C3687F" w:rsidRPr="00EB4664" w:rsidRDefault="00C3687F" w:rsidP="009A23AA">
      <w:pPr>
        <w:pStyle w:val="ListParagraph"/>
        <w:numPr>
          <w:ilvl w:val="0"/>
          <w:numId w:val="5"/>
        </w:numPr>
        <w:spacing w:before="60" w:after="60" w:line="240" w:lineRule="auto"/>
        <w:contextualSpacing w:val="0"/>
        <w:jc w:val="both"/>
        <w:rPr>
          <w:rFonts w:ascii="Times New Roman" w:hAnsi="Times New Roman"/>
          <w:color w:val="000000" w:themeColor="text1"/>
          <w:sz w:val="20"/>
          <w:szCs w:val="20"/>
          <w:lang w:val="en-AU"/>
        </w:rPr>
      </w:pPr>
      <w:r w:rsidRPr="00EB4664">
        <w:rPr>
          <w:rFonts w:ascii="Times New Roman" w:hAnsi="Times New Roman"/>
          <w:color w:val="000000" w:themeColor="text1"/>
          <w:sz w:val="20"/>
          <w:szCs w:val="20"/>
          <w:lang w:val="en-AU"/>
        </w:rPr>
        <w:t>The above volumes do not account for refrigerant recovery and re-use that may occur in workshops.</w:t>
      </w:r>
    </w:p>
    <w:p w14:paraId="6DF5AC15" w14:textId="77777777" w:rsidR="00C3687F" w:rsidRPr="00C00439" w:rsidRDefault="00C3687F" w:rsidP="009A23AA">
      <w:pPr>
        <w:rPr>
          <w:color w:val="00B0F0"/>
          <w:szCs w:val="22"/>
        </w:rPr>
      </w:pPr>
    </w:p>
    <w:p w14:paraId="04D7843D" w14:textId="5A1A9EC0" w:rsidR="00C3687F" w:rsidRDefault="00C3687F" w:rsidP="009A23AA">
      <w:pPr>
        <w:rPr>
          <w:color w:val="000000" w:themeColor="text1"/>
          <w:szCs w:val="22"/>
        </w:rPr>
      </w:pPr>
      <w:r w:rsidRPr="009B56DA">
        <w:rPr>
          <w:color w:val="000000" w:themeColor="text1"/>
          <w:szCs w:val="22"/>
        </w:rPr>
        <w:t>The Expert Group has conducted a number of studies in recent years that indicate underservicing in the MAC fleet</w:t>
      </w:r>
      <w:r w:rsidR="00FE0CAE" w:rsidRPr="009B56DA">
        <w:rPr>
          <w:color w:val="000000" w:themeColor="text1"/>
          <w:szCs w:val="22"/>
        </w:rPr>
        <w:t xml:space="preserve">. </w:t>
      </w:r>
      <w:r w:rsidRPr="009B56DA">
        <w:rPr>
          <w:color w:val="000000" w:themeColor="text1"/>
          <w:szCs w:val="22"/>
        </w:rPr>
        <w:t xml:space="preserve">The degree of underservicing is indicated by the partial charge found in MAC in end-of-life vehicles (ELVs). Assuming an average vehicle life of 18.6 years, </w:t>
      </w:r>
      <w:r w:rsidR="00FE0CAE" w:rsidRPr="009B56DA">
        <w:rPr>
          <w:color w:val="000000" w:themeColor="text1"/>
          <w:szCs w:val="22"/>
        </w:rPr>
        <w:t>noting that service consumption of gas in 2018 was equivalent to 5.3% of the total MAC bank in passenger vehicles</w:t>
      </w:r>
      <w:r w:rsidRPr="009B56DA">
        <w:rPr>
          <w:color w:val="000000" w:themeColor="text1"/>
          <w:szCs w:val="22"/>
        </w:rPr>
        <w:t xml:space="preserve">, and noting the consistent observation that ELVs on average contain 67% of the original refrigerant charge, implies a leak rate across the fleet of MAC of just </w:t>
      </w:r>
      <w:r w:rsidR="009B56DA" w:rsidRPr="009B56DA">
        <w:rPr>
          <w:color w:val="000000" w:themeColor="text1"/>
          <w:szCs w:val="22"/>
        </w:rPr>
        <w:t>7.1</w:t>
      </w:r>
      <w:r w:rsidRPr="009B56DA">
        <w:rPr>
          <w:color w:val="000000" w:themeColor="text1"/>
          <w:szCs w:val="22"/>
        </w:rPr>
        <w:t>%</w:t>
      </w:r>
      <w:r w:rsidR="00FE0CAE" w:rsidRPr="009B56DA">
        <w:rPr>
          <w:color w:val="000000" w:themeColor="text1"/>
          <w:szCs w:val="22"/>
        </w:rPr>
        <w:t>.</w:t>
      </w:r>
    </w:p>
    <w:p w14:paraId="15E27B4E" w14:textId="28DC41B8" w:rsidR="00C3687F" w:rsidRPr="00C00439" w:rsidRDefault="00C3687F" w:rsidP="009A23AA">
      <w:pPr>
        <w:rPr>
          <w:color w:val="00B0F0"/>
          <w:szCs w:val="22"/>
        </w:rPr>
      </w:pPr>
      <w:r w:rsidRPr="00083417">
        <w:rPr>
          <w:color w:val="000000" w:themeColor="text1"/>
          <w:szCs w:val="22"/>
        </w:rPr>
        <w:t xml:space="preserve">This is </w:t>
      </w:r>
      <w:r w:rsidRPr="00083417">
        <w:rPr>
          <w:szCs w:val="22"/>
        </w:rPr>
        <w:t xml:space="preserve">significantly lower than the leak rate used in earlier studies of 11.8%, a value that has been an internationally accepted average leak rate for MAC. In the absence of any better data CHF 2019 has applied an average leak rate across the MAC fleet of </w:t>
      </w:r>
      <w:r w:rsidR="009B56DA" w:rsidRPr="00083417">
        <w:rPr>
          <w:szCs w:val="22"/>
        </w:rPr>
        <w:t>7.1</w:t>
      </w:r>
      <w:r w:rsidRPr="00083417">
        <w:rPr>
          <w:szCs w:val="22"/>
        </w:rPr>
        <w:t>%</w:t>
      </w:r>
      <w:r w:rsidR="009B56DA" w:rsidRPr="00083417">
        <w:rPr>
          <w:szCs w:val="22"/>
        </w:rPr>
        <w:t xml:space="preserve"> in 2018</w:t>
      </w:r>
      <w:r w:rsidRPr="00083417">
        <w:rPr>
          <w:szCs w:val="22"/>
        </w:rPr>
        <w:t>.</w:t>
      </w:r>
    </w:p>
    <w:p w14:paraId="2CA10CAB" w14:textId="5027E14A" w:rsidR="00C3687F" w:rsidRPr="006D05EB" w:rsidRDefault="00C3687F" w:rsidP="009A23AA">
      <w:pPr>
        <w:rPr>
          <w:szCs w:val="22"/>
        </w:rPr>
      </w:pPr>
      <w:r w:rsidRPr="0083185C">
        <w:rPr>
          <w:szCs w:val="22"/>
        </w:rPr>
        <w:t xml:space="preserve">Assuming that servicing of the Australian fleet of MAC is consistently replacing around 75% </w:t>
      </w:r>
      <w:r w:rsidR="0083185C" w:rsidRPr="0083185C">
        <w:rPr>
          <w:szCs w:val="22"/>
        </w:rPr>
        <w:t xml:space="preserve">(i.e. 5.3% divided by 7.1%) </w:t>
      </w:r>
      <w:r w:rsidRPr="0083185C">
        <w:rPr>
          <w:szCs w:val="22"/>
        </w:rPr>
        <w:t>of the annual losses, then the actual bank of working gases across the entire stock of MAC is about 93% of the fully charged capacity of that stock of equipment.</w:t>
      </w:r>
      <w:r w:rsidRPr="006D05EB">
        <w:rPr>
          <w:szCs w:val="22"/>
        </w:rPr>
        <w:t xml:space="preserve"> </w:t>
      </w:r>
    </w:p>
    <w:p w14:paraId="396FD1D7" w14:textId="77777777" w:rsidR="00C3687F" w:rsidRDefault="00C3687F" w:rsidP="009A23AA">
      <w:pPr>
        <w:rPr>
          <w:color w:val="000000" w:themeColor="text1"/>
          <w:szCs w:val="22"/>
        </w:rPr>
      </w:pPr>
      <w:r w:rsidRPr="00EB4664">
        <w:rPr>
          <w:color w:val="000000" w:themeColor="text1"/>
          <w:szCs w:val="22"/>
        </w:rPr>
        <w:t>This new understanding about MAC leak rates in Australia, the degree of underservicing of the fleet, and new data sets revealing previously hidden product categories, has resulted in far higher resolution of the mass flows of refrigerant into this major end use segment.</w:t>
      </w:r>
    </w:p>
    <w:p w14:paraId="11D1F728" w14:textId="77777777" w:rsidR="00C3687F" w:rsidRPr="00992595" w:rsidRDefault="00C3687F" w:rsidP="009A23AA">
      <w:pPr>
        <w:spacing w:before="240"/>
        <w:rPr>
          <w:b/>
          <w:color w:val="000000" w:themeColor="text1"/>
          <w:szCs w:val="22"/>
        </w:rPr>
      </w:pPr>
      <w:r w:rsidRPr="00992595">
        <w:rPr>
          <w:b/>
          <w:color w:val="000000" w:themeColor="text1"/>
          <w:szCs w:val="22"/>
        </w:rPr>
        <w:t>Direct emissions projection</w:t>
      </w:r>
    </w:p>
    <w:p w14:paraId="3F036909" w14:textId="106D2C15" w:rsidR="00C3687F" w:rsidRPr="00DC5DA8" w:rsidRDefault="00F92313" w:rsidP="009A23AA">
      <w:pPr>
        <w:rPr>
          <w:rFonts w:cs="Times New Roman"/>
          <w:color w:val="000000" w:themeColor="text1"/>
          <w:szCs w:val="22"/>
        </w:rPr>
      </w:pPr>
      <w:r>
        <w:rPr>
          <w:rFonts w:cs="Times New Roman"/>
          <w:color w:val="000000" w:themeColor="text1"/>
          <w:szCs w:val="22"/>
        </w:rPr>
        <w:t>W</w:t>
      </w:r>
      <w:r w:rsidR="00C3687F" w:rsidRPr="00016697">
        <w:rPr>
          <w:rFonts w:cs="Times New Roman"/>
          <w:color w:val="000000" w:themeColor="text1"/>
          <w:szCs w:val="22"/>
        </w:rPr>
        <w:t xml:space="preserve">hile the vehicle fleet is expected to </w:t>
      </w:r>
      <w:r w:rsidR="00C3687F">
        <w:rPr>
          <w:rFonts w:cs="Times New Roman"/>
          <w:color w:val="000000" w:themeColor="text1"/>
          <w:szCs w:val="22"/>
        </w:rPr>
        <w:t xml:space="preserve">continue to </w:t>
      </w:r>
      <w:r w:rsidR="00C3687F" w:rsidRPr="00016697">
        <w:rPr>
          <w:rFonts w:cs="Times New Roman"/>
          <w:color w:val="000000" w:themeColor="text1"/>
          <w:szCs w:val="22"/>
        </w:rPr>
        <w:t xml:space="preserve">grow substantially, small MAC is expected to reduce its contribution to </w:t>
      </w:r>
      <w:r w:rsidR="00F22B6C">
        <w:rPr>
          <w:rFonts w:cs="Times New Roman"/>
          <w:color w:val="000000" w:themeColor="text1"/>
          <w:szCs w:val="22"/>
        </w:rPr>
        <w:t xml:space="preserve">annual </w:t>
      </w:r>
      <w:r w:rsidR="00C3687F" w:rsidRPr="00016697">
        <w:rPr>
          <w:rFonts w:cs="Times New Roman"/>
          <w:color w:val="000000" w:themeColor="text1"/>
          <w:szCs w:val="22"/>
        </w:rPr>
        <w:t xml:space="preserve">direct </w:t>
      </w:r>
      <w:r w:rsidR="00C3687F">
        <w:rPr>
          <w:rFonts w:cs="Times New Roman"/>
          <w:color w:val="000000" w:themeColor="text1"/>
          <w:szCs w:val="22"/>
        </w:rPr>
        <w:t xml:space="preserve">GHG </w:t>
      </w:r>
      <w:r w:rsidR="00C3687F" w:rsidRPr="00016697">
        <w:rPr>
          <w:rFonts w:cs="Times New Roman"/>
          <w:color w:val="000000" w:themeColor="text1"/>
          <w:szCs w:val="22"/>
        </w:rPr>
        <w:t xml:space="preserve">emissions by more than </w:t>
      </w:r>
      <w:r w:rsidR="00C3687F">
        <w:rPr>
          <w:rFonts w:cs="Times New Roman"/>
          <w:color w:val="000000" w:themeColor="text1"/>
          <w:szCs w:val="22"/>
        </w:rPr>
        <w:t>30</w:t>
      </w:r>
      <w:r w:rsidR="00C3687F" w:rsidRPr="00016697">
        <w:rPr>
          <w:rFonts w:cs="Times New Roman"/>
          <w:color w:val="000000" w:themeColor="text1"/>
          <w:szCs w:val="22"/>
        </w:rPr>
        <w:t>%</w:t>
      </w:r>
      <w:r w:rsidR="00C3687F">
        <w:rPr>
          <w:rFonts w:cs="Times New Roman"/>
          <w:color w:val="000000" w:themeColor="text1"/>
          <w:szCs w:val="22"/>
        </w:rPr>
        <w:t>,</w:t>
      </w:r>
      <w:r w:rsidR="00C3687F" w:rsidRPr="00016697">
        <w:rPr>
          <w:rFonts w:cs="Times New Roman"/>
          <w:color w:val="000000" w:themeColor="text1"/>
          <w:szCs w:val="22"/>
        </w:rPr>
        <w:t xml:space="preserve"> from a 2018 estimate of more than 1.</w:t>
      </w:r>
      <w:r w:rsidR="00045599">
        <w:rPr>
          <w:rFonts w:cs="Times New Roman"/>
          <w:color w:val="000000" w:themeColor="text1"/>
          <w:szCs w:val="22"/>
        </w:rPr>
        <w:t>2</w:t>
      </w:r>
      <w:r w:rsidR="00C3687F" w:rsidRPr="00016697">
        <w:rPr>
          <w:rFonts w:cs="Times New Roman"/>
          <w:color w:val="000000" w:themeColor="text1"/>
          <w:szCs w:val="22"/>
        </w:rPr>
        <w:t xml:space="preserve"> million tonnes CO</w:t>
      </w:r>
      <w:r w:rsidR="00C3687F" w:rsidRPr="00016697">
        <w:rPr>
          <w:rFonts w:cs="Times New Roman"/>
          <w:color w:val="000000" w:themeColor="text1"/>
          <w:szCs w:val="22"/>
          <w:vertAlign w:val="subscript"/>
        </w:rPr>
        <w:t>2</w:t>
      </w:r>
      <w:r w:rsidR="00C3687F" w:rsidRPr="00016697">
        <w:rPr>
          <w:rFonts w:cs="Times New Roman"/>
          <w:color w:val="000000" w:themeColor="text1"/>
          <w:szCs w:val="22"/>
        </w:rPr>
        <w:t xml:space="preserve">e to around </w:t>
      </w:r>
      <w:r w:rsidR="00045599">
        <w:rPr>
          <w:rFonts w:cs="Times New Roman"/>
          <w:color w:val="000000" w:themeColor="text1"/>
          <w:szCs w:val="22"/>
        </w:rPr>
        <w:t>850</w:t>
      </w:r>
      <w:r w:rsidR="00C3687F" w:rsidRPr="00016697">
        <w:rPr>
          <w:rFonts w:cs="Times New Roman"/>
          <w:color w:val="000000" w:themeColor="text1"/>
          <w:szCs w:val="22"/>
        </w:rPr>
        <w:t>,000 tonnes CO</w:t>
      </w:r>
      <w:r w:rsidR="00C3687F" w:rsidRPr="00016697">
        <w:rPr>
          <w:rFonts w:cs="Times New Roman"/>
          <w:color w:val="000000" w:themeColor="text1"/>
          <w:szCs w:val="22"/>
          <w:vertAlign w:val="subscript"/>
        </w:rPr>
        <w:t>2</w:t>
      </w:r>
      <w:r w:rsidR="00C3687F" w:rsidRPr="00016697">
        <w:rPr>
          <w:rFonts w:cs="Times New Roman"/>
          <w:color w:val="000000" w:themeColor="text1"/>
          <w:szCs w:val="22"/>
        </w:rPr>
        <w:t>e in 2030</w:t>
      </w:r>
      <w:r>
        <w:rPr>
          <w:rFonts w:cs="Times New Roman"/>
          <w:color w:val="000000" w:themeColor="text1"/>
          <w:szCs w:val="22"/>
        </w:rPr>
        <w:t xml:space="preserve">, </w:t>
      </w:r>
      <w:r w:rsidRPr="00016697">
        <w:rPr>
          <w:rFonts w:cs="Times New Roman"/>
          <w:color w:val="000000" w:themeColor="text1"/>
          <w:szCs w:val="22"/>
        </w:rPr>
        <w:t xml:space="preserve">as a result of the </w:t>
      </w:r>
      <w:r w:rsidR="00FE0CAE">
        <w:rPr>
          <w:rFonts w:cs="Times New Roman"/>
          <w:color w:val="000000" w:themeColor="text1"/>
          <w:szCs w:val="22"/>
        </w:rPr>
        <w:t>expected</w:t>
      </w:r>
      <w:r w:rsidRPr="00016697">
        <w:rPr>
          <w:rFonts w:cs="Times New Roman"/>
          <w:color w:val="000000" w:themeColor="text1"/>
          <w:szCs w:val="22"/>
        </w:rPr>
        <w:t xml:space="preserve"> adoption of HFOs by vehicle manufacturers</w:t>
      </w:r>
      <w:r w:rsidR="006B3CCF">
        <w:rPr>
          <w:rFonts w:cs="Times New Roman"/>
          <w:color w:val="000000" w:themeColor="text1"/>
          <w:szCs w:val="22"/>
        </w:rPr>
        <w:t xml:space="preserve"> and continuing improvements in containment of refrigerant in new vehicle MAC</w:t>
      </w:r>
      <w:r w:rsidR="00C3687F" w:rsidRPr="00016697">
        <w:rPr>
          <w:rFonts w:cs="Times New Roman"/>
          <w:color w:val="000000" w:themeColor="text1"/>
          <w:szCs w:val="22"/>
        </w:rPr>
        <w:t xml:space="preserve">. This results in an overall decline in direct emissions from </w:t>
      </w:r>
      <w:r w:rsidR="00F22B6C">
        <w:rPr>
          <w:rFonts w:cs="Times New Roman"/>
          <w:color w:val="000000" w:themeColor="text1"/>
          <w:szCs w:val="22"/>
        </w:rPr>
        <w:t xml:space="preserve">the overall </w:t>
      </w:r>
      <w:r w:rsidR="00C3687F" w:rsidRPr="00016697">
        <w:rPr>
          <w:rFonts w:cs="Times New Roman"/>
          <w:color w:val="000000" w:themeColor="text1"/>
          <w:szCs w:val="22"/>
        </w:rPr>
        <w:t xml:space="preserve">MAC </w:t>
      </w:r>
      <w:r w:rsidR="00F22B6C">
        <w:rPr>
          <w:rFonts w:cs="Times New Roman"/>
          <w:color w:val="000000" w:themeColor="text1"/>
          <w:szCs w:val="22"/>
        </w:rPr>
        <w:t xml:space="preserve">class </w:t>
      </w:r>
      <w:r w:rsidR="00C3687F" w:rsidRPr="00016697">
        <w:rPr>
          <w:rFonts w:cs="Times New Roman"/>
          <w:color w:val="000000" w:themeColor="text1"/>
          <w:szCs w:val="22"/>
        </w:rPr>
        <w:t xml:space="preserve">of </w:t>
      </w:r>
      <w:r w:rsidR="00C3687F">
        <w:rPr>
          <w:rFonts w:cs="Times New Roman"/>
          <w:color w:val="000000" w:themeColor="text1"/>
          <w:szCs w:val="22"/>
        </w:rPr>
        <w:t>around 28</w:t>
      </w:r>
      <w:r w:rsidR="00C3687F" w:rsidRPr="00016697">
        <w:rPr>
          <w:rFonts w:cs="Times New Roman"/>
          <w:color w:val="000000" w:themeColor="text1"/>
          <w:szCs w:val="22"/>
        </w:rPr>
        <w:t>%, even while losses from large MAC</w:t>
      </w:r>
      <w:r w:rsidR="00C3687F">
        <w:rPr>
          <w:rFonts w:cs="Times New Roman"/>
          <w:color w:val="000000" w:themeColor="text1"/>
          <w:szCs w:val="22"/>
        </w:rPr>
        <w:t xml:space="preserve"> </w:t>
      </w:r>
      <w:r w:rsidR="00C3687F" w:rsidRPr="00016697">
        <w:rPr>
          <w:rFonts w:cs="Times New Roman"/>
          <w:color w:val="000000" w:themeColor="text1"/>
          <w:szCs w:val="22"/>
        </w:rPr>
        <w:t>rise slightly from around 1</w:t>
      </w:r>
      <w:r w:rsidR="00C3687F">
        <w:rPr>
          <w:rFonts w:cs="Times New Roman"/>
          <w:color w:val="000000" w:themeColor="text1"/>
          <w:szCs w:val="22"/>
        </w:rPr>
        <w:t>1</w:t>
      </w:r>
      <w:r w:rsidR="00045599">
        <w:rPr>
          <w:rFonts w:cs="Times New Roman"/>
          <w:color w:val="000000" w:themeColor="text1"/>
          <w:szCs w:val="22"/>
        </w:rPr>
        <w:t>4</w:t>
      </w:r>
      <w:r w:rsidR="00C3687F" w:rsidRPr="00016697">
        <w:rPr>
          <w:rFonts w:cs="Times New Roman"/>
          <w:color w:val="000000" w:themeColor="text1"/>
          <w:szCs w:val="22"/>
        </w:rPr>
        <w:t>,000 tonnes CO</w:t>
      </w:r>
      <w:r w:rsidR="00C3687F" w:rsidRPr="00016697">
        <w:rPr>
          <w:rFonts w:cs="Times New Roman"/>
          <w:color w:val="000000" w:themeColor="text1"/>
          <w:szCs w:val="22"/>
          <w:vertAlign w:val="subscript"/>
        </w:rPr>
        <w:t>2</w:t>
      </w:r>
      <w:r w:rsidR="00C3687F" w:rsidRPr="00016697">
        <w:rPr>
          <w:rFonts w:cs="Times New Roman"/>
          <w:color w:val="000000" w:themeColor="text1"/>
          <w:szCs w:val="22"/>
        </w:rPr>
        <w:t>e</w:t>
      </w:r>
      <w:r w:rsidR="00C3687F">
        <w:rPr>
          <w:rFonts w:cs="Times New Roman"/>
          <w:color w:val="000000" w:themeColor="text1"/>
          <w:szCs w:val="22"/>
        </w:rPr>
        <w:t xml:space="preserve">, then decline to </w:t>
      </w:r>
      <w:r w:rsidR="00045599" w:rsidRPr="00016697">
        <w:rPr>
          <w:rFonts w:cs="Times New Roman"/>
          <w:color w:val="000000" w:themeColor="text1"/>
          <w:szCs w:val="22"/>
        </w:rPr>
        <w:t>1</w:t>
      </w:r>
      <w:r w:rsidR="00045599">
        <w:rPr>
          <w:rFonts w:cs="Times New Roman"/>
          <w:color w:val="000000" w:themeColor="text1"/>
          <w:szCs w:val="22"/>
        </w:rPr>
        <w:t>21</w:t>
      </w:r>
      <w:r w:rsidR="00045599" w:rsidRPr="00016697">
        <w:rPr>
          <w:rFonts w:cs="Times New Roman"/>
          <w:color w:val="000000" w:themeColor="text1"/>
          <w:szCs w:val="22"/>
        </w:rPr>
        <w:t>,000 tonnes CO</w:t>
      </w:r>
      <w:r w:rsidR="00045599" w:rsidRPr="00016697">
        <w:rPr>
          <w:rFonts w:cs="Times New Roman"/>
          <w:color w:val="000000" w:themeColor="text1"/>
          <w:szCs w:val="22"/>
          <w:vertAlign w:val="subscript"/>
        </w:rPr>
        <w:t>2</w:t>
      </w:r>
      <w:r w:rsidR="00045599" w:rsidRPr="00016697">
        <w:rPr>
          <w:rFonts w:cs="Times New Roman"/>
          <w:color w:val="000000" w:themeColor="text1"/>
          <w:szCs w:val="22"/>
        </w:rPr>
        <w:t>e</w:t>
      </w:r>
      <w:r w:rsidR="00C3687F">
        <w:rPr>
          <w:rFonts w:cs="Times New Roman"/>
          <w:color w:val="000000" w:themeColor="text1"/>
          <w:szCs w:val="22"/>
        </w:rPr>
        <w:t xml:space="preserve"> in 2030.</w:t>
      </w:r>
    </w:p>
    <w:p w14:paraId="60E9B13D" w14:textId="77777777" w:rsidR="00C3687F" w:rsidRDefault="00C3687F" w:rsidP="009A23AA">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C3687F" w:rsidRPr="00613398" w14:paraId="64EF903C" w14:textId="77777777" w:rsidTr="00A60CDA">
        <w:tc>
          <w:tcPr>
            <w:tcW w:w="9759" w:type="dxa"/>
            <w:vAlign w:val="center"/>
          </w:tcPr>
          <w:p w14:paraId="004151E6" w14:textId="38A04383" w:rsidR="00C3687F" w:rsidRPr="000A23F9" w:rsidRDefault="00C3687F" w:rsidP="00D66D96">
            <w:pPr>
              <w:spacing w:after="120"/>
              <w:jc w:val="center"/>
              <w:rPr>
                <w:rFonts w:cs="Times New Roman"/>
                <w:b/>
              </w:rPr>
            </w:pPr>
            <w:r w:rsidRPr="000A23F9">
              <w:rPr>
                <w:rFonts w:cs="Times New Roman"/>
                <w:b/>
              </w:rPr>
              <w:br w:type="page"/>
            </w:r>
            <w:r>
              <w:rPr>
                <w:rFonts w:cs="Times New Roman"/>
                <w:b/>
              </w:rPr>
              <w:t xml:space="preserve">Mobile AC: </w:t>
            </w:r>
            <w:r w:rsidRPr="000A23F9">
              <w:rPr>
                <w:rFonts w:cs="Times New Roman"/>
                <w:b/>
              </w:rPr>
              <w:br w:type="page"/>
            </w:r>
            <w:r>
              <w:rPr>
                <w:rFonts w:cs="Times New Roman"/>
                <w:b/>
              </w:rPr>
              <w:t xml:space="preserve">Direct emissions by species from </w:t>
            </w:r>
            <w:r w:rsidRPr="000A23F9">
              <w:rPr>
                <w:rFonts w:cs="Times New Roman"/>
                <w:b/>
              </w:rPr>
              <w:t>201</w:t>
            </w:r>
            <w:r w:rsidR="000406D7">
              <w:rPr>
                <w:rFonts w:cs="Times New Roman"/>
                <w:b/>
              </w:rPr>
              <w:t>8</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Mt CO</w:t>
            </w:r>
            <w:r w:rsidRPr="00B918A6">
              <w:rPr>
                <w:rFonts w:cs="Times New Roman"/>
                <w:b/>
                <w:vertAlign w:val="subscript"/>
              </w:rPr>
              <w:t>2</w:t>
            </w:r>
            <w:r>
              <w:rPr>
                <w:rFonts w:cs="Times New Roman"/>
                <w:b/>
              </w:rPr>
              <w:t>e</w:t>
            </w:r>
            <w:r w:rsidRPr="000A23F9">
              <w:rPr>
                <w:rFonts w:cs="Times New Roman"/>
                <w:b/>
              </w:rPr>
              <w:t>)</w:t>
            </w:r>
          </w:p>
        </w:tc>
      </w:tr>
      <w:tr w:rsidR="00C3687F" w:rsidRPr="000A23F9" w14:paraId="369291DD" w14:textId="77777777" w:rsidTr="00045599">
        <w:tc>
          <w:tcPr>
            <w:tcW w:w="9759" w:type="dxa"/>
            <w:vAlign w:val="center"/>
          </w:tcPr>
          <w:p w14:paraId="557D4A07" w14:textId="77777777" w:rsidR="00C3687F" w:rsidRPr="000A23F9" w:rsidRDefault="00C3687F" w:rsidP="00045599">
            <w:pPr>
              <w:spacing w:before="60" w:after="60"/>
              <w:jc w:val="center"/>
              <w:rPr>
                <w:rFonts w:cs="Times New Roman"/>
                <w:sz w:val="16"/>
                <w:szCs w:val="16"/>
              </w:rPr>
            </w:pPr>
          </w:p>
          <w:p w14:paraId="428DDCEA" w14:textId="5226686C" w:rsidR="00C3687F" w:rsidRPr="000A23F9" w:rsidRDefault="00045599" w:rsidP="00045599">
            <w:pPr>
              <w:spacing w:before="60" w:after="60"/>
              <w:jc w:val="center"/>
              <w:rPr>
                <w:rFonts w:cs="Times New Roman"/>
                <w:sz w:val="16"/>
                <w:szCs w:val="16"/>
              </w:rPr>
            </w:pPr>
            <w:r>
              <w:rPr>
                <w:noProof/>
                <w:lang w:val="en-AU" w:eastAsia="en-AU"/>
              </w:rPr>
              <w:drawing>
                <wp:inline distT="0" distB="0" distL="0" distR="0" wp14:anchorId="2680CED4" wp14:editId="368B5B74">
                  <wp:extent cx="6030595" cy="207581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0595" cy="2075815"/>
                          </a:xfrm>
                          <a:prstGeom prst="rect">
                            <a:avLst/>
                          </a:prstGeom>
                        </pic:spPr>
                      </pic:pic>
                    </a:graphicData>
                  </a:graphic>
                </wp:inline>
              </w:drawing>
            </w:r>
          </w:p>
          <w:p w14:paraId="5760C5D6" w14:textId="77777777" w:rsidR="00C3687F" w:rsidRPr="000A23F9" w:rsidRDefault="00C3687F" w:rsidP="00045599">
            <w:pPr>
              <w:spacing w:before="60" w:after="60"/>
              <w:jc w:val="center"/>
              <w:rPr>
                <w:rFonts w:cs="Times New Roman"/>
                <w:sz w:val="16"/>
                <w:szCs w:val="16"/>
              </w:rPr>
            </w:pPr>
          </w:p>
        </w:tc>
      </w:tr>
      <w:tr w:rsidR="00C3687F" w:rsidRPr="000A23F9" w14:paraId="071AD7D0" w14:textId="77777777" w:rsidTr="00A60CDA">
        <w:tc>
          <w:tcPr>
            <w:tcW w:w="9759" w:type="dxa"/>
            <w:vAlign w:val="center"/>
          </w:tcPr>
          <w:p w14:paraId="2FF28D13" w14:textId="2135C9DE" w:rsidR="00C3687F" w:rsidRPr="0023612A" w:rsidRDefault="00C3687F" w:rsidP="009A23AA">
            <w:pPr>
              <w:pStyle w:val="Caption"/>
            </w:pPr>
            <w:bookmarkStart w:id="48" w:name="_Toc19601330"/>
            <w:r w:rsidRPr="0023612A">
              <w:t xml:space="preserve">Figure </w:t>
            </w:r>
            <w:r>
              <w:rPr>
                <w:noProof/>
              </w:rPr>
              <w:fldChar w:fldCharType="begin"/>
            </w:r>
            <w:r>
              <w:rPr>
                <w:noProof/>
              </w:rPr>
              <w:instrText xml:space="preserve"> SEQ Figure \* ARABIC </w:instrText>
            </w:r>
            <w:r>
              <w:rPr>
                <w:noProof/>
              </w:rPr>
              <w:fldChar w:fldCharType="separate"/>
            </w:r>
            <w:r w:rsidR="001D0DA3">
              <w:rPr>
                <w:noProof/>
              </w:rPr>
              <w:t>8</w:t>
            </w:r>
            <w:r>
              <w:rPr>
                <w:noProof/>
              </w:rPr>
              <w:fldChar w:fldCharType="end"/>
            </w:r>
            <w:r w:rsidRPr="0023612A">
              <w:rPr>
                <w:bCs w:val="0"/>
              </w:rPr>
              <w:t>: Mobile AC: Direct emissions by species from 201</w:t>
            </w:r>
            <w:r>
              <w:rPr>
                <w:bCs w:val="0"/>
              </w:rPr>
              <w:t>8</w:t>
            </w:r>
            <w:r w:rsidRPr="0023612A">
              <w:rPr>
                <w:bCs w:val="0"/>
              </w:rPr>
              <w:t xml:space="preserve"> to 2030 in Mt CO</w:t>
            </w:r>
            <w:r w:rsidRPr="0023612A">
              <w:rPr>
                <w:bCs w:val="0"/>
                <w:vertAlign w:val="subscript"/>
              </w:rPr>
              <w:t>2</w:t>
            </w:r>
            <w:r w:rsidRPr="0023612A">
              <w:rPr>
                <w:bCs w:val="0"/>
              </w:rPr>
              <w:t>e.</w:t>
            </w:r>
            <w:bookmarkEnd w:id="48"/>
          </w:p>
        </w:tc>
      </w:tr>
    </w:tbl>
    <w:p w14:paraId="2BD60C19" w14:textId="77777777" w:rsidR="00C3687F" w:rsidRPr="00573A8B" w:rsidRDefault="00C3687F" w:rsidP="009A23AA">
      <w:pPr>
        <w:spacing w:before="0"/>
        <w:rPr>
          <w:rFonts w:cs="Times New Roman"/>
          <w:sz w:val="20"/>
          <w:szCs w:val="20"/>
          <w:lang w:val="en-US"/>
        </w:rPr>
      </w:pPr>
      <w:r w:rsidRPr="00573A8B">
        <w:rPr>
          <w:rFonts w:cs="Times New Roman"/>
          <w:sz w:val="20"/>
          <w:szCs w:val="20"/>
          <w:lang w:val="en-US"/>
        </w:rPr>
        <w:t xml:space="preserve">(Source: </w:t>
      </w:r>
      <w:r>
        <w:rPr>
          <w:rFonts w:cs="Times New Roman"/>
          <w:sz w:val="20"/>
          <w:szCs w:val="20"/>
        </w:rPr>
        <w:t>CHF3 RAC Stock model</w:t>
      </w:r>
      <w:r w:rsidRPr="00573A8B">
        <w:rPr>
          <w:rFonts w:cs="Times New Roman"/>
          <w:sz w:val="20"/>
          <w:szCs w:val="20"/>
          <w:lang w:val="en-US"/>
        </w:rPr>
        <w:t>)</w:t>
      </w:r>
    </w:p>
    <w:p w14:paraId="0F4D7F2F" w14:textId="77777777" w:rsidR="00E42FBC" w:rsidRDefault="00E42FBC" w:rsidP="009A23AA"/>
    <w:p w14:paraId="4D3C4B94" w14:textId="77777777" w:rsidR="002E711D" w:rsidRDefault="002E711D">
      <w:pPr>
        <w:spacing w:before="0"/>
        <w:jc w:val="left"/>
        <w:rPr>
          <w:rFonts w:ascii="Calibri" w:eastAsia="Times New Roman" w:hAnsi="Calibri" w:cs="Times New Roman"/>
          <w:b/>
          <w:bCs/>
          <w:i/>
          <w:iCs/>
          <w:sz w:val="28"/>
          <w:szCs w:val="28"/>
          <w:lang w:val="en-US"/>
        </w:rPr>
      </w:pPr>
      <w:bookmarkStart w:id="49" w:name="_Toc494190149"/>
      <w:bookmarkStart w:id="50" w:name="_Toc525141264"/>
      <w:bookmarkEnd w:id="38"/>
      <w:r>
        <w:br w:type="page"/>
      </w:r>
    </w:p>
    <w:p w14:paraId="2686CC68" w14:textId="45EA6BF4" w:rsidR="00851ED3" w:rsidRDefault="00851ED3" w:rsidP="009A23AA">
      <w:pPr>
        <w:pStyle w:val="Heading2"/>
        <w:jc w:val="both"/>
      </w:pPr>
      <w:bookmarkStart w:id="51" w:name="_Toc19601298"/>
      <w:r w:rsidRPr="001A7965">
        <w:t>Refrigerated cold food chain</w:t>
      </w:r>
      <w:bookmarkEnd w:id="49"/>
      <w:bookmarkEnd w:id="50"/>
      <w:bookmarkEnd w:id="51"/>
    </w:p>
    <w:p w14:paraId="1C5C82DB" w14:textId="77777777" w:rsidR="00851ED3" w:rsidRDefault="00851ED3" w:rsidP="009A23AA">
      <w:pPr>
        <w:rPr>
          <w:b/>
          <w:szCs w:val="22"/>
        </w:rPr>
      </w:pPr>
      <w:r w:rsidRPr="00635E8E">
        <w:rPr>
          <w:b/>
          <w:szCs w:val="22"/>
        </w:rPr>
        <w:t>Introduction</w:t>
      </w:r>
    </w:p>
    <w:p w14:paraId="4E052A81" w14:textId="77777777" w:rsidR="00851ED3" w:rsidRPr="009B14B7" w:rsidRDefault="00851ED3" w:rsidP="009A23AA">
      <w:pPr>
        <w:rPr>
          <w:szCs w:val="22"/>
        </w:rPr>
      </w:pPr>
      <w:r w:rsidRPr="009B14B7">
        <w:rPr>
          <w:szCs w:val="22"/>
        </w:rPr>
        <w:t>Refriger</w:t>
      </w:r>
      <w:r>
        <w:rPr>
          <w:szCs w:val="22"/>
        </w:rPr>
        <w:t>ated preservation of food</w:t>
      </w:r>
      <w:r w:rsidRPr="009B14B7">
        <w:rPr>
          <w:szCs w:val="22"/>
        </w:rPr>
        <w:t xml:space="preserve"> is the original purpose for which the underlying technology of vapour compression refrigeration was developed and, as a result, refrigerating systems for maintaining food have been in constant technological development for more than 150 years. </w:t>
      </w:r>
    </w:p>
    <w:p w14:paraId="373C85FC" w14:textId="719E133D" w:rsidR="00851ED3" w:rsidRPr="009B14B7" w:rsidRDefault="00F92313" w:rsidP="009A23AA">
      <w:pPr>
        <w:rPr>
          <w:szCs w:val="22"/>
        </w:rPr>
      </w:pPr>
      <w:r>
        <w:rPr>
          <w:szCs w:val="22"/>
        </w:rPr>
        <w:t>W</w:t>
      </w:r>
      <w:r w:rsidR="00851ED3" w:rsidRPr="009B14B7">
        <w:rPr>
          <w:szCs w:val="22"/>
        </w:rPr>
        <w:t>hile the refrigerated co</w:t>
      </w:r>
      <w:r w:rsidR="00851ED3">
        <w:rPr>
          <w:szCs w:val="22"/>
        </w:rPr>
        <w:t xml:space="preserve">ld food chain </w:t>
      </w:r>
      <w:r w:rsidR="00851ED3" w:rsidRPr="009B14B7">
        <w:rPr>
          <w:szCs w:val="22"/>
        </w:rPr>
        <w:t xml:space="preserve">is not numerically the largest class of equipment employed, it is characterised by having more variety of formats and mechanical styles for delivery of cooling services than any of the other </w:t>
      </w:r>
      <w:r w:rsidR="00851ED3">
        <w:rPr>
          <w:szCs w:val="22"/>
        </w:rPr>
        <w:t xml:space="preserve">equipment </w:t>
      </w:r>
      <w:r w:rsidR="00851ED3" w:rsidRPr="009B14B7">
        <w:rPr>
          <w:szCs w:val="22"/>
        </w:rPr>
        <w:t xml:space="preserve">classes. </w:t>
      </w:r>
    </w:p>
    <w:p w14:paraId="27ECD656" w14:textId="66DD25C9" w:rsidR="00851ED3" w:rsidRPr="009B14B7" w:rsidRDefault="00851ED3" w:rsidP="009A23AA">
      <w:pPr>
        <w:rPr>
          <w:szCs w:val="22"/>
        </w:rPr>
      </w:pPr>
      <w:r w:rsidRPr="009B14B7">
        <w:rPr>
          <w:szCs w:val="22"/>
        </w:rPr>
        <w:t>For a lot of perishable produce, such as soft berries, most fruits and a large proportion of vegetable crops, the cold food chain starts inside the farm gate</w:t>
      </w:r>
      <w:r w:rsidR="006B3CCF">
        <w:rPr>
          <w:szCs w:val="22"/>
        </w:rPr>
        <w:t>,</w:t>
      </w:r>
      <w:r w:rsidRPr="009B14B7">
        <w:rPr>
          <w:szCs w:val="22"/>
        </w:rPr>
        <w:t xml:space="preserve"> with refrigeration commencing as soon as possible after picking. Similarly, with fish and crustaceans immediate refrigeration at the correct temperatures corresponds directly to shelf life and thus economic viability of the wild or farmed harvest. </w:t>
      </w:r>
    </w:p>
    <w:p w14:paraId="43E76726" w14:textId="77777777" w:rsidR="00851ED3" w:rsidRDefault="00851ED3" w:rsidP="009A23AA">
      <w:pPr>
        <w:rPr>
          <w:szCs w:val="22"/>
        </w:rPr>
      </w:pPr>
      <w:r>
        <w:rPr>
          <w:szCs w:val="22"/>
        </w:rPr>
        <w:t>Starting inside the ‘farm gate’ and extending into every aspect of food retail and hospitality, the cold food chain is built on several distinct technology segments including:</w:t>
      </w:r>
    </w:p>
    <w:p w14:paraId="1F6D08B4"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Pr>
          <w:rFonts w:ascii="Times New Roman" w:hAnsi="Times New Roman"/>
        </w:rPr>
        <w:t>Cold</w:t>
      </w:r>
      <w:r w:rsidRPr="00253FFD">
        <w:rPr>
          <w:rFonts w:ascii="Times New Roman" w:hAnsi="Times New Roman"/>
        </w:rPr>
        <w:t xml:space="preserve"> rooms alongside the packing sheds in egg, meat</w:t>
      </w:r>
      <w:r>
        <w:rPr>
          <w:rFonts w:ascii="Times New Roman" w:hAnsi="Times New Roman"/>
        </w:rPr>
        <w:t>,</w:t>
      </w:r>
      <w:r w:rsidRPr="00253FFD">
        <w:rPr>
          <w:rFonts w:ascii="Times New Roman" w:hAnsi="Times New Roman"/>
        </w:rPr>
        <w:t xml:space="preserve"> fruit and vegetable production;</w:t>
      </w:r>
    </w:p>
    <w:p w14:paraId="34F3AA72"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sidRPr="00253FFD">
        <w:rPr>
          <w:rFonts w:ascii="Times New Roman" w:hAnsi="Times New Roman"/>
        </w:rPr>
        <w:t>Dairy refrigeration including milk vats, jacketed tanks and processing systems;</w:t>
      </w:r>
    </w:p>
    <w:p w14:paraId="02DEB514"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sidRPr="00253FFD">
        <w:rPr>
          <w:rFonts w:ascii="Times New Roman" w:hAnsi="Times New Roman"/>
        </w:rPr>
        <w:t>Blast freezers and chillers in the fishing fleet and dockside in fishing ports;</w:t>
      </w:r>
    </w:p>
    <w:p w14:paraId="34D575B1"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sidRPr="00253FFD">
        <w:rPr>
          <w:rFonts w:ascii="Times New Roman" w:hAnsi="Times New Roman"/>
        </w:rPr>
        <w:t>Large cold storage facilities at distribution centres, including at port facilities and rail heads;</w:t>
      </w:r>
    </w:p>
    <w:p w14:paraId="7C10CE55"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sidRPr="00253FFD">
        <w:rPr>
          <w:rFonts w:ascii="Times New Roman" w:hAnsi="Times New Roman"/>
        </w:rPr>
        <w:t>Refrigerated display cabinets (RDCs) in retail outlets and refrigerated storage cabinets (RSCs) behind the scenes in commercial kitchens, hotels, restaurants and takeaway outlets;</w:t>
      </w:r>
    </w:p>
    <w:p w14:paraId="2BC88B37"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sidRPr="00253FFD">
        <w:rPr>
          <w:rFonts w:ascii="Times New Roman" w:hAnsi="Times New Roman"/>
        </w:rPr>
        <w:t>Large centralised supermarket refrigeration systems; and,</w:t>
      </w:r>
    </w:p>
    <w:p w14:paraId="47918C08"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sidRPr="00253FFD">
        <w:rPr>
          <w:rFonts w:ascii="Times New Roman" w:hAnsi="Times New Roman"/>
        </w:rPr>
        <w:t>Refrigerated transport involving vehicle engine driven refrigeration systems on trucks and vans of many sizes plus refrigerated shipping containers (‘reefers’) and some refrigerated rail cars that connect every step in the food production and delivery process with the final point of retail sale or processing.</w:t>
      </w:r>
    </w:p>
    <w:p w14:paraId="35B5DA96" w14:textId="02ED5EBF" w:rsidR="00851ED3" w:rsidRDefault="00851ED3" w:rsidP="009A23AA">
      <w:r w:rsidRPr="004571CF">
        <w:t>Part of the reason for this diversity is the wide range of application temperatures</w:t>
      </w:r>
      <w:r>
        <w:t xml:space="preserve"> required,</w:t>
      </w:r>
      <w:r w:rsidRPr="004571CF">
        <w:t xml:space="preserve"> ranging from water coolers dispensing water at around 10</w:t>
      </w:r>
      <w:r w:rsidRPr="004571CF">
        <w:rPr>
          <w:vertAlign w:val="superscript"/>
        </w:rPr>
        <w:t>o</w:t>
      </w:r>
      <w:r w:rsidRPr="004571CF">
        <w:t>C</w:t>
      </w:r>
      <w:r>
        <w:t>,</w:t>
      </w:r>
      <w:r w:rsidRPr="004571CF">
        <w:t xml:space="preserve"> to blast freezers operating below -35</w:t>
      </w:r>
      <w:r w:rsidRPr="004571CF">
        <w:rPr>
          <w:vertAlign w:val="superscript"/>
        </w:rPr>
        <w:t>o</w:t>
      </w:r>
      <w:r w:rsidRPr="004571CF">
        <w:t xml:space="preserve">C. However, the wide variety of tasks </w:t>
      </w:r>
      <w:r w:rsidR="002970C1" w:rsidRPr="004571CF">
        <w:t>performed,</w:t>
      </w:r>
      <w:r w:rsidR="002970C1">
        <w:t xml:space="preserve"> </w:t>
      </w:r>
      <w:r w:rsidRPr="004571CF">
        <w:t xml:space="preserve">and </w:t>
      </w:r>
      <w:r w:rsidR="006B3CCF">
        <w:t xml:space="preserve">food </w:t>
      </w:r>
      <w:r w:rsidRPr="004571CF">
        <w:t>product</w:t>
      </w:r>
      <w:r w:rsidR="002970C1">
        <w:t xml:space="preserve"> type</w:t>
      </w:r>
      <w:r w:rsidRPr="004571CF">
        <w:t>s moved along the cold food chain has also shaped the divers</w:t>
      </w:r>
      <w:r>
        <w:t>e formats employed</w:t>
      </w:r>
      <w:r w:rsidRPr="004571CF">
        <w:t>.</w:t>
      </w:r>
    </w:p>
    <w:p w14:paraId="1C8F7181" w14:textId="77777777" w:rsidR="00851ED3" w:rsidRDefault="00851ED3" w:rsidP="009A23AA">
      <w:r>
        <w:t>This requirement for a large degree of flexibility in design and installation has meant that building and supplying larger commercial refrigeration equipment supports a significant domestic industry. This flexibility is exemplified by the local manufacturers of refrigerated cabinets who invite enquiries from potential customers, asking them on their websites to ‘design your own product’, selecting from a palette of options for size, capacity, temperature range, and physical format.</w:t>
      </w:r>
    </w:p>
    <w:p w14:paraId="46022081" w14:textId="3843C253" w:rsidR="00851ED3" w:rsidRDefault="00851ED3" w:rsidP="009A23AA">
      <w:r>
        <w:t xml:space="preserve">Using the product category codes in </w:t>
      </w:r>
      <w:r w:rsidRPr="00253FFD">
        <w:rPr>
          <w:i/>
        </w:rPr>
        <w:t xml:space="preserve">Table </w:t>
      </w:r>
      <w:r w:rsidR="006D1986">
        <w:rPr>
          <w:i/>
        </w:rPr>
        <w:t>9</w:t>
      </w:r>
      <w:r>
        <w:t xml:space="preserve"> below it is estimated that:</w:t>
      </w:r>
    </w:p>
    <w:p w14:paraId="5AA5C902"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sidRPr="00253FFD">
        <w:rPr>
          <w:rFonts w:ascii="Times New Roman" w:hAnsi="Times New Roman"/>
        </w:rPr>
        <w:t>All equipment in categories RCFC</w:t>
      </w:r>
      <w:r>
        <w:rPr>
          <w:rFonts w:ascii="Times New Roman" w:hAnsi="Times New Roman"/>
        </w:rPr>
        <w:t>1-8 and RCFC2-1</w:t>
      </w:r>
      <w:r w:rsidRPr="00253FFD">
        <w:rPr>
          <w:rFonts w:ascii="Times New Roman" w:hAnsi="Times New Roman"/>
        </w:rPr>
        <w:t xml:space="preserve"> to RCFC2</w:t>
      </w:r>
      <w:r>
        <w:rPr>
          <w:rFonts w:ascii="Times New Roman" w:hAnsi="Times New Roman"/>
        </w:rPr>
        <w:t>-8</w:t>
      </w:r>
      <w:r w:rsidRPr="00253FFD">
        <w:rPr>
          <w:rFonts w:ascii="Times New Roman" w:hAnsi="Times New Roman"/>
        </w:rPr>
        <w:t xml:space="preserve"> is charged with refrigerant in Australia;</w:t>
      </w:r>
    </w:p>
    <w:p w14:paraId="251D2AE5"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sidRPr="00253FFD">
        <w:rPr>
          <w:rFonts w:ascii="Times New Roman" w:hAnsi="Times New Roman"/>
        </w:rPr>
        <w:t xml:space="preserve">While supermarkets employ a range of equipment including some smaller pieces that are likely imported </w:t>
      </w:r>
      <w:r>
        <w:rPr>
          <w:rFonts w:ascii="Times New Roman" w:hAnsi="Times New Roman"/>
        </w:rPr>
        <w:t xml:space="preserve">as </w:t>
      </w:r>
      <w:r w:rsidRPr="00253FFD">
        <w:rPr>
          <w:rFonts w:ascii="Times New Roman" w:hAnsi="Times New Roman"/>
        </w:rPr>
        <w:t>PCE, the great majority of equipment in categories in RCFC3-1 to RCFC3-3 is manufactured, or assembled and charged with refrigerant</w:t>
      </w:r>
      <w:r>
        <w:rPr>
          <w:rFonts w:ascii="Times New Roman" w:hAnsi="Times New Roman"/>
        </w:rPr>
        <w:t>,</w:t>
      </w:r>
      <w:r w:rsidRPr="00253FFD">
        <w:rPr>
          <w:rFonts w:ascii="Times New Roman" w:hAnsi="Times New Roman"/>
        </w:rPr>
        <w:t xml:space="preserve"> in Australia;</w:t>
      </w:r>
    </w:p>
    <w:p w14:paraId="6B034C82"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sidRPr="00253FFD">
        <w:rPr>
          <w:rFonts w:ascii="Times New Roman" w:hAnsi="Times New Roman"/>
        </w:rPr>
        <w:t>All of the equipment in categories RCFC4-</w:t>
      </w:r>
      <w:r>
        <w:rPr>
          <w:rFonts w:ascii="Times New Roman" w:hAnsi="Times New Roman"/>
        </w:rPr>
        <w:t>4,</w:t>
      </w:r>
      <w:r w:rsidRPr="00253FFD">
        <w:rPr>
          <w:rFonts w:ascii="Times New Roman" w:hAnsi="Times New Roman"/>
        </w:rPr>
        <w:t xml:space="preserve"> RCFC5-1 and RCFC5-2 is manufactured, or assembled and charged with refrigerant in Australia.</w:t>
      </w:r>
    </w:p>
    <w:p w14:paraId="789B15B4"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Pr>
          <w:rFonts w:ascii="Times New Roman" w:hAnsi="Times New Roman"/>
        </w:rPr>
        <w:t xml:space="preserve">Around one third of </w:t>
      </w:r>
      <w:r w:rsidRPr="00253FFD">
        <w:rPr>
          <w:rFonts w:ascii="Times New Roman" w:hAnsi="Times New Roman"/>
        </w:rPr>
        <w:t>equipment in categories RCFC4-</w:t>
      </w:r>
      <w:r>
        <w:rPr>
          <w:rFonts w:ascii="Times New Roman" w:hAnsi="Times New Roman"/>
        </w:rPr>
        <w:t>1</w:t>
      </w:r>
      <w:r w:rsidRPr="00253FFD">
        <w:rPr>
          <w:rFonts w:ascii="Times New Roman" w:hAnsi="Times New Roman"/>
        </w:rPr>
        <w:t xml:space="preserve"> and RCFC4-</w:t>
      </w:r>
      <w:r>
        <w:rPr>
          <w:rFonts w:ascii="Times New Roman" w:hAnsi="Times New Roman"/>
        </w:rPr>
        <w:t>3</w:t>
      </w:r>
      <w:r w:rsidRPr="00253FFD">
        <w:rPr>
          <w:rFonts w:ascii="Times New Roman" w:hAnsi="Times New Roman"/>
        </w:rPr>
        <w:t xml:space="preserve"> is manufactured, or assembled and charged </w:t>
      </w:r>
      <w:r>
        <w:rPr>
          <w:rFonts w:ascii="Times New Roman" w:hAnsi="Times New Roman"/>
        </w:rPr>
        <w:t xml:space="preserve">in the field </w:t>
      </w:r>
      <w:r w:rsidRPr="00253FFD">
        <w:rPr>
          <w:rFonts w:ascii="Times New Roman" w:hAnsi="Times New Roman"/>
        </w:rPr>
        <w:t>with refrigerant in Australia;</w:t>
      </w:r>
    </w:p>
    <w:p w14:paraId="709C8B9B"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Pr>
          <w:rFonts w:ascii="Times New Roman" w:hAnsi="Times New Roman"/>
        </w:rPr>
        <w:t>Less than 15%</w:t>
      </w:r>
      <w:r w:rsidRPr="00253FFD">
        <w:rPr>
          <w:rFonts w:ascii="Times New Roman" w:hAnsi="Times New Roman"/>
        </w:rPr>
        <w:t xml:space="preserve"> of equipment in RCFC1-1 is manufactured, or assembled and charged with refrigerant in Australia, the balance being imported as pre-charged equipment;</w:t>
      </w:r>
      <w:r>
        <w:rPr>
          <w:rFonts w:ascii="Times New Roman" w:hAnsi="Times New Roman"/>
        </w:rPr>
        <w:t xml:space="preserve"> and,</w:t>
      </w:r>
    </w:p>
    <w:p w14:paraId="40A4A4D5" w14:textId="77777777" w:rsidR="00851ED3" w:rsidRPr="00253FFD"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Pr>
          <w:rFonts w:ascii="Times New Roman" w:hAnsi="Times New Roman"/>
        </w:rPr>
        <w:t xml:space="preserve">Less than 15% </w:t>
      </w:r>
      <w:r w:rsidRPr="00253FFD">
        <w:rPr>
          <w:rFonts w:ascii="Times New Roman" w:hAnsi="Times New Roman"/>
        </w:rPr>
        <w:t>of equipment in RCFC1-5 is manufactured, or assembled and charged with refrigerant in Australia</w:t>
      </w:r>
      <w:r>
        <w:rPr>
          <w:rFonts w:ascii="Times New Roman" w:hAnsi="Times New Roman"/>
        </w:rPr>
        <w:t>.</w:t>
      </w:r>
    </w:p>
    <w:p w14:paraId="07544C09" w14:textId="77777777" w:rsidR="00851ED3" w:rsidRDefault="00851ED3" w:rsidP="009A23AA">
      <w:pPr>
        <w:spacing w:before="0"/>
        <w:rPr>
          <w:szCs w:val="22"/>
        </w:rPr>
      </w:pPr>
    </w:p>
    <w:p w14:paraId="47F5A1C7" w14:textId="66E6D01E" w:rsidR="00851ED3" w:rsidRPr="00311821" w:rsidRDefault="00851ED3" w:rsidP="009A23AA">
      <w:pPr>
        <w:pStyle w:val="Caption"/>
        <w:rPr>
          <w:szCs w:val="22"/>
        </w:rPr>
      </w:pPr>
      <w:bookmarkStart w:id="52" w:name="_Toc525141401"/>
      <w:bookmarkStart w:id="53" w:name="_Toc19601361"/>
      <w:r w:rsidRPr="00311821">
        <w:t xml:space="preserve">Table </w:t>
      </w:r>
      <w:r>
        <w:rPr>
          <w:noProof/>
        </w:rPr>
        <w:fldChar w:fldCharType="begin"/>
      </w:r>
      <w:r>
        <w:rPr>
          <w:noProof/>
        </w:rPr>
        <w:instrText xml:space="preserve"> SEQ Table \* ARABIC </w:instrText>
      </w:r>
      <w:r>
        <w:rPr>
          <w:noProof/>
        </w:rPr>
        <w:fldChar w:fldCharType="separate"/>
      </w:r>
      <w:r w:rsidR="001D0DA3">
        <w:rPr>
          <w:noProof/>
        </w:rPr>
        <w:t>9</w:t>
      </w:r>
      <w:r>
        <w:rPr>
          <w:noProof/>
        </w:rPr>
        <w:fldChar w:fldCharType="end"/>
      </w:r>
      <w:r w:rsidRPr="00311821">
        <w:t xml:space="preserve">: </w:t>
      </w:r>
      <w:r w:rsidRPr="00311821">
        <w:rPr>
          <w:szCs w:val="22"/>
        </w:rPr>
        <w:t>Refrigerated cold food chain taxonomy.</w:t>
      </w:r>
      <w:bookmarkEnd w:id="52"/>
      <w:bookmarkEnd w:id="53"/>
    </w:p>
    <w:tbl>
      <w:tblPr>
        <w:tblStyle w:val="TableGrid"/>
        <w:tblW w:w="0" w:type="auto"/>
        <w:tblInd w:w="-5" w:type="dxa"/>
        <w:tblLook w:val="04A0" w:firstRow="1" w:lastRow="0" w:firstColumn="1" w:lastColumn="0" w:noHBand="0" w:noVBand="1"/>
      </w:tblPr>
      <w:tblGrid>
        <w:gridCol w:w="973"/>
        <w:gridCol w:w="1012"/>
        <w:gridCol w:w="1559"/>
        <w:gridCol w:w="1418"/>
        <w:gridCol w:w="2265"/>
        <w:gridCol w:w="2265"/>
      </w:tblGrid>
      <w:tr w:rsidR="00851ED3" w14:paraId="45379602" w14:textId="77777777" w:rsidTr="00ED641C">
        <w:trPr>
          <w:trHeight w:val="680"/>
          <w:tblHeader/>
        </w:trPr>
        <w:tc>
          <w:tcPr>
            <w:tcW w:w="9492" w:type="dxa"/>
            <w:gridSpan w:val="6"/>
            <w:shd w:val="clear" w:color="auto" w:fill="B6DDE8" w:themeFill="accent5" w:themeFillTint="66"/>
            <w:vAlign w:val="center"/>
          </w:tcPr>
          <w:p w14:paraId="354C2516" w14:textId="77777777" w:rsidR="00851ED3" w:rsidRPr="00B137CC" w:rsidRDefault="00851ED3" w:rsidP="009A23AA">
            <w:pPr>
              <w:spacing w:after="120"/>
              <w:rPr>
                <w:color w:val="000000" w:themeColor="text1"/>
              </w:rPr>
            </w:pPr>
            <w:r w:rsidRPr="00BC2272">
              <w:rPr>
                <w:color w:val="000000" w:themeColor="text1"/>
              </w:rPr>
              <w:t>REFRIGERATED COLD FOOD CHAIN</w:t>
            </w:r>
          </w:p>
        </w:tc>
      </w:tr>
      <w:tr w:rsidR="00851ED3" w14:paraId="00037BA6" w14:textId="77777777" w:rsidTr="00ED641C">
        <w:trPr>
          <w:tblHeader/>
        </w:trPr>
        <w:tc>
          <w:tcPr>
            <w:tcW w:w="973" w:type="dxa"/>
            <w:shd w:val="clear" w:color="auto" w:fill="B6DDE8" w:themeFill="accent5" w:themeFillTint="66"/>
            <w:vAlign w:val="center"/>
          </w:tcPr>
          <w:p w14:paraId="00829C7A" w14:textId="77777777" w:rsidR="00851ED3" w:rsidRPr="00B137CC" w:rsidRDefault="00851ED3" w:rsidP="009A23AA">
            <w:pPr>
              <w:spacing w:before="60" w:after="60"/>
              <w:rPr>
                <w:color w:val="000000" w:themeColor="text1"/>
              </w:rPr>
            </w:pPr>
            <w:r w:rsidRPr="00B137CC">
              <w:rPr>
                <w:color w:val="000000" w:themeColor="text1"/>
              </w:rPr>
              <w:t>Item no</w:t>
            </w:r>
          </w:p>
        </w:tc>
        <w:tc>
          <w:tcPr>
            <w:tcW w:w="1012" w:type="dxa"/>
            <w:shd w:val="clear" w:color="auto" w:fill="B6DDE8" w:themeFill="accent5" w:themeFillTint="66"/>
            <w:vAlign w:val="center"/>
          </w:tcPr>
          <w:p w14:paraId="2DB9AE51" w14:textId="77777777" w:rsidR="00851ED3" w:rsidRPr="00B137CC" w:rsidRDefault="00851ED3" w:rsidP="009A23AA">
            <w:pPr>
              <w:spacing w:before="60" w:after="60"/>
              <w:rPr>
                <w:color w:val="000000" w:themeColor="text1"/>
              </w:rPr>
            </w:pPr>
            <w:r w:rsidRPr="00B137CC">
              <w:rPr>
                <w:color w:val="000000" w:themeColor="text1"/>
              </w:rPr>
              <w:t>Segment</w:t>
            </w:r>
          </w:p>
        </w:tc>
        <w:tc>
          <w:tcPr>
            <w:tcW w:w="1559" w:type="dxa"/>
            <w:tcBorders>
              <w:bottom w:val="single" w:sz="4" w:space="0" w:color="000000"/>
            </w:tcBorders>
            <w:shd w:val="clear" w:color="auto" w:fill="B6DDE8" w:themeFill="accent5" w:themeFillTint="66"/>
            <w:vAlign w:val="center"/>
          </w:tcPr>
          <w:p w14:paraId="47612388" w14:textId="77777777" w:rsidR="00851ED3" w:rsidRPr="00B137CC" w:rsidRDefault="00851ED3" w:rsidP="009A23AA">
            <w:pPr>
              <w:spacing w:before="60" w:after="60"/>
              <w:rPr>
                <w:color w:val="000000" w:themeColor="text1"/>
              </w:rPr>
            </w:pPr>
            <w:r w:rsidRPr="00B137CC">
              <w:rPr>
                <w:color w:val="000000" w:themeColor="text1"/>
              </w:rPr>
              <w:t>Application</w:t>
            </w:r>
          </w:p>
        </w:tc>
        <w:tc>
          <w:tcPr>
            <w:tcW w:w="1418" w:type="dxa"/>
            <w:tcBorders>
              <w:bottom w:val="single" w:sz="4" w:space="0" w:color="000000"/>
            </w:tcBorders>
            <w:shd w:val="clear" w:color="auto" w:fill="B6DDE8" w:themeFill="accent5" w:themeFillTint="66"/>
            <w:vAlign w:val="center"/>
          </w:tcPr>
          <w:p w14:paraId="749CF008" w14:textId="77777777" w:rsidR="00851ED3" w:rsidRPr="00B137CC" w:rsidRDefault="00851ED3" w:rsidP="009A23AA">
            <w:pPr>
              <w:spacing w:before="60" w:after="60"/>
              <w:rPr>
                <w:color w:val="000000" w:themeColor="text1"/>
              </w:rPr>
            </w:pPr>
            <w:r w:rsidRPr="00B137CC">
              <w:rPr>
                <w:color w:val="000000" w:themeColor="text1"/>
              </w:rPr>
              <w:t xml:space="preserve">Category </w:t>
            </w:r>
            <w:r>
              <w:rPr>
                <w:color w:val="000000" w:themeColor="text1"/>
              </w:rPr>
              <w:t>c</w:t>
            </w:r>
            <w:r w:rsidRPr="00B137CC">
              <w:rPr>
                <w:color w:val="000000" w:themeColor="text1"/>
              </w:rPr>
              <w:t>ode</w:t>
            </w:r>
          </w:p>
        </w:tc>
        <w:tc>
          <w:tcPr>
            <w:tcW w:w="2265" w:type="dxa"/>
            <w:tcBorders>
              <w:bottom w:val="single" w:sz="4" w:space="0" w:color="000000"/>
            </w:tcBorders>
            <w:shd w:val="clear" w:color="auto" w:fill="B6DDE8" w:themeFill="accent5" w:themeFillTint="66"/>
            <w:vAlign w:val="center"/>
          </w:tcPr>
          <w:p w14:paraId="43B16056" w14:textId="77777777" w:rsidR="00851ED3" w:rsidRPr="00B137CC" w:rsidRDefault="00851ED3" w:rsidP="009A23AA">
            <w:pPr>
              <w:spacing w:before="60" w:after="60"/>
              <w:rPr>
                <w:color w:val="000000" w:themeColor="text1"/>
              </w:rPr>
            </w:pPr>
            <w:r w:rsidRPr="00B137CC">
              <w:rPr>
                <w:color w:val="000000" w:themeColor="text1"/>
              </w:rPr>
              <w:t>Product category</w:t>
            </w:r>
          </w:p>
        </w:tc>
        <w:tc>
          <w:tcPr>
            <w:tcW w:w="2265" w:type="dxa"/>
            <w:tcBorders>
              <w:bottom w:val="single" w:sz="4" w:space="0" w:color="000000"/>
            </w:tcBorders>
            <w:shd w:val="clear" w:color="auto" w:fill="B6DDE8" w:themeFill="accent5" w:themeFillTint="66"/>
            <w:vAlign w:val="center"/>
          </w:tcPr>
          <w:p w14:paraId="06C99FC8" w14:textId="77777777" w:rsidR="00851ED3" w:rsidRPr="00B137CC" w:rsidRDefault="00851ED3" w:rsidP="00045599">
            <w:pPr>
              <w:spacing w:before="60" w:after="60"/>
              <w:jc w:val="center"/>
              <w:rPr>
                <w:color w:val="000000" w:themeColor="text1"/>
              </w:rPr>
            </w:pPr>
            <w:r>
              <w:rPr>
                <w:color w:val="000000" w:themeColor="text1"/>
              </w:rPr>
              <w:t>Stock 2018</w:t>
            </w:r>
          </w:p>
        </w:tc>
      </w:tr>
      <w:tr w:rsidR="00851ED3" w14:paraId="690586B3" w14:textId="77777777" w:rsidTr="00ED641C">
        <w:trPr>
          <w:cantSplit/>
          <w:trHeight w:val="624"/>
        </w:trPr>
        <w:tc>
          <w:tcPr>
            <w:tcW w:w="973" w:type="dxa"/>
            <w:vAlign w:val="center"/>
          </w:tcPr>
          <w:p w14:paraId="20AB476E" w14:textId="77777777" w:rsidR="00851ED3" w:rsidRPr="00B137CC" w:rsidRDefault="00851ED3" w:rsidP="006D1986">
            <w:pPr>
              <w:spacing w:before="0"/>
              <w:jc w:val="center"/>
            </w:pPr>
            <w:r>
              <w:rPr>
                <w:color w:val="000000"/>
                <w:szCs w:val="22"/>
              </w:rPr>
              <w:t>31</w:t>
            </w:r>
          </w:p>
        </w:tc>
        <w:tc>
          <w:tcPr>
            <w:tcW w:w="1012" w:type="dxa"/>
            <w:vMerge w:val="restart"/>
            <w:textDirection w:val="btLr"/>
            <w:vAlign w:val="center"/>
          </w:tcPr>
          <w:p w14:paraId="65DFFC4F" w14:textId="77777777" w:rsidR="00851ED3" w:rsidRPr="00B137CC" w:rsidRDefault="00851ED3" w:rsidP="00045599">
            <w:pPr>
              <w:spacing w:before="60" w:after="60"/>
              <w:jc w:val="center"/>
            </w:pPr>
            <w:r>
              <w:rPr>
                <w:color w:val="000000"/>
                <w:szCs w:val="22"/>
              </w:rPr>
              <w:t>RCFC1: Small Commercial Refrigeration</w:t>
            </w:r>
          </w:p>
        </w:tc>
        <w:tc>
          <w:tcPr>
            <w:tcW w:w="1559" w:type="dxa"/>
            <w:shd w:val="clear" w:color="auto" w:fill="auto"/>
            <w:vAlign w:val="center"/>
          </w:tcPr>
          <w:p w14:paraId="5CDF56F3" w14:textId="77777777" w:rsidR="00851ED3" w:rsidRPr="00A64D4F" w:rsidRDefault="00851ED3" w:rsidP="009A23AA">
            <w:pPr>
              <w:spacing w:before="60" w:after="60"/>
            </w:pPr>
            <w:r w:rsidRPr="00A64D4F">
              <w:rPr>
                <w:color w:val="000000"/>
                <w:szCs w:val="22"/>
              </w:rPr>
              <w:t>Self-contained</w:t>
            </w:r>
          </w:p>
        </w:tc>
        <w:tc>
          <w:tcPr>
            <w:tcW w:w="1418" w:type="dxa"/>
            <w:shd w:val="clear" w:color="auto" w:fill="auto"/>
            <w:vAlign w:val="center"/>
          </w:tcPr>
          <w:p w14:paraId="7F178E2D" w14:textId="77777777" w:rsidR="00851ED3" w:rsidRPr="00A64D4F" w:rsidRDefault="00851ED3" w:rsidP="009A23AA">
            <w:pPr>
              <w:spacing w:before="60" w:after="60"/>
            </w:pPr>
            <w:r w:rsidRPr="00A64D4F">
              <w:rPr>
                <w:color w:val="000000"/>
                <w:szCs w:val="22"/>
              </w:rPr>
              <w:t>RCFC1-1</w:t>
            </w:r>
          </w:p>
        </w:tc>
        <w:tc>
          <w:tcPr>
            <w:tcW w:w="2265" w:type="dxa"/>
            <w:shd w:val="clear" w:color="auto" w:fill="auto"/>
            <w:vAlign w:val="center"/>
          </w:tcPr>
          <w:p w14:paraId="45B655C0" w14:textId="77777777" w:rsidR="00851ED3" w:rsidRPr="00A64D4F" w:rsidRDefault="00851ED3" w:rsidP="00045599">
            <w:pPr>
              <w:spacing w:before="60" w:after="60"/>
              <w:jc w:val="left"/>
            </w:pPr>
            <w:r w:rsidRPr="00A64D4F">
              <w:rPr>
                <w:color w:val="000000"/>
                <w:szCs w:val="22"/>
              </w:rPr>
              <w:t>Refrigeration cabinets: self-contained</w:t>
            </w:r>
          </w:p>
        </w:tc>
        <w:tc>
          <w:tcPr>
            <w:tcW w:w="2265" w:type="dxa"/>
            <w:shd w:val="clear" w:color="auto" w:fill="auto"/>
            <w:vAlign w:val="center"/>
          </w:tcPr>
          <w:p w14:paraId="7F0474E6" w14:textId="77777777" w:rsidR="00851ED3" w:rsidRPr="00A64D4F" w:rsidRDefault="00851ED3" w:rsidP="00045599">
            <w:pPr>
              <w:spacing w:before="60" w:after="60"/>
              <w:jc w:val="center"/>
            </w:pPr>
            <w:r>
              <w:rPr>
                <w:color w:val="000000"/>
                <w:lang w:val="en-US"/>
              </w:rPr>
              <w:t>715</w:t>
            </w:r>
            <w:r w:rsidRPr="00BC2272">
              <w:rPr>
                <w:color w:val="000000"/>
                <w:lang w:val="en-US"/>
              </w:rPr>
              <w:t>,000</w:t>
            </w:r>
          </w:p>
        </w:tc>
      </w:tr>
      <w:tr w:rsidR="00851ED3" w14:paraId="376B8363" w14:textId="77777777" w:rsidTr="00ED641C">
        <w:trPr>
          <w:cantSplit/>
          <w:trHeight w:val="624"/>
        </w:trPr>
        <w:tc>
          <w:tcPr>
            <w:tcW w:w="973" w:type="dxa"/>
            <w:vAlign w:val="center"/>
          </w:tcPr>
          <w:p w14:paraId="140D77A4" w14:textId="77777777" w:rsidR="00851ED3" w:rsidRPr="00B137CC" w:rsidRDefault="00851ED3" w:rsidP="006D1986">
            <w:pPr>
              <w:spacing w:before="0"/>
              <w:jc w:val="center"/>
              <w:rPr>
                <w:color w:val="000000"/>
              </w:rPr>
            </w:pPr>
            <w:r>
              <w:rPr>
                <w:color w:val="000000"/>
                <w:szCs w:val="22"/>
              </w:rPr>
              <w:t>32</w:t>
            </w:r>
          </w:p>
        </w:tc>
        <w:tc>
          <w:tcPr>
            <w:tcW w:w="1012" w:type="dxa"/>
            <w:vMerge/>
            <w:vAlign w:val="center"/>
          </w:tcPr>
          <w:p w14:paraId="63B396A8" w14:textId="77777777" w:rsidR="00851ED3" w:rsidRPr="00B137CC" w:rsidRDefault="00851ED3" w:rsidP="009A23AA">
            <w:pPr>
              <w:spacing w:before="60" w:after="60"/>
            </w:pPr>
          </w:p>
        </w:tc>
        <w:tc>
          <w:tcPr>
            <w:tcW w:w="1559" w:type="dxa"/>
            <w:shd w:val="clear" w:color="auto" w:fill="auto"/>
            <w:vAlign w:val="center"/>
          </w:tcPr>
          <w:p w14:paraId="7BA7A131" w14:textId="77777777" w:rsidR="00851ED3" w:rsidRPr="00A64D4F" w:rsidRDefault="00851ED3" w:rsidP="009A23AA">
            <w:pPr>
              <w:spacing w:before="60" w:after="60"/>
              <w:rPr>
                <w:color w:val="000000"/>
              </w:rPr>
            </w:pPr>
            <w:r w:rsidRPr="00A64D4F">
              <w:rPr>
                <w:color w:val="000000"/>
                <w:szCs w:val="22"/>
              </w:rPr>
              <w:t>Self-contained</w:t>
            </w:r>
          </w:p>
        </w:tc>
        <w:tc>
          <w:tcPr>
            <w:tcW w:w="1418" w:type="dxa"/>
            <w:tcBorders>
              <w:bottom w:val="single" w:sz="4" w:space="0" w:color="000000"/>
            </w:tcBorders>
            <w:shd w:val="clear" w:color="auto" w:fill="auto"/>
            <w:vAlign w:val="center"/>
          </w:tcPr>
          <w:p w14:paraId="68DFBFCC" w14:textId="77777777" w:rsidR="00851ED3" w:rsidRPr="00A64D4F" w:rsidRDefault="00851ED3" w:rsidP="009A23AA">
            <w:pPr>
              <w:spacing w:before="60" w:after="60"/>
              <w:rPr>
                <w:color w:val="000000"/>
              </w:rPr>
            </w:pPr>
            <w:r w:rsidRPr="00A64D4F">
              <w:rPr>
                <w:color w:val="000000"/>
                <w:szCs w:val="22"/>
              </w:rPr>
              <w:t>RCFC1-2</w:t>
            </w:r>
          </w:p>
        </w:tc>
        <w:tc>
          <w:tcPr>
            <w:tcW w:w="2265" w:type="dxa"/>
            <w:shd w:val="clear" w:color="auto" w:fill="auto"/>
            <w:vAlign w:val="center"/>
          </w:tcPr>
          <w:p w14:paraId="6ACDDDA2" w14:textId="77777777" w:rsidR="00851ED3" w:rsidRPr="00A64D4F" w:rsidRDefault="00851ED3" w:rsidP="00045599">
            <w:pPr>
              <w:spacing w:before="60" w:after="60"/>
              <w:jc w:val="left"/>
              <w:rPr>
                <w:color w:val="000000"/>
              </w:rPr>
            </w:pPr>
            <w:r w:rsidRPr="00A64D4F">
              <w:rPr>
                <w:color w:val="000000"/>
                <w:szCs w:val="22"/>
              </w:rPr>
              <w:t>Refrigeration beverage vending machines</w:t>
            </w:r>
          </w:p>
        </w:tc>
        <w:tc>
          <w:tcPr>
            <w:tcW w:w="2265" w:type="dxa"/>
            <w:shd w:val="clear" w:color="auto" w:fill="auto"/>
            <w:vAlign w:val="center"/>
          </w:tcPr>
          <w:p w14:paraId="76BC7899" w14:textId="77777777" w:rsidR="00851ED3" w:rsidRPr="00A64D4F" w:rsidRDefault="00851ED3" w:rsidP="00045599">
            <w:pPr>
              <w:spacing w:before="60" w:after="60"/>
              <w:jc w:val="center"/>
              <w:rPr>
                <w:color w:val="000000"/>
              </w:rPr>
            </w:pPr>
            <w:r w:rsidRPr="00BC2272">
              <w:rPr>
                <w:color w:val="000000"/>
                <w:lang w:val="en-US"/>
              </w:rPr>
              <w:t>13</w:t>
            </w:r>
            <w:r>
              <w:rPr>
                <w:color w:val="000000"/>
                <w:lang w:val="en-US"/>
              </w:rPr>
              <w:t>7</w:t>
            </w:r>
            <w:r w:rsidRPr="00BC2272">
              <w:rPr>
                <w:color w:val="000000"/>
                <w:lang w:val="en-US"/>
              </w:rPr>
              <w:t>,</w:t>
            </w:r>
            <w:r>
              <w:rPr>
                <w:color w:val="000000"/>
                <w:lang w:val="en-US"/>
              </w:rPr>
              <w:t>5</w:t>
            </w:r>
            <w:r w:rsidRPr="00BC2272">
              <w:rPr>
                <w:color w:val="000000"/>
                <w:lang w:val="en-US"/>
              </w:rPr>
              <w:t>00</w:t>
            </w:r>
          </w:p>
        </w:tc>
      </w:tr>
      <w:tr w:rsidR="00851ED3" w14:paraId="42AA5082" w14:textId="77777777" w:rsidTr="00ED641C">
        <w:trPr>
          <w:cantSplit/>
          <w:trHeight w:val="624"/>
        </w:trPr>
        <w:tc>
          <w:tcPr>
            <w:tcW w:w="973" w:type="dxa"/>
            <w:vAlign w:val="center"/>
          </w:tcPr>
          <w:p w14:paraId="329C45E8" w14:textId="77777777" w:rsidR="00851ED3" w:rsidRPr="00B137CC" w:rsidRDefault="00851ED3" w:rsidP="006D1986">
            <w:pPr>
              <w:spacing w:before="0"/>
              <w:jc w:val="center"/>
              <w:rPr>
                <w:color w:val="000000"/>
              </w:rPr>
            </w:pPr>
            <w:r>
              <w:rPr>
                <w:color w:val="000000"/>
                <w:szCs w:val="22"/>
              </w:rPr>
              <w:t>33</w:t>
            </w:r>
          </w:p>
        </w:tc>
        <w:tc>
          <w:tcPr>
            <w:tcW w:w="1012" w:type="dxa"/>
            <w:vMerge/>
            <w:vAlign w:val="center"/>
          </w:tcPr>
          <w:p w14:paraId="3032A010" w14:textId="77777777" w:rsidR="00851ED3" w:rsidRPr="00B137CC" w:rsidRDefault="00851ED3" w:rsidP="009A23AA">
            <w:pPr>
              <w:spacing w:before="60" w:after="60"/>
            </w:pPr>
          </w:p>
        </w:tc>
        <w:tc>
          <w:tcPr>
            <w:tcW w:w="1559" w:type="dxa"/>
            <w:shd w:val="clear" w:color="auto" w:fill="auto"/>
            <w:vAlign w:val="center"/>
          </w:tcPr>
          <w:p w14:paraId="213343EE" w14:textId="77777777" w:rsidR="00851ED3" w:rsidRPr="00A64D4F" w:rsidRDefault="00851ED3" w:rsidP="009A23AA">
            <w:pPr>
              <w:spacing w:before="60" w:after="60"/>
              <w:rPr>
                <w:color w:val="000000"/>
              </w:rPr>
            </w:pPr>
            <w:r w:rsidRPr="00A64D4F">
              <w:rPr>
                <w:color w:val="000000"/>
                <w:szCs w:val="22"/>
              </w:rPr>
              <w:t>Self-contained</w:t>
            </w:r>
          </w:p>
        </w:tc>
        <w:tc>
          <w:tcPr>
            <w:tcW w:w="1418" w:type="dxa"/>
            <w:shd w:val="clear" w:color="auto" w:fill="auto"/>
            <w:vAlign w:val="center"/>
          </w:tcPr>
          <w:p w14:paraId="46C1CB31" w14:textId="77777777" w:rsidR="00851ED3" w:rsidRPr="00A64D4F" w:rsidRDefault="00851ED3" w:rsidP="009A23AA">
            <w:pPr>
              <w:spacing w:before="60" w:after="60"/>
              <w:rPr>
                <w:color w:val="000000"/>
              </w:rPr>
            </w:pPr>
            <w:r w:rsidRPr="00A64D4F">
              <w:rPr>
                <w:color w:val="000000"/>
                <w:szCs w:val="22"/>
              </w:rPr>
              <w:t>RCFC1-3</w:t>
            </w:r>
          </w:p>
        </w:tc>
        <w:tc>
          <w:tcPr>
            <w:tcW w:w="2265" w:type="dxa"/>
            <w:shd w:val="clear" w:color="auto" w:fill="auto"/>
            <w:vAlign w:val="center"/>
          </w:tcPr>
          <w:p w14:paraId="139CE674" w14:textId="77777777" w:rsidR="00851ED3" w:rsidRPr="00A64D4F" w:rsidRDefault="00851ED3" w:rsidP="00045599">
            <w:pPr>
              <w:spacing w:before="60" w:after="60"/>
              <w:jc w:val="left"/>
              <w:rPr>
                <w:color w:val="000000"/>
              </w:rPr>
            </w:pPr>
            <w:r w:rsidRPr="00A64D4F">
              <w:rPr>
                <w:color w:val="000000"/>
                <w:szCs w:val="22"/>
              </w:rPr>
              <w:t>Beverage cooling (post mix)</w:t>
            </w:r>
          </w:p>
        </w:tc>
        <w:tc>
          <w:tcPr>
            <w:tcW w:w="2265" w:type="dxa"/>
            <w:shd w:val="clear" w:color="auto" w:fill="auto"/>
            <w:vAlign w:val="center"/>
          </w:tcPr>
          <w:p w14:paraId="0541A6D8" w14:textId="77777777" w:rsidR="00851ED3" w:rsidRPr="00A64D4F" w:rsidRDefault="00851ED3" w:rsidP="00045599">
            <w:pPr>
              <w:spacing w:before="60" w:after="60"/>
              <w:jc w:val="center"/>
              <w:rPr>
                <w:color w:val="000000"/>
              </w:rPr>
            </w:pPr>
            <w:r w:rsidRPr="00BC2272">
              <w:rPr>
                <w:color w:val="000000"/>
                <w:lang w:val="en-US"/>
              </w:rPr>
              <w:t>5</w:t>
            </w:r>
            <w:r>
              <w:rPr>
                <w:color w:val="000000"/>
                <w:lang w:val="en-US"/>
              </w:rPr>
              <w:t>4</w:t>
            </w:r>
            <w:r w:rsidRPr="00BC2272">
              <w:rPr>
                <w:color w:val="000000"/>
                <w:lang w:val="en-US"/>
              </w:rPr>
              <w:t>,000</w:t>
            </w:r>
          </w:p>
        </w:tc>
      </w:tr>
      <w:tr w:rsidR="00851ED3" w14:paraId="39E89419" w14:textId="77777777" w:rsidTr="00ED641C">
        <w:trPr>
          <w:cantSplit/>
          <w:trHeight w:val="624"/>
        </w:trPr>
        <w:tc>
          <w:tcPr>
            <w:tcW w:w="973" w:type="dxa"/>
            <w:vAlign w:val="center"/>
          </w:tcPr>
          <w:p w14:paraId="1ADF733B" w14:textId="77777777" w:rsidR="00851ED3" w:rsidRPr="00B137CC" w:rsidRDefault="00851ED3" w:rsidP="006D1986">
            <w:pPr>
              <w:spacing w:before="0"/>
              <w:jc w:val="center"/>
              <w:rPr>
                <w:color w:val="000000"/>
              </w:rPr>
            </w:pPr>
            <w:r>
              <w:rPr>
                <w:color w:val="000000"/>
                <w:szCs w:val="22"/>
              </w:rPr>
              <w:t>34</w:t>
            </w:r>
          </w:p>
        </w:tc>
        <w:tc>
          <w:tcPr>
            <w:tcW w:w="1012" w:type="dxa"/>
            <w:vMerge/>
            <w:vAlign w:val="center"/>
          </w:tcPr>
          <w:p w14:paraId="09545669" w14:textId="77777777" w:rsidR="00851ED3" w:rsidRPr="00B137CC" w:rsidRDefault="00851ED3" w:rsidP="009A23AA">
            <w:pPr>
              <w:spacing w:before="60" w:after="60"/>
            </w:pPr>
          </w:p>
        </w:tc>
        <w:tc>
          <w:tcPr>
            <w:tcW w:w="1559" w:type="dxa"/>
            <w:tcBorders>
              <w:bottom w:val="single" w:sz="4" w:space="0" w:color="000000"/>
            </w:tcBorders>
            <w:shd w:val="clear" w:color="auto" w:fill="auto"/>
            <w:vAlign w:val="center"/>
          </w:tcPr>
          <w:p w14:paraId="0383A190" w14:textId="77777777" w:rsidR="00851ED3" w:rsidRPr="00A64D4F" w:rsidRDefault="00851ED3" w:rsidP="009A23AA">
            <w:pPr>
              <w:spacing w:before="60" w:after="60"/>
              <w:rPr>
                <w:color w:val="000000"/>
              </w:rPr>
            </w:pPr>
            <w:r w:rsidRPr="00A64D4F">
              <w:rPr>
                <w:color w:val="000000"/>
                <w:szCs w:val="22"/>
              </w:rPr>
              <w:t>Self-contained</w:t>
            </w:r>
          </w:p>
        </w:tc>
        <w:tc>
          <w:tcPr>
            <w:tcW w:w="1418" w:type="dxa"/>
            <w:tcBorders>
              <w:bottom w:val="single" w:sz="4" w:space="0" w:color="000000"/>
            </w:tcBorders>
            <w:shd w:val="clear" w:color="auto" w:fill="auto"/>
            <w:vAlign w:val="center"/>
          </w:tcPr>
          <w:p w14:paraId="6BD9B341" w14:textId="77777777" w:rsidR="00851ED3" w:rsidRPr="00A64D4F" w:rsidRDefault="00851ED3" w:rsidP="009A23AA">
            <w:pPr>
              <w:spacing w:before="60" w:after="60"/>
              <w:rPr>
                <w:color w:val="000000"/>
              </w:rPr>
            </w:pPr>
            <w:r w:rsidRPr="00A64D4F">
              <w:rPr>
                <w:color w:val="000000"/>
                <w:szCs w:val="22"/>
              </w:rPr>
              <w:t>RCFC1-4</w:t>
            </w:r>
          </w:p>
        </w:tc>
        <w:tc>
          <w:tcPr>
            <w:tcW w:w="2265" w:type="dxa"/>
            <w:tcBorders>
              <w:bottom w:val="single" w:sz="4" w:space="0" w:color="000000"/>
            </w:tcBorders>
            <w:shd w:val="clear" w:color="auto" w:fill="auto"/>
            <w:vAlign w:val="center"/>
          </w:tcPr>
          <w:p w14:paraId="19BEA952" w14:textId="77777777" w:rsidR="00851ED3" w:rsidRPr="00A64D4F" w:rsidRDefault="00851ED3" w:rsidP="00045599">
            <w:pPr>
              <w:spacing w:before="60" w:after="60"/>
              <w:jc w:val="left"/>
              <w:rPr>
                <w:color w:val="000000"/>
              </w:rPr>
            </w:pPr>
            <w:r w:rsidRPr="00A64D4F">
              <w:rPr>
                <w:color w:val="000000"/>
                <w:szCs w:val="22"/>
              </w:rPr>
              <w:t>Ice makers</w:t>
            </w:r>
          </w:p>
        </w:tc>
        <w:tc>
          <w:tcPr>
            <w:tcW w:w="2265" w:type="dxa"/>
            <w:tcBorders>
              <w:bottom w:val="single" w:sz="4" w:space="0" w:color="000000"/>
            </w:tcBorders>
            <w:shd w:val="clear" w:color="auto" w:fill="auto"/>
            <w:vAlign w:val="center"/>
          </w:tcPr>
          <w:p w14:paraId="4272670F" w14:textId="77777777" w:rsidR="00851ED3" w:rsidRPr="00A64D4F" w:rsidRDefault="00851ED3" w:rsidP="00045599">
            <w:pPr>
              <w:spacing w:before="60" w:after="60"/>
              <w:jc w:val="center"/>
              <w:rPr>
                <w:color w:val="000000"/>
              </w:rPr>
            </w:pPr>
            <w:r w:rsidRPr="00BC2272">
              <w:rPr>
                <w:color w:val="000000"/>
                <w:lang w:val="en-US"/>
              </w:rPr>
              <w:t>7</w:t>
            </w:r>
            <w:r>
              <w:rPr>
                <w:color w:val="000000"/>
                <w:lang w:val="en-US"/>
              </w:rPr>
              <w:t>3</w:t>
            </w:r>
            <w:r w:rsidRPr="00BC2272">
              <w:rPr>
                <w:color w:val="000000"/>
                <w:lang w:val="en-US"/>
              </w:rPr>
              <w:t>,000</w:t>
            </w:r>
          </w:p>
        </w:tc>
      </w:tr>
      <w:tr w:rsidR="00851ED3" w14:paraId="6C90CF42" w14:textId="77777777" w:rsidTr="00ED641C">
        <w:trPr>
          <w:cantSplit/>
          <w:trHeight w:val="624"/>
        </w:trPr>
        <w:tc>
          <w:tcPr>
            <w:tcW w:w="973" w:type="dxa"/>
            <w:vAlign w:val="center"/>
          </w:tcPr>
          <w:p w14:paraId="2A866145" w14:textId="77777777" w:rsidR="00851ED3" w:rsidRPr="00B137CC" w:rsidRDefault="00851ED3" w:rsidP="006D1986">
            <w:pPr>
              <w:spacing w:before="0"/>
              <w:jc w:val="center"/>
              <w:rPr>
                <w:color w:val="000000"/>
              </w:rPr>
            </w:pPr>
            <w:r>
              <w:rPr>
                <w:color w:val="000000"/>
                <w:szCs w:val="22"/>
              </w:rPr>
              <w:t>35</w:t>
            </w:r>
          </w:p>
        </w:tc>
        <w:tc>
          <w:tcPr>
            <w:tcW w:w="1012" w:type="dxa"/>
            <w:vMerge/>
            <w:vAlign w:val="center"/>
          </w:tcPr>
          <w:p w14:paraId="004E53E9" w14:textId="77777777" w:rsidR="00851ED3" w:rsidRPr="00B137CC" w:rsidRDefault="00851ED3" w:rsidP="009A23AA">
            <w:pPr>
              <w:spacing w:before="60" w:after="60"/>
            </w:pPr>
          </w:p>
        </w:tc>
        <w:tc>
          <w:tcPr>
            <w:tcW w:w="1559" w:type="dxa"/>
            <w:tcBorders>
              <w:bottom w:val="single" w:sz="4" w:space="0" w:color="000000"/>
            </w:tcBorders>
            <w:shd w:val="clear" w:color="auto" w:fill="auto"/>
            <w:vAlign w:val="center"/>
          </w:tcPr>
          <w:p w14:paraId="57F5BBD4" w14:textId="77777777" w:rsidR="00851ED3" w:rsidRPr="00B137CC" w:rsidRDefault="00851ED3" w:rsidP="009A23AA">
            <w:pPr>
              <w:spacing w:before="60" w:after="60"/>
              <w:rPr>
                <w:color w:val="000000"/>
              </w:rPr>
            </w:pPr>
            <w:r>
              <w:rPr>
                <w:color w:val="000000"/>
                <w:szCs w:val="22"/>
              </w:rPr>
              <w:t>Self-contained</w:t>
            </w:r>
          </w:p>
        </w:tc>
        <w:tc>
          <w:tcPr>
            <w:tcW w:w="1418" w:type="dxa"/>
            <w:tcBorders>
              <w:bottom w:val="single" w:sz="4" w:space="0" w:color="000000"/>
            </w:tcBorders>
            <w:shd w:val="clear" w:color="auto" w:fill="auto"/>
            <w:vAlign w:val="center"/>
          </w:tcPr>
          <w:p w14:paraId="093397FA" w14:textId="77777777" w:rsidR="00851ED3" w:rsidRPr="00B137CC" w:rsidRDefault="00851ED3" w:rsidP="009A23AA">
            <w:pPr>
              <w:spacing w:before="60" w:after="60"/>
              <w:rPr>
                <w:color w:val="000000"/>
              </w:rPr>
            </w:pPr>
            <w:r>
              <w:rPr>
                <w:color w:val="000000"/>
                <w:szCs w:val="22"/>
              </w:rPr>
              <w:t>RCFC1-5</w:t>
            </w:r>
          </w:p>
        </w:tc>
        <w:tc>
          <w:tcPr>
            <w:tcW w:w="2265" w:type="dxa"/>
            <w:tcBorders>
              <w:bottom w:val="single" w:sz="4" w:space="0" w:color="000000"/>
            </w:tcBorders>
            <w:shd w:val="clear" w:color="auto" w:fill="auto"/>
            <w:vAlign w:val="center"/>
          </w:tcPr>
          <w:p w14:paraId="1B59F929" w14:textId="77777777" w:rsidR="00851ED3" w:rsidRPr="00B137CC" w:rsidRDefault="00851ED3" w:rsidP="00045599">
            <w:pPr>
              <w:spacing w:before="60" w:after="60"/>
              <w:jc w:val="left"/>
              <w:rPr>
                <w:color w:val="000000"/>
              </w:rPr>
            </w:pPr>
            <w:r>
              <w:rPr>
                <w:color w:val="000000"/>
                <w:szCs w:val="22"/>
              </w:rPr>
              <w:t>Water dispensers (incl. bottle)</w:t>
            </w:r>
          </w:p>
        </w:tc>
        <w:tc>
          <w:tcPr>
            <w:tcW w:w="2265" w:type="dxa"/>
            <w:tcBorders>
              <w:bottom w:val="single" w:sz="4" w:space="0" w:color="000000"/>
            </w:tcBorders>
            <w:shd w:val="clear" w:color="auto" w:fill="auto"/>
            <w:vAlign w:val="center"/>
          </w:tcPr>
          <w:p w14:paraId="65B85B3B" w14:textId="77777777" w:rsidR="00851ED3" w:rsidRPr="00A64D4F" w:rsidRDefault="00851ED3" w:rsidP="00045599">
            <w:pPr>
              <w:spacing w:before="60" w:after="60"/>
              <w:jc w:val="center"/>
              <w:rPr>
                <w:color w:val="000000"/>
                <w:highlight w:val="yellow"/>
              </w:rPr>
            </w:pPr>
            <w:r w:rsidRPr="00BD25F8">
              <w:rPr>
                <w:color w:val="000000"/>
                <w:lang w:val="en-US"/>
              </w:rPr>
              <w:t>243,500</w:t>
            </w:r>
          </w:p>
        </w:tc>
      </w:tr>
      <w:tr w:rsidR="00851ED3" w14:paraId="7B312B94" w14:textId="77777777" w:rsidTr="00ED641C">
        <w:trPr>
          <w:cantSplit/>
          <w:trHeight w:val="624"/>
        </w:trPr>
        <w:tc>
          <w:tcPr>
            <w:tcW w:w="973" w:type="dxa"/>
            <w:vAlign w:val="center"/>
          </w:tcPr>
          <w:p w14:paraId="0A6BF53D" w14:textId="77777777" w:rsidR="00851ED3" w:rsidRPr="00B137CC" w:rsidRDefault="00851ED3" w:rsidP="006D1986">
            <w:pPr>
              <w:spacing w:before="60" w:after="60"/>
              <w:jc w:val="center"/>
              <w:rPr>
                <w:color w:val="000000"/>
              </w:rPr>
            </w:pPr>
            <w:r>
              <w:rPr>
                <w:color w:val="000000"/>
                <w:szCs w:val="22"/>
              </w:rPr>
              <w:t>36</w:t>
            </w:r>
          </w:p>
        </w:tc>
        <w:tc>
          <w:tcPr>
            <w:tcW w:w="1012" w:type="dxa"/>
            <w:vMerge/>
            <w:vAlign w:val="center"/>
          </w:tcPr>
          <w:p w14:paraId="6AABEC1D" w14:textId="77777777" w:rsidR="00851ED3" w:rsidRPr="00B137CC" w:rsidRDefault="00851ED3" w:rsidP="009A23AA">
            <w:pPr>
              <w:spacing w:before="60" w:after="60"/>
            </w:pPr>
          </w:p>
        </w:tc>
        <w:tc>
          <w:tcPr>
            <w:tcW w:w="1559" w:type="dxa"/>
            <w:tcBorders>
              <w:bottom w:val="single" w:sz="4" w:space="0" w:color="000000"/>
            </w:tcBorders>
            <w:shd w:val="clear" w:color="auto" w:fill="auto"/>
            <w:vAlign w:val="center"/>
          </w:tcPr>
          <w:p w14:paraId="608E1543" w14:textId="77777777" w:rsidR="00851ED3" w:rsidRPr="00B137CC" w:rsidRDefault="00851ED3" w:rsidP="009A23AA">
            <w:pPr>
              <w:spacing w:before="60" w:after="60"/>
              <w:rPr>
                <w:color w:val="000000"/>
              </w:rPr>
            </w:pPr>
            <w:r>
              <w:rPr>
                <w:color w:val="000000"/>
                <w:szCs w:val="22"/>
              </w:rPr>
              <w:t>Self-contained</w:t>
            </w:r>
          </w:p>
        </w:tc>
        <w:tc>
          <w:tcPr>
            <w:tcW w:w="1418" w:type="dxa"/>
            <w:tcBorders>
              <w:bottom w:val="single" w:sz="4" w:space="0" w:color="000000"/>
            </w:tcBorders>
            <w:shd w:val="clear" w:color="auto" w:fill="auto"/>
            <w:vAlign w:val="center"/>
          </w:tcPr>
          <w:p w14:paraId="45D2876D" w14:textId="77777777" w:rsidR="00851ED3" w:rsidRPr="00B137CC" w:rsidRDefault="00851ED3" w:rsidP="009A23AA">
            <w:pPr>
              <w:spacing w:before="60" w:after="60"/>
              <w:rPr>
                <w:color w:val="000000"/>
              </w:rPr>
            </w:pPr>
            <w:r>
              <w:rPr>
                <w:color w:val="000000"/>
                <w:szCs w:val="22"/>
              </w:rPr>
              <w:t>RCFC1-6</w:t>
            </w:r>
          </w:p>
        </w:tc>
        <w:tc>
          <w:tcPr>
            <w:tcW w:w="2265" w:type="dxa"/>
            <w:tcBorders>
              <w:bottom w:val="single" w:sz="4" w:space="0" w:color="000000"/>
            </w:tcBorders>
            <w:shd w:val="clear" w:color="auto" w:fill="auto"/>
            <w:vAlign w:val="center"/>
          </w:tcPr>
          <w:p w14:paraId="38A24381" w14:textId="77777777" w:rsidR="00851ED3" w:rsidRPr="00B137CC" w:rsidRDefault="00851ED3" w:rsidP="00045599">
            <w:pPr>
              <w:spacing w:before="60" w:after="60"/>
              <w:jc w:val="left"/>
              <w:rPr>
                <w:color w:val="000000"/>
              </w:rPr>
            </w:pPr>
            <w:r>
              <w:rPr>
                <w:color w:val="000000"/>
                <w:szCs w:val="22"/>
              </w:rPr>
              <w:t>Other self-contained refrigeration equipment</w:t>
            </w:r>
          </w:p>
        </w:tc>
        <w:tc>
          <w:tcPr>
            <w:tcW w:w="2265" w:type="dxa"/>
            <w:tcBorders>
              <w:bottom w:val="single" w:sz="4" w:space="0" w:color="000000"/>
            </w:tcBorders>
            <w:shd w:val="clear" w:color="auto" w:fill="auto"/>
            <w:vAlign w:val="center"/>
          </w:tcPr>
          <w:p w14:paraId="44047CB6" w14:textId="77777777" w:rsidR="00851ED3" w:rsidRPr="00A64D4F" w:rsidRDefault="00851ED3" w:rsidP="00045599">
            <w:pPr>
              <w:spacing w:before="60" w:after="60"/>
              <w:jc w:val="center"/>
              <w:rPr>
                <w:color w:val="000000"/>
                <w:highlight w:val="yellow"/>
              </w:rPr>
            </w:pPr>
            <w:r w:rsidRPr="007E7E2A">
              <w:rPr>
                <w:color w:val="000000"/>
                <w:lang w:val="en-US"/>
              </w:rPr>
              <w:t>110,000</w:t>
            </w:r>
          </w:p>
        </w:tc>
      </w:tr>
      <w:tr w:rsidR="00851ED3" w14:paraId="2A2145CC" w14:textId="77777777" w:rsidTr="00ED641C">
        <w:trPr>
          <w:cantSplit/>
          <w:trHeight w:val="624"/>
        </w:trPr>
        <w:tc>
          <w:tcPr>
            <w:tcW w:w="973" w:type="dxa"/>
            <w:vAlign w:val="center"/>
          </w:tcPr>
          <w:p w14:paraId="2861C853" w14:textId="77777777" w:rsidR="00851ED3" w:rsidRPr="00B137CC" w:rsidRDefault="00851ED3" w:rsidP="006D1986">
            <w:pPr>
              <w:spacing w:before="60" w:after="60"/>
              <w:jc w:val="center"/>
              <w:rPr>
                <w:color w:val="000000"/>
              </w:rPr>
            </w:pPr>
            <w:r>
              <w:rPr>
                <w:color w:val="000000"/>
                <w:szCs w:val="22"/>
              </w:rPr>
              <w:t>37</w:t>
            </w:r>
          </w:p>
        </w:tc>
        <w:tc>
          <w:tcPr>
            <w:tcW w:w="1012" w:type="dxa"/>
            <w:vMerge/>
            <w:vAlign w:val="center"/>
          </w:tcPr>
          <w:p w14:paraId="4A4EDFDC" w14:textId="77777777" w:rsidR="00851ED3" w:rsidRPr="00B137CC" w:rsidRDefault="00851ED3" w:rsidP="009A23AA">
            <w:pPr>
              <w:spacing w:before="60" w:after="60"/>
            </w:pPr>
          </w:p>
        </w:tc>
        <w:tc>
          <w:tcPr>
            <w:tcW w:w="1559" w:type="dxa"/>
            <w:shd w:val="clear" w:color="auto" w:fill="auto"/>
            <w:vAlign w:val="center"/>
          </w:tcPr>
          <w:p w14:paraId="4EEECE3E" w14:textId="77777777" w:rsidR="00851ED3" w:rsidRPr="00B137CC" w:rsidRDefault="00851ED3" w:rsidP="009A23AA">
            <w:pPr>
              <w:spacing w:before="60" w:after="60"/>
              <w:rPr>
                <w:color w:val="000000"/>
              </w:rPr>
            </w:pPr>
            <w:r>
              <w:rPr>
                <w:color w:val="000000"/>
                <w:szCs w:val="22"/>
              </w:rPr>
              <w:t>Self-contained</w:t>
            </w:r>
          </w:p>
        </w:tc>
        <w:tc>
          <w:tcPr>
            <w:tcW w:w="1418" w:type="dxa"/>
            <w:shd w:val="clear" w:color="auto" w:fill="auto"/>
            <w:vAlign w:val="center"/>
          </w:tcPr>
          <w:p w14:paraId="3A6AF9C4" w14:textId="77777777" w:rsidR="00851ED3" w:rsidRPr="00B137CC" w:rsidRDefault="00851ED3" w:rsidP="009A23AA">
            <w:pPr>
              <w:spacing w:before="60" w:after="60"/>
              <w:rPr>
                <w:color w:val="000000"/>
              </w:rPr>
            </w:pPr>
            <w:r>
              <w:rPr>
                <w:color w:val="000000"/>
                <w:szCs w:val="22"/>
              </w:rPr>
              <w:t>RCFC1-7</w:t>
            </w:r>
          </w:p>
        </w:tc>
        <w:tc>
          <w:tcPr>
            <w:tcW w:w="2265" w:type="dxa"/>
            <w:shd w:val="clear" w:color="auto" w:fill="auto"/>
            <w:vAlign w:val="center"/>
          </w:tcPr>
          <w:p w14:paraId="34FC947E" w14:textId="77777777" w:rsidR="00851ED3" w:rsidRPr="00B137CC" w:rsidRDefault="00851ED3" w:rsidP="00045599">
            <w:pPr>
              <w:spacing w:before="60" w:after="60"/>
              <w:jc w:val="left"/>
              <w:rPr>
                <w:color w:val="000000"/>
              </w:rPr>
            </w:pPr>
            <w:r>
              <w:rPr>
                <w:color w:val="000000"/>
                <w:szCs w:val="22"/>
              </w:rPr>
              <w:t>Walk-in cold rooms: small: Slid-in/Drop-in</w:t>
            </w:r>
          </w:p>
        </w:tc>
        <w:tc>
          <w:tcPr>
            <w:tcW w:w="2265" w:type="dxa"/>
            <w:shd w:val="clear" w:color="auto" w:fill="auto"/>
            <w:vAlign w:val="center"/>
          </w:tcPr>
          <w:p w14:paraId="58D979C4" w14:textId="77777777" w:rsidR="00851ED3" w:rsidRPr="00A64D4F" w:rsidRDefault="00851ED3" w:rsidP="00045599">
            <w:pPr>
              <w:spacing w:before="60" w:after="60"/>
              <w:jc w:val="center"/>
              <w:rPr>
                <w:color w:val="000000"/>
                <w:highlight w:val="yellow"/>
              </w:rPr>
            </w:pPr>
            <w:r w:rsidRPr="00BD25F8">
              <w:rPr>
                <w:color w:val="000000"/>
                <w:lang w:val="en-US"/>
              </w:rPr>
              <w:t>9,100</w:t>
            </w:r>
          </w:p>
        </w:tc>
      </w:tr>
      <w:tr w:rsidR="00851ED3" w14:paraId="46C77A15" w14:textId="77777777" w:rsidTr="00ED641C">
        <w:trPr>
          <w:cantSplit/>
          <w:trHeight w:val="624"/>
        </w:trPr>
        <w:tc>
          <w:tcPr>
            <w:tcW w:w="973" w:type="dxa"/>
            <w:vAlign w:val="center"/>
          </w:tcPr>
          <w:p w14:paraId="597F64AC" w14:textId="77777777" w:rsidR="00851ED3" w:rsidRPr="00B137CC" w:rsidRDefault="00851ED3" w:rsidP="006D1986">
            <w:pPr>
              <w:spacing w:before="60" w:after="60"/>
              <w:jc w:val="center"/>
            </w:pPr>
            <w:r>
              <w:rPr>
                <w:color w:val="000000"/>
                <w:szCs w:val="22"/>
              </w:rPr>
              <w:t>38</w:t>
            </w:r>
          </w:p>
        </w:tc>
        <w:tc>
          <w:tcPr>
            <w:tcW w:w="1012" w:type="dxa"/>
            <w:vMerge/>
            <w:vAlign w:val="center"/>
          </w:tcPr>
          <w:p w14:paraId="0745F1DB" w14:textId="77777777" w:rsidR="00851ED3" w:rsidRPr="00B137CC" w:rsidRDefault="00851ED3" w:rsidP="009A23AA">
            <w:pPr>
              <w:spacing w:before="60" w:after="60"/>
            </w:pPr>
          </w:p>
        </w:tc>
        <w:tc>
          <w:tcPr>
            <w:tcW w:w="1559" w:type="dxa"/>
            <w:shd w:val="clear" w:color="auto" w:fill="auto"/>
            <w:vAlign w:val="center"/>
          </w:tcPr>
          <w:p w14:paraId="215C0A18" w14:textId="77777777" w:rsidR="00851ED3" w:rsidRPr="00B137CC" w:rsidRDefault="00851ED3" w:rsidP="009A23AA">
            <w:pPr>
              <w:spacing w:before="60" w:after="60"/>
            </w:pPr>
            <w:r>
              <w:rPr>
                <w:color w:val="000000"/>
                <w:szCs w:val="22"/>
              </w:rPr>
              <w:t>Remote</w:t>
            </w:r>
          </w:p>
        </w:tc>
        <w:tc>
          <w:tcPr>
            <w:tcW w:w="1418" w:type="dxa"/>
            <w:tcBorders>
              <w:bottom w:val="single" w:sz="4" w:space="0" w:color="000000"/>
            </w:tcBorders>
            <w:shd w:val="clear" w:color="auto" w:fill="auto"/>
            <w:vAlign w:val="center"/>
          </w:tcPr>
          <w:p w14:paraId="62FC02A6" w14:textId="77777777" w:rsidR="00851ED3" w:rsidRPr="00B137CC" w:rsidRDefault="00851ED3" w:rsidP="009A23AA">
            <w:pPr>
              <w:spacing w:before="60" w:after="60"/>
            </w:pPr>
            <w:r>
              <w:rPr>
                <w:color w:val="000000"/>
                <w:szCs w:val="22"/>
              </w:rPr>
              <w:t>RCFC1-8</w:t>
            </w:r>
          </w:p>
        </w:tc>
        <w:tc>
          <w:tcPr>
            <w:tcW w:w="2265" w:type="dxa"/>
            <w:shd w:val="clear" w:color="auto" w:fill="auto"/>
            <w:vAlign w:val="center"/>
          </w:tcPr>
          <w:p w14:paraId="78FE8287" w14:textId="77777777" w:rsidR="00851ED3" w:rsidRPr="00B137CC" w:rsidRDefault="00851ED3" w:rsidP="00045599">
            <w:pPr>
              <w:spacing w:before="60" w:after="60"/>
              <w:jc w:val="left"/>
            </w:pPr>
            <w:r>
              <w:rPr>
                <w:color w:val="000000"/>
                <w:szCs w:val="22"/>
              </w:rPr>
              <w:t>Walk-in cold rooms: small: remote</w:t>
            </w:r>
          </w:p>
        </w:tc>
        <w:tc>
          <w:tcPr>
            <w:tcW w:w="2265" w:type="dxa"/>
            <w:shd w:val="clear" w:color="auto" w:fill="auto"/>
            <w:vAlign w:val="center"/>
          </w:tcPr>
          <w:p w14:paraId="56E26848" w14:textId="77777777" w:rsidR="00851ED3" w:rsidRPr="00BD25F8" w:rsidRDefault="00851ED3" w:rsidP="00045599">
            <w:pPr>
              <w:spacing w:before="60" w:after="60"/>
              <w:jc w:val="center"/>
            </w:pPr>
            <w:r w:rsidRPr="00BD25F8">
              <w:rPr>
                <w:color w:val="000000"/>
                <w:lang w:val="en-US"/>
              </w:rPr>
              <w:t>212,000</w:t>
            </w:r>
          </w:p>
        </w:tc>
      </w:tr>
      <w:tr w:rsidR="00851ED3" w14:paraId="2F466F1C" w14:textId="77777777" w:rsidTr="00ED641C">
        <w:trPr>
          <w:cantSplit/>
          <w:trHeight w:val="624"/>
        </w:trPr>
        <w:tc>
          <w:tcPr>
            <w:tcW w:w="973" w:type="dxa"/>
            <w:vAlign w:val="center"/>
          </w:tcPr>
          <w:p w14:paraId="6DA34EFE" w14:textId="77777777" w:rsidR="00851ED3" w:rsidRPr="00B137CC" w:rsidRDefault="00851ED3" w:rsidP="006D1986">
            <w:pPr>
              <w:spacing w:before="60" w:after="60"/>
              <w:jc w:val="center"/>
            </w:pPr>
            <w:r>
              <w:rPr>
                <w:color w:val="000000"/>
                <w:szCs w:val="22"/>
              </w:rPr>
              <w:t>39</w:t>
            </w:r>
          </w:p>
        </w:tc>
        <w:tc>
          <w:tcPr>
            <w:tcW w:w="1012" w:type="dxa"/>
            <w:vMerge w:val="restart"/>
            <w:textDirection w:val="btLr"/>
            <w:vAlign w:val="center"/>
          </w:tcPr>
          <w:p w14:paraId="2D1A5E89" w14:textId="77777777" w:rsidR="00851ED3" w:rsidRPr="00B137CC" w:rsidRDefault="00851ED3" w:rsidP="00045599">
            <w:pPr>
              <w:spacing w:before="60" w:after="60"/>
              <w:jc w:val="center"/>
            </w:pPr>
            <w:r>
              <w:rPr>
                <w:color w:val="000000"/>
                <w:szCs w:val="22"/>
              </w:rPr>
              <w:t>RCFC2: Medium Commercial Refrigeration</w:t>
            </w:r>
          </w:p>
        </w:tc>
        <w:tc>
          <w:tcPr>
            <w:tcW w:w="1559" w:type="dxa"/>
            <w:shd w:val="clear" w:color="auto" w:fill="auto"/>
            <w:vAlign w:val="center"/>
          </w:tcPr>
          <w:p w14:paraId="67A975C6" w14:textId="77777777" w:rsidR="00851ED3" w:rsidRPr="00B137CC" w:rsidRDefault="00851ED3" w:rsidP="009A23AA">
            <w:pPr>
              <w:spacing w:before="60" w:after="60"/>
            </w:pPr>
            <w:r>
              <w:rPr>
                <w:color w:val="000000"/>
                <w:szCs w:val="22"/>
              </w:rPr>
              <w:t>Remote</w:t>
            </w:r>
          </w:p>
        </w:tc>
        <w:tc>
          <w:tcPr>
            <w:tcW w:w="1418" w:type="dxa"/>
            <w:shd w:val="clear" w:color="auto" w:fill="auto"/>
            <w:vAlign w:val="center"/>
          </w:tcPr>
          <w:p w14:paraId="6B181C1F" w14:textId="77777777" w:rsidR="00851ED3" w:rsidRPr="00B137CC" w:rsidRDefault="00851ED3" w:rsidP="009A23AA">
            <w:pPr>
              <w:spacing w:before="60" w:after="60"/>
            </w:pPr>
            <w:r>
              <w:rPr>
                <w:color w:val="000000"/>
                <w:szCs w:val="22"/>
              </w:rPr>
              <w:t>RCFC2-1</w:t>
            </w:r>
          </w:p>
        </w:tc>
        <w:tc>
          <w:tcPr>
            <w:tcW w:w="2265" w:type="dxa"/>
            <w:shd w:val="clear" w:color="auto" w:fill="auto"/>
            <w:vAlign w:val="center"/>
          </w:tcPr>
          <w:p w14:paraId="16FBC062" w14:textId="77777777" w:rsidR="00851ED3" w:rsidRPr="00B137CC" w:rsidRDefault="00851ED3" w:rsidP="00045599">
            <w:pPr>
              <w:spacing w:before="60" w:after="60"/>
              <w:jc w:val="left"/>
            </w:pPr>
            <w:r>
              <w:rPr>
                <w:color w:val="000000"/>
                <w:szCs w:val="22"/>
              </w:rPr>
              <w:t>Walk-in cold rooms: medium</w:t>
            </w:r>
          </w:p>
        </w:tc>
        <w:tc>
          <w:tcPr>
            <w:tcW w:w="2265" w:type="dxa"/>
            <w:shd w:val="clear" w:color="auto" w:fill="auto"/>
            <w:vAlign w:val="center"/>
          </w:tcPr>
          <w:p w14:paraId="53103176" w14:textId="77777777" w:rsidR="00851ED3" w:rsidRPr="00BD25F8" w:rsidRDefault="00851ED3" w:rsidP="00045599">
            <w:pPr>
              <w:spacing w:before="60" w:after="60"/>
              <w:jc w:val="center"/>
            </w:pPr>
            <w:r w:rsidRPr="00BD25F8">
              <w:rPr>
                <w:color w:val="000000"/>
                <w:lang w:val="en-US"/>
              </w:rPr>
              <w:t>20,500</w:t>
            </w:r>
          </w:p>
        </w:tc>
      </w:tr>
      <w:tr w:rsidR="00851ED3" w14:paraId="2C6A0D30" w14:textId="77777777" w:rsidTr="00ED641C">
        <w:trPr>
          <w:cantSplit/>
          <w:trHeight w:val="624"/>
        </w:trPr>
        <w:tc>
          <w:tcPr>
            <w:tcW w:w="973" w:type="dxa"/>
            <w:vAlign w:val="center"/>
          </w:tcPr>
          <w:p w14:paraId="3C214696" w14:textId="77777777" w:rsidR="00851ED3" w:rsidRPr="00B137CC" w:rsidRDefault="00851ED3" w:rsidP="006D1986">
            <w:pPr>
              <w:spacing w:before="60" w:after="60"/>
              <w:jc w:val="center"/>
              <w:rPr>
                <w:color w:val="000000"/>
              </w:rPr>
            </w:pPr>
            <w:r>
              <w:rPr>
                <w:color w:val="000000"/>
                <w:szCs w:val="22"/>
              </w:rPr>
              <w:t>40</w:t>
            </w:r>
          </w:p>
        </w:tc>
        <w:tc>
          <w:tcPr>
            <w:tcW w:w="1012" w:type="dxa"/>
            <w:vMerge/>
            <w:vAlign w:val="center"/>
          </w:tcPr>
          <w:p w14:paraId="639DB1EC" w14:textId="77777777" w:rsidR="00851ED3" w:rsidRPr="00B137CC" w:rsidRDefault="00851ED3" w:rsidP="009A23AA">
            <w:pPr>
              <w:spacing w:before="60" w:after="60"/>
            </w:pPr>
          </w:p>
        </w:tc>
        <w:tc>
          <w:tcPr>
            <w:tcW w:w="1559" w:type="dxa"/>
            <w:tcBorders>
              <w:bottom w:val="single" w:sz="4" w:space="0" w:color="000000"/>
            </w:tcBorders>
            <w:shd w:val="clear" w:color="auto" w:fill="auto"/>
            <w:vAlign w:val="center"/>
          </w:tcPr>
          <w:p w14:paraId="33BF84E0" w14:textId="77777777" w:rsidR="00851ED3" w:rsidRPr="00B137CC" w:rsidRDefault="00851ED3" w:rsidP="009A23AA">
            <w:pPr>
              <w:spacing w:before="60" w:after="60"/>
              <w:rPr>
                <w:color w:val="000000"/>
              </w:rPr>
            </w:pPr>
            <w:r>
              <w:rPr>
                <w:color w:val="000000"/>
                <w:szCs w:val="22"/>
              </w:rPr>
              <w:t>Remote</w:t>
            </w:r>
          </w:p>
        </w:tc>
        <w:tc>
          <w:tcPr>
            <w:tcW w:w="1418" w:type="dxa"/>
            <w:tcBorders>
              <w:bottom w:val="single" w:sz="4" w:space="0" w:color="000000"/>
            </w:tcBorders>
            <w:shd w:val="clear" w:color="auto" w:fill="auto"/>
            <w:vAlign w:val="center"/>
          </w:tcPr>
          <w:p w14:paraId="55594C8E" w14:textId="77777777" w:rsidR="00851ED3" w:rsidRPr="00B137CC" w:rsidRDefault="00851ED3" w:rsidP="009A23AA">
            <w:pPr>
              <w:spacing w:before="60" w:after="60"/>
              <w:rPr>
                <w:color w:val="000000"/>
              </w:rPr>
            </w:pPr>
            <w:r>
              <w:rPr>
                <w:color w:val="000000"/>
                <w:szCs w:val="22"/>
              </w:rPr>
              <w:t>RCFC2-2</w:t>
            </w:r>
          </w:p>
        </w:tc>
        <w:tc>
          <w:tcPr>
            <w:tcW w:w="2265" w:type="dxa"/>
            <w:tcBorders>
              <w:bottom w:val="single" w:sz="4" w:space="0" w:color="000000"/>
            </w:tcBorders>
            <w:shd w:val="clear" w:color="auto" w:fill="auto"/>
            <w:vAlign w:val="center"/>
          </w:tcPr>
          <w:p w14:paraId="5DDAD2DA" w14:textId="77777777" w:rsidR="00851ED3" w:rsidRPr="00B137CC" w:rsidRDefault="00851ED3" w:rsidP="006D1986">
            <w:pPr>
              <w:spacing w:before="60" w:after="60"/>
              <w:jc w:val="left"/>
              <w:rPr>
                <w:color w:val="000000"/>
              </w:rPr>
            </w:pPr>
            <w:r>
              <w:rPr>
                <w:color w:val="000000"/>
                <w:szCs w:val="22"/>
              </w:rPr>
              <w:t>Walk-in cold rooms: large</w:t>
            </w:r>
          </w:p>
        </w:tc>
        <w:tc>
          <w:tcPr>
            <w:tcW w:w="2265" w:type="dxa"/>
            <w:tcBorders>
              <w:bottom w:val="single" w:sz="4" w:space="0" w:color="000000"/>
            </w:tcBorders>
            <w:shd w:val="clear" w:color="auto" w:fill="auto"/>
            <w:vAlign w:val="center"/>
          </w:tcPr>
          <w:p w14:paraId="2ED7EB49" w14:textId="77777777" w:rsidR="00851ED3" w:rsidRPr="00A64D4F" w:rsidRDefault="00851ED3" w:rsidP="006D1986">
            <w:pPr>
              <w:spacing w:before="60" w:after="60"/>
              <w:jc w:val="center"/>
              <w:rPr>
                <w:color w:val="000000"/>
                <w:highlight w:val="yellow"/>
              </w:rPr>
            </w:pPr>
            <w:r w:rsidRPr="00BD25F8">
              <w:rPr>
                <w:color w:val="000000"/>
                <w:lang w:val="en-US"/>
              </w:rPr>
              <w:t>21,300</w:t>
            </w:r>
          </w:p>
        </w:tc>
      </w:tr>
      <w:tr w:rsidR="00851ED3" w14:paraId="7303D23C" w14:textId="77777777" w:rsidTr="00ED641C">
        <w:trPr>
          <w:cantSplit/>
          <w:trHeight w:val="624"/>
        </w:trPr>
        <w:tc>
          <w:tcPr>
            <w:tcW w:w="973" w:type="dxa"/>
            <w:vAlign w:val="center"/>
          </w:tcPr>
          <w:p w14:paraId="7B88B0B8" w14:textId="77777777" w:rsidR="00851ED3" w:rsidRPr="00B137CC" w:rsidRDefault="00851ED3" w:rsidP="006D1986">
            <w:pPr>
              <w:spacing w:before="60" w:after="60"/>
              <w:jc w:val="center"/>
              <w:rPr>
                <w:color w:val="000000"/>
              </w:rPr>
            </w:pPr>
            <w:r>
              <w:rPr>
                <w:color w:val="000000"/>
                <w:szCs w:val="22"/>
              </w:rPr>
              <w:t>41</w:t>
            </w:r>
          </w:p>
        </w:tc>
        <w:tc>
          <w:tcPr>
            <w:tcW w:w="1012" w:type="dxa"/>
            <w:vMerge/>
            <w:vAlign w:val="center"/>
          </w:tcPr>
          <w:p w14:paraId="45F06B38" w14:textId="77777777" w:rsidR="00851ED3" w:rsidRPr="00B137CC" w:rsidRDefault="00851ED3" w:rsidP="009A23AA">
            <w:pPr>
              <w:spacing w:before="60" w:after="60"/>
            </w:pPr>
          </w:p>
        </w:tc>
        <w:tc>
          <w:tcPr>
            <w:tcW w:w="1559" w:type="dxa"/>
            <w:shd w:val="clear" w:color="auto" w:fill="auto"/>
            <w:vAlign w:val="center"/>
          </w:tcPr>
          <w:p w14:paraId="334E1E3C" w14:textId="77777777" w:rsidR="00851ED3" w:rsidRPr="00B137CC" w:rsidRDefault="00851ED3" w:rsidP="009A23AA">
            <w:pPr>
              <w:spacing w:before="60" w:after="60"/>
              <w:rPr>
                <w:color w:val="000000"/>
              </w:rPr>
            </w:pPr>
            <w:r>
              <w:rPr>
                <w:color w:val="000000"/>
                <w:szCs w:val="22"/>
              </w:rPr>
              <w:t>Remote</w:t>
            </w:r>
          </w:p>
        </w:tc>
        <w:tc>
          <w:tcPr>
            <w:tcW w:w="1418" w:type="dxa"/>
            <w:tcBorders>
              <w:bottom w:val="single" w:sz="4" w:space="0" w:color="000000"/>
            </w:tcBorders>
            <w:shd w:val="clear" w:color="auto" w:fill="auto"/>
            <w:vAlign w:val="center"/>
          </w:tcPr>
          <w:p w14:paraId="56EAA3EF" w14:textId="77777777" w:rsidR="00851ED3" w:rsidRPr="00B137CC" w:rsidRDefault="00851ED3" w:rsidP="009A23AA">
            <w:pPr>
              <w:spacing w:before="60" w:after="60"/>
              <w:rPr>
                <w:color w:val="000000"/>
              </w:rPr>
            </w:pPr>
            <w:r>
              <w:rPr>
                <w:color w:val="000000"/>
                <w:szCs w:val="22"/>
              </w:rPr>
              <w:t>RCFC2-3</w:t>
            </w:r>
          </w:p>
        </w:tc>
        <w:tc>
          <w:tcPr>
            <w:tcW w:w="2265" w:type="dxa"/>
            <w:shd w:val="clear" w:color="auto" w:fill="auto"/>
            <w:vAlign w:val="center"/>
          </w:tcPr>
          <w:p w14:paraId="029FF440" w14:textId="77777777" w:rsidR="00851ED3" w:rsidRPr="00B137CC" w:rsidRDefault="00851ED3" w:rsidP="006D1986">
            <w:pPr>
              <w:spacing w:before="60" w:after="60"/>
              <w:jc w:val="left"/>
              <w:rPr>
                <w:color w:val="000000"/>
              </w:rPr>
            </w:pPr>
            <w:r>
              <w:rPr>
                <w:color w:val="000000"/>
                <w:szCs w:val="22"/>
              </w:rPr>
              <w:t>Refrigeration cabinets: remote</w:t>
            </w:r>
          </w:p>
        </w:tc>
        <w:tc>
          <w:tcPr>
            <w:tcW w:w="2265" w:type="dxa"/>
            <w:shd w:val="clear" w:color="auto" w:fill="auto"/>
            <w:vAlign w:val="center"/>
          </w:tcPr>
          <w:p w14:paraId="4D69E85B" w14:textId="77777777" w:rsidR="00851ED3" w:rsidRPr="00A64D4F" w:rsidRDefault="00851ED3" w:rsidP="006D1986">
            <w:pPr>
              <w:spacing w:before="60" w:after="60"/>
              <w:jc w:val="center"/>
              <w:rPr>
                <w:color w:val="000000"/>
                <w:highlight w:val="yellow"/>
              </w:rPr>
            </w:pPr>
            <w:r w:rsidRPr="00BD25F8">
              <w:rPr>
                <w:color w:val="000000"/>
                <w:lang w:val="en-US"/>
              </w:rPr>
              <w:t>13,500</w:t>
            </w:r>
          </w:p>
        </w:tc>
      </w:tr>
      <w:tr w:rsidR="00851ED3" w14:paraId="144310B7" w14:textId="77777777" w:rsidTr="00ED641C">
        <w:trPr>
          <w:cantSplit/>
          <w:trHeight w:val="624"/>
        </w:trPr>
        <w:tc>
          <w:tcPr>
            <w:tcW w:w="973" w:type="dxa"/>
            <w:vAlign w:val="center"/>
          </w:tcPr>
          <w:p w14:paraId="74A53D35" w14:textId="77777777" w:rsidR="00851ED3" w:rsidRPr="00B137CC" w:rsidRDefault="00851ED3" w:rsidP="006D1986">
            <w:pPr>
              <w:spacing w:before="60" w:after="60"/>
              <w:jc w:val="center"/>
              <w:rPr>
                <w:color w:val="000000"/>
              </w:rPr>
            </w:pPr>
            <w:r>
              <w:rPr>
                <w:color w:val="000000"/>
                <w:szCs w:val="22"/>
              </w:rPr>
              <w:t>42</w:t>
            </w:r>
          </w:p>
        </w:tc>
        <w:tc>
          <w:tcPr>
            <w:tcW w:w="1012" w:type="dxa"/>
            <w:vMerge/>
            <w:vAlign w:val="center"/>
          </w:tcPr>
          <w:p w14:paraId="022A0C60" w14:textId="77777777" w:rsidR="00851ED3" w:rsidRPr="00B137CC" w:rsidRDefault="00851ED3" w:rsidP="009A23AA">
            <w:pPr>
              <w:spacing w:before="60" w:after="60"/>
            </w:pPr>
          </w:p>
        </w:tc>
        <w:tc>
          <w:tcPr>
            <w:tcW w:w="1559" w:type="dxa"/>
            <w:shd w:val="clear" w:color="auto" w:fill="auto"/>
            <w:vAlign w:val="center"/>
          </w:tcPr>
          <w:p w14:paraId="22296491" w14:textId="77777777" w:rsidR="00851ED3" w:rsidRPr="00B137CC" w:rsidRDefault="00851ED3" w:rsidP="009A23AA">
            <w:pPr>
              <w:spacing w:before="60" w:after="60"/>
              <w:rPr>
                <w:color w:val="000000"/>
              </w:rPr>
            </w:pPr>
            <w:r>
              <w:rPr>
                <w:color w:val="000000"/>
                <w:szCs w:val="22"/>
              </w:rPr>
              <w:t>Remote</w:t>
            </w:r>
          </w:p>
        </w:tc>
        <w:tc>
          <w:tcPr>
            <w:tcW w:w="1418" w:type="dxa"/>
            <w:shd w:val="clear" w:color="auto" w:fill="auto"/>
            <w:vAlign w:val="center"/>
          </w:tcPr>
          <w:p w14:paraId="2903D02B" w14:textId="77777777" w:rsidR="00851ED3" w:rsidRPr="00B137CC" w:rsidRDefault="00851ED3" w:rsidP="009A23AA">
            <w:pPr>
              <w:spacing w:before="60" w:after="60"/>
              <w:rPr>
                <w:color w:val="000000"/>
              </w:rPr>
            </w:pPr>
            <w:r>
              <w:rPr>
                <w:color w:val="000000"/>
                <w:szCs w:val="22"/>
              </w:rPr>
              <w:t>RCFC2-4</w:t>
            </w:r>
          </w:p>
        </w:tc>
        <w:tc>
          <w:tcPr>
            <w:tcW w:w="2265" w:type="dxa"/>
            <w:shd w:val="clear" w:color="auto" w:fill="auto"/>
            <w:vAlign w:val="center"/>
          </w:tcPr>
          <w:p w14:paraId="1255C2A9" w14:textId="77777777" w:rsidR="00851ED3" w:rsidRPr="00B137CC" w:rsidRDefault="00851ED3" w:rsidP="006D1986">
            <w:pPr>
              <w:spacing w:before="60" w:after="60"/>
              <w:jc w:val="left"/>
              <w:rPr>
                <w:color w:val="000000"/>
              </w:rPr>
            </w:pPr>
            <w:r>
              <w:rPr>
                <w:color w:val="000000"/>
                <w:szCs w:val="22"/>
              </w:rPr>
              <w:t>Beverage cooling (beer)</w:t>
            </w:r>
          </w:p>
        </w:tc>
        <w:tc>
          <w:tcPr>
            <w:tcW w:w="2265" w:type="dxa"/>
            <w:shd w:val="clear" w:color="auto" w:fill="auto"/>
            <w:vAlign w:val="center"/>
          </w:tcPr>
          <w:p w14:paraId="7F199A58" w14:textId="77777777" w:rsidR="00851ED3" w:rsidRPr="00BD25F8" w:rsidRDefault="00851ED3" w:rsidP="006D1986">
            <w:pPr>
              <w:spacing w:before="60" w:after="60"/>
              <w:jc w:val="center"/>
              <w:rPr>
                <w:color w:val="000000"/>
              </w:rPr>
            </w:pPr>
            <w:r w:rsidRPr="00BD25F8">
              <w:rPr>
                <w:color w:val="000000"/>
                <w:lang w:val="en-US"/>
              </w:rPr>
              <w:t>9,300</w:t>
            </w:r>
          </w:p>
        </w:tc>
      </w:tr>
      <w:tr w:rsidR="00851ED3" w14:paraId="0F245AFB" w14:textId="77777777" w:rsidTr="00ED641C">
        <w:trPr>
          <w:cantSplit/>
          <w:trHeight w:val="624"/>
        </w:trPr>
        <w:tc>
          <w:tcPr>
            <w:tcW w:w="973" w:type="dxa"/>
            <w:vAlign w:val="center"/>
          </w:tcPr>
          <w:p w14:paraId="6BE501F0" w14:textId="77777777" w:rsidR="00851ED3" w:rsidRPr="00B137CC" w:rsidRDefault="00851ED3" w:rsidP="006D1986">
            <w:pPr>
              <w:spacing w:before="60" w:after="60"/>
              <w:jc w:val="center"/>
              <w:rPr>
                <w:color w:val="000000"/>
              </w:rPr>
            </w:pPr>
            <w:r>
              <w:rPr>
                <w:color w:val="000000"/>
                <w:szCs w:val="22"/>
              </w:rPr>
              <w:t>43</w:t>
            </w:r>
          </w:p>
        </w:tc>
        <w:tc>
          <w:tcPr>
            <w:tcW w:w="1012" w:type="dxa"/>
            <w:vMerge/>
            <w:vAlign w:val="center"/>
          </w:tcPr>
          <w:p w14:paraId="4B883CA3" w14:textId="77777777" w:rsidR="00851ED3" w:rsidRPr="00B137CC" w:rsidRDefault="00851ED3" w:rsidP="009A23AA">
            <w:pPr>
              <w:spacing w:before="60" w:after="60"/>
            </w:pPr>
          </w:p>
        </w:tc>
        <w:tc>
          <w:tcPr>
            <w:tcW w:w="1559" w:type="dxa"/>
            <w:shd w:val="clear" w:color="auto" w:fill="auto"/>
            <w:vAlign w:val="center"/>
          </w:tcPr>
          <w:p w14:paraId="448B1B25" w14:textId="77777777" w:rsidR="00851ED3" w:rsidRPr="00B137CC" w:rsidRDefault="00851ED3" w:rsidP="009A23AA">
            <w:pPr>
              <w:spacing w:before="60" w:after="60"/>
              <w:rPr>
                <w:color w:val="000000"/>
              </w:rPr>
            </w:pPr>
            <w:r>
              <w:rPr>
                <w:color w:val="000000"/>
                <w:szCs w:val="22"/>
              </w:rPr>
              <w:t>Remote</w:t>
            </w:r>
          </w:p>
        </w:tc>
        <w:tc>
          <w:tcPr>
            <w:tcW w:w="1418" w:type="dxa"/>
            <w:tcBorders>
              <w:bottom w:val="single" w:sz="4" w:space="0" w:color="000000"/>
            </w:tcBorders>
            <w:shd w:val="clear" w:color="auto" w:fill="auto"/>
            <w:vAlign w:val="center"/>
          </w:tcPr>
          <w:p w14:paraId="279D43CB" w14:textId="77777777" w:rsidR="00851ED3" w:rsidRPr="00B137CC" w:rsidRDefault="00851ED3" w:rsidP="009A23AA">
            <w:pPr>
              <w:spacing w:before="60" w:after="60"/>
              <w:rPr>
                <w:color w:val="000000"/>
              </w:rPr>
            </w:pPr>
            <w:r>
              <w:rPr>
                <w:color w:val="000000"/>
                <w:szCs w:val="22"/>
              </w:rPr>
              <w:t>RCFC2-5</w:t>
            </w:r>
          </w:p>
        </w:tc>
        <w:tc>
          <w:tcPr>
            <w:tcW w:w="2265" w:type="dxa"/>
            <w:shd w:val="clear" w:color="auto" w:fill="auto"/>
            <w:vAlign w:val="center"/>
          </w:tcPr>
          <w:p w14:paraId="573E850E" w14:textId="77777777" w:rsidR="00851ED3" w:rsidRPr="00B137CC" w:rsidRDefault="00851ED3" w:rsidP="006D1986">
            <w:pPr>
              <w:spacing w:before="60" w:after="60"/>
              <w:jc w:val="left"/>
              <w:rPr>
                <w:color w:val="000000"/>
              </w:rPr>
            </w:pPr>
            <w:r>
              <w:rPr>
                <w:color w:val="000000"/>
                <w:szCs w:val="22"/>
              </w:rPr>
              <w:t>Milk vat refrigeration (direct expansion)</w:t>
            </w:r>
          </w:p>
        </w:tc>
        <w:tc>
          <w:tcPr>
            <w:tcW w:w="2265" w:type="dxa"/>
            <w:shd w:val="clear" w:color="auto" w:fill="auto"/>
            <w:vAlign w:val="center"/>
          </w:tcPr>
          <w:p w14:paraId="148360C6" w14:textId="77777777" w:rsidR="00851ED3" w:rsidRPr="00BD25F8" w:rsidRDefault="00851ED3" w:rsidP="006D1986">
            <w:pPr>
              <w:spacing w:before="60" w:after="60"/>
              <w:jc w:val="center"/>
              <w:rPr>
                <w:color w:val="000000"/>
              </w:rPr>
            </w:pPr>
            <w:r w:rsidRPr="00BD25F8">
              <w:rPr>
                <w:color w:val="000000"/>
                <w:lang w:val="en-US"/>
              </w:rPr>
              <w:t>5,100</w:t>
            </w:r>
          </w:p>
        </w:tc>
      </w:tr>
      <w:tr w:rsidR="00851ED3" w14:paraId="02A1DB8A" w14:textId="77777777" w:rsidTr="00ED641C">
        <w:trPr>
          <w:cantSplit/>
          <w:trHeight w:val="624"/>
        </w:trPr>
        <w:tc>
          <w:tcPr>
            <w:tcW w:w="973" w:type="dxa"/>
            <w:vAlign w:val="center"/>
          </w:tcPr>
          <w:p w14:paraId="00C31ADE" w14:textId="77777777" w:rsidR="00851ED3" w:rsidRPr="00B137CC" w:rsidRDefault="00851ED3" w:rsidP="006D1986">
            <w:pPr>
              <w:spacing w:before="60" w:after="60"/>
              <w:jc w:val="center"/>
              <w:rPr>
                <w:color w:val="000000"/>
              </w:rPr>
            </w:pPr>
            <w:r>
              <w:rPr>
                <w:color w:val="000000"/>
                <w:szCs w:val="22"/>
              </w:rPr>
              <w:t>44</w:t>
            </w:r>
          </w:p>
        </w:tc>
        <w:tc>
          <w:tcPr>
            <w:tcW w:w="1012" w:type="dxa"/>
            <w:vMerge/>
            <w:vAlign w:val="center"/>
          </w:tcPr>
          <w:p w14:paraId="57EA554B" w14:textId="77777777" w:rsidR="00851ED3" w:rsidRPr="00B137CC" w:rsidRDefault="00851ED3" w:rsidP="009A23AA">
            <w:pPr>
              <w:spacing w:before="60" w:after="60"/>
            </w:pPr>
          </w:p>
        </w:tc>
        <w:tc>
          <w:tcPr>
            <w:tcW w:w="1559" w:type="dxa"/>
            <w:tcBorders>
              <w:bottom w:val="single" w:sz="4" w:space="0" w:color="000000"/>
            </w:tcBorders>
            <w:shd w:val="clear" w:color="auto" w:fill="auto"/>
            <w:vAlign w:val="center"/>
          </w:tcPr>
          <w:p w14:paraId="53D70340" w14:textId="77777777" w:rsidR="00851ED3" w:rsidRPr="00B137CC" w:rsidRDefault="00851ED3" w:rsidP="009A23AA">
            <w:pPr>
              <w:spacing w:before="60" w:after="60"/>
              <w:rPr>
                <w:color w:val="000000"/>
              </w:rPr>
            </w:pPr>
            <w:r>
              <w:rPr>
                <w:color w:val="000000"/>
                <w:szCs w:val="22"/>
              </w:rPr>
              <w:t>Remote</w:t>
            </w:r>
          </w:p>
        </w:tc>
        <w:tc>
          <w:tcPr>
            <w:tcW w:w="1418" w:type="dxa"/>
            <w:tcBorders>
              <w:bottom w:val="single" w:sz="4" w:space="0" w:color="000000"/>
            </w:tcBorders>
            <w:shd w:val="clear" w:color="auto" w:fill="auto"/>
            <w:vAlign w:val="center"/>
          </w:tcPr>
          <w:p w14:paraId="7AA48DDB" w14:textId="77777777" w:rsidR="00851ED3" w:rsidRPr="00B137CC" w:rsidRDefault="00851ED3" w:rsidP="009A23AA">
            <w:pPr>
              <w:spacing w:before="60" w:after="60"/>
              <w:rPr>
                <w:color w:val="000000"/>
              </w:rPr>
            </w:pPr>
            <w:r>
              <w:rPr>
                <w:color w:val="000000"/>
                <w:szCs w:val="22"/>
              </w:rPr>
              <w:t>RCFC2-6</w:t>
            </w:r>
          </w:p>
        </w:tc>
        <w:tc>
          <w:tcPr>
            <w:tcW w:w="2265" w:type="dxa"/>
            <w:tcBorders>
              <w:bottom w:val="single" w:sz="4" w:space="0" w:color="000000"/>
            </w:tcBorders>
            <w:shd w:val="clear" w:color="auto" w:fill="auto"/>
            <w:vAlign w:val="center"/>
          </w:tcPr>
          <w:p w14:paraId="15E30212" w14:textId="77777777" w:rsidR="00851ED3" w:rsidRPr="00B137CC" w:rsidRDefault="00851ED3" w:rsidP="006D1986">
            <w:pPr>
              <w:spacing w:before="60" w:after="60"/>
              <w:jc w:val="left"/>
              <w:rPr>
                <w:color w:val="000000"/>
              </w:rPr>
            </w:pPr>
            <w:r>
              <w:rPr>
                <w:color w:val="000000"/>
                <w:szCs w:val="22"/>
              </w:rPr>
              <w:t>Packaged liquid chillers (incl. milk vat)</w:t>
            </w:r>
          </w:p>
        </w:tc>
        <w:tc>
          <w:tcPr>
            <w:tcW w:w="2265" w:type="dxa"/>
            <w:tcBorders>
              <w:bottom w:val="single" w:sz="4" w:space="0" w:color="000000"/>
            </w:tcBorders>
            <w:shd w:val="clear" w:color="auto" w:fill="auto"/>
            <w:vAlign w:val="center"/>
          </w:tcPr>
          <w:p w14:paraId="40D33B97" w14:textId="77777777" w:rsidR="00851ED3" w:rsidRPr="00BD25F8" w:rsidRDefault="00851ED3" w:rsidP="006D1986">
            <w:pPr>
              <w:spacing w:before="60" w:after="60"/>
              <w:jc w:val="center"/>
              <w:rPr>
                <w:color w:val="000000"/>
              </w:rPr>
            </w:pPr>
            <w:r w:rsidRPr="00BD25F8">
              <w:rPr>
                <w:color w:val="000000"/>
                <w:lang w:val="en-US"/>
              </w:rPr>
              <w:t>12,600</w:t>
            </w:r>
          </w:p>
        </w:tc>
      </w:tr>
      <w:tr w:rsidR="00851ED3" w14:paraId="6BA5E2D2" w14:textId="77777777" w:rsidTr="00ED641C">
        <w:trPr>
          <w:cantSplit/>
          <w:trHeight w:val="624"/>
        </w:trPr>
        <w:tc>
          <w:tcPr>
            <w:tcW w:w="973" w:type="dxa"/>
            <w:vAlign w:val="center"/>
          </w:tcPr>
          <w:p w14:paraId="166FDBC8" w14:textId="77777777" w:rsidR="00851ED3" w:rsidRPr="00B137CC" w:rsidRDefault="00851ED3" w:rsidP="006D1986">
            <w:pPr>
              <w:spacing w:before="60" w:after="60"/>
              <w:jc w:val="center"/>
              <w:rPr>
                <w:color w:val="000000"/>
              </w:rPr>
            </w:pPr>
            <w:r>
              <w:rPr>
                <w:color w:val="000000"/>
                <w:szCs w:val="22"/>
              </w:rPr>
              <w:t>45</w:t>
            </w:r>
          </w:p>
        </w:tc>
        <w:tc>
          <w:tcPr>
            <w:tcW w:w="1012" w:type="dxa"/>
            <w:vMerge/>
            <w:vAlign w:val="center"/>
          </w:tcPr>
          <w:p w14:paraId="5C4F464C" w14:textId="77777777" w:rsidR="00851ED3" w:rsidRPr="00B137CC" w:rsidRDefault="00851ED3" w:rsidP="009A23AA">
            <w:pPr>
              <w:spacing w:before="60" w:after="60"/>
            </w:pPr>
          </w:p>
        </w:tc>
        <w:tc>
          <w:tcPr>
            <w:tcW w:w="1559" w:type="dxa"/>
            <w:tcBorders>
              <w:bottom w:val="single" w:sz="4" w:space="0" w:color="000000"/>
            </w:tcBorders>
            <w:shd w:val="clear" w:color="auto" w:fill="auto"/>
            <w:vAlign w:val="center"/>
          </w:tcPr>
          <w:p w14:paraId="6848BCC1" w14:textId="77777777" w:rsidR="00851ED3" w:rsidRPr="00B137CC" w:rsidRDefault="00851ED3" w:rsidP="009A23AA">
            <w:pPr>
              <w:spacing w:before="60" w:after="60"/>
              <w:rPr>
                <w:color w:val="000000"/>
              </w:rPr>
            </w:pPr>
            <w:r>
              <w:rPr>
                <w:color w:val="000000"/>
                <w:szCs w:val="22"/>
              </w:rPr>
              <w:t>Remote</w:t>
            </w:r>
          </w:p>
        </w:tc>
        <w:tc>
          <w:tcPr>
            <w:tcW w:w="1418" w:type="dxa"/>
            <w:tcBorders>
              <w:bottom w:val="single" w:sz="4" w:space="0" w:color="000000"/>
            </w:tcBorders>
            <w:shd w:val="clear" w:color="auto" w:fill="auto"/>
            <w:vAlign w:val="center"/>
          </w:tcPr>
          <w:p w14:paraId="497E2E93" w14:textId="77777777" w:rsidR="00851ED3" w:rsidRPr="00B137CC" w:rsidRDefault="00851ED3" w:rsidP="009A23AA">
            <w:pPr>
              <w:spacing w:before="60" w:after="60"/>
              <w:rPr>
                <w:color w:val="000000"/>
              </w:rPr>
            </w:pPr>
            <w:r>
              <w:rPr>
                <w:color w:val="000000"/>
                <w:szCs w:val="22"/>
              </w:rPr>
              <w:t>RCFC2-7</w:t>
            </w:r>
          </w:p>
        </w:tc>
        <w:tc>
          <w:tcPr>
            <w:tcW w:w="2265" w:type="dxa"/>
            <w:tcBorders>
              <w:bottom w:val="single" w:sz="4" w:space="0" w:color="000000"/>
            </w:tcBorders>
            <w:shd w:val="clear" w:color="auto" w:fill="auto"/>
            <w:vAlign w:val="center"/>
          </w:tcPr>
          <w:p w14:paraId="08CD9DEA" w14:textId="77777777" w:rsidR="00851ED3" w:rsidRPr="00B137CC" w:rsidRDefault="00851ED3" w:rsidP="006D1986">
            <w:pPr>
              <w:spacing w:before="60" w:after="60"/>
              <w:jc w:val="left"/>
              <w:rPr>
                <w:color w:val="000000"/>
              </w:rPr>
            </w:pPr>
            <w:r>
              <w:rPr>
                <w:color w:val="000000"/>
                <w:szCs w:val="22"/>
              </w:rPr>
              <w:t xml:space="preserve">Process, and mfg. refrigeration (&lt;40 </w:t>
            </w:r>
            <w:proofErr w:type="spellStart"/>
            <w:r>
              <w:rPr>
                <w:color w:val="000000"/>
                <w:szCs w:val="22"/>
              </w:rPr>
              <w:t>kWr</w:t>
            </w:r>
            <w:proofErr w:type="spellEnd"/>
            <w:r>
              <w:rPr>
                <w:color w:val="000000"/>
                <w:szCs w:val="22"/>
              </w:rPr>
              <w:t>)</w:t>
            </w:r>
          </w:p>
        </w:tc>
        <w:tc>
          <w:tcPr>
            <w:tcW w:w="2265" w:type="dxa"/>
            <w:tcBorders>
              <w:bottom w:val="single" w:sz="4" w:space="0" w:color="000000"/>
            </w:tcBorders>
            <w:shd w:val="clear" w:color="auto" w:fill="auto"/>
            <w:vAlign w:val="center"/>
          </w:tcPr>
          <w:p w14:paraId="532FCBAF" w14:textId="77777777" w:rsidR="00851ED3" w:rsidRPr="007E7E2A" w:rsidRDefault="00851ED3" w:rsidP="006D1986">
            <w:pPr>
              <w:spacing w:before="60" w:after="60"/>
              <w:jc w:val="center"/>
              <w:rPr>
                <w:color w:val="000000"/>
              </w:rPr>
            </w:pPr>
            <w:r w:rsidRPr="007E7E2A">
              <w:rPr>
                <w:color w:val="000000"/>
                <w:lang w:val="en-US"/>
              </w:rPr>
              <w:t>21,000</w:t>
            </w:r>
          </w:p>
        </w:tc>
      </w:tr>
      <w:tr w:rsidR="00851ED3" w14:paraId="0848572C" w14:textId="77777777" w:rsidTr="00ED641C">
        <w:trPr>
          <w:cantSplit/>
          <w:trHeight w:val="624"/>
        </w:trPr>
        <w:tc>
          <w:tcPr>
            <w:tcW w:w="973" w:type="dxa"/>
            <w:vAlign w:val="center"/>
          </w:tcPr>
          <w:p w14:paraId="55FB81DB" w14:textId="77777777" w:rsidR="00851ED3" w:rsidRPr="00B137CC" w:rsidRDefault="00851ED3" w:rsidP="006D1986">
            <w:pPr>
              <w:spacing w:before="60" w:after="60"/>
              <w:jc w:val="center"/>
            </w:pPr>
            <w:r>
              <w:rPr>
                <w:color w:val="000000"/>
                <w:szCs w:val="22"/>
              </w:rPr>
              <w:t>46</w:t>
            </w:r>
          </w:p>
        </w:tc>
        <w:tc>
          <w:tcPr>
            <w:tcW w:w="1012" w:type="dxa"/>
            <w:vMerge/>
            <w:vAlign w:val="center"/>
          </w:tcPr>
          <w:p w14:paraId="2CB19A3B" w14:textId="77777777" w:rsidR="00851ED3" w:rsidRPr="00B137CC" w:rsidRDefault="00851ED3" w:rsidP="009A23AA">
            <w:pPr>
              <w:spacing w:before="60" w:after="60"/>
            </w:pPr>
          </w:p>
        </w:tc>
        <w:tc>
          <w:tcPr>
            <w:tcW w:w="1559" w:type="dxa"/>
            <w:shd w:val="clear" w:color="auto" w:fill="auto"/>
            <w:vAlign w:val="center"/>
          </w:tcPr>
          <w:p w14:paraId="3476A3F3" w14:textId="77777777" w:rsidR="00851ED3" w:rsidRPr="00B137CC" w:rsidRDefault="00851ED3" w:rsidP="009A23AA">
            <w:pPr>
              <w:spacing w:before="60" w:after="60"/>
            </w:pPr>
            <w:r>
              <w:rPr>
                <w:color w:val="000000"/>
                <w:szCs w:val="22"/>
              </w:rPr>
              <w:t>Remote</w:t>
            </w:r>
          </w:p>
        </w:tc>
        <w:tc>
          <w:tcPr>
            <w:tcW w:w="1418" w:type="dxa"/>
            <w:tcBorders>
              <w:bottom w:val="single" w:sz="4" w:space="0" w:color="000000"/>
            </w:tcBorders>
            <w:shd w:val="clear" w:color="auto" w:fill="auto"/>
            <w:vAlign w:val="center"/>
          </w:tcPr>
          <w:p w14:paraId="467C64F0" w14:textId="77777777" w:rsidR="00851ED3" w:rsidRPr="00B137CC" w:rsidRDefault="00851ED3" w:rsidP="009A23AA">
            <w:pPr>
              <w:spacing w:before="60" w:after="60"/>
            </w:pPr>
            <w:r>
              <w:rPr>
                <w:color w:val="000000"/>
                <w:szCs w:val="22"/>
              </w:rPr>
              <w:t>RCFC2-8</w:t>
            </w:r>
          </w:p>
        </w:tc>
        <w:tc>
          <w:tcPr>
            <w:tcW w:w="2265" w:type="dxa"/>
            <w:shd w:val="clear" w:color="auto" w:fill="auto"/>
            <w:vAlign w:val="center"/>
          </w:tcPr>
          <w:p w14:paraId="2D3925DA" w14:textId="77777777" w:rsidR="00851ED3" w:rsidRPr="00B137CC" w:rsidRDefault="00851ED3" w:rsidP="006D1986">
            <w:pPr>
              <w:spacing w:before="60" w:after="60"/>
              <w:jc w:val="left"/>
            </w:pPr>
            <w:r>
              <w:rPr>
                <w:color w:val="000000"/>
                <w:szCs w:val="22"/>
              </w:rPr>
              <w:t>Other remote equipment</w:t>
            </w:r>
          </w:p>
        </w:tc>
        <w:tc>
          <w:tcPr>
            <w:tcW w:w="2265" w:type="dxa"/>
            <w:shd w:val="clear" w:color="auto" w:fill="auto"/>
            <w:vAlign w:val="center"/>
          </w:tcPr>
          <w:p w14:paraId="046DEDCC" w14:textId="77777777" w:rsidR="00851ED3" w:rsidRPr="007E7E2A" w:rsidRDefault="00851ED3" w:rsidP="006D1986">
            <w:pPr>
              <w:spacing w:before="60" w:after="60"/>
              <w:jc w:val="center"/>
            </w:pPr>
            <w:r w:rsidRPr="007E7E2A">
              <w:rPr>
                <w:color w:val="000000"/>
              </w:rPr>
              <w:t>51,000</w:t>
            </w:r>
          </w:p>
        </w:tc>
      </w:tr>
      <w:tr w:rsidR="00851ED3" w14:paraId="27005A53" w14:textId="77777777" w:rsidTr="00ED641C">
        <w:trPr>
          <w:cantSplit/>
          <w:trHeight w:val="624"/>
        </w:trPr>
        <w:tc>
          <w:tcPr>
            <w:tcW w:w="973" w:type="dxa"/>
            <w:vAlign w:val="center"/>
          </w:tcPr>
          <w:p w14:paraId="5A44DEF7" w14:textId="77777777" w:rsidR="00851ED3" w:rsidRPr="00B137CC" w:rsidRDefault="00851ED3" w:rsidP="006D1986">
            <w:pPr>
              <w:spacing w:before="60" w:after="60"/>
              <w:jc w:val="center"/>
            </w:pPr>
            <w:r>
              <w:rPr>
                <w:color w:val="000000"/>
                <w:szCs w:val="22"/>
              </w:rPr>
              <w:t>47</w:t>
            </w:r>
          </w:p>
        </w:tc>
        <w:tc>
          <w:tcPr>
            <w:tcW w:w="1012" w:type="dxa"/>
            <w:vMerge w:val="restart"/>
            <w:textDirection w:val="btLr"/>
            <w:vAlign w:val="center"/>
          </w:tcPr>
          <w:p w14:paraId="1F2A9B79" w14:textId="77777777" w:rsidR="00851ED3" w:rsidRPr="00B137CC" w:rsidRDefault="00851ED3" w:rsidP="00045599">
            <w:pPr>
              <w:spacing w:before="60" w:after="60"/>
              <w:jc w:val="center"/>
            </w:pPr>
            <w:r>
              <w:rPr>
                <w:color w:val="000000"/>
                <w:szCs w:val="22"/>
              </w:rPr>
              <w:t>RCFC3: Supermarket</w:t>
            </w:r>
          </w:p>
        </w:tc>
        <w:tc>
          <w:tcPr>
            <w:tcW w:w="1559" w:type="dxa"/>
            <w:shd w:val="clear" w:color="auto" w:fill="auto"/>
            <w:vAlign w:val="center"/>
          </w:tcPr>
          <w:p w14:paraId="409B4075" w14:textId="77777777" w:rsidR="00851ED3" w:rsidRPr="00B137CC" w:rsidRDefault="00851ED3" w:rsidP="009A23AA">
            <w:pPr>
              <w:spacing w:before="60" w:after="60"/>
            </w:pPr>
            <w:r>
              <w:rPr>
                <w:color w:val="000000"/>
                <w:szCs w:val="22"/>
              </w:rPr>
              <w:t>Supermarkets</w:t>
            </w:r>
          </w:p>
        </w:tc>
        <w:tc>
          <w:tcPr>
            <w:tcW w:w="1418" w:type="dxa"/>
            <w:shd w:val="clear" w:color="auto" w:fill="auto"/>
            <w:vAlign w:val="center"/>
          </w:tcPr>
          <w:p w14:paraId="1F0497A1" w14:textId="77777777" w:rsidR="00851ED3" w:rsidRPr="00B137CC" w:rsidRDefault="00851ED3" w:rsidP="009A23AA">
            <w:pPr>
              <w:spacing w:before="60" w:after="60"/>
            </w:pPr>
            <w:r>
              <w:rPr>
                <w:color w:val="000000"/>
                <w:szCs w:val="22"/>
              </w:rPr>
              <w:t>RCFC3-1</w:t>
            </w:r>
          </w:p>
        </w:tc>
        <w:tc>
          <w:tcPr>
            <w:tcW w:w="2265" w:type="dxa"/>
            <w:shd w:val="clear" w:color="auto" w:fill="auto"/>
            <w:vAlign w:val="center"/>
          </w:tcPr>
          <w:p w14:paraId="0E39CE23" w14:textId="77777777" w:rsidR="00851ED3" w:rsidRPr="00B137CC" w:rsidRDefault="00851ED3" w:rsidP="006D1986">
            <w:pPr>
              <w:spacing w:before="60" w:after="60"/>
              <w:jc w:val="left"/>
            </w:pPr>
            <w:r>
              <w:rPr>
                <w:color w:val="000000"/>
                <w:szCs w:val="22"/>
              </w:rPr>
              <w:t>Supermarket refrigeration: small</w:t>
            </w:r>
          </w:p>
        </w:tc>
        <w:tc>
          <w:tcPr>
            <w:tcW w:w="2265" w:type="dxa"/>
            <w:shd w:val="clear" w:color="auto" w:fill="auto"/>
            <w:vAlign w:val="center"/>
          </w:tcPr>
          <w:p w14:paraId="5AA5D59A" w14:textId="77777777" w:rsidR="00851ED3" w:rsidRPr="00BD25F8" w:rsidRDefault="00851ED3" w:rsidP="006D1986">
            <w:pPr>
              <w:spacing w:before="60" w:after="60"/>
              <w:jc w:val="center"/>
            </w:pPr>
            <w:r w:rsidRPr="00BD25F8">
              <w:rPr>
                <w:color w:val="000000"/>
                <w:lang w:val="en-US"/>
              </w:rPr>
              <w:t>2,3</w:t>
            </w:r>
            <w:r>
              <w:rPr>
                <w:color w:val="000000"/>
                <w:lang w:val="en-US"/>
              </w:rPr>
              <w:t>97</w:t>
            </w:r>
          </w:p>
        </w:tc>
      </w:tr>
      <w:tr w:rsidR="00851ED3" w14:paraId="6234B10D" w14:textId="77777777" w:rsidTr="00ED641C">
        <w:trPr>
          <w:cantSplit/>
          <w:trHeight w:val="624"/>
        </w:trPr>
        <w:tc>
          <w:tcPr>
            <w:tcW w:w="973" w:type="dxa"/>
            <w:vAlign w:val="center"/>
          </w:tcPr>
          <w:p w14:paraId="5395F2C6" w14:textId="77777777" w:rsidR="00851ED3" w:rsidRPr="00B137CC" w:rsidRDefault="00851ED3" w:rsidP="006D1986">
            <w:pPr>
              <w:spacing w:before="60" w:after="60"/>
              <w:jc w:val="center"/>
            </w:pPr>
            <w:r>
              <w:rPr>
                <w:color w:val="000000"/>
                <w:szCs w:val="22"/>
              </w:rPr>
              <w:t>48</w:t>
            </w:r>
          </w:p>
        </w:tc>
        <w:tc>
          <w:tcPr>
            <w:tcW w:w="1012" w:type="dxa"/>
            <w:vMerge/>
            <w:vAlign w:val="center"/>
          </w:tcPr>
          <w:p w14:paraId="3A8F80DA" w14:textId="77777777" w:rsidR="00851ED3" w:rsidRPr="00B137CC" w:rsidRDefault="00851ED3" w:rsidP="00045599">
            <w:pPr>
              <w:spacing w:before="60" w:after="60"/>
              <w:jc w:val="center"/>
            </w:pPr>
          </w:p>
        </w:tc>
        <w:tc>
          <w:tcPr>
            <w:tcW w:w="1559" w:type="dxa"/>
            <w:shd w:val="clear" w:color="auto" w:fill="auto"/>
            <w:vAlign w:val="center"/>
          </w:tcPr>
          <w:p w14:paraId="2E4F0CC1" w14:textId="77777777" w:rsidR="00851ED3" w:rsidRPr="00B137CC" w:rsidRDefault="00851ED3" w:rsidP="009A23AA">
            <w:pPr>
              <w:spacing w:before="60" w:after="60"/>
            </w:pPr>
            <w:r>
              <w:rPr>
                <w:color w:val="000000"/>
                <w:szCs w:val="22"/>
              </w:rPr>
              <w:t>Supermarkets</w:t>
            </w:r>
          </w:p>
        </w:tc>
        <w:tc>
          <w:tcPr>
            <w:tcW w:w="1418" w:type="dxa"/>
            <w:shd w:val="clear" w:color="auto" w:fill="auto"/>
            <w:vAlign w:val="center"/>
          </w:tcPr>
          <w:p w14:paraId="29A90E9F" w14:textId="77777777" w:rsidR="00851ED3" w:rsidRPr="00B137CC" w:rsidRDefault="00851ED3" w:rsidP="009A23AA">
            <w:pPr>
              <w:spacing w:before="60" w:after="60"/>
            </w:pPr>
            <w:r>
              <w:rPr>
                <w:color w:val="000000"/>
                <w:szCs w:val="22"/>
              </w:rPr>
              <w:t>RCFC3-2</w:t>
            </w:r>
          </w:p>
        </w:tc>
        <w:tc>
          <w:tcPr>
            <w:tcW w:w="2265" w:type="dxa"/>
            <w:shd w:val="clear" w:color="auto" w:fill="auto"/>
            <w:vAlign w:val="center"/>
          </w:tcPr>
          <w:p w14:paraId="55A2C0AD" w14:textId="77777777" w:rsidR="00851ED3" w:rsidRPr="00B137CC" w:rsidRDefault="00851ED3" w:rsidP="006D1986">
            <w:pPr>
              <w:spacing w:before="60" w:after="60"/>
              <w:jc w:val="left"/>
            </w:pPr>
            <w:r>
              <w:rPr>
                <w:color w:val="000000"/>
                <w:szCs w:val="22"/>
              </w:rPr>
              <w:t>Supermarket refrigeration: medium</w:t>
            </w:r>
          </w:p>
        </w:tc>
        <w:tc>
          <w:tcPr>
            <w:tcW w:w="2265" w:type="dxa"/>
            <w:shd w:val="clear" w:color="auto" w:fill="auto"/>
            <w:vAlign w:val="center"/>
          </w:tcPr>
          <w:p w14:paraId="5FC6A1A9" w14:textId="77777777" w:rsidR="00851ED3" w:rsidRPr="00BD25F8" w:rsidRDefault="00851ED3" w:rsidP="006D1986">
            <w:pPr>
              <w:spacing w:before="60" w:after="60"/>
              <w:jc w:val="center"/>
            </w:pPr>
            <w:r w:rsidRPr="00BD25F8">
              <w:rPr>
                <w:color w:val="000000"/>
                <w:lang w:val="en-US"/>
              </w:rPr>
              <w:t>1</w:t>
            </w:r>
            <w:r>
              <w:rPr>
                <w:color w:val="000000"/>
                <w:lang w:val="en-US"/>
              </w:rPr>
              <w:t>,306</w:t>
            </w:r>
          </w:p>
        </w:tc>
      </w:tr>
      <w:tr w:rsidR="00851ED3" w14:paraId="115D2055" w14:textId="77777777" w:rsidTr="00ED641C">
        <w:trPr>
          <w:cantSplit/>
          <w:trHeight w:val="624"/>
        </w:trPr>
        <w:tc>
          <w:tcPr>
            <w:tcW w:w="973" w:type="dxa"/>
            <w:vAlign w:val="center"/>
          </w:tcPr>
          <w:p w14:paraId="1A7925B4" w14:textId="77777777" w:rsidR="00851ED3" w:rsidRPr="00B137CC" w:rsidRDefault="00851ED3" w:rsidP="006D1986">
            <w:pPr>
              <w:spacing w:before="60" w:after="60"/>
              <w:jc w:val="center"/>
            </w:pPr>
            <w:r>
              <w:rPr>
                <w:color w:val="000000"/>
                <w:szCs w:val="22"/>
              </w:rPr>
              <w:t>49</w:t>
            </w:r>
          </w:p>
        </w:tc>
        <w:tc>
          <w:tcPr>
            <w:tcW w:w="1012" w:type="dxa"/>
            <w:vMerge/>
            <w:vAlign w:val="center"/>
          </w:tcPr>
          <w:p w14:paraId="34A82609" w14:textId="77777777" w:rsidR="00851ED3" w:rsidRPr="00B137CC" w:rsidRDefault="00851ED3" w:rsidP="00045599">
            <w:pPr>
              <w:spacing w:before="60" w:after="60"/>
              <w:jc w:val="center"/>
            </w:pPr>
          </w:p>
        </w:tc>
        <w:tc>
          <w:tcPr>
            <w:tcW w:w="1559" w:type="dxa"/>
            <w:shd w:val="clear" w:color="auto" w:fill="auto"/>
            <w:vAlign w:val="center"/>
          </w:tcPr>
          <w:p w14:paraId="31C7F13A" w14:textId="77777777" w:rsidR="00851ED3" w:rsidRPr="00B137CC" w:rsidRDefault="00851ED3" w:rsidP="009A23AA">
            <w:pPr>
              <w:spacing w:before="60" w:after="60"/>
            </w:pPr>
            <w:r>
              <w:rPr>
                <w:color w:val="000000"/>
                <w:szCs w:val="22"/>
              </w:rPr>
              <w:t>Supermarkets</w:t>
            </w:r>
          </w:p>
        </w:tc>
        <w:tc>
          <w:tcPr>
            <w:tcW w:w="1418" w:type="dxa"/>
            <w:tcBorders>
              <w:bottom w:val="single" w:sz="4" w:space="0" w:color="000000"/>
            </w:tcBorders>
            <w:shd w:val="clear" w:color="auto" w:fill="auto"/>
            <w:vAlign w:val="center"/>
          </w:tcPr>
          <w:p w14:paraId="5E7DFC42" w14:textId="77777777" w:rsidR="00851ED3" w:rsidRPr="00B137CC" w:rsidRDefault="00851ED3" w:rsidP="009A23AA">
            <w:pPr>
              <w:spacing w:before="60" w:after="60"/>
            </w:pPr>
            <w:r>
              <w:rPr>
                <w:color w:val="000000"/>
                <w:szCs w:val="22"/>
              </w:rPr>
              <w:t>RCFC3-3</w:t>
            </w:r>
          </w:p>
        </w:tc>
        <w:tc>
          <w:tcPr>
            <w:tcW w:w="2265" w:type="dxa"/>
            <w:shd w:val="clear" w:color="auto" w:fill="auto"/>
            <w:vAlign w:val="center"/>
          </w:tcPr>
          <w:p w14:paraId="2243670A" w14:textId="77777777" w:rsidR="00851ED3" w:rsidRPr="00B137CC" w:rsidRDefault="00851ED3" w:rsidP="006D1986">
            <w:pPr>
              <w:spacing w:before="60" w:after="60"/>
              <w:jc w:val="left"/>
            </w:pPr>
            <w:r>
              <w:rPr>
                <w:color w:val="000000"/>
                <w:szCs w:val="22"/>
              </w:rPr>
              <w:t>Supermarket refrigeration: large</w:t>
            </w:r>
          </w:p>
        </w:tc>
        <w:tc>
          <w:tcPr>
            <w:tcW w:w="2265" w:type="dxa"/>
            <w:shd w:val="clear" w:color="auto" w:fill="auto"/>
            <w:vAlign w:val="center"/>
          </w:tcPr>
          <w:p w14:paraId="0ED4B62A" w14:textId="77777777" w:rsidR="00851ED3" w:rsidRPr="00BD25F8" w:rsidRDefault="00851ED3" w:rsidP="006D1986">
            <w:pPr>
              <w:spacing w:before="60" w:after="60"/>
              <w:jc w:val="center"/>
            </w:pPr>
            <w:r w:rsidRPr="00BD25F8">
              <w:rPr>
                <w:color w:val="000000"/>
                <w:lang w:val="en-US"/>
              </w:rPr>
              <w:t>4</w:t>
            </w:r>
            <w:r>
              <w:rPr>
                <w:color w:val="000000"/>
                <w:lang w:val="en-US"/>
              </w:rPr>
              <w:t>7</w:t>
            </w:r>
            <w:r w:rsidRPr="00BD25F8">
              <w:rPr>
                <w:color w:val="000000"/>
                <w:lang w:val="en-US"/>
              </w:rPr>
              <w:t>0</w:t>
            </w:r>
          </w:p>
        </w:tc>
      </w:tr>
      <w:tr w:rsidR="00851ED3" w14:paraId="0F61F924" w14:textId="77777777" w:rsidTr="00ED641C">
        <w:trPr>
          <w:cantSplit/>
          <w:trHeight w:val="624"/>
        </w:trPr>
        <w:tc>
          <w:tcPr>
            <w:tcW w:w="973" w:type="dxa"/>
            <w:vAlign w:val="center"/>
          </w:tcPr>
          <w:p w14:paraId="3CAE23C3" w14:textId="77777777" w:rsidR="00851ED3" w:rsidRPr="00B137CC" w:rsidRDefault="00851ED3" w:rsidP="006D1986">
            <w:pPr>
              <w:spacing w:before="60" w:after="60"/>
              <w:jc w:val="center"/>
            </w:pPr>
            <w:r>
              <w:rPr>
                <w:color w:val="000000"/>
                <w:szCs w:val="22"/>
              </w:rPr>
              <w:t>50</w:t>
            </w:r>
          </w:p>
        </w:tc>
        <w:tc>
          <w:tcPr>
            <w:tcW w:w="1012" w:type="dxa"/>
            <w:vMerge w:val="restart"/>
            <w:textDirection w:val="btLr"/>
            <w:vAlign w:val="center"/>
          </w:tcPr>
          <w:p w14:paraId="7F9EC33B" w14:textId="77777777" w:rsidR="00851ED3" w:rsidRPr="00B137CC" w:rsidRDefault="00851ED3" w:rsidP="00045599">
            <w:pPr>
              <w:spacing w:before="60" w:after="60"/>
              <w:jc w:val="center"/>
            </w:pPr>
            <w:r>
              <w:rPr>
                <w:color w:val="000000"/>
                <w:szCs w:val="22"/>
              </w:rPr>
              <w:t>RCFC4: Transport refrigeration</w:t>
            </w:r>
          </w:p>
        </w:tc>
        <w:tc>
          <w:tcPr>
            <w:tcW w:w="1559" w:type="dxa"/>
            <w:shd w:val="clear" w:color="auto" w:fill="auto"/>
            <w:vAlign w:val="center"/>
          </w:tcPr>
          <w:p w14:paraId="08B4B502" w14:textId="77777777" w:rsidR="00851ED3" w:rsidRPr="00B137CC" w:rsidRDefault="00851ED3" w:rsidP="009A23AA">
            <w:pPr>
              <w:spacing w:before="60" w:after="60"/>
            </w:pPr>
            <w:r>
              <w:rPr>
                <w:color w:val="000000"/>
                <w:szCs w:val="22"/>
              </w:rPr>
              <w:t>Transport refrigeration</w:t>
            </w:r>
          </w:p>
        </w:tc>
        <w:tc>
          <w:tcPr>
            <w:tcW w:w="1418" w:type="dxa"/>
            <w:shd w:val="clear" w:color="auto" w:fill="auto"/>
            <w:vAlign w:val="center"/>
          </w:tcPr>
          <w:p w14:paraId="1790C9E6" w14:textId="77777777" w:rsidR="00851ED3" w:rsidRPr="00B137CC" w:rsidRDefault="00851ED3" w:rsidP="009A23AA">
            <w:pPr>
              <w:spacing w:before="60" w:after="60"/>
            </w:pPr>
            <w:r>
              <w:rPr>
                <w:color w:val="000000"/>
                <w:szCs w:val="22"/>
              </w:rPr>
              <w:t>RCFC4-1</w:t>
            </w:r>
          </w:p>
        </w:tc>
        <w:tc>
          <w:tcPr>
            <w:tcW w:w="2265" w:type="dxa"/>
            <w:shd w:val="clear" w:color="auto" w:fill="auto"/>
            <w:vAlign w:val="center"/>
          </w:tcPr>
          <w:p w14:paraId="289E2A90" w14:textId="77777777" w:rsidR="00851ED3" w:rsidRPr="00B137CC" w:rsidRDefault="00851ED3" w:rsidP="006D1986">
            <w:pPr>
              <w:spacing w:before="60" w:after="60"/>
              <w:jc w:val="left"/>
            </w:pPr>
            <w:r>
              <w:rPr>
                <w:color w:val="000000"/>
                <w:szCs w:val="22"/>
              </w:rPr>
              <w:t>Mobile refrigeration: road: trailer - inter-modal</w:t>
            </w:r>
          </w:p>
        </w:tc>
        <w:tc>
          <w:tcPr>
            <w:tcW w:w="2265" w:type="dxa"/>
            <w:shd w:val="clear" w:color="auto" w:fill="auto"/>
            <w:vAlign w:val="center"/>
          </w:tcPr>
          <w:p w14:paraId="56D39E05" w14:textId="77777777" w:rsidR="00851ED3" w:rsidRPr="007E7E2A" w:rsidRDefault="00851ED3" w:rsidP="006D1986">
            <w:pPr>
              <w:spacing w:before="60" w:after="60"/>
              <w:jc w:val="center"/>
            </w:pPr>
            <w:r w:rsidRPr="007E7E2A">
              <w:rPr>
                <w:color w:val="000000"/>
                <w:lang w:val="en-US"/>
              </w:rPr>
              <w:t>12,000</w:t>
            </w:r>
          </w:p>
        </w:tc>
      </w:tr>
      <w:tr w:rsidR="00851ED3" w14:paraId="148B39E1" w14:textId="77777777" w:rsidTr="00ED641C">
        <w:trPr>
          <w:cantSplit/>
          <w:trHeight w:val="624"/>
        </w:trPr>
        <w:tc>
          <w:tcPr>
            <w:tcW w:w="973" w:type="dxa"/>
            <w:vAlign w:val="center"/>
          </w:tcPr>
          <w:p w14:paraId="3C9F8CF4" w14:textId="77777777" w:rsidR="00851ED3" w:rsidRPr="00B137CC" w:rsidRDefault="00851ED3" w:rsidP="006D1986">
            <w:pPr>
              <w:spacing w:before="60" w:after="60"/>
              <w:jc w:val="center"/>
            </w:pPr>
            <w:r>
              <w:rPr>
                <w:color w:val="000000"/>
                <w:szCs w:val="22"/>
              </w:rPr>
              <w:t>51</w:t>
            </w:r>
          </w:p>
        </w:tc>
        <w:tc>
          <w:tcPr>
            <w:tcW w:w="1012" w:type="dxa"/>
            <w:vMerge/>
            <w:vAlign w:val="center"/>
          </w:tcPr>
          <w:p w14:paraId="4FEF534B" w14:textId="77777777" w:rsidR="00851ED3" w:rsidRPr="00B137CC" w:rsidRDefault="00851ED3" w:rsidP="00045599">
            <w:pPr>
              <w:spacing w:before="60" w:after="60"/>
              <w:jc w:val="center"/>
            </w:pPr>
          </w:p>
        </w:tc>
        <w:tc>
          <w:tcPr>
            <w:tcW w:w="1559" w:type="dxa"/>
            <w:shd w:val="clear" w:color="auto" w:fill="auto"/>
            <w:vAlign w:val="center"/>
          </w:tcPr>
          <w:p w14:paraId="2B5B383E" w14:textId="77777777" w:rsidR="00851ED3" w:rsidRPr="00B137CC" w:rsidRDefault="00851ED3" w:rsidP="009A23AA">
            <w:pPr>
              <w:spacing w:before="60" w:after="60"/>
            </w:pPr>
            <w:r>
              <w:rPr>
                <w:color w:val="000000"/>
                <w:szCs w:val="22"/>
              </w:rPr>
              <w:t>Transport refrigeration</w:t>
            </w:r>
          </w:p>
        </w:tc>
        <w:tc>
          <w:tcPr>
            <w:tcW w:w="1418" w:type="dxa"/>
            <w:shd w:val="clear" w:color="auto" w:fill="auto"/>
            <w:vAlign w:val="center"/>
          </w:tcPr>
          <w:p w14:paraId="65896DC0" w14:textId="77777777" w:rsidR="00851ED3" w:rsidRPr="00B137CC" w:rsidRDefault="00851ED3" w:rsidP="009A23AA">
            <w:pPr>
              <w:spacing w:before="60" w:after="60"/>
            </w:pPr>
            <w:r>
              <w:rPr>
                <w:color w:val="000000"/>
                <w:szCs w:val="22"/>
              </w:rPr>
              <w:t>RCFC4-2</w:t>
            </w:r>
          </w:p>
        </w:tc>
        <w:tc>
          <w:tcPr>
            <w:tcW w:w="2265" w:type="dxa"/>
            <w:shd w:val="clear" w:color="auto" w:fill="auto"/>
            <w:vAlign w:val="center"/>
          </w:tcPr>
          <w:p w14:paraId="644446AC" w14:textId="77777777" w:rsidR="00851ED3" w:rsidRPr="00B137CC" w:rsidRDefault="00851ED3" w:rsidP="006D1986">
            <w:pPr>
              <w:spacing w:before="60" w:after="60"/>
              <w:jc w:val="left"/>
            </w:pPr>
            <w:r>
              <w:rPr>
                <w:color w:val="000000"/>
                <w:szCs w:val="22"/>
              </w:rPr>
              <w:t>Mobile refrigeration: road: diesel drive</w:t>
            </w:r>
          </w:p>
        </w:tc>
        <w:tc>
          <w:tcPr>
            <w:tcW w:w="2265" w:type="dxa"/>
            <w:shd w:val="clear" w:color="auto" w:fill="auto"/>
            <w:vAlign w:val="center"/>
          </w:tcPr>
          <w:p w14:paraId="2A583237" w14:textId="77777777" w:rsidR="00851ED3" w:rsidRPr="007E7E2A" w:rsidRDefault="00851ED3" w:rsidP="006D1986">
            <w:pPr>
              <w:spacing w:before="60" w:after="60"/>
              <w:jc w:val="center"/>
            </w:pPr>
            <w:r w:rsidRPr="007E7E2A">
              <w:rPr>
                <w:color w:val="000000"/>
                <w:lang w:val="en-US"/>
              </w:rPr>
              <w:t>8,400</w:t>
            </w:r>
          </w:p>
        </w:tc>
      </w:tr>
      <w:tr w:rsidR="00851ED3" w14:paraId="792EDEC9" w14:textId="77777777" w:rsidTr="00ED641C">
        <w:trPr>
          <w:cantSplit/>
          <w:trHeight w:val="624"/>
        </w:trPr>
        <w:tc>
          <w:tcPr>
            <w:tcW w:w="973" w:type="dxa"/>
            <w:vAlign w:val="center"/>
          </w:tcPr>
          <w:p w14:paraId="3C3834AC" w14:textId="77777777" w:rsidR="00851ED3" w:rsidRPr="00B137CC" w:rsidRDefault="00851ED3" w:rsidP="006D1986">
            <w:pPr>
              <w:spacing w:before="60" w:after="60"/>
              <w:jc w:val="center"/>
            </w:pPr>
            <w:r>
              <w:rPr>
                <w:color w:val="000000"/>
                <w:szCs w:val="22"/>
              </w:rPr>
              <w:t>52</w:t>
            </w:r>
          </w:p>
        </w:tc>
        <w:tc>
          <w:tcPr>
            <w:tcW w:w="1012" w:type="dxa"/>
            <w:vMerge/>
            <w:vAlign w:val="center"/>
          </w:tcPr>
          <w:p w14:paraId="53496C58" w14:textId="77777777" w:rsidR="00851ED3" w:rsidRPr="00B137CC" w:rsidRDefault="00851ED3" w:rsidP="00045599">
            <w:pPr>
              <w:spacing w:before="60" w:after="60"/>
              <w:jc w:val="center"/>
            </w:pPr>
          </w:p>
        </w:tc>
        <w:tc>
          <w:tcPr>
            <w:tcW w:w="1559" w:type="dxa"/>
            <w:shd w:val="clear" w:color="auto" w:fill="auto"/>
            <w:vAlign w:val="center"/>
          </w:tcPr>
          <w:p w14:paraId="42CE5F35" w14:textId="77777777" w:rsidR="00851ED3" w:rsidRPr="00B137CC" w:rsidRDefault="00851ED3" w:rsidP="009A23AA">
            <w:pPr>
              <w:spacing w:before="60" w:after="60"/>
            </w:pPr>
            <w:r>
              <w:rPr>
                <w:color w:val="000000"/>
                <w:szCs w:val="22"/>
              </w:rPr>
              <w:t>Transport refrigeration</w:t>
            </w:r>
          </w:p>
        </w:tc>
        <w:tc>
          <w:tcPr>
            <w:tcW w:w="1418" w:type="dxa"/>
            <w:tcBorders>
              <w:bottom w:val="single" w:sz="4" w:space="0" w:color="000000"/>
            </w:tcBorders>
            <w:shd w:val="clear" w:color="auto" w:fill="auto"/>
            <w:vAlign w:val="center"/>
          </w:tcPr>
          <w:p w14:paraId="02275C09" w14:textId="77777777" w:rsidR="00851ED3" w:rsidRPr="00B137CC" w:rsidRDefault="00851ED3" w:rsidP="009A23AA">
            <w:pPr>
              <w:spacing w:before="60" w:after="60"/>
            </w:pPr>
            <w:r>
              <w:rPr>
                <w:color w:val="000000"/>
                <w:szCs w:val="22"/>
              </w:rPr>
              <w:t>RCFC4-3</w:t>
            </w:r>
          </w:p>
        </w:tc>
        <w:tc>
          <w:tcPr>
            <w:tcW w:w="2265" w:type="dxa"/>
            <w:tcBorders>
              <w:bottom w:val="single" w:sz="4" w:space="0" w:color="000000"/>
            </w:tcBorders>
            <w:shd w:val="clear" w:color="auto" w:fill="auto"/>
            <w:vAlign w:val="center"/>
          </w:tcPr>
          <w:p w14:paraId="3B026856" w14:textId="77777777" w:rsidR="00851ED3" w:rsidRPr="00B137CC" w:rsidRDefault="00851ED3" w:rsidP="006D1986">
            <w:pPr>
              <w:spacing w:before="60" w:after="60"/>
              <w:jc w:val="left"/>
            </w:pPr>
            <w:r>
              <w:rPr>
                <w:color w:val="000000"/>
                <w:szCs w:val="22"/>
              </w:rPr>
              <w:t>Mobile refrigeration: road: off engine</w:t>
            </w:r>
          </w:p>
        </w:tc>
        <w:tc>
          <w:tcPr>
            <w:tcW w:w="2265" w:type="dxa"/>
            <w:tcBorders>
              <w:bottom w:val="single" w:sz="4" w:space="0" w:color="000000"/>
            </w:tcBorders>
            <w:shd w:val="clear" w:color="auto" w:fill="auto"/>
            <w:vAlign w:val="center"/>
          </w:tcPr>
          <w:p w14:paraId="66698562" w14:textId="77777777" w:rsidR="00851ED3" w:rsidRPr="007E7E2A" w:rsidRDefault="00851ED3" w:rsidP="006D1986">
            <w:pPr>
              <w:spacing w:before="60" w:after="60"/>
              <w:jc w:val="center"/>
            </w:pPr>
            <w:r w:rsidRPr="007E7E2A">
              <w:rPr>
                <w:color w:val="000000"/>
                <w:lang w:val="en-US"/>
              </w:rPr>
              <w:t>24,700</w:t>
            </w:r>
          </w:p>
        </w:tc>
      </w:tr>
      <w:tr w:rsidR="00851ED3" w14:paraId="133E2538" w14:textId="77777777" w:rsidTr="00ED641C">
        <w:trPr>
          <w:cantSplit/>
          <w:trHeight w:val="624"/>
        </w:trPr>
        <w:tc>
          <w:tcPr>
            <w:tcW w:w="973" w:type="dxa"/>
            <w:vAlign w:val="center"/>
          </w:tcPr>
          <w:p w14:paraId="1625AB39" w14:textId="77777777" w:rsidR="00851ED3" w:rsidRPr="00B137CC" w:rsidRDefault="00851ED3" w:rsidP="006D1986">
            <w:pPr>
              <w:spacing w:before="60" w:after="60"/>
              <w:jc w:val="center"/>
            </w:pPr>
            <w:r>
              <w:rPr>
                <w:color w:val="000000"/>
                <w:szCs w:val="22"/>
              </w:rPr>
              <w:t>53</w:t>
            </w:r>
          </w:p>
        </w:tc>
        <w:tc>
          <w:tcPr>
            <w:tcW w:w="1012" w:type="dxa"/>
            <w:vMerge/>
            <w:vAlign w:val="center"/>
          </w:tcPr>
          <w:p w14:paraId="3E267A41" w14:textId="77777777" w:rsidR="00851ED3" w:rsidRPr="00B137CC" w:rsidRDefault="00851ED3" w:rsidP="00045599">
            <w:pPr>
              <w:spacing w:before="60" w:after="60"/>
              <w:jc w:val="center"/>
            </w:pPr>
          </w:p>
        </w:tc>
        <w:tc>
          <w:tcPr>
            <w:tcW w:w="1559" w:type="dxa"/>
            <w:vAlign w:val="center"/>
          </w:tcPr>
          <w:p w14:paraId="652CF391" w14:textId="77777777" w:rsidR="00851ED3" w:rsidRPr="00B137CC" w:rsidRDefault="00851ED3" w:rsidP="009A23AA">
            <w:pPr>
              <w:spacing w:before="60" w:after="60"/>
            </w:pPr>
            <w:r>
              <w:rPr>
                <w:color w:val="000000"/>
                <w:szCs w:val="22"/>
              </w:rPr>
              <w:t>Transport refrigeration</w:t>
            </w:r>
          </w:p>
        </w:tc>
        <w:tc>
          <w:tcPr>
            <w:tcW w:w="1418" w:type="dxa"/>
            <w:shd w:val="clear" w:color="auto" w:fill="auto"/>
            <w:vAlign w:val="center"/>
          </w:tcPr>
          <w:p w14:paraId="0888E75B" w14:textId="77777777" w:rsidR="00851ED3" w:rsidRPr="00B137CC" w:rsidRDefault="00851ED3" w:rsidP="009A23AA">
            <w:pPr>
              <w:spacing w:before="60" w:after="60"/>
            </w:pPr>
            <w:r>
              <w:rPr>
                <w:color w:val="000000"/>
                <w:szCs w:val="22"/>
              </w:rPr>
              <w:t>RCFC4-4</w:t>
            </w:r>
          </w:p>
        </w:tc>
        <w:tc>
          <w:tcPr>
            <w:tcW w:w="2265" w:type="dxa"/>
            <w:shd w:val="clear" w:color="auto" w:fill="auto"/>
            <w:vAlign w:val="center"/>
          </w:tcPr>
          <w:p w14:paraId="07205432" w14:textId="77777777" w:rsidR="00851ED3" w:rsidRPr="00B137CC" w:rsidRDefault="00851ED3" w:rsidP="006D1986">
            <w:pPr>
              <w:spacing w:before="60" w:after="60"/>
              <w:jc w:val="left"/>
            </w:pPr>
            <w:r>
              <w:rPr>
                <w:color w:val="000000"/>
                <w:szCs w:val="22"/>
              </w:rPr>
              <w:t>Mobile refrigeration: marine</w:t>
            </w:r>
          </w:p>
        </w:tc>
        <w:tc>
          <w:tcPr>
            <w:tcW w:w="2265" w:type="dxa"/>
            <w:shd w:val="clear" w:color="auto" w:fill="auto"/>
            <w:vAlign w:val="center"/>
          </w:tcPr>
          <w:p w14:paraId="7E4AB63C" w14:textId="77777777" w:rsidR="00851ED3" w:rsidRPr="00A64D4F" w:rsidRDefault="00851ED3" w:rsidP="006D1986">
            <w:pPr>
              <w:spacing w:before="60" w:after="60"/>
              <w:jc w:val="center"/>
              <w:rPr>
                <w:highlight w:val="yellow"/>
              </w:rPr>
            </w:pPr>
            <w:r w:rsidRPr="00DF7BA8">
              <w:rPr>
                <w:color w:val="000000"/>
                <w:lang w:val="en-US"/>
              </w:rPr>
              <w:t>400</w:t>
            </w:r>
          </w:p>
        </w:tc>
      </w:tr>
      <w:tr w:rsidR="00851ED3" w14:paraId="1F5E0F42" w14:textId="77777777" w:rsidTr="00ED641C">
        <w:trPr>
          <w:cantSplit/>
          <w:trHeight w:val="624"/>
        </w:trPr>
        <w:tc>
          <w:tcPr>
            <w:tcW w:w="973" w:type="dxa"/>
            <w:vAlign w:val="center"/>
          </w:tcPr>
          <w:p w14:paraId="52268DEA" w14:textId="77777777" w:rsidR="00851ED3" w:rsidRPr="00B137CC" w:rsidRDefault="00851ED3" w:rsidP="006D1986">
            <w:pPr>
              <w:spacing w:before="60" w:after="60"/>
              <w:jc w:val="center"/>
            </w:pPr>
            <w:r>
              <w:rPr>
                <w:color w:val="000000"/>
                <w:szCs w:val="22"/>
              </w:rPr>
              <w:t>54</w:t>
            </w:r>
          </w:p>
        </w:tc>
        <w:tc>
          <w:tcPr>
            <w:tcW w:w="1012" w:type="dxa"/>
            <w:vMerge w:val="restart"/>
            <w:textDirection w:val="btLr"/>
            <w:vAlign w:val="center"/>
          </w:tcPr>
          <w:p w14:paraId="2C1F292B" w14:textId="77777777" w:rsidR="00851ED3" w:rsidRPr="00B137CC" w:rsidRDefault="00851ED3" w:rsidP="00045599">
            <w:pPr>
              <w:spacing w:before="60" w:after="60"/>
              <w:jc w:val="center"/>
            </w:pPr>
            <w:r>
              <w:rPr>
                <w:color w:val="000000"/>
                <w:szCs w:val="22"/>
              </w:rPr>
              <w:t>RCFC5: Process and industrial refrigeration</w:t>
            </w:r>
          </w:p>
        </w:tc>
        <w:tc>
          <w:tcPr>
            <w:tcW w:w="1559" w:type="dxa"/>
            <w:tcBorders>
              <w:bottom w:val="single" w:sz="4" w:space="0" w:color="000000"/>
            </w:tcBorders>
            <w:vAlign w:val="center"/>
          </w:tcPr>
          <w:p w14:paraId="427B2452" w14:textId="77777777" w:rsidR="00851ED3" w:rsidRPr="00B137CC" w:rsidRDefault="00851ED3" w:rsidP="009A23AA">
            <w:pPr>
              <w:spacing w:before="60" w:after="60"/>
            </w:pPr>
            <w:r>
              <w:rPr>
                <w:color w:val="000000"/>
                <w:szCs w:val="22"/>
              </w:rPr>
              <w:t>Industrial refrigeration</w:t>
            </w:r>
          </w:p>
        </w:tc>
        <w:tc>
          <w:tcPr>
            <w:tcW w:w="1418" w:type="dxa"/>
            <w:tcBorders>
              <w:bottom w:val="single" w:sz="4" w:space="0" w:color="000000"/>
            </w:tcBorders>
            <w:shd w:val="clear" w:color="auto" w:fill="auto"/>
            <w:vAlign w:val="center"/>
          </w:tcPr>
          <w:p w14:paraId="092D457E" w14:textId="77777777" w:rsidR="00851ED3" w:rsidRPr="00B137CC" w:rsidRDefault="00851ED3" w:rsidP="009A23AA">
            <w:pPr>
              <w:spacing w:before="60" w:after="60"/>
            </w:pPr>
            <w:r>
              <w:rPr>
                <w:color w:val="000000"/>
                <w:szCs w:val="22"/>
              </w:rPr>
              <w:t>RCFC5-1</w:t>
            </w:r>
          </w:p>
        </w:tc>
        <w:tc>
          <w:tcPr>
            <w:tcW w:w="2265" w:type="dxa"/>
            <w:tcBorders>
              <w:bottom w:val="single" w:sz="4" w:space="0" w:color="000000"/>
            </w:tcBorders>
            <w:shd w:val="clear" w:color="auto" w:fill="auto"/>
            <w:vAlign w:val="center"/>
          </w:tcPr>
          <w:p w14:paraId="28CFB53D" w14:textId="77777777" w:rsidR="00851ED3" w:rsidRPr="00B137CC" w:rsidRDefault="00851ED3" w:rsidP="006D1986">
            <w:pPr>
              <w:spacing w:before="60" w:after="60"/>
              <w:jc w:val="left"/>
            </w:pPr>
            <w:r>
              <w:rPr>
                <w:color w:val="000000"/>
                <w:szCs w:val="22"/>
              </w:rPr>
              <w:t>Cold storage and distribution</w:t>
            </w:r>
          </w:p>
        </w:tc>
        <w:tc>
          <w:tcPr>
            <w:tcW w:w="2265" w:type="dxa"/>
            <w:tcBorders>
              <w:bottom w:val="single" w:sz="4" w:space="0" w:color="000000"/>
            </w:tcBorders>
            <w:shd w:val="clear" w:color="auto" w:fill="auto"/>
            <w:vAlign w:val="center"/>
          </w:tcPr>
          <w:p w14:paraId="43689D0F" w14:textId="77777777" w:rsidR="00851ED3" w:rsidRPr="00A64D4F" w:rsidRDefault="00851ED3" w:rsidP="006D1986">
            <w:pPr>
              <w:spacing w:before="60" w:after="60"/>
              <w:jc w:val="center"/>
              <w:rPr>
                <w:highlight w:val="yellow"/>
              </w:rPr>
            </w:pPr>
            <w:r w:rsidRPr="00DF7BA8">
              <w:rPr>
                <w:color w:val="000000"/>
                <w:lang w:val="en-US"/>
              </w:rPr>
              <w:t>15.5 Million m</w:t>
            </w:r>
            <w:r w:rsidRPr="00DF7BA8">
              <w:rPr>
                <w:color w:val="000000"/>
                <w:vertAlign w:val="superscript"/>
                <w:lang w:val="en-US"/>
              </w:rPr>
              <w:t>3</w:t>
            </w:r>
          </w:p>
        </w:tc>
      </w:tr>
      <w:tr w:rsidR="00851ED3" w14:paraId="61DDEC28" w14:textId="77777777" w:rsidTr="00ED641C">
        <w:trPr>
          <w:cantSplit/>
          <w:trHeight w:val="624"/>
        </w:trPr>
        <w:tc>
          <w:tcPr>
            <w:tcW w:w="973" w:type="dxa"/>
            <w:vAlign w:val="center"/>
          </w:tcPr>
          <w:p w14:paraId="767C2367" w14:textId="77777777" w:rsidR="00851ED3" w:rsidRPr="00B137CC" w:rsidRDefault="00851ED3" w:rsidP="006D1986">
            <w:pPr>
              <w:spacing w:before="60" w:after="60"/>
              <w:jc w:val="center"/>
            </w:pPr>
            <w:r>
              <w:rPr>
                <w:color w:val="000000"/>
                <w:szCs w:val="22"/>
              </w:rPr>
              <w:t>55</w:t>
            </w:r>
          </w:p>
        </w:tc>
        <w:tc>
          <w:tcPr>
            <w:tcW w:w="1012" w:type="dxa"/>
            <w:vMerge/>
          </w:tcPr>
          <w:p w14:paraId="13670AC0" w14:textId="77777777" w:rsidR="00851ED3" w:rsidRPr="00B137CC" w:rsidRDefault="00851ED3" w:rsidP="009A23AA"/>
        </w:tc>
        <w:tc>
          <w:tcPr>
            <w:tcW w:w="1559" w:type="dxa"/>
            <w:shd w:val="clear" w:color="auto" w:fill="auto"/>
            <w:vAlign w:val="center"/>
          </w:tcPr>
          <w:p w14:paraId="7314239D" w14:textId="77777777" w:rsidR="00851ED3" w:rsidRPr="00B137CC" w:rsidRDefault="00851ED3" w:rsidP="009A23AA">
            <w:pPr>
              <w:spacing w:before="60" w:after="60"/>
            </w:pPr>
            <w:r>
              <w:rPr>
                <w:color w:val="000000"/>
                <w:szCs w:val="22"/>
              </w:rPr>
              <w:t>Industrial refrigeration</w:t>
            </w:r>
          </w:p>
        </w:tc>
        <w:tc>
          <w:tcPr>
            <w:tcW w:w="1418" w:type="dxa"/>
            <w:shd w:val="clear" w:color="auto" w:fill="auto"/>
            <w:vAlign w:val="center"/>
          </w:tcPr>
          <w:p w14:paraId="66A74341" w14:textId="77777777" w:rsidR="00851ED3" w:rsidRPr="00B137CC" w:rsidRDefault="00851ED3" w:rsidP="009A23AA">
            <w:pPr>
              <w:spacing w:before="60" w:after="60"/>
            </w:pPr>
            <w:r>
              <w:rPr>
                <w:color w:val="000000"/>
                <w:szCs w:val="22"/>
              </w:rPr>
              <w:t>RCFC5-2</w:t>
            </w:r>
          </w:p>
        </w:tc>
        <w:tc>
          <w:tcPr>
            <w:tcW w:w="2265" w:type="dxa"/>
            <w:shd w:val="clear" w:color="auto" w:fill="auto"/>
            <w:vAlign w:val="center"/>
          </w:tcPr>
          <w:p w14:paraId="39CC1351" w14:textId="77777777" w:rsidR="00851ED3" w:rsidRPr="00B137CC" w:rsidRDefault="00851ED3" w:rsidP="006D1986">
            <w:pPr>
              <w:spacing w:before="60" w:after="60"/>
              <w:jc w:val="left"/>
            </w:pPr>
            <w:r>
              <w:rPr>
                <w:color w:val="000000"/>
                <w:szCs w:val="22"/>
              </w:rPr>
              <w:t xml:space="preserve">Process and mfg. (&gt;=40 </w:t>
            </w:r>
            <w:proofErr w:type="spellStart"/>
            <w:r>
              <w:rPr>
                <w:color w:val="000000"/>
                <w:szCs w:val="22"/>
              </w:rPr>
              <w:t>kWr</w:t>
            </w:r>
            <w:proofErr w:type="spellEnd"/>
            <w:r>
              <w:rPr>
                <w:color w:val="000000"/>
                <w:szCs w:val="22"/>
              </w:rPr>
              <w:t>)</w:t>
            </w:r>
          </w:p>
        </w:tc>
        <w:tc>
          <w:tcPr>
            <w:tcW w:w="2265" w:type="dxa"/>
            <w:shd w:val="clear" w:color="auto" w:fill="auto"/>
            <w:vAlign w:val="center"/>
          </w:tcPr>
          <w:p w14:paraId="650DEA2F" w14:textId="77777777" w:rsidR="00851ED3" w:rsidRPr="00A64D4F" w:rsidRDefault="00851ED3" w:rsidP="006D1986">
            <w:pPr>
              <w:spacing w:before="60" w:after="60"/>
              <w:jc w:val="center"/>
              <w:rPr>
                <w:highlight w:val="yellow"/>
              </w:rPr>
            </w:pPr>
            <w:r w:rsidRPr="007E7E2A">
              <w:t>-</w:t>
            </w:r>
          </w:p>
        </w:tc>
      </w:tr>
      <w:tr w:rsidR="00851ED3" w14:paraId="4DA57C5D" w14:textId="77777777" w:rsidTr="00ED641C">
        <w:trPr>
          <w:cantSplit/>
          <w:trHeight w:val="624"/>
        </w:trPr>
        <w:tc>
          <w:tcPr>
            <w:tcW w:w="7227" w:type="dxa"/>
            <w:gridSpan w:val="5"/>
            <w:vAlign w:val="center"/>
          </w:tcPr>
          <w:p w14:paraId="19B9A7A1" w14:textId="77777777" w:rsidR="00851ED3" w:rsidRDefault="00851ED3" w:rsidP="009A23AA">
            <w:pPr>
              <w:spacing w:before="60" w:after="60"/>
              <w:rPr>
                <w:color w:val="000000"/>
                <w:szCs w:val="22"/>
              </w:rPr>
            </w:pPr>
            <w:r w:rsidRPr="00BC2272">
              <w:t>Total RCFC</w:t>
            </w:r>
          </w:p>
        </w:tc>
        <w:tc>
          <w:tcPr>
            <w:tcW w:w="2265" w:type="dxa"/>
            <w:shd w:val="clear" w:color="auto" w:fill="auto"/>
            <w:vAlign w:val="center"/>
          </w:tcPr>
          <w:p w14:paraId="026090F3" w14:textId="19AFAF13" w:rsidR="00851ED3" w:rsidRDefault="007E7E2A" w:rsidP="006D1986">
            <w:pPr>
              <w:spacing w:before="60" w:after="60"/>
              <w:jc w:val="center"/>
            </w:pPr>
            <w:r w:rsidRPr="007E7E2A">
              <w:t>&gt;1,758,000</w:t>
            </w:r>
          </w:p>
        </w:tc>
      </w:tr>
    </w:tbl>
    <w:p w14:paraId="60A0DD91" w14:textId="7008F985" w:rsidR="00851ED3" w:rsidRPr="00116557" w:rsidRDefault="00851ED3" w:rsidP="009A23AA">
      <w:pPr>
        <w:spacing w:before="0"/>
        <w:rPr>
          <w:sz w:val="20"/>
          <w:szCs w:val="20"/>
        </w:rPr>
      </w:pPr>
      <w:r w:rsidRPr="007E7E2A">
        <w:rPr>
          <w:sz w:val="20"/>
          <w:szCs w:val="20"/>
        </w:rPr>
        <w:t>(Sources: AACS 201</w:t>
      </w:r>
      <w:r w:rsidR="007E7E2A" w:rsidRPr="007E7E2A">
        <w:rPr>
          <w:sz w:val="20"/>
          <w:szCs w:val="20"/>
        </w:rPr>
        <w:t>8</w:t>
      </w:r>
      <w:r w:rsidRPr="007E7E2A">
        <w:rPr>
          <w:sz w:val="20"/>
          <w:szCs w:val="20"/>
        </w:rPr>
        <w:t>, AMSA 201</w:t>
      </w:r>
      <w:r w:rsidR="007E7E2A" w:rsidRPr="007E7E2A">
        <w:rPr>
          <w:sz w:val="20"/>
          <w:szCs w:val="20"/>
        </w:rPr>
        <w:t>9</w:t>
      </w:r>
      <w:r w:rsidRPr="007E7E2A">
        <w:rPr>
          <w:sz w:val="20"/>
          <w:szCs w:val="20"/>
        </w:rPr>
        <w:t xml:space="preserve">, </w:t>
      </w:r>
      <w:proofErr w:type="spellStart"/>
      <w:r w:rsidRPr="007E7E2A">
        <w:rPr>
          <w:sz w:val="20"/>
          <w:szCs w:val="20"/>
        </w:rPr>
        <w:t>DoEE</w:t>
      </w:r>
      <w:proofErr w:type="spellEnd"/>
      <w:r w:rsidRPr="007E7E2A">
        <w:rPr>
          <w:sz w:val="20"/>
          <w:szCs w:val="20"/>
        </w:rPr>
        <w:t xml:space="preserve"> 201</w:t>
      </w:r>
      <w:r w:rsidR="007E7E2A" w:rsidRPr="007E7E2A">
        <w:rPr>
          <w:sz w:val="20"/>
          <w:szCs w:val="20"/>
        </w:rPr>
        <w:t>9</w:t>
      </w:r>
      <w:r w:rsidRPr="007E7E2A">
        <w:rPr>
          <w:sz w:val="20"/>
          <w:szCs w:val="20"/>
        </w:rPr>
        <w:t xml:space="preserve">a, </w:t>
      </w:r>
      <w:proofErr w:type="spellStart"/>
      <w:r w:rsidRPr="007E7E2A">
        <w:rPr>
          <w:sz w:val="20"/>
          <w:szCs w:val="20"/>
        </w:rPr>
        <w:t>DoEE</w:t>
      </w:r>
      <w:proofErr w:type="spellEnd"/>
      <w:r w:rsidRPr="007E7E2A">
        <w:rPr>
          <w:sz w:val="20"/>
          <w:szCs w:val="20"/>
        </w:rPr>
        <w:t xml:space="preserve"> 2013, </w:t>
      </w:r>
      <w:r w:rsidRPr="006A3F7C">
        <w:rPr>
          <w:sz w:val="20"/>
          <w:szCs w:val="20"/>
        </w:rPr>
        <w:t>MC 201</w:t>
      </w:r>
      <w:r w:rsidR="007E7E2A" w:rsidRPr="006A3F7C">
        <w:rPr>
          <w:sz w:val="20"/>
          <w:szCs w:val="20"/>
        </w:rPr>
        <w:t>8</w:t>
      </w:r>
      <w:r w:rsidRPr="006A3F7C">
        <w:rPr>
          <w:sz w:val="20"/>
          <w:szCs w:val="20"/>
        </w:rPr>
        <w:t xml:space="preserve">, </w:t>
      </w:r>
      <w:r w:rsidR="006A3F7C" w:rsidRPr="006A3F7C">
        <w:rPr>
          <w:sz w:val="20"/>
          <w:szCs w:val="20"/>
        </w:rPr>
        <w:t>CG 2019</w:t>
      </w:r>
      <w:r w:rsidRPr="006A3F7C">
        <w:rPr>
          <w:sz w:val="20"/>
          <w:szCs w:val="20"/>
        </w:rPr>
        <w:t>, WOW 201</w:t>
      </w:r>
      <w:r w:rsidR="006A3F7C" w:rsidRPr="006A3F7C">
        <w:rPr>
          <w:sz w:val="20"/>
          <w:szCs w:val="20"/>
        </w:rPr>
        <w:t>9</w:t>
      </w:r>
      <w:r w:rsidRPr="006A3F7C">
        <w:rPr>
          <w:sz w:val="20"/>
          <w:szCs w:val="20"/>
        </w:rPr>
        <w:t>a, WOW 2017b, and industry informants)</w:t>
      </w:r>
    </w:p>
    <w:p w14:paraId="1660F618" w14:textId="5EF6044C" w:rsidR="00851ED3" w:rsidRDefault="00851ED3" w:rsidP="006D1986">
      <w:pPr>
        <w:spacing w:before="60"/>
        <w:rPr>
          <w:sz w:val="20"/>
          <w:szCs w:val="20"/>
        </w:rPr>
      </w:pPr>
      <w:r>
        <w:rPr>
          <w:sz w:val="20"/>
          <w:szCs w:val="20"/>
        </w:rPr>
        <w:t>Notes</w:t>
      </w:r>
    </w:p>
    <w:p w14:paraId="20CDB835" w14:textId="77777777" w:rsidR="00851ED3" w:rsidRPr="00FA6823" w:rsidRDefault="00851ED3" w:rsidP="006D1986">
      <w:pPr>
        <w:pStyle w:val="ListParagraph"/>
        <w:numPr>
          <w:ilvl w:val="0"/>
          <w:numId w:val="30"/>
        </w:numPr>
        <w:snapToGrid w:val="0"/>
        <w:spacing w:before="60" w:after="0" w:line="240" w:lineRule="auto"/>
        <w:ind w:left="357" w:hanging="357"/>
        <w:contextualSpacing w:val="0"/>
        <w:jc w:val="both"/>
        <w:rPr>
          <w:rFonts w:ascii="Times New Roman" w:hAnsi="Times New Roman"/>
          <w:sz w:val="20"/>
          <w:szCs w:val="20"/>
        </w:rPr>
      </w:pPr>
      <w:r w:rsidRPr="00FA6823">
        <w:rPr>
          <w:rFonts w:ascii="Times New Roman" w:hAnsi="Times New Roman"/>
          <w:sz w:val="20"/>
          <w:szCs w:val="20"/>
        </w:rPr>
        <w:t>Stock values are rounded to the nearest hundred.</w:t>
      </w:r>
    </w:p>
    <w:p w14:paraId="0F2099A8" w14:textId="6758841A" w:rsidR="00851ED3" w:rsidRPr="00FA6823" w:rsidRDefault="00851ED3" w:rsidP="006D1986">
      <w:pPr>
        <w:pStyle w:val="ListParagraph"/>
        <w:numPr>
          <w:ilvl w:val="0"/>
          <w:numId w:val="30"/>
        </w:numPr>
        <w:snapToGrid w:val="0"/>
        <w:spacing w:before="60" w:after="0" w:line="240" w:lineRule="auto"/>
        <w:contextualSpacing w:val="0"/>
        <w:jc w:val="both"/>
        <w:rPr>
          <w:rFonts w:ascii="Times New Roman" w:hAnsi="Times New Roman"/>
          <w:sz w:val="20"/>
          <w:szCs w:val="20"/>
          <w:lang w:val="en-AU"/>
        </w:rPr>
      </w:pPr>
      <w:r w:rsidRPr="00FA6823">
        <w:rPr>
          <w:rFonts w:ascii="Times New Roman" w:hAnsi="Times New Roman"/>
          <w:sz w:val="20"/>
          <w:szCs w:val="20"/>
          <w:lang w:val="en-AU"/>
        </w:rPr>
        <w:t xml:space="preserve">Total numbers of stock in the cold food chain includes the count of supermarkets which accounts for centralised systems and the remote display cases connected to the system. </w:t>
      </w:r>
      <w:r>
        <w:rPr>
          <w:rFonts w:ascii="Times New Roman" w:hAnsi="Times New Roman"/>
          <w:sz w:val="20"/>
          <w:szCs w:val="20"/>
          <w:lang w:val="en-AU"/>
        </w:rPr>
        <w:t>S</w:t>
      </w:r>
      <w:r w:rsidRPr="00FA6823">
        <w:rPr>
          <w:rFonts w:ascii="Times New Roman" w:hAnsi="Times New Roman"/>
          <w:sz w:val="20"/>
          <w:szCs w:val="20"/>
          <w:lang w:val="en-AU"/>
        </w:rPr>
        <w:t>ome of the stock of smaller classes of equipment such as self-contained merchandisers are counted separately in RCFC1-1.</w:t>
      </w:r>
    </w:p>
    <w:p w14:paraId="0E73B199" w14:textId="77777777" w:rsidR="00851ED3" w:rsidRDefault="00851ED3" w:rsidP="009A23AA">
      <w:pPr>
        <w:rPr>
          <w:szCs w:val="22"/>
        </w:rPr>
      </w:pPr>
    </w:p>
    <w:p w14:paraId="0770FCAC" w14:textId="77777777" w:rsidR="00851ED3" w:rsidRPr="00713828" w:rsidRDefault="00851ED3" w:rsidP="009A23AA">
      <w:pPr>
        <w:rPr>
          <w:b/>
        </w:rPr>
      </w:pPr>
      <w:r w:rsidRPr="00713828">
        <w:rPr>
          <w:b/>
        </w:rPr>
        <w:t xml:space="preserve">Main </w:t>
      </w:r>
      <w:r>
        <w:rPr>
          <w:b/>
        </w:rPr>
        <w:t>m</w:t>
      </w:r>
      <w:r w:rsidRPr="00713828">
        <w:rPr>
          <w:b/>
        </w:rPr>
        <w:t>etrics</w:t>
      </w:r>
    </w:p>
    <w:p w14:paraId="149A0DE8" w14:textId="5122A9ED" w:rsidR="00851ED3" w:rsidRDefault="00851ED3" w:rsidP="009A23AA">
      <w:bookmarkStart w:id="54" w:name="_Hlk508551792"/>
      <w:r w:rsidRPr="004571CF">
        <w:t xml:space="preserve">The five segments and </w:t>
      </w:r>
      <w:r w:rsidRPr="00AB4CD8">
        <w:t>twenty f</w:t>
      </w:r>
      <w:r>
        <w:t>ive</w:t>
      </w:r>
      <w:r w:rsidRPr="00AB4CD8">
        <w:t xml:space="preserve"> product</w:t>
      </w:r>
      <w:r w:rsidRPr="004571CF">
        <w:t xml:space="preserve"> categories that make up this class contained approximately </w:t>
      </w:r>
      <w:r>
        <w:t>1</w:t>
      </w:r>
      <w:r w:rsidR="00E6620F">
        <w:t>3</w:t>
      </w:r>
      <w:r>
        <w:t>%</w:t>
      </w:r>
      <w:r w:rsidRPr="004571CF">
        <w:t xml:space="preserve"> of the bank of </w:t>
      </w:r>
      <w:r>
        <w:t>refrigerant</w:t>
      </w:r>
      <w:r w:rsidRPr="004571CF">
        <w:t xml:space="preserve"> in Australia, or around </w:t>
      </w:r>
      <w:r w:rsidR="00E6620F" w:rsidRPr="00813B74">
        <w:t>7,</w:t>
      </w:r>
      <w:r w:rsidR="00E6620F">
        <w:t>100</w:t>
      </w:r>
      <w:r w:rsidRPr="00813B74">
        <w:t xml:space="preserve"> tonnes (</w:t>
      </w:r>
      <w:r w:rsidRPr="00813B74">
        <w:rPr>
          <w:i/>
        </w:rPr>
        <w:t>CHF</w:t>
      </w:r>
      <w:r w:rsidR="00E6620F" w:rsidRPr="00813B74">
        <w:rPr>
          <w:i/>
        </w:rPr>
        <w:t>3</w:t>
      </w:r>
      <w:r w:rsidRPr="00813B74">
        <w:rPr>
          <w:i/>
        </w:rPr>
        <w:t xml:space="preserve"> </w:t>
      </w:r>
      <w:r w:rsidR="00813B74">
        <w:rPr>
          <w:i/>
        </w:rPr>
        <w:t xml:space="preserve">2016, </w:t>
      </w:r>
      <w:r w:rsidRPr="00813B74">
        <w:rPr>
          <w:i/>
        </w:rPr>
        <w:t>1</w:t>
      </w:r>
      <w:r w:rsidR="00813B74">
        <w:rPr>
          <w:i/>
        </w:rPr>
        <w:t>4</w:t>
      </w:r>
      <w:r w:rsidRPr="00813B74">
        <w:rPr>
          <w:i/>
        </w:rPr>
        <w:t xml:space="preserve">%, </w:t>
      </w:r>
      <w:r w:rsidR="00E6620F" w:rsidRPr="00813B74">
        <w:rPr>
          <w:i/>
        </w:rPr>
        <w:t>6</w:t>
      </w:r>
      <w:r w:rsidRPr="00813B74">
        <w:rPr>
          <w:i/>
        </w:rPr>
        <w:t>,</w:t>
      </w:r>
      <w:r w:rsidR="00E6620F" w:rsidRPr="00813B74">
        <w:rPr>
          <w:i/>
        </w:rPr>
        <w:t>9</w:t>
      </w:r>
      <w:r w:rsidRPr="00813B74">
        <w:rPr>
          <w:i/>
        </w:rPr>
        <w:t>00 tonnes</w:t>
      </w:r>
      <w:r w:rsidRPr="004571CF">
        <w:t>)</w:t>
      </w:r>
      <w:r>
        <w:t xml:space="preserve">. </w:t>
      </w:r>
    </w:p>
    <w:bookmarkEnd w:id="54"/>
    <w:p w14:paraId="17888E11" w14:textId="77777777" w:rsidR="000724EB" w:rsidRDefault="000724EB" w:rsidP="009A23AA">
      <w:r w:rsidRPr="000724EB">
        <w:t>The refrigerated cold food chain has more than 1.7 million installations and pieces of equipment that in 2018 used an estimated 1,340 tonnes of HCFCs and HFCs to charge new equipment and replace leaked refrigerant. This represents around 37% of all HCFCs and HFCs used in Australia in 2018.</w:t>
      </w:r>
    </w:p>
    <w:p w14:paraId="22DBB16F" w14:textId="37497133" w:rsidR="00851ED3" w:rsidRDefault="00851ED3" w:rsidP="009A23AA">
      <w:r>
        <w:t>There have been several developments in this class since 2016 including;</w:t>
      </w:r>
    </w:p>
    <w:p w14:paraId="6132BEF9" w14:textId="36D82572" w:rsidR="00851ED3" w:rsidRPr="007A7735"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sidRPr="007A7735">
        <w:rPr>
          <w:rFonts w:ascii="Times New Roman" w:hAnsi="Times New Roman"/>
        </w:rPr>
        <w:t xml:space="preserve">Rapid growth of HC refrigerants in smaller self-contained </w:t>
      </w:r>
      <w:r w:rsidRPr="00DF7BA8">
        <w:rPr>
          <w:rFonts w:ascii="Times New Roman" w:hAnsi="Times New Roman"/>
        </w:rPr>
        <w:t>equipment (~25,000 devices imported in 2018)</w:t>
      </w:r>
      <w:r w:rsidRPr="007A7735">
        <w:rPr>
          <w:rFonts w:ascii="Times New Roman" w:hAnsi="Times New Roman"/>
        </w:rPr>
        <w:t xml:space="preserve"> and </w:t>
      </w:r>
      <w:r>
        <w:rPr>
          <w:rFonts w:ascii="Times New Roman" w:hAnsi="Times New Roman"/>
        </w:rPr>
        <w:t xml:space="preserve">the decline of </w:t>
      </w:r>
      <w:r w:rsidRPr="007A7735">
        <w:rPr>
          <w:rFonts w:ascii="Times New Roman" w:hAnsi="Times New Roman"/>
        </w:rPr>
        <w:t>sales of CO</w:t>
      </w:r>
      <w:r w:rsidRPr="00592712">
        <w:rPr>
          <w:rFonts w:ascii="Times New Roman" w:hAnsi="Times New Roman"/>
          <w:vertAlign w:val="subscript"/>
        </w:rPr>
        <w:t>2</w:t>
      </w:r>
      <w:r w:rsidRPr="007A7735">
        <w:rPr>
          <w:rFonts w:ascii="Times New Roman" w:hAnsi="Times New Roman"/>
        </w:rPr>
        <w:t xml:space="preserve"> </w:t>
      </w:r>
      <w:r w:rsidR="00673569">
        <w:rPr>
          <w:rFonts w:ascii="Times New Roman" w:hAnsi="Times New Roman"/>
        </w:rPr>
        <w:t>pre-</w:t>
      </w:r>
      <w:r w:rsidRPr="007A7735">
        <w:rPr>
          <w:rFonts w:ascii="Times New Roman" w:hAnsi="Times New Roman"/>
        </w:rPr>
        <w:t xml:space="preserve">charged equipment </w:t>
      </w:r>
      <w:r>
        <w:rPr>
          <w:rFonts w:ascii="Times New Roman" w:hAnsi="Times New Roman"/>
        </w:rPr>
        <w:t>migrating to HC</w:t>
      </w:r>
      <w:r w:rsidRPr="007A7735">
        <w:rPr>
          <w:rFonts w:ascii="Times New Roman" w:hAnsi="Times New Roman"/>
        </w:rPr>
        <w:t>;</w:t>
      </w:r>
    </w:p>
    <w:p w14:paraId="72D53384" w14:textId="77777777" w:rsidR="00851ED3" w:rsidRPr="007A7735"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Pr>
          <w:rFonts w:ascii="Times New Roman" w:hAnsi="Times New Roman"/>
        </w:rPr>
        <w:t>Continuing r</w:t>
      </w:r>
      <w:r w:rsidRPr="007A7735">
        <w:rPr>
          <w:rFonts w:ascii="Times New Roman" w:hAnsi="Times New Roman"/>
        </w:rPr>
        <w:t>eductions in leak rates from larger equipment and supermarkets, and a concerted move to natural and lower GWP refrigerants among the leaders in the supermarket segments;</w:t>
      </w:r>
    </w:p>
    <w:p w14:paraId="78263FB8" w14:textId="683887B1" w:rsidR="00851ED3" w:rsidRPr="007A7735" w:rsidRDefault="00851ED3" w:rsidP="009A23AA">
      <w:pPr>
        <w:pStyle w:val="ListParagraph"/>
        <w:numPr>
          <w:ilvl w:val="0"/>
          <w:numId w:val="29"/>
        </w:numPr>
        <w:spacing w:before="120" w:after="0" w:line="240" w:lineRule="auto"/>
        <w:ind w:left="357" w:hanging="357"/>
        <w:contextualSpacing w:val="0"/>
        <w:jc w:val="both"/>
        <w:rPr>
          <w:rFonts w:ascii="Times New Roman" w:hAnsi="Times New Roman"/>
        </w:rPr>
      </w:pPr>
      <w:r w:rsidRPr="007A7735">
        <w:rPr>
          <w:rFonts w:ascii="Times New Roman" w:hAnsi="Times New Roman"/>
        </w:rPr>
        <w:t xml:space="preserve">An increase in the number of </w:t>
      </w:r>
      <w:r>
        <w:rPr>
          <w:rFonts w:ascii="Times New Roman" w:hAnsi="Times New Roman"/>
        </w:rPr>
        <w:t xml:space="preserve">cold </w:t>
      </w:r>
      <w:r w:rsidRPr="007A7735">
        <w:rPr>
          <w:rFonts w:ascii="Times New Roman" w:hAnsi="Times New Roman"/>
        </w:rPr>
        <w:t>rooms identified in the market place</w:t>
      </w:r>
      <w:r>
        <w:rPr>
          <w:rFonts w:ascii="Times New Roman" w:hAnsi="Times New Roman"/>
        </w:rPr>
        <w:t xml:space="preserve"> and a concerted effort underway by industry body AIRAH to improve standards of installation and operation in this strongly growing segment;</w:t>
      </w:r>
      <w:r w:rsidR="007B0E26">
        <w:rPr>
          <w:rStyle w:val="FootnoteReference"/>
        </w:rPr>
        <w:footnoteReference w:id="15"/>
      </w:r>
    </w:p>
    <w:p w14:paraId="6E675DEB" w14:textId="77777777" w:rsidR="00851ED3" w:rsidRDefault="00851ED3" w:rsidP="009A23AA">
      <w:pPr>
        <w:pStyle w:val="ListParagraph"/>
        <w:numPr>
          <w:ilvl w:val="0"/>
          <w:numId w:val="29"/>
        </w:numPr>
        <w:spacing w:before="120" w:after="0" w:line="240" w:lineRule="auto"/>
        <w:ind w:left="357" w:hanging="357"/>
        <w:contextualSpacing w:val="0"/>
        <w:jc w:val="both"/>
      </w:pPr>
      <w:r>
        <w:rPr>
          <w:rFonts w:ascii="Times New Roman" w:hAnsi="Times New Roman"/>
        </w:rPr>
        <w:t xml:space="preserve">Continuing </w:t>
      </w:r>
      <w:r w:rsidRPr="007A7735">
        <w:rPr>
          <w:rFonts w:ascii="Times New Roman" w:hAnsi="Times New Roman"/>
        </w:rPr>
        <w:t>increase</w:t>
      </w:r>
      <w:r>
        <w:rPr>
          <w:rFonts w:ascii="Times New Roman" w:hAnsi="Times New Roman"/>
        </w:rPr>
        <w:t>s</w:t>
      </w:r>
      <w:r w:rsidRPr="007A7735">
        <w:rPr>
          <w:rFonts w:ascii="Times New Roman" w:hAnsi="Times New Roman"/>
        </w:rPr>
        <w:t xml:space="preserve"> in small refrigerated transport units as home delivery of fresh foods, food services </w:t>
      </w:r>
      <w:r>
        <w:rPr>
          <w:rFonts w:ascii="Times New Roman" w:hAnsi="Times New Roman"/>
        </w:rPr>
        <w:t xml:space="preserve">and catering </w:t>
      </w:r>
      <w:r w:rsidRPr="007A7735">
        <w:rPr>
          <w:rFonts w:ascii="Times New Roman" w:hAnsi="Times New Roman"/>
        </w:rPr>
        <w:t xml:space="preserve">businesses and prepared meals delivery business </w:t>
      </w:r>
      <w:r>
        <w:rPr>
          <w:rFonts w:ascii="Times New Roman" w:hAnsi="Times New Roman"/>
        </w:rPr>
        <w:t>continue to grow</w:t>
      </w:r>
      <w:r w:rsidRPr="007A7735">
        <w:rPr>
          <w:rFonts w:ascii="Times New Roman" w:hAnsi="Times New Roman"/>
        </w:rPr>
        <w:t>.</w:t>
      </w:r>
    </w:p>
    <w:p w14:paraId="0E8AE5C1" w14:textId="77777777" w:rsidR="00851ED3" w:rsidRDefault="00851ED3" w:rsidP="009A23AA">
      <w:pPr>
        <w:spacing w:before="0"/>
        <w:rPr>
          <w:b/>
          <w:szCs w:val="22"/>
        </w:rPr>
      </w:pPr>
    </w:p>
    <w:p w14:paraId="019CC774" w14:textId="32115CBB" w:rsidR="00851ED3" w:rsidRPr="008E638B" w:rsidRDefault="00851ED3" w:rsidP="009A23AA">
      <w:pPr>
        <w:pStyle w:val="Caption"/>
        <w:keepNext/>
        <w:rPr>
          <w:szCs w:val="22"/>
        </w:rPr>
      </w:pPr>
      <w:bookmarkStart w:id="55" w:name="_Toc19601362"/>
      <w:r w:rsidRPr="008E638B">
        <w:t xml:space="preserve">Table </w:t>
      </w:r>
      <w:r>
        <w:rPr>
          <w:noProof/>
        </w:rPr>
        <w:fldChar w:fldCharType="begin"/>
      </w:r>
      <w:r>
        <w:rPr>
          <w:noProof/>
        </w:rPr>
        <w:instrText xml:space="preserve"> SEQ Table \* ARABIC </w:instrText>
      </w:r>
      <w:r>
        <w:rPr>
          <w:noProof/>
        </w:rPr>
        <w:fldChar w:fldCharType="separate"/>
      </w:r>
      <w:r w:rsidR="001D0DA3">
        <w:rPr>
          <w:noProof/>
        </w:rPr>
        <w:t>10</w:t>
      </w:r>
      <w:r>
        <w:rPr>
          <w:noProof/>
        </w:rPr>
        <w:fldChar w:fldCharType="end"/>
      </w:r>
      <w:r w:rsidRPr="008E638B">
        <w:t xml:space="preserve">: </w:t>
      </w:r>
      <w:r w:rsidRPr="00856C63">
        <w:t>Refrigerated cold food chain</w:t>
      </w:r>
      <w:r w:rsidRPr="008E638B">
        <w:rPr>
          <w:szCs w:val="22"/>
        </w:rPr>
        <w:t xml:space="preserve"> main metrics: 201</w:t>
      </w:r>
      <w:r>
        <w:rPr>
          <w:szCs w:val="22"/>
        </w:rPr>
        <w:t>8</w:t>
      </w:r>
      <w:r w:rsidRPr="008E638B">
        <w:rPr>
          <w:szCs w:val="22"/>
        </w:rPr>
        <w:t>.</w:t>
      </w:r>
      <w:bookmarkEnd w:id="55"/>
    </w:p>
    <w:tbl>
      <w:tblPr>
        <w:tblStyle w:val="TableGrid"/>
        <w:tblW w:w="9498" w:type="dxa"/>
        <w:tblInd w:w="-5" w:type="dxa"/>
        <w:tblLook w:val="04A0" w:firstRow="1" w:lastRow="0" w:firstColumn="1" w:lastColumn="0" w:noHBand="0" w:noVBand="1"/>
      </w:tblPr>
      <w:tblGrid>
        <w:gridCol w:w="5529"/>
        <w:gridCol w:w="3969"/>
      </w:tblGrid>
      <w:tr w:rsidR="00851ED3" w14:paraId="4F4A196D" w14:textId="77777777" w:rsidTr="00ED641C">
        <w:trPr>
          <w:trHeight w:val="567"/>
        </w:trPr>
        <w:tc>
          <w:tcPr>
            <w:tcW w:w="5529" w:type="dxa"/>
            <w:shd w:val="clear" w:color="auto" w:fill="B6DDE8" w:themeFill="accent5" w:themeFillTint="66"/>
          </w:tcPr>
          <w:p w14:paraId="769C524D" w14:textId="77777777" w:rsidR="00851ED3" w:rsidRDefault="00851ED3" w:rsidP="009A23AA">
            <w:pPr>
              <w:spacing w:after="120"/>
              <w:rPr>
                <w:szCs w:val="22"/>
              </w:rPr>
            </w:pPr>
            <w:r>
              <w:rPr>
                <w:szCs w:val="22"/>
              </w:rPr>
              <w:t>Metric</w:t>
            </w:r>
          </w:p>
        </w:tc>
        <w:tc>
          <w:tcPr>
            <w:tcW w:w="3969" w:type="dxa"/>
            <w:shd w:val="clear" w:color="auto" w:fill="B6DDE8" w:themeFill="accent5" w:themeFillTint="66"/>
            <w:vAlign w:val="center"/>
          </w:tcPr>
          <w:p w14:paraId="660E57C5" w14:textId="77777777" w:rsidR="00851ED3" w:rsidRDefault="00851ED3" w:rsidP="006D1986">
            <w:pPr>
              <w:spacing w:after="120"/>
              <w:jc w:val="center"/>
              <w:rPr>
                <w:szCs w:val="22"/>
              </w:rPr>
            </w:pPr>
            <w:r>
              <w:rPr>
                <w:szCs w:val="22"/>
              </w:rPr>
              <w:t>2018</w:t>
            </w:r>
          </w:p>
        </w:tc>
      </w:tr>
      <w:tr w:rsidR="00851ED3" w14:paraId="47621394" w14:textId="77777777" w:rsidTr="004D43F9">
        <w:trPr>
          <w:trHeight w:val="567"/>
        </w:trPr>
        <w:tc>
          <w:tcPr>
            <w:tcW w:w="5529" w:type="dxa"/>
            <w:vAlign w:val="center"/>
          </w:tcPr>
          <w:p w14:paraId="68BE43E9" w14:textId="77777777" w:rsidR="00851ED3" w:rsidRPr="004D43F9" w:rsidRDefault="00851ED3" w:rsidP="009A23AA">
            <w:pPr>
              <w:spacing w:before="60" w:after="60"/>
            </w:pPr>
            <w:r w:rsidRPr="004D43F9">
              <w:rPr>
                <w:color w:val="000000"/>
              </w:rPr>
              <w:t>Share of refrigerant bank</w:t>
            </w:r>
          </w:p>
        </w:tc>
        <w:tc>
          <w:tcPr>
            <w:tcW w:w="3969" w:type="dxa"/>
            <w:vAlign w:val="center"/>
          </w:tcPr>
          <w:p w14:paraId="66402F43" w14:textId="199035A6" w:rsidR="00851ED3" w:rsidRPr="004D43F9" w:rsidRDefault="004D43F9" w:rsidP="006D1986">
            <w:pPr>
              <w:spacing w:before="60" w:after="60"/>
              <w:jc w:val="center"/>
            </w:pPr>
            <w:r w:rsidRPr="004D43F9">
              <w:t>13%</w:t>
            </w:r>
          </w:p>
        </w:tc>
      </w:tr>
      <w:tr w:rsidR="00851ED3" w14:paraId="0917BC5A" w14:textId="77777777" w:rsidTr="004D43F9">
        <w:trPr>
          <w:trHeight w:val="567"/>
        </w:trPr>
        <w:tc>
          <w:tcPr>
            <w:tcW w:w="5529" w:type="dxa"/>
            <w:vAlign w:val="center"/>
          </w:tcPr>
          <w:p w14:paraId="1895E05F" w14:textId="77777777" w:rsidR="00851ED3" w:rsidRPr="004D43F9" w:rsidRDefault="00851ED3" w:rsidP="009A23AA">
            <w:pPr>
              <w:spacing w:before="60" w:after="60"/>
            </w:pPr>
            <w:r w:rsidRPr="004D43F9">
              <w:rPr>
                <w:color w:val="000000"/>
              </w:rPr>
              <w:t>Size of high GWP refrigerant bank</w:t>
            </w:r>
          </w:p>
        </w:tc>
        <w:tc>
          <w:tcPr>
            <w:tcW w:w="3969" w:type="dxa"/>
            <w:vAlign w:val="center"/>
          </w:tcPr>
          <w:p w14:paraId="48CD5A8D" w14:textId="119A5B99" w:rsidR="00851ED3" w:rsidRPr="004D43F9" w:rsidRDefault="004D43F9" w:rsidP="006D1986">
            <w:pPr>
              <w:spacing w:before="60" w:after="60"/>
              <w:jc w:val="center"/>
            </w:pPr>
            <w:r w:rsidRPr="004D43F9">
              <w:t>7,100 tonnes</w:t>
            </w:r>
          </w:p>
        </w:tc>
      </w:tr>
      <w:tr w:rsidR="00851ED3" w14:paraId="07D8065B" w14:textId="77777777" w:rsidTr="004D43F9">
        <w:trPr>
          <w:trHeight w:val="567"/>
        </w:trPr>
        <w:tc>
          <w:tcPr>
            <w:tcW w:w="5529" w:type="dxa"/>
            <w:vAlign w:val="center"/>
          </w:tcPr>
          <w:p w14:paraId="6EA17619" w14:textId="11CC37F6" w:rsidR="00851ED3" w:rsidRPr="004D43F9" w:rsidRDefault="00851ED3" w:rsidP="009A23AA">
            <w:pPr>
              <w:spacing w:before="60" w:after="60"/>
            </w:pPr>
            <w:r w:rsidRPr="004D43F9">
              <w:rPr>
                <w:color w:val="000000"/>
              </w:rPr>
              <w:t xml:space="preserve">Annual </w:t>
            </w:r>
            <w:r w:rsidR="00501859">
              <w:rPr>
                <w:color w:val="000000"/>
              </w:rPr>
              <w:t xml:space="preserve">usage </w:t>
            </w:r>
            <w:r w:rsidRPr="004D43F9">
              <w:rPr>
                <w:color w:val="000000"/>
              </w:rPr>
              <w:t>of high GWP refrigerants</w:t>
            </w:r>
          </w:p>
        </w:tc>
        <w:tc>
          <w:tcPr>
            <w:tcW w:w="3969" w:type="dxa"/>
            <w:vAlign w:val="center"/>
          </w:tcPr>
          <w:p w14:paraId="433CA022" w14:textId="6CB53E29" w:rsidR="00851ED3" w:rsidRPr="004D43F9" w:rsidRDefault="007B0E26" w:rsidP="006D1986">
            <w:pPr>
              <w:spacing w:before="60" w:after="60"/>
              <w:jc w:val="center"/>
            </w:pPr>
            <w:r w:rsidRPr="007B0E26">
              <w:t>1,340</w:t>
            </w:r>
            <w:r w:rsidR="004D43F9" w:rsidRPr="007B0E26">
              <w:t xml:space="preserve"> tonnes</w:t>
            </w:r>
            <w:r w:rsidRPr="007B0E26">
              <w:t xml:space="preserve"> </w:t>
            </w:r>
            <w:r w:rsidRPr="007B0E26">
              <w:rPr>
                <w:vertAlign w:val="superscript"/>
              </w:rPr>
              <w:t>(</w:t>
            </w:r>
            <w:r w:rsidR="000724EB">
              <w:rPr>
                <w:vertAlign w:val="superscript"/>
              </w:rPr>
              <w:t>1</w:t>
            </w:r>
            <w:r w:rsidRPr="007B0E26">
              <w:rPr>
                <w:vertAlign w:val="superscript"/>
              </w:rPr>
              <w:t>)</w:t>
            </w:r>
          </w:p>
        </w:tc>
      </w:tr>
      <w:tr w:rsidR="00851ED3" w14:paraId="0CE55E86" w14:textId="77777777" w:rsidTr="004D43F9">
        <w:trPr>
          <w:trHeight w:val="567"/>
        </w:trPr>
        <w:tc>
          <w:tcPr>
            <w:tcW w:w="5529" w:type="dxa"/>
            <w:vAlign w:val="center"/>
          </w:tcPr>
          <w:p w14:paraId="057887E9" w14:textId="77777777" w:rsidR="00851ED3" w:rsidRPr="004D43F9" w:rsidRDefault="00851ED3" w:rsidP="009A23AA">
            <w:pPr>
              <w:spacing w:before="60" w:after="60"/>
            </w:pPr>
            <w:r w:rsidRPr="004D43F9">
              <w:rPr>
                <w:color w:val="000000"/>
              </w:rPr>
              <w:t>High GWP refrigerants in pre-charged equipment imports</w:t>
            </w:r>
          </w:p>
        </w:tc>
        <w:tc>
          <w:tcPr>
            <w:tcW w:w="3969" w:type="dxa"/>
            <w:vAlign w:val="center"/>
          </w:tcPr>
          <w:p w14:paraId="7C02A79E" w14:textId="54BEB1F2" w:rsidR="00851ED3" w:rsidRPr="004D43F9" w:rsidRDefault="007454B3" w:rsidP="006D1986">
            <w:pPr>
              <w:spacing w:before="60" w:after="60"/>
              <w:jc w:val="center"/>
            </w:pPr>
            <w:r>
              <w:t>61</w:t>
            </w:r>
            <w:r w:rsidR="004D43F9" w:rsidRPr="004D43F9">
              <w:t xml:space="preserve"> tonnes</w:t>
            </w:r>
          </w:p>
        </w:tc>
      </w:tr>
      <w:tr w:rsidR="00851ED3" w14:paraId="63E7DA68" w14:textId="77777777" w:rsidTr="004D43F9">
        <w:trPr>
          <w:trHeight w:val="567"/>
        </w:trPr>
        <w:tc>
          <w:tcPr>
            <w:tcW w:w="5529" w:type="dxa"/>
            <w:vAlign w:val="center"/>
          </w:tcPr>
          <w:p w14:paraId="5667F38D" w14:textId="77777777" w:rsidR="00851ED3" w:rsidRPr="004D43F9" w:rsidRDefault="00851ED3" w:rsidP="009A23AA">
            <w:pPr>
              <w:spacing w:before="60" w:after="60"/>
            </w:pPr>
            <w:r w:rsidRPr="004D43F9">
              <w:rPr>
                <w:color w:val="000000"/>
              </w:rPr>
              <w:t>Estimated stock of equipment</w:t>
            </w:r>
          </w:p>
        </w:tc>
        <w:tc>
          <w:tcPr>
            <w:tcW w:w="3969" w:type="dxa"/>
            <w:vAlign w:val="center"/>
          </w:tcPr>
          <w:p w14:paraId="6CF73CE4" w14:textId="2931D0FB" w:rsidR="00851ED3" w:rsidRPr="004D43F9" w:rsidRDefault="007454B3" w:rsidP="006D1986">
            <w:pPr>
              <w:spacing w:before="60" w:after="60"/>
              <w:jc w:val="center"/>
            </w:pPr>
            <w:r w:rsidRPr="007454B3">
              <w:t>1.7</w:t>
            </w:r>
            <w:r w:rsidR="00D32278" w:rsidRPr="007454B3">
              <w:t xml:space="preserve"> million devices</w:t>
            </w:r>
          </w:p>
        </w:tc>
      </w:tr>
      <w:tr w:rsidR="00851ED3" w14:paraId="5DCDB91E" w14:textId="77777777" w:rsidTr="004D43F9">
        <w:trPr>
          <w:trHeight w:val="567"/>
        </w:trPr>
        <w:tc>
          <w:tcPr>
            <w:tcW w:w="5529" w:type="dxa"/>
            <w:vAlign w:val="center"/>
          </w:tcPr>
          <w:p w14:paraId="0176A8DD" w14:textId="77777777" w:rsidR="00851ED3" w:rsidRPr="004D43F9" w:rsidRDefault="00851ED3" w:rsidP="009A23AA">
            <w:pPr>
              <w:spacing w:before="60" w:after="60"/>
            </w:pPr>
            <w:r w:rsidRPr="004D43F9">
              <w:rPr>
                <w:color w:val="000000"/>
              </w:rPr>
              <w:t>Annual electricity consumption</w:t>
            </w:r>
          </w:p>
        </w:tc>
        <w:tc>
          <w:tcPr>
            <w:tcW w:w="3969" w:type="dxa"/>
            <w:vAlign w:val="center"/>
          </w:tcPr>
          <w:p w14:paraId="4038CAED" w14:textId="77E62011" w:rsidR="00851ED3" w:rsidRPr="004D43F9" w:rsidRDefault="00D32278" w:rsidP="006D1986">
            <w:pPr>
              <w:spacing w:before="60" w:after="60"/>
              <w:jc w:val="center"/>
            </w:pPr>
            <w:r>
              <w:t xml:space="preserve">19,600 </w:t>
            </w:r>
            <w:proofErr w:type="spellStart"/>
            <w:r>
              <w:t>GWh</w:t>
            </w:r>
            <w:proofErr w:type="spellEnd"/>
          </w:p>
        </w:tc>
      </w:tr>
      <w:tr w:rsidR="00851ED3" w14:paraId="17EA421C" w14:textId="77777777" w:rsidTr="004D43F9">
        <w:trPr>
          <w:trHeight w:val="567"/>
        </w:trPr>
        <w:tc>
          <w:tcPr>
            <w:tcW w:w="5529" w:type="dxa"/>
            <w:vAlign w:val="center"/>
          </w:tcPr>
          <w:p w14:paraId="3843A318" w14:textId="404716EC" w:rsidR="00851ED3" w:rsidRPr="004D43F9" w:rsidRDefault="00851ED3" w:rsidP="009A23AA">
            <w:pPr>
              <w:spacing w:before="60" w:after="60"/>
            </w:pPr>
            <w:r w:rsidRPr="004D43F9">
              <w:rPr>
                <w:color w:val="000000"/>
              </w:rPr>
              <w:t>Share of HVAC&amp;R electric</w:t>
            </w:r>
            <w:r w:rsidR="000724EB">
              <w:rPr>
                <w:color w:val="000000"/>
              </w:rPr>
              <w:t xml:space="preserve">ity </w:t>
            </w:r>
            <w:r w:rsidRPr="004D43F9">
              <w:rPr>
                <w:color w:val="000000"/>
              </w:rPr>
              <w:t>consumption</w:t>
            </w:r>
          </w:p>
        </w:tc>
        <w:tc>
          <w:tcPr>
            <w:tcW w:w="3969" w:type="dxa"/>
            <w:vAlign w:val="center"/>
          </w:tcPr>
          <w:p w14:paraId="15D4987A" w14:textId="514F833B" w:rsidR="00851ED3" w:rsidRPr="004D43F9" w:rsidRDefault="00D32278" w:rsidP="006D1986">
            <w:pPr>
              <w:spacing w:before="60" w:after="60"/>
              <w:jc w:val="center"/>
            </w:pPr>
            <w:r>
              <w:t>31%</w:t>
            </w:r>
          </w:p>
        </w:tc>
      </w:tr>
      <w:tr w:rsidR="00851ED3" w14:paraId="7D4B754F" w14:textId="77777777" w:rsidTr="004D43F9">
        <w:trPr>
          <w:trHeight w:val="567"/>
        </w:trPr>
        <w:tc>
          <w:tcPr>
            <w:tcW w:w="5529" w:type="dxa"/>
            <w:vAlign w:val="center"/>
          </w:tcPr>
          <w:p w14:paraId="10F6F215" w14:textId="77777777" w:rsidR="00851ED3" w:rsidRPr="00D32278" w:rsidRDefault="00851ED3" w:rsidP="009A23AA">
            <w:pPr>
              <w:spacing w:before="60" w:after="60"/>
              <w:rPr>
                <w:color w:val="000000" w:themeColor="text1"/>
              </w:rPr>
            </w:pPr>
            <w:r w:rsidRPr="00D32278">
              <w:rPr>
                <w:color w:val="000000" w:themeColor="text1"/>
              </w:rPr>
              <w:t>Annual GHG indirect emissions</w:t>
            </w:r>
          </w:p>
        </w:tc>
        <w:tc>
          <w:tcPr>
            <w:tcW w:w="3969" w:type="dxa"/>
            <w:vAlign w:val="center"/>
          </w:tcPr>
          <w:p w14:paraId="6CB1D529" w14:textId="4E63FB71" w:rsidR="00851ED3" w:rsidRPr="00D32278" w:rsidRDefault="007454B3" w:rsidP="006D1986">
            <w:pPr>
              <w:spacing w:before="60" w:after="60"/>
              <w:jc w:val="center"/>
              <w:rPr>
                <w:color w:val="000000" w:themeColor="text1"/>
              </w:rPr>
            </w:pPr>
            <w:r>
              <w:rPr>
                <w:color w:val="000000" w:themeColor="text1"/>
              </w:rPr>
              <w:t>15.93</w:t>
            </w:r>
            <w:r w:rsidR="00D32278" w:rsidRPr="00D32278">
              <w:rPr>
                <w:color w:val="000000" w:themeColor="text1"/>
              </w:rPr>
              <w:t xml:space="preserve"> Mt CO</w:t>
            </w:r>
            <w:r w:rsidR="00D32278" w:rsidRPr="00D32278">
              <w:rPr>
                <w:color w:val="000000" w:themeColor="text1"/>
                <w:vertAlign w:val="subscript"/>
              </w:rPr>
              <w:t>2</w:t>
            </w:r>
            <w:r w:rsidR="00D32278" w:rsidRPr="00D32278">
              <w:rPr>
                <w:color w:val="000000" w:themeColor="text1"/>
              </w:rPr>
              <w:t>e</w:t>
            </w:r>
          </w:p>
        </w:tc>
      </w:tr>
      <w:tr w:rsidR="00FA2EEE" w14:paraId="00F2554A" w14:textId="77777777" w:rsidTr="004D43F9">
        <w:trPr>
          <w:trHeight w:val="567"/>
        </w:trPr>
        <w:tc>
          <w:tcPr>
            <w:tcW w:w="5529" w:type="dxa"/>
            <w:vAlign w:val="center"/>
          </w:tcPr>
          <w:p w14:paraId="2C7DEF14" w14:textId="4CCA42D6" w:rsidR="00FA2EEE" w:rsidRPr="004D43F9" w:rsidRDefault="00FA2EEE" w:rsidP="009A23AA">
            <w:pPr>
              <w:spacing w:before="60" w:after="60"/>
              <w:rPr>
                <w:color w:val="00B0F0"/>
              </w:rPr>
            </w:pPr>
            <w:r w:rsidRPr="00DE413D">
              <w:rPr>
                <w:color w:val="000000"/>
                <w:szCs w:val="22"/>
              </w:rPr>
              <w:t>Share of HVAC&amp;R indirect emissions</w:t>
            </w:r>
          </w:p>
        </w:tc>
        <w:tc>
          <w:tcPr>
            <w:tcW w:w="3969" w:type="dxa"/>
            <w:vAlign w:val="center"/>
          </w:tcPr>
          <w:p w14:paraId="76499BFE" w14:textId="65ABA3A0" w:rsidR="00FA2EEE" w:rsidRPr="00D32278" w:rsidRDefault="00FA2EEE" w:rsidP="006D1986">
            <w:pPr>
              <w:spacing w:before="60" w:after="60"/>
              <w:jc w:val="center"/>
              <w:rPr>
                <w:color w:val="000000" w:themeColor="text1"/>
              </w:rPr>
            </w:pPr>
            <w:r>
              <w:rPr>
                <w:color w:val="000000" w:themeColor="text1"/>
              </w:rPr>
              <w:t>29%</w:t>
            </w:r>
          </w:p>
        </w:tc>
      </w:tr>
      <w:tr w:rsidR="00FA2EEE" w14:paraId="07887E6F" w14:textId="77777777" w:rsidTr="004D43F9">
        <w:trPr>
          <w:trHeight w:val="567"/>
        </w:trPr>
        <w:tc>
          <w:tcPr>
            <w:tcW w:w="5529" w:type="dxa"/>
            <w:vAlign w:val="center"/>
          </w:tcPr>
          <w:p w14:paraId="52E05BCC" w14:textId="677DDD9C" w:rsidR="00FA2EEE" w:rsidRPr="004D43F9" w:rsidRDefault="00FA2EEE" w:rsidP="009A23AA">
            <w:pPr>
              <w:spacing w:before="60" w:after="60"/>
              <w:rPr>
                <w:color w:val="00B0F0"/>
              </w:rPr>
            </w:pPr>
            <w:r w:rsidRPr="00DE413D">
              <w:rPr>
                <w:color w:val="000000"/>
                <w:szCs w:val="22"/>
              </w:rPr>
              <w:t>Annual GHG direct emissions (ODS)</w:t>
            </w:r>
          </w:p>
        </w:tc>
        <w:tc>
          <w:tcPr>
            <w:tcW w:w="3969" w:type="dxa"/>
            <w:vAlign w:val="center"/>
          </w:tcPr>
          <w:p w14:paraId="042E83F2" w14:textId="00476356" w:rsidR="00FA2EEE" w:rsidRPr="00FA2EEE" w:rsidRDefault="00FA2EEE" w:rsidP="006D1986">
            <w:pPr>
              <w:spacing w:before="60" w:after="60"/>
              <w:jc w:val="center"/>
              <w:rPr>
                <w:color w:val="00B0F0"/>
                <w:highlight w:val="yellow"/>
              </w:rPr>
            </w:pPr>
            <w:r w:rsidRPr="00FA2EEE">
              <w:rPr>
                <w:color w:val="000000"/>
                <w:szCs w:val="22"/>
              </w:rPr>
              <w:t>0.01 Mt CO</w:t>
            </w:r>
            <w:r w:rsidRPr="00FA2EEE">
              <w:rPr>
                <w:color w:val="000000"/>
                <w:szCs w:val="22"/>
                <w:vertAlign w:val="subscript"/>
              </w:rPr>
              <w:t>2</w:t>
            </w:r>
            <w:r w:rsidRPr="00FA2EEE">
              <w:rPr>
                <w:color w:val="000000"/>
                <w:szCs w:val="22"/>
              </w:rPr>
              <w:t>e</w:t>
            </w:r>
            <w:r w:rsidR="000724EB">
              <w:rPr>
                <w:color w:val="000000"/>
                <w:szCs w:val="22"/>
              </w:rPr>
              <w:t xml:space="preserve"> </w:t>
            </w:r>
            <w:r w:rsidR="000724EB" w:rsidRPr="00DE413D">
              <w:rPr>
                <w:color w:val="000000"/>
                <w:szCs w:val="22"/>
                <w:vertAlign w:val="superscript"/>
              </w:rPr>
              <w:t>(</w:t>
            </w:r>
            <w:r w:rsidR="000724EB">
              <w:rPr>
                <w:color w:val="000000"/>
                <w:szCs w:val="22"/>
                <w:vertAlign w:val="superscript"/>
              </w:rPr>
              <w:t>2</w:t>
            </w:r>
            <w:r w:rsidR="000724EB" w:rsidRPr="00DE413D">
              <w:rPr>
                <w:color w:val="000000"/>
                <w:szCs w:val="22"/>
                <w:vertAlign w:val="superscript"/>
              </w:rPr>
              <w:t>)</w:t>
            </w:r>
          </w:p>
        </w:tc>
      </w:tr>
      <w:tr w:rsidR="00FA2EEE" w14:paraId="30979F5D" w14:textId="77777777" w:rsidTr="004D43F9">
        <w:trPr>
          <w:trHeight w:val="567"/>
        </w:trPr>
        <w:tc>
          <w:tcPr>
            <w:tcW w:w="5529" w:type="dxa"/>
            <w:vAlign w:val="center"/>
          </w:tcPr>
          <w:p w14:paraId="6A715FBA" w14:textId="446CFECC" w:rsidR="00FA2EEE" w:rsidRPr="004D43F9" w:rsidRDefault="00FA2EEE" w:rsidP="009A23AA">
            <w:pPr>
              <w:spacing w:before="60" w:after="60"/>
              <w:rPr>
                <w:color w:val="00B0F0"/>
              </w:rPr>
            </w:pPr>
            <w:r w:rsidRPr="00DE413D">
              <w:rPr>
                <w:color w:val="000000"/>
                <w:szCs w:val="22"/>
              </w:rPr>
              <w:t>Annual GHG direct emissions (SGG)</w:t>
            </w:r>
          </w:p>
        </w:tc>
        <w:tc>
          <w:tcPr>
            <w:tcW w:w="3969" w:type="dxa"/>
            <w:vAlign w:val="center"/>
          </w:tcPr>
          <w:p w14:paraId="1A725E48" w14:textId="2043B805" w:rsidR="00FA2EEE" w:rsidRPr="00FA2EEE" w:rsidRDefault="00FA2EEE" w:rsidP="006D1986">
            <w:pPr>
              <w:spacing w:before="60" w:after="60"/>
              <w:jc w:val="center"/>
              <w:rPr>
                <w:color w:val="00B0F0"/>
                <w:highlight w:val="yellow"/>
              </w:rPr>
            </w:pPr>
            <w:r w:rsidRPr="00FA2EEE">
              <w:rPr>
                <w:color w:val="000000"/>
                <w:szCs w:val="22"/>
              </w:rPr>
              <w:t>2.99 Mt CO</w:t>
            </w:r>
            <w:r w:rsidRPr="00FA2EEE">
              <w:rPr>
                <w:color w:val="000000"/>
                <w:szCs w:val="22"/>
                <w:vertAlign w:val="subscript"/>
              </w:rPr>
              <w:t>2</w:t>
            </w:r>
            <w:r w:rsidRPr="00FA2EEE">
              <w:rPr>
                <w:color w:val="000000"/>
                <w:szCs w:val="22"/>
              </w:rPr>
              <w:t>e</w:t>
            </w:r>
          </w:p>
        </w:tc>
      </w:tr>
      <w:tr w:rsidR="00FA2EEE" w14:paraId="7903685C" w14:textId="77777777" w:rsidTr="004D43F9">
        <w:trPr>
          <w:trHeight w:val="567"/>
        </w:trPr>
        <w:tc>
          <w:tcPr>
            <w:tcW w:w="5529" w:type="dxa"/>
            <w:vAlign w:val="center"/>
          </w:tcPr>
          <w:p w14:paraId="1A671F8D" w14:textId="77777777" w:rsidR="00FA2EEE" w:rsidRPr="00FA2EEE" w:rsidRDefault="00FA2EEE" w:rsidP="009A23AA">
            <w:pPr>
              <w:spacing w:before="60" w:after="60"/>
              <w:rPr>
                <w:color w:val="000000" w:themeColor="text1"/>
              </w:rPr>
            </w:pPr>
            <w:r w:rsidRPr="00FA2EEE">
              <w:rPr>
                <w:color w:val="000000" w:themeColor="text1"/>
              </w:rPr>
              <w:t>Share of HVAC&amp;R direct emissions</w:t>
            </w:r>
          </w:p>
        </w:tc>
        <w:tc>
          <w:tcPr>
            <w:tcW w:w="3969" w:type="dxa"/>
            <w:vAlign w:val="center"/>
          </w:tcPr>
          <w:p w14:paraId="013212AF" w14:textId="241D1E04" w:rsidR="00FA2EEE" w:rsidRPr="004D43F9" w:rsidRDefault="00FA2EEE" w:rsidP="006D1986">
            <w:pPr>
              <w:spacing w:before="60" w:after="60"/>
              <w:jc w:val="center"/>
              <w:rPr>
                <w:color w:val="00B0F0"/>
              </w:rPr>
            </w:pPr>
            <w:r w:rsidRPr="00DE413D">
              <w:rPr>
                <w:szCs w:val="22"/>
              </w:rPr>
              <w:t>4</w:t>
            </w:r>
            <w:r>
              <w:rPr>
                <w:szCs w:val="22"/>
              </w:rPr>
              <w:t>6</w:t>
            </w:r>
            <w:r w:rsidRPr="00DE413D">
              <w:rPr>
                <w:szCs w:val="22"/>
              </w:rPr>
              <w:t>%</w:t>
            </w:r>
          </w:p>
        </w:tc>
      </w:tr>
      <w:tr w:rsidR="00FA2EEE" w14:paraId="1F44FB33" w14:textId="77777777" w:rsidTr="004D43F9">
        <w:trPr>
          <w:trHeight w:val="567"/>
        </w:trPr>
        <w:tc>
          <w:tcPr>
            <w:tcW w:w="5529" w:type="dxa"/>
            <w:vAlign w:val="center"/>
          </w:tcPr>
          <w:p w14:paraId="12C798BF" w14:textId="77777777" w:rsidR="00FA2EEE" w:rsidRPr="00FA2EEE" w:rsidRDefault="00FA2EEE" w:rsidP="009A23AA">
            <w:pPr>
              <w:spacing w:before="60" w:after="60"/>
              <w:rPr>
                <w:color w:val="000000" w:themeColor="text1"/>
              </w:rPr>
            </w:pPr>
            <w:r w:rsidRPr="00FA2EEE">
              <w:rPr>
                <w:color w:val="000000" w:themeColor="text1"/>
              </w:rPr>
              <w:t>Share of HVAC&amp;R total emissions (direct and indirect, not incl. EOL)</w:t>
            </w:r>
          </w:p>
        </w:tc>
        <w:tc>
          <w:tcPr>
            <w:tcW w:w="3969" w:type="dxa"/>
            <w:vAlign w:val="center"/>
          </w:tcPr>
          <w:p w14:paraId="0E3B980E" w14:textId="2430078F" w:rsidR="00FA2EEE" w:rsidRPr="004D43F9" w:rsidRDefault="00FA2EEE" w:rsidP="006D1986">
            <w:pPr>
              <w:spacing w:before="60" w:after="60"/>
              <w:jc w:val="center"/>
              <w:rPr>
                <w:color w:val="00B0F0"/>
              </w:rPr>
            </w:pPr>
            <w:r w:rsidRPr="00DE413D">
              <w:rPr>
                <w:szCs w:val="22"/>
              </w:rPr>
              <w:t>31%</w:t>
            </w:r>
          </w:p>
        </w:tc>
      </w:tr>
    </w:tbl>
    <w:p w14:paraId="72DED17B" w14:textId="77777777" w:rsidR="007B0E26" w:rsidRPr="00116557" w:rsidRDefault="007B0E26" w:rsidP="007B0E26">
      <w:pPr>
        <w:spacing w:before="0"/>
        <w:rPr>
          <w:sz w:val="20"/>
          <w:szCs w:val="20"/>
        </w:rPr>
      </w:pPr>
      <w:r w:rsidRPr="007E7E2A">
        <w:rPr>
          <w:sz w:val="20"/>
          <w:szCs w:val="20"/>
        </w:rPr>
        <w:t xml:space="preserve">(Sources: AACS 2018, AMSA 2019, </w:t>
      </w:r>
      <w:proofErr w:type="spellStart"/>
      <w:r w:rsidRPr="007E7E2A">
        <w:rPr>
          <w:sz w:val="20"/>
          <w:szCs w:val="20"/>
        </w:rPr>
        <w:t>DoEE</w:t>
      </w:r>
      <w:proofErr w:type="spellEnd"/>
      <w:r w:rsidRPr="007E7E2A">
        <w:rPr>
          <w:sz w:val="20"/>
          <w:szCs w:val="20"/>
        </w:rPr>
        <w:t xml:space="preserve"> 2019a, </w:t>
      </w:r>
      <w:proofErr w:type="spellStart"/>
      <w:r w:rsidRPr="007E7E2A">
        <w:rPr>
          <w:sz w:val="20"/>
          <w:szCs w:val="20"/>
        </w:rPr>
        <w:t>DoEE</w:t>
      </w:r>
      <w:proofErr w:type="spellEnd"/>
      <w:r w:rsidRPr="007E7E2A">
        <w:rPr>
          <w:sz w:val="20"/>
          <w:szCs w:val="20"/>
        </w:rPr>
        <w:t xml:space="preserve"> 2013, </w:t>
      </w:r>
      <w:r w:rsidRPr="006A3F7C">
        <w:rPr>
          <w:sz w:val="20"/>
          <w:szCs w:val="20"/>
        </w:rPr>
        <w:t>MC 2018, CG 2019, WOW 2019a, WOW 2017b, and industry informants)</w:t>
      </w:r>
    </w:p>
    <w:p w14:paraId="4483A911" w14:textId="77777777" w:rsidR="00851ED3" w:rsidRPr="00FB55D1" w:rsidRDefault="00851ED3" w:rsidP="009A23AA">
      <w:pPr>
        <w:snapToGrid w:val="0"/>
        <w:spacing w:before="60"/>
        <w:rPr>
          <w:rFonts w:cs="Times New Roman"/>
          <w:sz w:val="20"/>
          <w:szCs w:val="20"/>
        </w:rPr>
      </w:pPr>
      <w:r w:rsidRPr="00FB55D1">
        <w:rPr>
          <w:rFonts w:cs="Times New Roman"/>
          <w:sz w:val="20"/>
          <w:szCs w:val="20"/>
        </w:rPr>
        <w:t>Notes:</w:t>
      </w:r>
    </w:p>
    <w:p w14:paraId="0DEAD4AA" w14:textId="64A59493" w:rsidR="007B0E26" w:rsidRDefault="00501859" w:rsidP="007B0E26">
      <w:pPr>
        <w:pStyle w:val="ListParagraph"/>
        <w:numPr>
          <w:ilvl w:val="0"/>
          <w:numId w:val="31"/>
        </w:numPr>
        <w:spacing w:before="60" w:after="60" w:line="240" w:lineRule="auto"/>
        <w:contextualSpacing w:val="0"/>
        <w:jc w:val="both"/>
        <w:rPr>
          <w:rFonts w:ascii="Times New Roman" w:hAnsi="Times New Roman"/>
          <w:sz w:val="20"/>
          <w:szCs w:val="20"/>
        </w:rPr>
      </w:pPr>
      <w:r w:rsidRPr="00501859">
        <w:rPr>
          <w:rFonts w:ascii="Times New Roman" w:hAnsi="Times New Roman"/>
          <w:sz w:val="20"/>
          <w:szCs w:val="20"/>
        </w:rPr>
        <w:t xml:space="preserve">Annual usage of high GWP refrigerants </w:t>
      </w:r>
      <w:r>
        <w:rPr>
          <w:rFonts w:ascii="Times New Roman" w:hAnsi="Times New Roman"/>
          <w:sz w:val="20"/>
          <w:szCs w:val="20"/>
        </w:rPr>
        <w:t xml:space="preserve">includes </w:t>
      </w:r>
      <w:r w:rsidRPr="00501859">
        <w:rPr>
          <w:rFonts w:ascii="Times New Roman" w:hAnsi="Times New Roman"/>
          <w:sz w:val="20"/>
          <w:szCs w:val="20"/>
        </w:rPr>
        <w:t>charg</w:t>
      </w:r>
      <w:r>
        <w:rPr>
          <w:rFonts w:ascii="Times New Roman" w:hAnsi="Times New Roman"/>
          <w:sz w:val="20"/>
          <w:szCs w:val="20"/>
        </w:rPr>
        <w:t xml:space="preserve">ing </w:t>
      </w:r>
      <w:r w:rsidRPr="00501859">
        <w:rPr>
          <w:rFonts w:ascii="Times New Roman" w:hAnsi="Times New Roman"/>
          <w:sz w:val="20"/>
          <w:szCs w:val="20"/>
        </w:rPr>
        <w:t>new equipment</w:t>
      </w:r>
      <w:r>
        <w:rPr>
          <w:rFonts w:ascii="Times New Roman" w:hAnsi="Times New Roman"/>
          <w:sz w:val="20"/>
          <w:szCs w:val="20"/>
        </w:rPr>
        <w:t xml:space="preserve">, </w:t>
      </w:r>
      <w:r w:rsidRPr="00501859">
        <w:rPr>
          <w:rFonts w:ascii="Times New Roman" w:hAnsi="Times New Roman"/>
          <w:sz w:val="20"/>
          <w:szCs w:val="20"/>
        </w:rPr>
        <w:t>replac</w:t>
      </w:r>
      <w:r>
        <w:rPr>
          <w:rFonts w:ascii="Times New Roman" w:hAnsi="Times New Roman"/>
          <w:sz w:val="20"/>
          <w:szCs w:val="20"/>
        </w:rPr>
        <w:t>ing</w:t>
      </w:r>
      <w:r w:rsidRPr="00501859">
        <w:rPr>
          <w:rFonts w:ascii="Times New Roman" w:hAnsi="Times New Roman"/>
          <w:sz w:val="20"/>
          <w:szCs w:val="20"/>
        </w:rPr>
        <w:t xml:space="preserve"> leaked refrigerant</w:t>
      </w:r>
      <w:r>
        <w:rPr>
          <w:rFonts w:ascii="Times New Roman" w:hAnsi="Times New Roman"/>
          <w:sz w:val="20"/>
          <w:szCs w:val="20"/>
        </w:rPr>
        <w:t xml:space="preserve"> and repairs</w:t>
      </w:r>
      <w:r w:rsidRPr="00501859">
        <w:rPr>
          <w:rFonts w:ascii="Times New Roman" w:hAnsi="Times New Roman"/>
          <w:sz w:val="20"/>
          <w:szCs w:val="20"/>
        </w:rPr>
        <w:t>.</w:t>
      </w:r>
    </w:p>
    <w:p w14:paraId="57C2C6C9" w14:textId="77777777" w:rsidR="000724EB" w:rsidRDefault="000724EB" w:rsidP="000724EB">
      <w:pPr>
        <w:pStyle w:val="ListParagraph"/>
        <w:numPr>
          <w:ilvl w:val="0"/>
          <w:numId w:val="31"/>
        </w:numPr>
        <w:spacing w:before="60" w:after="60" w:line="240" w:lineRule="auto"/>
        <w:contextualSpacing w:val="0"/>
        <w:jc w:val="both"/>
        <w:rPr>
          <w:rFonts w:ascii="Times New Roman" w:hAnsi="Times New Roman"/>
          <w:sz w:val="20"/>
          <w:szCs w:val="20"/>
        </w:rPr>
      </w:pPr>
      <w:r>
        <w:rPr>
          <w:rFonts w:ascii="Times New Roman" w:hAnsi="Times New Roman"/>
          <w:sz w:val="20"/>
          <w:szCs w:val="20"/>
        </w:rPr>
        <w:t xml:space="preserve">Emissions of ODS </w:t>
      </w:r>
      <w:r w:rsidRPr="000045FC">
        <w:rPr>
          <w:rFonts w:ascii="Times New Roman" w:hAnsi="Times New Roman"/>
          <w:sz w:val="20"/>
          <w:szCs w:val="20"/>
        </w:rPr>
        <w:t xml:space="preserve">are not counted as part of the GHGs reported under the Kyoto Protocol </w:t>
      </w:r>
      <w:r>
        <w:rPr>
          <w:rFonts w:ascii="Times New Roman" w:hAnsi="Times New Roman"/>
          <w:sz w:val="20"/>
          <w:szCs w:val="20"/>
        </w:rPr>
        <w:t xml:space="preserve">of the </w:t>
      </w:r>
      <w:r w:rsidRPr="000045FC">
        <w:rPr>
          <w:rFonts w:ascii="Times New Roman" w:hAnsi="Times New Roman"/>
          <w:sz w:val="20"/>
          <w:szCs w:val="20"/>
        </w:rPr>
        <w:t xml:space="preserve">United Nations </w:t>
      </w:r>
      <w:r>
        <w:rPr>
          <w:rFonts w:ascii="Times New Roman" w:hAnsi="Times New Roman"/>
          <w:sz w:val="20"/>
          <w:szCs w:val="20"/>
        </w:rPr>
        <w:t xml:space="preserve">Framework </w:t>
      </w:r>
      <w:r w:rsidRPr="000045FC">
        <w:rPr>
          <w:rFonts w:ascii="Times New Roman" w:hAnsi="Times New Roman"/>
          <w:sz w:val="20"/>
          <w:szCs w:val="20"/>
        </w:rPr>
        <w:t>Convention on Climate Change, as they managed through the Montreal Protocol.</w:t>
      </w:r>
    </w:p>
    <w:p w14:paraId="3F41BB7F" w14:textId="77777777" w:rsidR="000724EB" w:rsidRPr="000724EB" w:rsidRDefault="000724EB" w:rsidP="000724EB">
      <w:pPr>
        <w:spacing w:before="60" w:after="60"/>
        <w:rPr>
          <w:sz w:val="20"/>
          <w:szCs w:val="20"/>
        </w:rPr>
      </w:pPr>
    </w:p>
    <w:p w14:paraId="74FFEE41" w14:textId="1ECAD2B7" w:rsidR="00851ED3" w:rsidRPr="007B0E26" w:rsidRDefault="00851ED3" w:rsidP="007B0E26">
      <w:pPr>
        <w:pStyle w:val="ListParagraph"/>
        <w:numPr>
          <w:ilvl w:val="0"/>
          <w:numId w:val="31"/>
        </w:numPr>
        <w:spacing w:before="60" w:after="60" w:line="240" w:lineRule="auto"/>
        <w:contextualSpacing w:val="0"/>
        <w:jc w:val="both"/>
        <w:rPr>
          <w:rFonts w:ascii="Times New Roman" w:hAnsi="Times New Roman"/>
          <w:sz w:val="20"/>
          <w:szCs w:val="20"/>
        </w:rPr>
      </w:pPr>
      <w:r w:rsidRPr="007B0E26">
        <w:rPr>
          <w:b/>
        </w:rPr>
        <w:br w:type="page"/>
      </w:r>
    </w:p>
    <w:p w14:paraId="19643791" w14:textId="77777777" w:rsidR="00851ED3" w:rsidRPr="00D3640E" w:rsidRDefault="00851ED3" w:rsidP="009A23AA">
      <w:pPr>
        <w:spacing w:before="240"/>
        <w:rPr>
          <w:b/>
          <w:szCs w:val="22"/>
        </w:rPr>
      </w:pPr>
      <w:r w:rsidRPr="00D3640E">
        <w:rPr>
          <w:b/>
          <w:szCs w:val="22"/>
        </w:rPr>
        <w:t xml:space="preserve">Leak </w:t>
      </w:r>
      <w:r>
        <w:rPr>
          <w:b/>
          <w:szCs w:val="22"/>
        </w:rPr>
        <w:t>r</w:t>
      </w:r>
      <w:r w:rsidRPr="00D3640E">
        <w:rPr>
          <w:b/>
          <w:szCs w:val="22"/>
        </w:rPr>
        <w:t xml:space="preserve">ates </w:t>
      </w:r>
      <w:r>
        <w:rPr>
          <w:b/>
          <w:szCs w:val="22"/>
        </w:rPr>
        <w:t>s</w:t>
      </w:r>
      <w:r w:rsidRPr="00D3640E">
        <w:rPr>
          <w:b/>
          <w:szCs w:val="22"/>
        </w:rPr>
        <w:t xml:space="preserve">lashed in </w:t>
      </w:r>
      <w:r>
        <w:rPr>
          <w:b/>
          <w:szCs w:val="22"/>
        </w:rPr>
        <w:t>s</w:t>
      </w:r>
      <w:r w:rsidRPr="00D3640E">
        <w:rPr>
          <w:b/>
          <w:szCs w:val="22"/>
        </w:rPr>
        <w:t>upermarkets</w:t>
      </w:r>
    </w:p>
    <w:p w14:paraId="34B46435" w14:textId="77777777" w:rsidR="00851ED3" w:rsidRDefault="00851ED3" w:rsidP="009A23AA">
      <w:pPr>
        <w:rPr>
          <w:szCs w:val="22"/>
        </w:rPr>
      </w:pPr>
      <w:r w:rsidRPr="008E5EFC">
        <w:rPr>
          <w:szCs w:val="22"/>
        </w:rPr>
        <w:t>Machinery in the cold food chain</w:t>
      </w:r>
      <w:r>
        <w:rPr>
          <w:szCs w:val="22"/>
        </w:rPr>
        <w:t xml:space="preserve"> is</w:t>
      </w:r>
      <w:r w:rsidRPr="008E5EFC">
        <w:rPr>
          <w:szCs w:val="22"/>
        </w:rPr>
        <w:t xml:space="preserve"> generally very hard working and operates the majority of the day, if not 24 hours a day</w:t>
      </w:r>
      <w:r>
        <w:rPr>
          <w:szCs w:val="22"/>
        </w:rPr>
        <w:t xml:space="preserve">. Generally, </w:t>
      </w:r>
      <w:r w:rsidRPr="008E5EFC">
        <w:rPr>
          <w:szCs w:val="22"/>
        </w:rPr>
        <w:t xml:space="preserve">much lower temperatures need to be attained and maintained than in any air conditioning applications.  </w:t>
      </w:r>
    </w:p>
    <w:p w14:paraId="07751761" w14:textId="0F6433A4" w:rsidR="00851ED3" w:rsidRDefault="00851ED3" w:rsidP="009A23AA">
      <w:pPr>
        <w:rPr>
          <w:szCs w:val="22"/>
        </w:rPr>
      </w:pPr>
      <w:r>
        <w:rPr>
          <w:szCs w:val="22"/>
        </w:rPr>
        <w:t xml:space="preserve">At the time that CHF1 was published in 2006 the larger players in the industry were acknowledging that leak rates were unacceptably high in this sector and concerted programs at improved containment had commenced. </w:t>
      </w:r>
      <w:r w:rsidR="004D1836">
        <w:rPr>
          <w:szCs w:val="22"/>
        </w:rPr>
        <w:t>B</w:t>
      </w:r>
      <w:r>
        <w:rPr>
          <w:szCs w:val="22"/>
        </w:rPr>
        <w:t>y 2011</w:t>
      </w:r>
      <w:r w:rsidR="004D1836">
        <w:rPr>
          <w:szCs w:val="22"/>
        </w:rPr>
        <w:t>,</w:t>
      </w:r>
      <w:r>
        <w:rPr>
          <w:szCs w:val="22"/>
        </w:rPr>
        <w:t xml:space="preserve"> with the imminent imposition of the carbon tax, all of the large participants in the cold food chain had launched wide ranging programs </w:t>
      </w:r>
      <w:r w:rsidRPr="00232FD5">
        <w:rPr>
          <w:szCs w:val="22"/>
        </w:rPr>
        <w:t>focus</w:t>
      </w:r>
      <w:r>
        <w:rPr>
          <w:szCs w:val="22"/>
        </w:rPr>
        <w:t>sed</w:t>
      </w:r>
      <w:r w:rsidRPr="00232FD5">
        <w:rPr>
          <w:szCs w:val="22"/>
        </w:rPr>
        <w:t xml:space="preserve"> on </w:t>
      </w:r>
      <w:r>
        <w:rPr>
          <w:szCs w:val="22"/>
        </w:rPr>
        <w:t>a transition to alternative systems and refrigerants, and life cycle refrigerant</w:t>
      </w:r>
      <w:r w:rsidRPr="00232FD5">
        <w:rPr>
          <w:szCs w:val="22"/>
        </w:rPr>
        <w:t xml:space="preserve"> containment</w:t>
      </w:r>
      <w:r>
        <w:rPr>
          <w:szCs w:val="22"/>
        </w:rPr>
        <w:t>, generally</w:t>
      </w:r>
      <w:r w:rsidRPr="00232FD5">
        <w:rPr>
          <w:szCs w:val="22"/>
        </w:rPr>
        <w:t xml:space="preserve"> </w:t>
      </w:r>
      <w:r>
        <w:rPr>
          <w:szCs w:val="22"/>
        </w:rPr>
        <w:t xml:space="preserve">involving leak </w:t>
      </w:r>
      <w:r w:rsidRPr="00232FD5">
        <w:rPr>
          <w:szCs w:val="22"/>
        </w:rPr>
        <w:t>prevention</w:t>
      </w:r>
      <w:r>
        <w:rPr>
          <w:szCs w:val="22"/>
        </w:rPr>
        <w:t>, proactive maintenance programs, system redesign, and installation of automatic leak detection systems.</w:t>
      </w:r>
    </w:p>
    <w:p w14:paraId="320E9AB6" w14:textId="52DF9EF7" w:rsidR="00851ED3" w:rsidRDefault="00851ED3" w:rsidP="009A23AA">
      <w:pPr>
        <w:rPr>
          <w:szCs w:val="22"/>
        </w:rPr>
      </w:pPr>
      <w:r w:rsidRPr="00501859">
        <w:rPr>
          <w:szCs w:val="22"/>
        </w:rPr>
        <w:t>In some instances, the results have been outstanding with leak rates</w:t>
      </w:r>
      <w:r w:rsidR="00FE0CAE" w:rsidRPr="00501859">
        <w:rPr>
          <w:szCs w:val="22"/>
        </w:rPr>
        <w:t xml:space="preserve"> in some major supermarkets</w:t>
      </w:r>
      <w:r w:rsidRPr="00501859">
        <w:rPr>
          <w:szCs w:val="22"/>
        </w:rPr>
        <w:t xml:space="preserve"> dropping from as high as 25% per annum in the early 2000s to around 6% per annum in 201</w:t>
      </w:r>
      <w:r w:rsidR="00501859" w:rsidRPr="00501859">
        <w:rPr>
          <w:szCs w:val="22"/>
        </w:rPr>
        <w:t xml:space="preserve">8 in some </w:t>
      </w:r>
      <w:r w:rsidR="004D1836">
        <w:rPr>
          <w:szCs w:val="22"/>
        </w:rPr>
        <w:t>applications</w:t>
      </w:r>
      <w:r w:rsidRPr="00501859">
        <w:rPr>
          <w:szCs w:val="22"/>
        </w:rPr>
        <w:t>.</w:t>
      </w:r>
    </w:p>
    <w:p w14:paraId="755213FA" w14:textId="77777777" w:rsidR="00851ED3" w:rsidRPr="00B46012" w:rsidRDefault="00851ED3" w:rsidP="009A23AA">
      <w:pPr>
        <w:spacing w:before="240"/>
        <w:rPr>
          <w:b/>
          <w:szCs w:val="22"/>
        </w:rPr>
      </w:pPr>
      <w:r w:rsidRPr="00B46012">
        <w:rPr>
          <w:b/>
          <w:szCs w:val="22"/>
        </w:rPr>
        <w:t xml:space="preserve">Much </w:t>
      </w:r>
      <w:r>
        <w:rPr>
          <w:b/>
          <w:szCs w:val="22"/>
        </w:rPr>
        <w:t>l</w:t>
      </w:r>
      <w:r w:rsidRPr="00B46012">
        <w:rPr>
          <w:b/>
          <w:szCs w:val="22"/>
        </w:rPr>
        <w:t xml:space="preserve">arger </w:t>
      </w:r>
      <w:r>
        <w:rPr>
          <w:b/>
          <w:szCs w:val="22"/>
        </w:rPr>
        <w:t>s</w:t>
      </w:r>
      <w:r w:rsidRPr="00B46012">
        <w:rPr>
          <w:b/>
          <w:szCs w:val="22"/>
        </w:rPr>
        <w:t xml:space="preserve">tocks of </w:t>
      </w:r>
      <w:r>
        <w:rPr>
          <w:b/>
          <w:szCs w:val="22"/>
        </w:rPr>
        <w:t>c</w:t>
      </w:r>
      <w:r w:rsidRPr="00B46012">
        <w:rPr>
          <w:b/>
          <w:szCs w:val="22"/>
        </w:rPr>
        <w:t>o</w:t>
      </w:r>
      <w:r>
        <w:rPr>
          <w:b/>
          <w:szCs w:val="22"/>
        </w:rPr>
        <w:t xml:space="preserve">ld </w:t>
      </w:r>
      <w:r w:rsidRPr="00B46012">
        <w:rPr>
          <w:b/>
          <w:szCs w:val="22"/>
        </w:rPr>
        <w:t xml:space="preserve">rooms </w:t>
      </w:r>
      <w:r>
        <w:rPr>
          <w:b/>
          <w:szCs w:val="22"/>
        </w:rPr>
        <w:t>i</w:t>
      </w:r>
      <w:r w:rsidRPr="00B46012">
        <w:rPr>
          <w:b/>
          <w:szCs w:val="22"/>
        </w:rPr>
        <w:t>dentified</w:t>
      </w:r>
    </w:p>
    <w:p w14:paraId="68D5522F" w14:textId="77777777" w:rsidR="00851ED3" w:rsidRDefault="00851ED3" w:rsidP="009A23AA">
      <w:pPr>
        <w:rPr>
          <w:szCs w:val="22"/>
        </w:rPr>
      </w:pPr>
      <w:r w:rsidRPr="00504BCC">
        <w:rPr>
          <w:szCs w:val="22"/>
        </w:rPr>
        <w:t>The term walk-in co</w:t>
      </w:r>
      <w:r>
        <w:rPr>
          <w:szCs w:val="22"/>
        </w:rPr>
        <w:t xml:space="preserve">ld </w:t>
      </w:r>
      <w:r w:rsidRPr="00504BCC">
        <w:rPr>
          <w:szCs w:val="22"/>
        </w:rPr>
        <w:t>room</w:t>
      </w:r>
      <w:r>
        <w:rPr>
          <w:szCs w:val="22"/>
        </w:rPr>
        <w:t>s</w:t>
      </w:r>
      <w:r w:rsidRPr="00504BCC">
        <w:rPr>
          <w:szCs w:val="22"/>
        </w:rPr>
        <w:t xml:space="preserve"> </w:t>
      </w:r>
      <w:r>
        <w:rPr>
          <w:szCs w:val="22"/>
        </w:rPr>
        <w:t xml:space="preserve">(WICs) </w:t>
      </w:r>
      <w:r w:rsidRPr="00504BCC">
        <w:rPr>
          <w:szCs w:val="22"/>
        </w:rPr>
        <w:t>is used to describe an enclosed storage space that is refrigerated</w:t>
      </w:r>
      <w:r>
        <w:rPr>
          <w:szCs w:val="22"/>
        </w:rPr>
        <w:t>, either</w:t>
      </w:r>
      <w:r w:rsidRPr="00504BCC">
        <w:rPr>
          <w:szCs w:val="22"/>
        </w:rPr>
        <w:t xml:space="preserve"> to temperatures above zero degrees Celsius </w:t>
      </w:r>
      <w:r>
        <w:rPr>
          <w:szCs w:val="22"/>
        </w:rPr>
        <w:t>(cool rooms) or</w:t>
      </w:r>
      <w:r w:rsidRPr="00504BCC">
        <w:rPr>
          <w:szCs w:val="22"/>
        </w:rPr>
        <w:t xml:space="preserve"> to zero degrees </w:t>
      </w:r>
      <w:r>
        <w:rPr>
          <w:szCs w:val="22"/>
        </w:rPr>
        <w:t xml:space="preserve">Celsius </w:t>
      </w:r>
      <w:r w:rsidRPr="00504BCC">
        <w:rPr>
          <w:szCs w:val="22"/>
        </w:rPr>
        <w:t>and below</w:t>
      </w:r>
      <w:r>
        <w:rPr>
          <w:szCs w:val="22"/>
        </w:rPr>
        <w:t xml:space="preserve"> (freezers). </w:t>
      </w:r>
      <w:r w:rsidRPr="00504BCC">
        <w:rPr>
          <w:szCs w:val="22"/>
        </w:rPr>
        <w:t xml:space="preserve">  </w:t>
      </w:r>
    </w:p>
    <w:p w14:paraId="5ABEB25C" w14:textId="788F3353" w:rsidR="00851ED3" w:rsidRDefault="00851ED3" w:rsidP="009A23AA">
      <w:r>
        <w:t>Greater transparency achieved in the last few years by research into the supply lines for components that go into construction of cold rooms, led to a</w:t>
      </w:r>
      <w:r w:rsidR="00E6620F">
        <w:t xml:space="preserve"> significant</w:t>
      </w:r>
      <w:r>
        <w:t xml:space="preserve"> increase in the stock of walk-in cool rooms and walk-in freezers in the RAC Stock model</w:t>
      </w:r>
      <w:r w:rsidR="00E6620F">
        <w:t xml:space="preserve"> in 2016</w:t>
      </w:r>
      <w:r>
        <w:t>, particularly in ‘small cold rooms’.</w:t>
      </w:r>
    </w:p>
    <w:p w14:paraId="60CD52BB" w14:textId="35B9877B" w:rsidR="00851ED3" w:rsidRDefault="00851ED3" w:rsidP="009A23AA">
      <w:r>
        <w:t xml:space="preserve">WICs comprise </w:t>
      </w:r>
      <w:r w:rsidRPr="0003781F">
        <w:rPr>
          <w:rFonts w:hint="eastAsia"/>
        </w:rPr>
        <w:t xml:space="preserve">a structure formed by an insulated enclosure of walls and ceiling, </w:t>
      </w:r>
      <w:r>
        <w:t xml:space="preserve">and refrigeration equipment to refrigerate the space. The majority use remote condensing units </w:t>
      </w:r>
      <w:r w:rsidR="004D1836">
        <w:t xml:space="preserve">while </w:t>
      </w:r>
      <w:r>
        <w:t>smaller WICs can use self-contained equipment commonly referred to as “drop-in or slide-in” units. New technology is just starting to emerge in this sector wh</w:t>
      </w:r>
      <w:r w:rsidR="004D1836">
        <w:t>ich</w:t>
      </w:r>
      <w:r>
        <w:t xml:space="preserve"> it uses brushless DC compressor technology, monitors refrigerant superheat and optimises the co-efficient of performance to achieve </w:t>
      </w:r>
      <w:r w:rsidRPr="000716D6">
        <w:t>flat line temperature control</w:t>
      </w:r>
      <w:r>
        <w:t xml:space="preserve">. Best practice equipment can </w:t>
      </w:r>
      <w:r w:rsidR="00F92313">
        <w:t xml:space="preserve">reduce </w:t>
      </w:r>
      <w:r>
        <w:t xml:space="preserve">energy consumption </w:t>
      </w:r>
      <w:r w:rsidR="00F92313">
        <w:t>by</w:t>
      </w:r>
      <w:r>
        <w:t xml:space="preserve"> around 25% to 30% over conventional equipment and this is not taking into account the structure, operation and maintenance improvement opportunities. </w:t>
      </w:r>
      <w:r w:rsidRPr="00501859">
        <w:t>AIRAH in association with Expert Group is currently drafting a Good Practice Guideline for WICs that is expected to be released by the end of 201</w:t>
      </w:r>
      <w:r w:rsidR="00E41276" w:rsidRPr="00501859">
        <w:t>9</w:t>
      </w:r>
      <w:r w:rsidRPr="00501859">
        <w:t>.</w:t>
      </w:r>
    </w:p>
    <w:p w14:paraId="3FEBAB92" w14:textId="28B0F1D0" w:rsidR="00851ED3" w:rsidRDefault="00851ED3" w:rsidP="009A23AA">
      <w:r w:rsidRPr="00FB4D04">
        <w:t xml:space="preserve">Total stocks of small </w:t>
      </w:r>
      <w:r>
        <w:t>cold</w:t>
      </w:r>
      <w:r w:rsidRPr="00FB4D04">
        <w:t xml:space="preserve"> rooms are estimated at more than 221,000 in 2018 (</w:t>
      </w:r>
      <w:r w:rsidRPr="00FB4D04">
        <w:rPr>
          <w:i/>
        </w:rPr>
        <w:t>CHF3: 2016, 219,000</w:t>
      </w:r>
      <w:r w:rsidRPr="00FB4D04">
        <w:t>). There is an estimated stock of 41,800 medium and large WICs in 2018.</w:t>
      </w:r>
      <w:r>
        <w:t xml:space="preserve">  </w:t>
      </w:r>
    </w:p>
    <w:p w14:paraId="4F21DF7F" w14:textId="273984EB" w:rsidR="00851ED3" w:rsidRDefault="00851ED3" w:rsidP="009A23AA">
      <w:r>
        <w:t>The size of the stock of equipment in this category makes sense if one considers the numbers of food retail outlets, such as fast food franchises, small cafes and restaurants operating in Australian towns and cities, most of which are likely to have at least one small cold room.</w:t>
      </w:r>
    </w:p>
    <w:p w14:paraId="6187F4B5" w14:textId="5775166D" w:rsidR="00851ED3" w:rsidRDefault="00851ED3" w:rsidP="009A23AA">
      <w:r>
        <w:t xml:space="preserve">The RAC Stock model estimates that around 80% of sales of remote condensing units are for equipment being used in WICs. However, the growth in the stock of small WICs is considerably less than annual equipment sales indicate. This is because this hard-working equipment has a relatively short </w:t>
      </w:r>
      <w:r w:rsidR="00673569">
        <w:t>operational</w:t>
      </w:r>
      <w:r>
        <w:t xml:space="preserve"> life of only 12 years and</w:t>
      </w:r>
      <w:r w:rsidR="00673569">
        <w:t>,</w:t>
      </w:r>
      <w:r>
        <w:t xml:space="preserve"> depending on the working environment</w:t>
      </w:r>
      <w:r w:rsidR="00673569">
        <w:t>,</w:t>
      </w:r>
      <w:r>
        <w:t xml:space="preserve"> this can be much shorter. </w:t>
      </w:r>
    </w:p>
    <w:p w14:paraId="37C3C156" w14:textId="77777777" w:rsidR="00851ED3" w:rsidRDefault="00851ED3" w:rsidP="009A23AA">
      <w:r>
        <w:t xml:space="preserve">As such many of the equipment sales are being used to either replace the refrigeration equipment servicing cold rooms, or to refurbish one or more of the components, such as replacing compressors in the condensing unit, or replacing the evaporators sited inside the cold rooms. Evaporators particularly are subject to corrosion due to exposure to breakdown products from fruit and vegetables, such as ethylene, and of course in small cold rooms, they are potentially subject to impact damage from cartons and pallets of food. </w:t>
      </w:r>
    </w:p>
    <w:p w14:paraId="6BDCC433" w14:textId="77777777" w:rsidR="00851ED3" w:rsidRDefault="00851ED3" w:rsidP="009A23AA">
      <w:pPr>
        <w:rPr>
          <w:szCs w:val="22"/>
        </w:rPr>
      </w:pPr>
    </w:p>
    <w:p w14:paraId="0F5FCF11" w14:textId="77777777" w:rsidR="00851ED3" w:rsidRDefault="00851ED3" w:rsidP="009A23AA">
      <w:pPr>
        <w:pStyle w:val="Heading3"/>
        <w:jc w:val="both"/>
      </w:pPr>
      <w:bookmarkStart w:id="56" w:name="_Toc494661739"/>
      <w:bookmarkStart w:id="57" w:name="_Toc525141265"/>
      <w:bookmarkStart w:id="58" w:name="_Toc19601299"/>
      <w:r>
        <w:t>Small commercial r</w:t>
      </w:r>
      <w:r w:rsidRPr="004728E2">
        <w:t>efrigeration</w:t>
      </w:r>
      <w:bookmarkEnd w:id="56"/>
      <w:bookmarkEnd w:id="57"/>
      <w:bookmarkEnd w:id="58"/>
    </w:p>
    <w:p w14:paraId="69978070" w14:textId="77777777" w:rsidR="00851ED3" w:rsidRDefault="00851ED3" w:rsidP="009A23AA">
      <w:pPr>
        <w:rPr>
          <w:szCs w:val="22"/>
        </w:rPr>
      </w:pPr>
      <w:r>
        <w:rPr>
          <w:szCs w:val="22"/>
        </w:rPr>
        <w:t>Most</w:t>
      </w:r>
      <w:r w:rsidRPr="008E5EFC">
        <w:rPr>
          <w:szCs w:val="22"/>
        </w:rPr>
        <w:t xml:space="preserve"> of the equipment categories in </w:t>
      </w:r>
      <w:r>
        <w:rPr>
          <w:szCs w:val="22"/>
        </w:rPr>
        <w:t xml:space="preserve">the small commercial refrigeration </w:t>
      </w:r>
      <w:r w:rsidRPr="008E5EFC">
        <w:rPr>
          <w:szCs w:val="22"/>
        </w:rPr>
        <w:t xml:space="preserve">segment are referred to in the trade as </w:t>
      </w:r>
      <w:r>
        <w:rPr>
          <w:szCs w:val="22"/>
        </w:rPr>
        <w:t>‘</w:t>
      </w:r>
      <w:r w:rsidRPr="008E5EFC">
        <w:rPr>
          <w:szCs w:val="22"/>
        </w:rPr>
        <w:t>self-contained refrigeration</w:t>
      </w:r>
      <w:r>
        <w:rPr>
          <w:szCs w:val="22"/>
        </w:rPr>
        <w:t>’</w:t>
      </w:r>
      <w:r w:rsidRPr="008E5EFC">
        <w:rPr>
          <w:szCs w:val="22"/>
        </w:rPr>
        <w:t xml:space="preserve">. </w:t>
      </w:r>
      <w:r>
        <w:rPr>
          <w:szCs w:val="22"/>
        </w:rPr>
        <w:t xml:space="preserve">These units are stand-alone refrigeration systems in many different formats. </w:t>
      </w:r>
    </w:p>
    <w:p w14:paraId="74272A8A" w14:textId="77777777" w:rsidR="00851ED3" w:rsidRPr="008E5EFC" w:rsidRDefault="00851ED3" w:rsidP="009A23AA">
      <w:pPr>
        <w:rPr>
          <w:szCs w:val="22"/>
        </w:rPr>
      </w:pPr>
      <w:r w:rsidRPr="008E5EFC">
        <w:rPr>
          <w:szCs w:val="22"/>
        </w:rPr>
        <w:t>Self-contained commercial refrigeration equipment typically contains a factory-assembled, hermetically sealed, vapour-compression refrigeration system</w:t>
      </w:r>
      <w:r>
        <w:rPr>
          <w:szCs w:val="22"/>
        </w:rPr>
        <w:t xml:space="preserve"> employing</w:t>
      </w:r>
      <w:r w:rsidRPr="008E5EFC">
        <w:rPr>
          <w:szCs w:val="22"/>
        </w:rPr>
        <w:t xml:space="preserve"> relatively small refrigerant charges</w:t>
      </w:r>
      <w:r>
        <w:rPr>
          <w:szCs w:val="22"/>
        </w:rPr>
        <w:t>,</w:t>
      </w:r>
      <w:r w:rsidRPr="008E5EFC">
        <w:rPr>
          <w:szCs w:val="22"/>
        </w:rPr>
        <w:t xml:space="preserve"> ranging from </w:t>
      </w:r>
      <w:r>
        <w:rPr>
          <w:szCs w:val="22"/>
        </w:rPr>
        <w:t xml:space="preserve">as little as </w:t>
      </w:r>
      <w:r w:rsidRPr="008E5EFC">
        <w:rPr>
          <w:szCs w:val="22"/>
        </w:rPr>
        <w:t>4</w:t>
      </w:r>
      <w:r>
        <w:rPr>
          <w:szCs w:val="22"/>
        </w:rPr>
        <w:t>0 grams in a small water cooler,</w:t>
      </w:r>
      <w:r w:rsidRPr="008E5EFC">
        <w:rPr>
          <w:szCs w:val="22"/>
        </w:rPr>
        <w:t xml:space="preserve"> to up to three kilograms in a</w:t>
      </w:r>
      <w:r>
        <w:rPr>
          <w:szCs w:val="22"/>
        </w:rPr>
        <w:t xml:space="preserve"> larger</w:t>
      </w:r>
      <w:r w:rsidRPr="008E5EFC">
        <w:rPr>
          <w:szCs w:val="22"/>
        </w:rPr>
        <w:t xml:space="preserve"> refrigerated display case</w:t>
      </w:r>
      <w:r>
        <w:rPr>
          <w:szCs w:val="22"/>
        </w:rPr>
        <w:t xml:space="preserve"> (sometimes twin circuits)</w:t>
      </w:r>
      <w:r w:rsidRPr="008E5EFC">
        <w:rPr>
          <w:szCs w:val="22"/>
        </w:rPr>
        <w:t>.</w:t>
      </w:r>
    </w:p>
    <w:p w14:paraId="1D97F8E1" w14:textId="3FB02D41" w:rsidR="00851ED3" w:rsidRDefault="00851ED3" w:rsidP="009A23AA">
      <w:pPr>
        <w:rPr>
          <w:szCs w:val="22"/>
        </w:rPr>
      </w:pPr>
      <w:r>
        <w:rPr>
          <w:szCs w:val="22"/>
        </w:rPr>
        <w:t>These equipment categories are employed in large numbers in both the front of store and back rooms of</w:t>
      </w:r>
      <w:r w:rsidRPr="008E5EFC">
        <w:rPr>
          <w:szCs w:val="22"/>
        </w:rPr>
        <w:t xml:space="preserve"> supermarkets,</w:t>
      </w:r>
      <w:r>
        <w:rPr>
          <w:szCs w:val="22"/>
        </w:rPr>
        <w:t xml:space="preserve"> local</w:t>
      </w:r>
      <w:r w:rsidRPr="008E5EFC">
        <w:rPr>
          <w:szCs w:val="22"/>
        </w:rPr>
        <w:t xml:space="preserve"> grocery and butcher stores, cafes, restaurants, takeaways, </w:t>
      </w:r>
      <w:r>
        <w:rPr>
          <w:szCs w:val="22"/>
        </w:rPr>
        <w:t xml:space="preserve">hotels and clubs and </w:t>
      </w:r>
      <w:r w:rsidRPr="008E5EFC">
        <w:rPr>
          <w:szCs w:val="22"/>
        </w:rPr>
        <w:t>other food retail outlets</w:t>
      </w:r>
      <w:r>
        <w:rPr>
          <w:szCs w:val="22"/>
        </w:rPr>
        <w:t xml:space="preserve">. Generally front-of-store equipment is referred to as ‘refrigerated display cabinets’ </w:t>
      </w:r>
      <w:r w:rsidR="004D1836">
        <w:rPr>
          <w:szCs w:val="22"/>
        </w:rPr>
        <w:t xml:space="preserve">(RDCs) </w:t>
      </w:r>
      <w:r>
        <w:rPr>
          <w:szCs w:val="22"/>
        </w:rPr>
        <w:t>and is fitted with either glass doors, transparent lids (in the case of horizontal display cases) or are open (at least during trading hours) as is the case with many of the upright fresh food, dairy and drinks display cases.</w:t>
      </w:r>
    </w:p>
    <w:p w14:paraId="6A33963E" w14:textId="77777777" w:rsidR="00851ED3" w:rsidRDefault="00851ED3" w:rsidP="009A23AA">
      <w:pPr>
        <w:rPr>
          <w:szCs w:val="22"/>
        </w:rPr>
      </w:pPr>
      <w:r>
        <w:rPr>
          <w:szCs w:val="22"/>
        </w:rPr>
        <w:t>Small commercial refrigeration formats used in the service areas of restaurants, hotels, takeaways and in the back rooms of other food retail outlets are referred to as ‘service or storage cabinets’, and are generally upright formats, often multi-door but with solid doors (improving efficiency).</w:t>
      </w:r>
    </w:p>
    <w:p w14:paraId="5817C5CD" w14:textId="77777777" w:rsidR="00851ED3" w:rsidRDefault="00851ED3" w:rsidP="009A23AA">
      <w:r>
        <w:rPr>
          <w:szCs w:val="22"/>
        </w:rPr>
        <w:t>The main product categories include:</w:t>
      </w:r>
      <w:r w:rsidRPr="008E5EFC">
        <w:t xml:space="preserve"> </w:t>
      </w:r>
    </w:p>
    <w:p w14:paraId="230C3E4A" w14:textId="77777777" w:rsidR="00851ED3" w:rsidRPr="008E5EFC"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sidRPr="008E5EFC">
        <w:rPr>
          <w:rFonts w:ascii="Times New Roman" w:hAnsi="Times New Roman"/>
        </w:rPr>
        <w:t xml:space="preserve">RCFC1-1: </w:t>
      </w:r>
      <w:r>
        <w:rPr>
          <w:rFonts w:ascii="Times New Roman" w:hAnsi="Times New Roman"/>
        </w:rPr>
        <w:t xml:space="preserve"> Both service cabinets and the more varied r</w:t>
      </w:r>
      <w:r w:rsidRPr="008E5EFC">
        <w:rPr>
          <w:rFonts w:ascii="Times New Roman" w:hAnsi="Times New Roman"/>
        </w:rPr>
        <w:t xml:space="preserve">efrigerated </w:t>
      </w:r>
      <w:r w:rsidRPr="00A5223B">
        <w:rPr>
          <w:rFonts w:ascii="Times New Roman" w:hAnsi="Times New Roman"/>
        </w:rPr>
        <w:t>display cabinets, sometimes referred to as ‘self-contained merchandisers’ covering plug-in-type food retail and supermarket cabinets, including; sandwich-pizza preparation and display counters; kitchen and service storage and preparation equipment</w:t>
      </w:r>
      <w:r>
        <w:rPr>
          <w:rFonts w:ascii="Times New Roman" w:hAnsi="Times New Roman"/>
        </w:rPr>
        <w:t xml:space="preserve"> found extensively behind the scenes in takeaways, restaurants and hotels</w:t>
      </w:r>
      <w:r w:rsidRPr="00A5223B">
        <w:rPr>
          <w:rFonts w:ascii="Times New Roman" w:hAnsi="Times New Roman"/>
        </w:rPr>
        <w:t>; glass door merchandisers and upright cabinets; chest cabinets commonly used for ice cream</w:t>
      </w:r>
      <w:r>
        <w:rPr>
          <w:rFonts w:ascii="Times New Roman" w:hAnsi="Times New Roman"/>
        </w:rPr>
        <w:t xml:space="preserve"> display</w:t>
      </w:r>
      <w:r w:rsidRPr="008E5EFC">
        <w:rPr>
          <w:rFonts w:ascii="Times New Roman" w:hAnsi="Times New Roman"/>
        </w:rPr>
        <w:t>; wine, drink and glass chilling cabinets for bars, restaurants and hotels. RCFC1-1 also picks up a small number of</w:t>
      </w:r>
      <w:r>
        <w:rPr>
          <w:rFonts w:ascii="Times New Roman" w:hAnsi="Times New Roman"/>
        </w:rPr>
        <w:t xml:space="preserve"> </w:t>
      </w:r>
      <w:r w:rsidRPr="008E5EFC">
        <w:rPr>
          <w:rFonts w:ascii="Times New Roman" w:hAnsi="Times New Roman"/>
        </w:rPr>
        <w:t>specialised cabinets for pharmaceutical applications;</w:t>
      </w:r>
    </w:p>
    <w:p w14:paraId="27BE572E" w14:textId="77777777" w:rsidR="00851ED3" w:rsidRPr="008E5EFC"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sidRPr="008E5EFC">
        <w:rPr>
          <w:rFonts w:ascii="Times New Roman" w:hAnsi="Times New Roman"/>
        </w:rPr>
        <w:t>RCFC1-2: Refrigerated beverage vending machines often purchased by major food manufacturers such as Coca-Cola, Pepsi and Schweppes, and also independent vending suppliers located at airports, railway stations, offices, factories, warehouses, universities and schools, etc.;</w:t>
      </w:r>
    </w:p>
    <w:p w14:paraId="4C233F53" w14:textId="77777777" w:rsidR="00851ED3" w:rsidRPr="008E5EFC"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sidRPr="008E5EFC">
        <w:rPr>
          <w:rFonts w:ascii="Times New Roman" w:hAnsi="Times New Roman"/>
        </w:rPr>
        <w:t xml:space="preserve">RCFC1-3: </w:t>
      </w:r>
      <w:r>
        <w:rPr>
          <w:rFonts w:ascii="Times New Roman" w:hAnsi="Times New Roman"/>
        </w:rPr>
        <w:t>(</w:t>
      </w:r>
      <w:r w:rsidRPr="007603D0">
        <w:rPr>
          <w:rFonts w:ascii="Times New Roman" w:hAnsi="Times New Roman"/>
          <w:i/>
        </w:rPr>
        <w:t>CHF2 RCFC1-7</w:t>
      </w:r>
      <w:r>
        <w:rPr>
          <w:rFonts w:ascii="Times New Roman" w:hAnsi="Times New Roman"/>
        </w:rPr>
        <w:t xml:space="preserve">) </w:t>
      </w:r>
      <w:r w:rsidRPr="008E5EFC">
        <w:rPr>
          <w:rFonts w:ascii="Times New Roman" w:hAnsi="Times New Roman"/>
        </w:rPr>
        <w:t>Post-mix beverage cooling and dispensing equipment that transforms concentrated syrup, typically supplied in ‘bag-in-box’ casks, mixed with water that is circulated through an ice bank cooler to serve carbonated drinks in all sorts of hospitality venues including clubs, hotels, large restaurants with bars and entertainment venues;</w:t>
      </w:r>
    </w:p>
    <w:p w14:paraId="7F413528" w14:textId="77777777" w:rsidR="00851ED3" w:rsidRPr="007603D0"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Pr>
          <w:rFonts w:ascii="Times New Roman" w:hAnsi="Times New Roman"/>
        </w:rPr>
        <w:t>RCFC1-4: (</w:t>
      </w:r>
      <w:r w:rsidRPr="007603D0">
        <w:rPr>
          <w:rFonts w:ascii="Times New Roman" w:hAnsi="Times New Roman"/>
          <w:i/>
        </w:rPr>
        <w:t>CHF2 RCFC 1-3</w:t>
      </w:r>
      <w:r>
        <w:rPr>
          <w:rFonts w:ascii="Times New Roman" w:hAnsi="Times New Roman"/>
        </w:rPr>
        <w:t xml:space="preserve">) </w:t>
      </w:r>
      <w:r w:rsidRPr="008E5EFC">
        <w:rPr>
          <w:rFonts w:ascii="Times New Roman" w:hAnsi="Times New Roman"/>
        </w:rPr>
        <w:t>Ice makers commonly used in cafes, hotels/bars and food courts. These are generally packaged freestanding, bench-top or under-bench units, and may have a small storage basket or bin with access door, or dispense ice and beverages automatically;</w:t>
      </w:r>
    </w:p>
    <w:p w14:paraId="03A12FDA" w14:textId="77777777" w:rsidR="00851ED3"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sidRPr="008E5EFC">
        <w:rPr>
          <w:rFonts w:ascii="Times New Roman" w:hAnsi="Times New Roman"/>
        </w:rPr>
        <w:t>RCFC1-5:</w:t>
      </w:r>
      <w:r>
        <w:rPr>
          <w:rFonts w:ascii="Times New Roman" w:hAnsi="Times New Roman"/>
        </w:rPr>
        <w:t xml:space="preserve"> (</w:t>
      </w:r>
      <w:r>
        <w:rPr>
          <w:rFonts w:ascii="Times New Roman" w:hAnsi="Times New Roman"/>
          <w:i/>
        </w:rPr>
        <w:t>CHF2 RCFC 1-9</w:t>
      </w:r>
      <w:r>
        <w:rPr>
          <w:rFonts w:ascii="Times New Roman" w:hAnsi="Times New Roman"/>
        </w:rPr>
        <w:t xml:space="preserve">) </w:t>
      </w:r>
      <w:r w:rsidRPr="008E5EFC">
        <w:rPr>
          <w:rFonts w:ascii="Times New Roman" w:hAnsi="Times New Roman"/>
        </w:rPr>
        <w:t>Bottle water coolers and water dispensers found in offi</w:t>
      </w:r>
      <w:r>
        <w:rPr>
          <w:rFonts w:ascii="Times New Roman" w:hAnsi="Times New Roman"/>
        </w:rPr>
        <w:t>ces, factories, gymnasiums, etc.;</w:t>
      </w:r>
    </w:p>
    <w:p w14:paraId="59B57C76" w14:textId="77777777" w:rsidR="00851ED3" w:rsidRPr="008E5EFC"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Pr>
          <w:rFonts w:ascii="Times New Roman" w:hAnsi="Times New Roman"/>
        </w:rPr>
        <w:t>RCFC 1-6: Other self-contained small commercial refrigeration including some portable refrigeration systems for commercial applications;</w:t>
      </w:r>
    </w:p>
    <w:p w14:paraId="22749289" w14:textId="77777777" w:rsidR="00851ED3"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sidRPr="008E5EFC">
        <w:rPr>
          <w:rFonts w:ascii="Times New Roman" w:hAnsi="Times New Roman"/>
        </w:rPr>
        <w:t xml:space="preserve">RCFC1-7: </w:t>
      </w:r>
      <w:r>
        <w:rPr>
          <w:rFonts w:ascii="Times New Roman" w:hAnsi="Times New Roman"/>
        </w:rPr>
        <w:t>(</w:t>
      </w:r>
      <w:r w:rsidRPr="00787D7A">
        <w:rPr>
          <w:rFonts w:ascii="Times New Roman" w:hAnsi="Times New Roman"/>
          <w:i/>
        </w:rPr>
        <w:t>CHF2 RCFC 1-4</w:t>
      </w:r>
      <w:r>
        <w:rPr>
          <w:rFonts w:ascii="Times New Roman" w:hAnsi="Times New Roman"/>
        </w:rPr>
        <w:t xml:space="preserve">) </w:t>
      </w:r>
      <w:r w:rsidRPr="008E5EFC">
        <w:rPr>
          <w:rFonts w:ascii="Times New Roman" w:hAnsi="Times New Roman"/>
        </w:rPr>
        <w:t xml:space="preserve">Drop-in and slide-in packaged refrigeration units used in walk-in </w:t>
      </w:r>
      <w:r>
        <w:rPr>
          <w:rFonts w:ascii="Times New Roman" w:hAnsi="Times New Roman"/>
        </w:rPr>
        <w:t xml:space="preserve">cold </w:t>
      </w:r>
      <w:r w:rsidRPr="008E5EFC">
        <w:rPr>
          <w:rFonts w:ascii="Times New Roman" w:hAnsi="Times New Roman"/>
        </w:rPr>
        <w:t>rooms and extensively used throughout the food chain to refrigerate fresh, chilled and frozen produce</w:t>
      </w:r>
      <w:r>
        <w:rPr>
          <w:rFonts w:ascii="Times New Roman" w:hAnsi="Times New Roman"/>
        </w:rPr>
        <w:t>; and</w:t>
      </w:r>
    </w:p>
    <w:p w14:paraId="6D26592C" w14:textId="77777777" w:rsidR="00851ED3" w:rsidRPr="00794F8B"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Pr>
          <w:rFonts w:ascii="Times New Roman" w:hAnsi="Times New Roman"/>
        </w:rPr>
        <w:t>RCFC 1-8: (</w:t>
      </w:r>
      <w:r w:rsidRPr="00787D7A">
        <w:rPr>
          <w:rFonts w:ascii="Times New Roman" w:hAnsi="Times New Roman"/>
          <w:i/>
        </w:rPr>
        <w:t>CHF2 RCFC 1-4</w:t>
      </w:r>
      <w:r>
        <w:rPr>
          <w:rFonts w:ascii="Times New Roman" w:hAnsi="Times New Roman"/>
        </w:rPr>
        <w:t>) Small scale walk-in cold rooms, but with a remote condensing unit. These very small walk-in cold rooms are the only category in the RCFC1 segment that use a remote condensing unit.</w:t>
      </w:r>
    </w:p>
    <w:p w14:paraId="7337F128" w14:textId="415162B2" w:rsidR="00851ED3" w:rsidRDefault="00851ED3" w:rsidP="009A23AA">
      <w:pPr>
        <w:rPr>
          <w:szCs w:val="22"/>
        </w:rPr>
      </w:pPr>
      <w:r>
        <w:rPr>
          <w:szCs w:val="22"/>
        </w:rPr>
        <w:t>Self-contained equipment has lower leak rates and smaller refrigerant charges than remote condensing unit systems</w:t>
      </w:r>
      <w:r w:rsidR="00CE6B8F">
        <w:rPr>
          <w:szCs w:val="22"/>
        </w:rPr>
        <w:t>.</w:t>
      </w:r>
      <w:r>
        <w:rPr>
          <w:szCs w:val="22"/>
        </w:rPr>
        <w:t xml:space="preserve"> </w:t>
      </w:r>
    </w:p>
    <w:p w14:paraId="442B7541" w14:textId="2A6346A6" w:rsidR="00851ED3" w:rsidRPr="008E5EFC" w:rsidRDefault="00851ED3" w:rsidP="009A23AA">
      <w:pPr>
        <w:rPr>
          <w:szCs w:val="22"/>
        </w:rPr>
      </w:pPr>
      <w:r>
        <w:rPr>
          <w:szCs w:val="22"/>
        </w:rPr>
        <w:t>The r</w:t>
      </w:r>
      <w:r w:rsidRPr="008E5EFC">
        <w:rPr>
          <w:szCs w:val="22"/>
        </w:rPr>
        <w:t xml:space="preserve">efrigerant </w:t>
      </w:r>
      <w:r>
        <w:rPr>
          <w:szCs w:val="22"/>
        </w:rPr>
        <w:t>employed in commercial</w:t>
      </w:r>
      <w:r w:rsidRPr="008E5EFC">
        <w:rPr>
          <w:szCs w:val="22"/>
        </w:rPr>
        <w:t xml:space="preserve"> refrigeration </w:t>
      </w:r>
      <w:r>
        <w:rPr>
          <w:szCs w:val="22"/>
        </w:rPr>
        <w:t>is</w:t>
      </w:r>
      <w:r w:rsidRPr="008E5EFC">
        <w:rPr>
          <w:szCs w:val="22"/>
        </w:rPr>
        <w:t xml:space="preserve"> often </w:t>
      </w:r>
      <w:r>
        <w:rPr>
          <w:szCs w:val="22"/>
        </w:rPr>
        <w:t>selected based on</w:t>
      </w:r>
      <w:r w:rsidRPr="008E5EFC">
        <w:rPr>
          <w:szCs w:val="22"/>
        </w:rPr>
        <w:t xml:space="preserve"> the two main temperature</w:t>
      </w:r>
      <w:r>
        <w:rPr>
          <w:szCs w:val="22"/>
        </w:rPr>
        <w:t xml:space="preserve"> ranges</w:t>
      </w:r>
      <w:r w:rsidRPr="008E5EFC">
        <w:rPr>
          <w:szCs w:val="22"/>
        </w:rPr>
        <w:t xml:space="preserve"> </w:t>
      </w:r>
      <w:r>
        <w:rPr>
          <w:szCs w:val="22"/>
        </w:rPr>
        <w:t xml:space="preserve">used </w:t>
      </w:r>
      <w:r w:rsidRPr="008E5EFC">
        <w:rPr>
          <w:szCs w:val="22"/>
        </w:rPr>
        <w:t>for the conservation of food and beverages</w:t>
      </w:r>
      <w:r>
        <w:rPr>
          <w:szCs w:val="22"/>
        </w:rPr>
        <w:t xml:space="preserve">. These are </w:t>
      </w:r>
      <w:r w:rsidRPr="008E5EFC">
        <w:rPr>
          <w:szCs w:val="22"/>
        </w:rPr>
        <w:t>referred to in</w:t>
      </w:r>
      <w:r>
        <w:rPr>
          <w:szCs w:val="22"/>
        </w:rPr>
        <w:t xml:space="preserve"> the</w:t>
      </w:r>
      <w:r w:rsidRPr="008E5EFC">
        <w:rPr>
          <w:szCs w:val="22"/>
        </w:rPr>
        <w:t xml:space="preserve"> industry as </w:t>
      </w:r>
      <w:r>
        <w:rPr>
          <w:szCs w:val="22"/>
        </w:rPr>
        <w:t xml:space="preserve">either; </w:t>
      </w:r>
      <w:r w:rsidRPr="008E5EFC">
        <w:rPr>
          <w:szCs w:val="22"/>
        </w:rPr>
        <w:t xml:space="preserve">medium temperature </w:t>
      </w:r>
      <w:r>
        <w:rPr>
          <w:szCs w:val="22"/>
        </w:rPr>
        <w:t>(</w:t>
      </w:r>
      <w:r w:rsidRPr="008E5EFC">
        <w:rPr>
          <w:szCs w:val="22"/>
        </w:rPr>
        <w:t>where produce is refrigerated to temperatures above zero degrees Celsius),</w:t>
      </w:r>
      <w:r>
        <w:rPr>
          <w:szCs w:val="22"/>
        </w:rPr>
        <w:t xml:space="preserve"> </w:t>
      </w:r>
      <w:r w:rsidRPr="008E5EFC">
        <w:rPr>
          <w:szCs w:val="22"/>
        </w:rPr>
        <w:t xml:space="preserve">and low temperature, </w:t>
      </w:r>
      <w:r>
        <w:rPr>
          <w:szCs w:val="22"/>
        </w:rPr>
        <w:t xml:space="preserve">(where food is </w:t>
      </w:r>
      <w:r w:rsidR="00DD7ADB">
        <w:rPr>
          <w:szCs w:val="22"/>
        </w:rPr>
        <w:t>frozen</w:t>
      </w:r>
      <w:r w:rsidRPr="008E5EFC">
        <w:rPr>
          <w:szCs w:val="22"/>
        </w:rPr>
        <w:t xml:space="preserve"> </w:t>
      </w:r>
      <w:r w:rsidR="00DD7ADB">
        <w:rPr>
          <w:szCs w:val="22"/>
        </w:rPr>
        <w:t xml:space="preserve">at </w:t>
      </w:r>
      <w:r w:rsidRPr="008E5EFC">
        <w:rPr>
          <w:szCs w:val="22"/>
        </w:rPr>
        <w:t xml:space="preserve">zero degrees </w:t>
      </w:r>
      <w:r>
        <w:rPr>
          <w:szCs w:val="22"/>
        </w:rPr>
        <w:t xml:space="preserve">Celsius </w:t>
      </w:r>
      <w:r w:rsidRPr="008E5EFC">
        <w:rPr>
          <w:szCs w:val="22"/>
        </w:rPr>
        <w:t>and below).</w:t>
      </w:r>
    </w:p>
    <w:p w14:paraId="523E23D7" w14:textId="77777777" w:rsidR="00851ED3" w:rsidRDefault="00851ED3" w:rsidP="009A23AA">
      <w:pPr>
        <w:rPr>
          <w:szCs w:val="22"/>
        </w:rPr>
      </w:pPr>
      <w:r w:rsidRPr="008E5EFC">
        <w:rPr>
          <w:szCs w:val="22"/>
        </w:rPr>
        <w:t>The majority of the existing stock</w:t>
      </w:r>
      <w:r>
        <w:rPr>
          <w:szCs w:val="22"/>
        </w:rPr>
        <w:t xml:space="preserve"> of self-contained commercial </w:t>
      </w:r>
      <w:r w:rsidRPr="008E5EFC">
        <w:rPr>
          <w:szCs w:val="22"/>
        </w:rPr>
        <w:t xml:space="preserve">refrigeration contains HFC-134a </w:t>
      </w:r>
      <w:r>
        <w:rPr>
          <w:szCs w:val="22"/>
        </w:rPr>
        <w:t xml:space="preserve">which is the refrigerant of choice for medium temperature applications. </w:t>
      </w:r>
    </w:p>
    <w:p w14:paraId="34F1D828" w14:textId="559E2DEF" w:rsidR="00851ED3" w:rsidRPr="008E5EFC" w:rsidRDefault="00851ED3" w:rsidP="009A23AA">
      <w:pPr>
        <w:rPr>
          <w:szCs w:val="22"/>
        </w:rPr>
      </w:pPr>
      <w:r>
        <w:rPr>
          <w:szCs w:val="22"/>
        </w:rPr>
        <w:t xml:space="preserve">A smaller </w:t>
      </w:r>
      <w:r w:rsidRPr="008E5EFC">
        <w:rPr>
          <w:szCs w:val="22"/>
        </w:rPr>
        <w:t xml:space="preserve">portion </w:t>
      </w:r>
      <w:r>
        <w:rPr>
          <w:szCs w:val="22"/>
        </w:rPr>
        <w:t xml:space="preserve">of the stock of equipment </w:t>
      </w:r>
      <w:r w:rsidRPr="008E5EFC">
        <w:rPr>
          <w:szCs w:val="22"/>
        </w:rPr>
        <w:t>operat</w:t>
      </w:r>
      <w:r>
        <w:rPr>
          <w:szCs w:val="22"/>
        </w:rPr>
        <w:t>es</w:t>
      </w:r>
      <w:r w:rsidRPr="008E5EFC">
        <w:rPr>
          <w:szCs w:val="22"/>
        </w:rPr>
        <w:t xml:space="preserve"> on HFC-404A, mostly in low temperature applications or when greater refrigerating intensity is required</w:t>
      </w:r>
      <w:r w:rsidR="00DD7ADB">
        <w:rPr>
          <w:szCs w:val="22"/>
        </w:rPr>
        <w:t xml:space="preserve"> (the rate at which temperatures need to be reduced for instance in blast freezing or snap freeze process</w:t>
      </w:r>
      <w:r w:rsidR="00E34C93">
        <w:rPr>
          <w:szCs w:val="22"/>
        </w:rPr>
        <w:t>es</w:t>
      </w:r>
      <w:r w:rsidR="00DD7ADB">
        <w:rPr>
          <w:szCs w:val="22"/>
        </w:rPr>
        <w:t>)</w:t>
      </w:r>
      <w:r w:rsidRPr="008E5EFC">
        <w:rPr>
          <w:szCs w:val="22"/>
        </w:rPr>
        <w:t xml:space="preserve">. </w:t>
      </w:r>
    </w:p>
    <w:p w14:paraId="3CFE4355" w14:textId="77777777" w:rsidR="00851ED3" w:rsidRDefault="00851ED3" w:rsidP="009A23AA">
      <w:pPr>
        <w:spacing w:before="240"/>
        <w:rPr>
          <w:b/>
          <w:szCs w:val="22"/>
        </w:rPr>
      </w:pPr>
      <w:r w:rsidRPr="00EC70B3">
        <w:rPr>
          <w:b/>
          <w:szCs w:val="22"/>
        </w:rPr>
        <w:t>Natural r</w:t>
      </w:r>
      <w:r w:rsidRPr="00AC0A21">
        <w:rPr>
          <w:b/>
          <w:szCs w:val="22"/>
        </w:rPr>
        <w:t>efrigerants taking market share in self-contained equipment categories</w:t>
      </w:r>
    </w:p>
    <w:p w14:paraId="0169F4B1" w14:textId="02E7DED9" w:rsidR="00851ED3" w:rsidRDefault="00851ED3" w:rsidP="009A23AA">
      <w:pPr>
        <w:rPr>
          <w:szCs w:val="22"/>
        </w:rPr>
      </w:pPr>
      <w:r w:rsidRPr="008E5EFC">
        <w:rPr>
          <w:szCs w:val="22"/>
        </w:rPr>
        <w:t>The use of hydro</w:t>
      </w:r>
      <w:r>
        <w:rPr>
          <w:szCs w:val="22"/>
        </w:rPr>
        <w:t xml:space="preserve">carbons (HC-600a and HC-290), a trend that had barely started in 2012, is now firmly established as an </w:t>
      </w:r>
      <w:r w:rsidRPr="00090466">
        <w:rPr>
          <w:szCs w:val="22"/>
        </w:rPr>
        <w:t xml:space="preserve">option for buyers of new small commercial equipment in Australia with around </w:t>
      </w:r>
      <w:r w:rsidR="00090466" w:rsidRPr="00090466">
        <w:rPr>
          <w:szCs w:val="22"/>
        </w:rPr>
        <w:t>4</w:t>
      </w:r>
      <w:r w:rsidRPr="00090466">
        <w:rPr>
          <w:szCs w:val="22"/>
        </w:rPr>
        <w:t>% of the</w:t>
      </w:r>
      <w:r>
        <w:rPr>
          <w:szCs w:val="22"/>
        </w:rPr>
        <w:t xml:space="preserve"> total bank in this segment now being hydrocarbon and expected to grow rapidly. </w:t>
      </w:r>
    </w:p>
    <w:p w14:paraId="58DCD17D" w14:textId="48EA7D63" w:rsidR="00851ED3" w:rsidRDefault="00851ED3" w:rsidP="009A23AA">
      <w:pPr>
        <w:rPr>
          <w:szCs w:val="22"/>
        </w:rPr>
      </w:pPr>
      <w:r w:rsidRPr="00090466">
        <w:rPr>
          <w:szCs w:val="22"/>
        </w:rPr>
        <w:t>Smaller self-contained retail equipment is the leader in this trend with sales of new HC charged equipment in this category increasing more than 30 times (up 3,000%) since 2012, to nearly 2</w:t>
      </w:r>
      <w:r w:rsidR="00090466" w:rsidRPr="00090466">
        <w:rPr>
          <w:szCs w:val="22"/>
        </w:rPr>
        <w:t>5</w:t>
      </w:r>
      <w:r w:rsidRPr="00090466">
        <w:rPr>
          <w:szCs w:val="22"/>
        </w:rPr>
        <w:t>,000 units out of almost 140,000 total sales of self-contained units</w:t>
      </w:r>
      <w:r w:rsidR="00DD7ADB">
        <w:rPr>
          <w:szCs w:val="22"/>
        </w:rPr>
        <w:t xml:space="preserve"> </w:t>
      </w:r>
      <w:r w:rsidR="00DD7ADB" w:rsidRPr="00090466">
        <w:rPr>
          <w:szCs w:val="22"/>
        </w:rPr>
        <w:t>in 2018</w:t>
      </w:r>
      <w:r w:rsidRPr="00090466">
        <w:rPr>
          <w:szCs w:val="22"/>
        </w:rPr>
        <w:t xml:space="preserve"> (including beverage vending machines, post mix drink vending machines, ice makers and water coolers)</w:t>
      </w:r>
      <w:r>
        <w:rPr>
          <w:szCs w:val="22"/>
        </w:rPr>
        <w:t>. E</w:t>
      </w:r>
      <w:r w:rsidRPr="008E5EFC">
        <w:rPr>
          <w:szCs w:val="22"/>
        </w:rPr>
        <w:t xml:space="preserve">quipment </w:t>
      </w:r>
      <w:r>
        <w:rPr>
          <w:szCs w:val="22"/>
        </w:rPr>
        <w:t xml:space="preserve">being sold </w:t>
      </w:r>
      <w:r w:rsidRPr="008E5EFC">
        <w:rPr>
          <w:szCs w:val="22"/>
        </w:rPr>
        <w:t xml:space="preserve">using hydrocarbon refrigerants </w:t>
      </w:r>
      <w:r>
        <w:rPr>
          <w:szCs w:val="22"/>
        </w:rPr>
        <w:t xml:space="preserve">with a charge less than or equal to 150 grams </w:t>
      </w:r>
      <w:r w:rsidRPr="008E5EFC">
        <w:rPr>
          <w:szCs w:val="22"/>
        </w:rPr>
        <w:t>include</w:t>
      </w:r>
      <w:r>
        <w:rPr>
          <w:szCs w:val="22"/>
        </w:rPr>
        <w:t>s</w:t>
      </w:r>
      <w:r w:rsidRPr="008E5EFC">
        <w:rPr>
          <w:szCs w:val="22"/>
        </w:rPr>
        <w:t xml:space="preserve"> </w:t>
      </w:r>
      <w:r>
        <w:rPr>
          <w:szCs w:val="22"/>
        </w:rPr>
        <w:t xml:space="preserve">upright and horizontal </w:t>
      </w:r>
      <w:r w:rsidRPr="008E5EFC">
        <w:rPr>
          <w:szCs w:val="22"/>
        </w:rPr>
        <w:t xml:space="preserve">freezer cabinets, </w:t>
      </w:r>
      <w:r>
        <w:rPr>
          <w:szCs w:val="22"/>
        </w:rPr>
        <w:t xml:space="preserve">refrigerated display cabinets, </w:t>
      </w:r>
      <w:r w:rsidRPr="008E5EFC">
        <w:rPr>
          <w:szCs w:val="22"/>
        </w:rPr>
        <w:t>w</w:t>
      </w:r>
      <w:r>
        <w:rPr>
          <w:szCs w:val="22"/>
        </w:rPr>
        <w:t>ine coolers and ice cream merchandisers.</w:t>
      </w:r>
    </w:p>
    <w:p w14:paraId="2A5D822D" w14:textId="40D05865" w:rsidR="00851ED3" w:rsidRDefault="00851ED3" w:rsidP="009A23AA">
      <w:pPr>
        <w:rPr>
          <w:szCs w:val="22"/>
        </w:rPr>
      </w:pPr>
      <w:r>
        <w:rPr>
          <w:szCs w:val="22"/>
        </w:rPr>
        <w:t>Given the relative energy efficiency of devices charged with HCs and CO</w:t>
      </w:r>
      <w:r w:rsidRPr="00795143">
        <w:rPr>
          <w:szCs w:val="22"/>
          <w:vertAlign w:val="subscript"/>
        </w:rPr>
        <w:t>2</w:t>
      </w:r>
      <w:r>
        <w:rPr>
          <w:szCs w:val="22"/>
        </w:rPr>
        <w:t xml:space="preserve">, as compared to the older equipment charged with HFC-404A and </w:t>
      </w:r>
      <w:r w:rsidR="004D1836">
        <w:rPr>
          <w:szCs w:val="22"/>
        </w:rPr>
        <w:t xml:space="preserve">more recently </w:t>
      </w:r>
      <w:r>
        <w:rPr>
          <w:szCs w:val="22"/>
        </w:rPr>
        <w:t>HFC-134a, the trend of increasing sales of small self-contained commercial refrigeration using natural refrigerants is expected to continue.</w:t>
      </w:r>
    </w:p>
    <w:p w14:paraId="6057CE83" w14:textId="77777777" w:rsidR="00851ED3" w:rsidRDefault="00851ED3" w:rsidP="009A23AA">
      <w:pPr>
        <w:rPr>
          <w:szCs w:val="22"/>
        </w:rPr>
      </w:pPr>
      <w:r>
        <w:rPr>
          <w:szCs w:val="22"/>
        </w:rPr>
        <w:t>Other categories of small self-contained equipment expected to migrate to natural refrigerants (in particular HC) include RCFC1-2, Beverage vending machines, RCFC1-3, Beverage cooling (post mix), and RCFC1-4 Ice makers.</w:t>
      </w:r>
    </w:p>
    <w:p w14:paraId="239A7373" w14:textId="7A577F05" w:rsidR="00851ED3" w:rsidRDefault="00851ED3" w:rsidP="009A23AA">
      <w:pPr>
        <w:rPr>
          <w:szCs w:val="22"/>
        </w:rPr>
      </w:pPr>
      <w:r>
        <w:rPr>
          <w:szCs w:val="22"/>
        </w:rPr>
        <w:t>A range of small self-contained RDCs charged with CO</w:t>
      </w:r>
      <w:r w:rsidRPr="00B91A74">
        <w:rPr>
          <w:szCs w:val="22"/>
          <w:vertAlign w:val="subscript"/>
        </w:rPr>
        <w:t>2</w:t>
      </w:r>
      <w:r>
        <w:rPr>
          <w:szCs w:val="22"/>
        </w:rPr>
        <w:t xml:space="preserve"> were introduced to the market in recent years. However, it is thought to be</w:t>
      </w:r>
      <w:r w:rsidRPr="00ED361F">
        <w:rPr>
          <w:szCs w:val="22"/>
        </w:rPr>
        <w:t xml:space="preserve"> unlikely</w:t>
      </w:r>
      <w:r>
        <w:rPr>
          <w:szCs w:val="22"/>
        </w:rPr>
        <w:t xml:space="preserve"> that CO</w:t>
      </w:r>
      <w:r w:rsidRPr="00013C38">
        <w:rPr>
          <w:szCs w:val="22"/>
          <w:vertAlign w:val="subscript"/>
        </w:rPr>
        <w:t>2</w:t>
      </w:r>
      <w:r>
        <w:rPr>
          <w:szCs w:val="22"/>
        </w:rPr>
        <w:t xml:space="preserve"> charged equipment in this category will grow significantly </w:t>
      </w:r>
      <w:r w:rsidRPr="00ED361F">
        <w:rPr>
          <w:szCs w:val="22"/>
        </w:rPr>
        <w:t>as the HC</w:t>
      </w:r>
      <w:r>
        <w:rPr>
          <w:szCs w:val="22"/>
        </w:rPr>
        <w:t xml:space="preserve"> technology is proving to be highly energy efficient and competitively priced</w:t>
      </w:r>
      <w:r w:rsidRPr="00ED361F">
        <w:rPr>
          <w:szCs w:val="22"/>
        </w:rPr>
        <w:t>.</w:t>
      </w:r>
    </w:p>
    <w:p w14:paraId="774BBFEA" w14:textId="4DF6C55B" w:rsidR="00851ED3" w:rsidRDefault="00851ED3" w:rsidP="009A23AA">
      <w:pPr>
        <w:rPr>
          <w:szCs w:val="22"/>
        </w:rPr>
      </w:pPr>
      <w:r w:rsidRPr="000F66F2">
        <w:rPr>
          <w:szCs w:val="22"/>
        </w:rPr>
        <w:t xml:space="preserve">At present there is a </w:t>
      </w:r>
      <w:r>
        <w:rPr>
          <w:szCs w:val="22"/>
        </w:rPr>
        <w:t xml:space="preserve">refrigerant charge </w:t>
      </w:r>
      <w:r w:rsidRPr="000F66F2">
        <w:rPr>
          <w:szCs w:val="22"/>
        </w:rPr>
        <w:t xml:space="preserve">threshold </w:t>
      </w:r>
      <w:r>
        <w:rPr>
          <w:szCs w:val="22"/>
        </w:rPr>
        <w:t>imposed by safety standards in Australia (</w:t>
      </w:r>
      <w:r w:rsidRPr="00DD6F10">
        <w:rPr>
          <w:i/>
          <w:szCs w:val="22"/>
        </w:rPr>
        <w:t>AS/NZS ISO 5149: 2016</w:t>
      </w:r>
      <w:r>
        <w:rPr>
          <w:szCs w:val="22"/>
        </w:rPr>
        <w:t xml:space="preserve">) </w:t>
      </w:r>
      <w:r w:rsidRPr="000F66F2">
        <w:rPr>
          <w:szCs w:val="22"/>
        </w:rPr>
        <w:t>of 150 grams for class A3</w:t>
      </w:r>
      <w:r>
        <w:rPr>
          <w:szCs w:val="22"/>
        </w:rPr>
        <w:t xml:space="preserve"> refrigerants</w:t>
      </w:r>
      <w:r w:rsidRPr="000F66F2">
        <w:rPr>
          <w:szCs w:val="22"/>
        </w:rPr>
        <w:t xml:space="preserve"> (i.e. highly flammable) suc</w:t>
      </w:r>
      <w:r>
        <w:rPr>
          <w:szCs w:val="22"/>
        </w:rPr>
        <w:t>h as hydrocarbon</w:t>
      </w:r>
      <w:r>
        <w:rPr>
          <w:rStyle w:val="FootnoteReference"/>
          <w:szCs w:val="22"/>
        </w:rPr>
        <w:footnoteReference w:id="16"/>
      </w:r>
      <w:r>
        <w:rPr>
          <w:szCs w:val="22"/>
        </w:rPr>
        <w:t>. Increasing this charge size</w:t>
      </w:r>
      <w:r w:rsidR="007866AB">
        <w:rPr>
          <w:szCs w:val="22"/>
        </w:rPr>
        <w:t xml:space="preserve"> limit</w:t>
      </w:r>
      <w:r w:rsidRPr="000F66F2">
        <w:rPr>
          <w:szCs w:val="22"/>
        </w:rPr>
        <w:t xml:space="preserve"> </w:t>
      </w:r>
      <w:r>
        <w:rPr>
          <w:szCs w:val="22"/>
        </w:rPr>
        <w:t xml:space="preserve">in </w:t>
      </w:r>
      <w:r w:rsidRPr="000F66F2">
        <w:rPr>
          <w:szCs w:val="22"/>
        </w:rPr>
        <w:t>general</w:t>
      </w:r>
      <w:r>
        <w:rPr>
          <w:szCs w:val="22"/>
        </w:rPr>
        <w:t>,</w:t>
      </w:r>
      <w:r w:rsidRPr="000F66F2">
        <w:rPr>
          <w:szCs w:val="22"/>
        </w:rPr>
        <w:t xml:space="preserve"> or by </w:t>
      </w:r>
      <w:r>
        <w:rPr>
          <w:szCs w:val="22"/>
        </w:rPr>
        <w:t xml:space="preserve">specific </w:t>
      </w:r>
      <w:r w:rsidRPr="000F66F2">
        <w:rPr>
          <w:szCs w:val="22"/>
        </w:rPr>
        <w:t>application</w:t>
      </w:r>
      <w:r>
        <w:rPr>
          <w:szCs w:val="22"/>
        </w:rPr>
        <w:t>,</w:t>
      </w:r>
      <w:r w:rsidRPr="000F66F2">
        <w:rPr>
          <w:szCs w:val="22"/>
        </w:rPr>
        <w:t xml:space="preserve"> would have a significant impact on the future penetration of hydrocarbon in small to medium commer</w:t>
      </w:r>
      <w:r>
        <w:rPr>
          <w:szCs w:val="22"/>
        </w:rPr>
        <w:t xml:space="preserve">cial refrigeration applications. </w:t>
      </w:r>
    </w:p>
    <w:p w14:paraId="300E7C9A" w14:textId="77777777" w:rsidR="00851ED3" w:rsidRPr="000F66F2" w:rsidRDefault="00851ED3" w:rsidP="009A23AA">
      <w:pPr>
        <w:rPr>
          <w:szCs w:val="22"/>
        </w:rPr>
      </w:pPr>
      <w:r>
        <w:rPr>
          <w:szCs w:val="22"/>
        </w:rPr>
        <w:t>Opportunities would</w:t>
      </w:r>
      <w:r w:rsidRPr="000F66F2">
        <w:rPr>
          <w:szCs w:val="22"/>
        </w:rPr>
        <w:t xml:space="preserve"> particularly</w:t>
      </w:r>
      <w:r>
        <w:rPr>
          <w:szCs w:val="22"/>
        </w:rPr>
        <w:t xml:space="preserve"> open up</w:t>
      </w:r>
      <w:r w:rsidRPr="000F66F2">
        <w:rPr>
          <w:szCs w:val="22"/>
        </w:rPr>
        <w:t xml:space="preserve"> </w:t>
      </w:r>
      <w:r>
        <w:rPr>
          <w:szCs w:val="22"/>
        </w:rPr>
        <w:t>in those types of self-</w:t>
      </w:r>
      <w:r w:rsidRPr="000F66F2">
        <w:rPr>
          <w:szCs w:val="22"/>
        </w:rPr>
        <w:t xml:space="preserve">contained equipment and smaller remote equipment such as small walk in </w:t>
      </w:r>
      <w:r>
        <w:rPr>
          <w:szCs w:val="22"/>
        </w:rPr>
        <w:t xml:space="preserve">cold </w:t>
      </w:r>
      <w:r w:rsidRPr="000F66F2">
        <w:rPr>
          <w:szCs w:val="22"/>
        </w:rPr>
        <w:t>rooms</w:t>
      </w:r>
      <w:r>
        <w:rPr>
          <w:szCs w:val="22"/>
        </w:rPr>
        <w:t>, that do not already use HCs. An increase of the allowable HC charge size to 300 grams would for instance see the relatively high energy using</w:t>
      </w:r>
      <w:r w:rsidRPr="000F66F2">
        <w:rPr>
          <w:szCs w:val="22"/>
        </w:rPr>
        <w:t xml:space="preserve"> freezers</w:t>
      </w:r>
      <w:r>
        <w:rPr>
          <w:szCs w:val="22"/>
        </w:rPr>
        <w:t>,</w:t>
      </w:r>
      <w:r w:rsidRPr="000F66F2">
        <w:rPr>
          <w:szCs w:val="22"/>
        </w:rPr>
        <w:t xml:space="preserve"> up to 3 x 3 meters by 2.5 meters high</w:t>
      </w:r>
      <w:r>
        <w:rPr>
          <w:szCs w:val="22"/>
        </w:rPr>
        <w:t>,</w:t>
      </w:r>
      <w:r w:rsidRPr="000F66F2">
        <w:rPr>
          <w:szCs w:val="22"/>
        </w:rPr>
        <w:t xml:space="preserve"> that </w:t>
      </w:r>
      <w:r>
        <w:rPr>
          <w:szCs w:val="22"/>
        </w:rPr>
        <w:t xml:space="preserve">presently employ a </w:t>
      </w:r>
      <w:r w:rsidRPr="000F66F2">
        <w:rPr>
          <w:szCs w:val="22"/>
        </w:rPr>
        <w:t>charge of up to 1 kg of H</w:t>
      </w:r>
      <w:r>
        <w:rPr>
          <w:szCs w:val="22"/>
        </w:rPr>
        <w:t xml:space="preserve">FC, being able to operate on HCs. </w:t>
      </w:r>
      <w:r>
        <w:rPr>
          <w:szCs w:val="22"/>
        </w:rPr>
        <w:br/>
        <w:t>As the engineering standards develop and the operational safety of HCs in larger charges is demonstrated, it is thought likely that regulatory controls will change to allow larger HC charges in these equipment segments.</w:t>
      </w:r>
    </w:p>
    <w:p w14:paraId="23CD2B9F" w14:textId="2E32DA59" w:rsidR="00DD7ADB" w:rsidRDefault="0045124B" w:rsidP="009A23AA">
      <w:pPr>
        <w:rPr>
          <w:szCs w:val="22"/>
        </w:rPr>
      </w:pPr>
      <w:r w:rsidRPr="002A14D5">
        <w:rPr>
          <w:szCs w:val="22"/>
        </w:rPr>
        <w:t xml:space="preserve">The announcement by the International </w:t>
      </w:r>
      <w:proofErr w:type="spellStart"/>
      <w:r w:rsidRPr="002A14D5">
        <w:rPr>
          <w:szCs w:val="22"/>
        </w:rPr>
        <w:t>Electrotechnical</w:t>
      </w:r>
      <w:proofErr w:type="spellEnd"/>
      <w:r w:rsidRPr="002A14D5">
        <w:rPr>
          <w:szCs w:val="22"/>
        </w:rPr>
        <w:t xml:space="preserve"> Commission (IEC) in May 2019 to increase maximum refrigerant charge for all flammable refrigerants (A2L, A2 &amp; A3) to the smaller of 1.2 kg or 13 times the lower flammability limit (LFL) of the refrigerant increased the allowable charge of A3 flammable refrigerants (i.e. hydrocarbons) from 150 grams to approximately 500 grams</w:t>
      </w:r>
      <w:r w:rsidRPr="002A14D5">
        <w:rPr>
          <w:rStyle w:val="FootnoteReference"/>
          <w:szCs w:val="22"/>
        </w:rPr>
        <w:footnoteReference w:id="17"/>
      </w:r>
      <w:r w:rsidRPr="002A14D5">
        <w:rPr>
          <w:szCs w:val="22"/>
        </w:rPr>
        <w:t xml:space="preserve"> under IEC 60335-2-89 standard</w:t>
      </w:r>
      <w:r>
        <w:rPr>
          <w:szCs w:val="22"/>
        </w:rPr>
        <w:t>. This will increase design innovation in HC charged commercial refrigeration which should soon flow on to increased options in the Australian market.</w:t>
      </w:r>
    </w:p>
    <w:p w14:paraId="416B3141" w14:textId="063ECC31" w:rsidR="00851ED3" w:rsidRDefault="007866AB" w:rsidP="009A23AA">
      <w:pPr>
        <w:rPr>
          <w:szCs w:val="22"/>
        </w:rPr>
      </w:pPr>
      <w:r>
        <w:rPr>
          <w:szCs w:val="22"/>
        </w:rPr>
        <w:t>HCs and CO</w:t>
      </w:r>
      <w:r w:rsidRPr="00B91A74">
        <w:rPr>
          <w:szCs w:val="22"/>
          <w:vertAlign w:val="subscript"/>
        </w:rPr>
        <w:t>2</w:t>
      </w:r>
      <w:r>
        <w:rPr>
          <w:szCs w:val="22"/>
        </w:rPr>
        <w:t xml:space="preserve"> are expected to make up more than 41% of the bank in this segment by 2030. This is p</w:t>
      </w:r>
      <w:r w:rsidR="00851ED3">
        <w:rPr>
          <w:szCs w:val="22"/>
        </w:rPr>
        <w:t xml:space="preserve">artly driven by developments in standards both here and overseas, and corporate commitments in the Australian supermarket sector to employ </w:t>
      </w:r>
      <w:r w:rsidR="009C04DE">
        <w:rPr>
          <w:szCs w:val="22"/>
        </w:rPr>
        <w:t>low GWP refrigerants</w:t>
      </w:r>
      <w:r w:rsidR="00851ED3">
        <w:rPr>
          <w:szCs w:val="22"/>
        </w:rPr>
        <w:t xml:space="preserve"> (as seen for instance at both Coles and Woolworths), and supported by equipment manufacturers ready to roll-out product charged with natural refrigerants. </w:t>
      </w:r>
    </w:p>
    <w:p w14:paraId="484D7250" w14:textId="77777777" w:rsidR="00851ED3" w:rsidRDefault="00851ED3" w:rsidP="009A23AA">
      <w:pPr>
        <w:rPr>
          <w:szCs w:val="22"/>
        </w:rPr>
      </w:pPr>
    </w:p>
    <w:p w14:paraId="5E274FE3" w14:textId="45536870" w:rsidR="00851ED3" w:rsidRDefault="00851ED3" w:rsidP="009A23AA">
      <w:pPr>
        <w:pStyle w:val="Heading3"/>
        <w:jc w:val="both"/>
      </w:pPr>
      <w:bookmarkStart w:id="59" w:name="_Toc494661740"/>
      <w:bookmarkStart w:id="60" w:name="_Toc525141266"/>
      <w:bookmarkStart w:id="61" w:name="_Toc19601300"/>
      <w:r>
        <w:t>Medium commercial refrigeration</w:t>
      </w:r>
      <w:bookmarkEnd w:id="59"/>
      <w:bookmarkEnd w:id="60"/>
      <w:bookmarkEnd w:id="61"/>
    </w:p>
    <w:p w14:paraId="6108F0F3" w14:textId="77777777" w:rsidR="00A862A5" w:rsidRPr="00504BCC" w:rsidRDefault="00A862A5" w:rsidP="00A862A5">
      <w:pPr>
        <w:rPr>
          <w:szCs w:val="22"/>
        </w:rPr>
      </w:pPr>
      <w:r>
        <w:rPr>
          <w:szCs w:val="22"/>
        </w:rPr>
        <w:t xml:space="preserve">Medium </w:t>
      </w:r>
      <w:r w:rsidRPr="00504BCC">
        <w:rPr>
          <w:szCs w:val="22"/>
        </w:rPr>
        <w:t>commercial refrigeration equipment cover</w:t>
      </w:r>
      <w:r>
        <w:rPr>
          <w:szCs w:val="22"/>
        </w:rPr>
        <w:t>s</w:t>
      </w:r>
      <w:r w:rsidRPr="00504BCC">
        <w:rPr>
          <w:szCs w:val="22"/>
        </w:rPr>
        <w:t xml:space="preserve"> a wide range </w:t>
      </w:r>
      <w:r>
        <w:rPr>
          <w:szCs w:val="22"/>
        </w:rPr>
        <w:t xml:space="preserve">of </w:t>
      </w:r>
      <w:r w:rsidRPr="00504BCC">
        <w:rPr>
          <w:szCs w:val="22"/>
        </w:rPr>
        <w:t xml:space="preserve">refrigeration capacity </w:t>
      </w:r>
      <w:r>
        <w:rPr>
          <w:szCs w:val="22"/>
        </w:rPr>
        <w:t xml:space="preserve">from </w:t>
      </w:r>
      <w:r w:rsidRPr="00504BCC">
        <w:rPr>
          <w:szCs w:val="22"/>
        </w:rPr>
        <w:t xml:space="preserve">&gt;1 </w:t>
      </w:r>
      <w:proofErr w:type="spellStart"/>
      <w:r w:rsidRPr="00504BCC">
        <w:rPr>
          <w:szCs w:val="22"/>
        </w:rPr>
        <w:t>kWr</w:t>
      </w:r>
      <w:proofErr w:type="spellEnd"/>
      <w:r>
        <w:rPr>
          <w:szCs w:val="22"/>
        </w:rPr>
        <w:t>,</w:t>
      </w:r>
      <w:r w:rsidRPr="00504BCC">
        <w:rPr>
          <w:szCs w:val="22"/>
        </w:rPr>
        <w:t xml:space="preserve"> </w:t>
      </w:r>
      <w:r>
        <w:rPr>
          <w:szCs w:val="22"/>
        </w:rPr>
        <w:t xml:space="preserve">up to </w:t>
      </w:r>
      <w:r w:rsidRPr="00504BCC">
        <w:rPr>
          <w:szCs w:val="22"/>
        </w:rPr>
        <w:t>packaged liquid chillers</w:t>
      </w:r>
      <w:r>
        <w:rPr>
          <w:szCs w:val="22"/>
        </w:rPr>
        <w:t xml:space="preserve"> &lt;40 </w:t>
      </w:r>
      <w:proofErr w:type="spellStart"/>
      <w:r>
        <w:rPr>
          <w:szCs w:val="22"/>
        </w:rPr>
        <w:t>kWr</w:t>
      </w:r>
      <w:proofErr w:type="spellEnd"/>
      <w:r>
        <w:rPr>
          <w:szCs w:val="22"/>
        </w:rPr>
        <w:t xml:space="preserve"> used in </w:t>
      </w:r>
      <w:r w:rsidRPr="00504BCC">
        <w:rPr>
          <w:szCs w:val="22"/>
        </w:rPr>
        <w:t>process refrigeration applications in industry</w:t>
      </w:r>
      <w:r>
        <w:rPr>
          <w:szCs w:val="22"/>
        </w:rPr>
        <w:t>,</w:t>
      </w:r>
      <w:r w:rsidRPr="00504BCC">
        <w:rPr>
          <w:szCs w:val="22"/>
        </w:rPr>
        <w:t xml:space="preserve"> and centralised systems for large cold storage facilities.</w:t>
      </w:r>
    </w:p>
    <w:p w14:paraId="253095BA" w14:textId="77777777" w:rsidR="00851ED3" w:rsidRDefault="00851ED3" w:rsidP="009A23AA">
      <w:pPr>
        <w:rPr>
          <w:szCs w:val="22"/>
        </w:rPr>
      </w:pPr>
      <w:r w:rsidRPr="00504BCC">
        <w:rPr>
          <w:szCs w:val="22"/>
        </w:rPr>
        <w:t xml:space="preserve">Much of the </w:t>
      </w:r>
      <w:r>
        <w:rPr>
          <w:szCs w:val="22"/>
        </w:rPr>
        <w:t xml:space="preserve">medium sized equipment in the </w:t>
      </w:r>
      <w:r w:rsidRPr="00504BCC">
        <w:rPr>
          <w:szCs w:val="22"/>
        </w:rPr>
        <w:t xml:space="preserve">refrigerated cold food chain is built </w:t>
      </w:r>
      <w:r>
        <w:rPr>
          <w:szCs w:val="22"/>
        </w:rPr>
        <w:t>using ‘remote condensing units’. Equipment employing remote condensing formats are generally much larger pieces of equipment, with larger refrigerant charges, than the suite of stand-alone, self-contained formats found in RCFC1.</w:t>
      </w:r>
    </w:p>
    <w:p w14:paraId="53ECC760" w14:textId="77777777" w:rsidR="00851ED3" w:rsidRPr="00504BCC" w:rsidRDefault="00851ED3" w:rsidP="009A23AA">
      <w:pPr>
        <w:rPr>
          <w:szCs w:val="22"/>
        </w:rPr>
      </w:pPr>
      <w:r w:rsidRPr="00504BCC">
        <w:rPr>
          <w:szCs w:val="22"/>
        </w:rPr>
        <w:t xml:space="preserve">Remote condensing units typically range from 1 </w:t>
      </w:r>
      <w:proofErr w:type="spellStart"/>
      <w:r w:rsidRPr="00504BCC">
        <w:rPr>
          <w:szCs w:val="22"/>
        </w:rPr>
        <w:t>kWr</w:t>
      </w:r>
      <w:proofErr w:type="spellEnd"/>
      <w:r w:rsidRPr="00504BCC">
        <w:rPr>
          <w:szCs w:val="22"/>
        </w:rPr>
        <w:t xml:space="preserve"> to 20 </w:t>
      </w:r>
      <w:proofErr w:type="spellStart"/>
      <w:r w:rsidRPr="00504BCC">
        <w:rPr>
          <w:szCs w:val="22"/>
        </w:rPr>
        <w:t>kWr</w:t>
      </w:r>
      <w:proofErr w:type="spellEnd"/>
      <w:r w:rsidRPr="00504BCC">
        <w:rPr>
          <w:szCs w:val="22"/>
        </w:rPr>
        <w:t xml:space="preserve"> in refrigerating capacity, </w:t>
      </w:r>
      <w:r>
        <w:rPr>
          <w:szCs w:val="22"/>
        </w:rPr>
        <w:t xml:space="preserve">and </w:t>
      </w:r>
      <w:r w:rsidRPr="00504BCC">
        <w:rPr>
          <w:szCs w:val="22"/>
        </w:rPr>
        <w:t>are composed of either one or two compressors, one condenser, and one receiver</w:t>
      </w:r>
      <w:r>
        <w:rPr>
          <w:szCs w:val="22"/>
        </w:rPr>
        <w:t>. These components</w:t>
      </w:r>
      <w:r w:rsidRPr="00504BCC">
        <w:rPr>
          <w:szCs w:val="22"/>
        </w:rPr>
        <w:t xml:space="preserve"> are assembled into a ‘condensing unit’, which is typically located outdoors</w:t>
      </w:r>
      <w:r>
        <w:rPr>
          <w:szCs w:val="22"/>
        </w:rPr>
        <w:t>,</w:t>
      </w:r>
      <w:r w:rsidRPr="00504BCC">
        <w:rPr>
          <w:szCs w:val="22"/>
        </w:rPr>
        <w:t xml:space="preserve"> or ‘remote’ from the trading floor or refrigerated space.</w:t>
      </w:r>
    </w:p>
    <w:p w14:paraId="3DA9A0AA" w14:textId="77777777" w:rsidR="00851ED3" w:rsidRPr="00504BCC" w:rsidRDefault="00851ED3" w:rsidP="009A23AA">
      <w:pPr>
        <w:rPr>
          <w:szCs w:val="22"/>
        </w:rPr>
      </w:pPr>
      <w:r w:rsidRPr="00504BCC">
        <w:rPr>
          <w:szCs w:val="22"/>
        </w:rPr>
        <w:t xml:space="preserve">Refrigeration systems with remote condensing units are used in a variety of applications including </w:t>
      </w:r>
      <w:r>
        <w:rPr>
          <w:szCs w:val="22"/>
        </w:rPr>
        <w:t>i</w:t>
      </w:r>
      <w:r w:rsidRPr="00504BCC">
        <w:rPr>
          <w:szCs w:val="22"/>
        </w:rPr>
        <w:t xml:space="preserve">n large refrigerated display cabinets such as the rear loading wine and beer </w:t>
      </w:r>
      <w:r>
        <w:rPr>
          <w:szCs w:val="22"/>
        </w:rPr>
        <w:t>refrigerators</w:t>
      </w:r>
      <w:r w:rsidRPr="00504BCC">
        <w:rPr>
          <w:szCs w:val="22"/>
        </w:rPr>
        <w:t xml:space="preserve">, walk-in </w:t>
      </w:r>
      <w:r>
        <w:rPr>
          <w:szCs w:val="22"/>
        </w:rPr>
        <w:t>cold</w:t>
      </w:r>
      <w:r w:rsidRPr="00504BCC">
        <w:rPr>
          <w:szCs w:val="22"/>
        </w:rPr>
        <w:t xml:space="preserve"> rooms, beverage cooling (e.g. beer and soft drinks), milk vat refrigeration on dairy farms and chilling and freezing applications in industry. </w:t>
      </w:r>
    </w:p>
    <w:p w14:paraId="2F857E17" w14:textId="77777777" w:rsidR="00851ED3" w:rsidRPr="00504BCC" w:rsidRDefault="00851ED3" w:rsidP="009A23AA">
      <w:pPr>
        <w:rPr>
          <w:szCs w:val="22"/>
        </w:rPr>
      </w:pPr>
      <w:r>
        <w:rPr>
          <w:szCs w:val="22"/>
        </w:rPr>
        <w:t>The equipment categories in this segment</w:t>
      </w:r>
      <w:r w:rsidRPr="00504BCC">
        <w:rPr>
          <w:szCs w:val="22"/>
        </w:rPr>
        <w:t xml:space="preserve"> include:</w:t>
      </w:r>
    </w:p>
    <w:p w14:paraId="2F42F426" w14:textId="3FAC7A64" w:rsidR="00851ED3" w:rsidRPr="00504BCC"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Pr>
          <w:rFonts w:ascii="Times New Roman" w:hAnsi="Times New Roman"/>
        </w:rPr>
        <w:t>RCFC</w:t>
      </w:r>
      <w:r w:rsidR="00BE7FA8">
        <w:rPr>
          <w:rFonts w:ascii="Times New Roman" w:hAnsi="Times New Roman"/>
        </w:rPr>
        <w:t xml:space="preserve"> </w:t>
      </w:r>
      <w:r>
        <w:rPr>
          <w:rFonts w:ascii="Times New Roman" w:hAnsi="Times New Roman"/>
        </w:rPr>
        <w:t>2-1 and RCFC2-2: (</w:t>
      </w:r>
      <w:r w:rsidRPr="00ED61C8">
        <w:rPr>
          <w:rFonts w:ascii="Times New Roman" w:hAnsi="Times New Roman"/>
          <w:i/>
        </w:rPr>
        <w:t>CHF 2 RCFC 1-5 and RCFC 1-6</w:t>
      </w:r>
      <w:r>
        <w:rPr>
          <w:rFonts w:ascii="Times New Roman" w:hAnsi="Times New Roman"/>
        </w:rPr>
        <w:t>) m</w:t>
      </w:r>
      <w:r w:rsidRPr="00504BCC">
        <w:rPr>
          <w:rFonts w:ascii="Times New Roman" w:hAnsi="Times New Roman"/>
        </w:rPr>
        <w:t>edium and large walk-in</w:t>
      </w:r>
      <w:r>
        <w:rPr>
          <w:rFonts w:ascii="Times New Roman" w:hAnsi="Times New Roman"/>
        </w:rPr>
        <w:t xml:space="preserve"> cold </w:t>
      </w:r>
      <w:r w:rsidRPr="00504BCC">
        <w:rPr>
          <w:rFonts w:ascii="Times New Roman" w:hAnsi="Times New Roman"/>
        </w:rPr>
        <w:t>rooms;</w:t>
      </w:r>
    </w:p>
    <w:p w14:paraId="369D2DB2" w14:textId="77777777" w:rsidR="00851ED3"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Pr>
          <w:rFonts w:ascii="Times New Roman" w:hAnsi="Times New Roman"/>
        </w:rPr>
        <w:t>RCFC 2-3: Refrigeration cabinets with remote condensers (new category split out from CHF2);</w:t>
      </w:r>
    </w:p>
    <w:p w14:paraId="46EEE1FA" w14:textId="77777777" w:rsidR="00851ED3" w:rsidRPr="00ED61C8"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Pr>
          <w:rFonts w:ascii="Times New Roman" w:hAnsi="Times New Roman"/>
        </w:rPr>
        <w:t>RCFC 2-4: (</w:t>
      </w:r>
      <w:r w:rsidRPr="00ED61C8">
        <w:rPr>
          <w:rFonts w:ascii="Times New Roman" w:hAnsi="Times New Roman"/>
          <w:i/>
        </w:rPr>
        <w:t>CHF2 – RCFC 1-8</w:t>
      </w:r>
      <w:r>
        <w:rPr>
          <w:rFonts w:ascii="Times New Roman" w:hAnsi="Times New Roman"/>
        </w:rPr>
        <w:t xml:space="preserve">) </w:t>
      </w:r>
      <w:r w:rsidRPr="00504BCC">
        <w:rPr>
          <w:rFonts w:ascii="Times New Roman" w:hAnsi="Times New Roman"/>
        </w:rPr>
        <w:t xml:space="preserve">Beverage cooling systems for beer in which beer from kegs is circulated through an ice bank cooler to serve beer </w:t>
      </w:r>
      <w:r>
        <w:rPr>
          <w:rFonts w:ascii="Times New Roman" w:hAnsi="Times New Roman"/>
        </w:rPr>
        <w:t xml:space="preserve">from </w:t>
      </w:r>
      <w:r w:rsidRPr="00504BCC">
        <w:rPr>
          <w:rFonts w:ascii="Times New Roman" w:hAnsi="Times New Roman"/>
        </w:rPr>
        <w:t>taps in all sorts of hospitality venues including clubs, hotels, large restaurants with bars and entertainment venues</w:t>
      </w:r>
      <w:r>
        <w:rPr>
          <w:rFonts w:ascii="Times New Roman" w:hAnsi="Times New Roman"/>
        </w:rPr>
        <w:t>;</w:t>
      </w:r>
    </w:p>
    <w:p w14:paraId="55600544" w14:textId="77777777" w:rsidR="00851ED3"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Pr>
          <w:rFonts w:ascii="Times New Roman" w:hAnsi="Times New Roman"/>
        </w:rPr>
        <w:t>RCFC 2-5: (</w:t>
      </w:r>
      <w:r w:rsidRPr="00ED61C8">
        <w:rPr>
          <w:rFonts w:ascii="Times New Roman" w:hAnsi="Times New Roman"/>
          <w:i/>
        </w:rPr>
        <w:t>CHF2 – RCFC 1-11</w:t>
      </w:r>
      <w:r>
        <w:rPr>
          <w:rFonts w:ascii="Times New Roman" w:hAnsi="Times New Roman"/>
        </w:rPr>
        <w:t xml:space="preserve">) </w:t>
      </w:r>
      <w:r w:rsidRPr="00504BCC">
        <w:rPr>
          <w:rFonts w:ascii="Times New Roman" w:hAnsi="Times New Roman"/>
        </w:rPr>
        <w:t>Milk vats used exclusively in the dairy industry for rapid chilling of fresh milk</w:t>
      </w:r>
      <w:r>
        <w:rPr>
          <w:rFonts w:ascii="Times New Roman" w:hAnsi="Times New Roman"/>
        </w:rPr>
        <w:t xml:space="preserve">; </w:t>
      </w:r>
    </w:p>
    <w:p w14:paraId="5FB6EC8D" w14:textId="77777777" w:rsidR="00851ED3" w:rsidRPr="00F04727"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Pr>
          <w:rFonts w:ascii="Times New Roman" w:hAnsi="Times New Roman"/>
        </w:rPr>
        <w:t>RCFC 2-6: (</w:t>
      </w:r>
      <w:r w:rsidRPr="00ED61C8">
        <w:rPr>
          <w:rFonts w:ascii="Times New Roman" w:hAnsi="Times New Roman"/>
          <w:i/>
        </w:rPr>
        <w:t>CHF2 – RCFC 1-10</w:t>
      </w:r>
      <w:r>
        <w:rPr>
          <w:rFonts w:ascii="Times New Roman" w:hAnsi="Times New Roman"/>
        </w:rPr>
        <w:t>) Packaged liquid chillers; and,</w:t>
      </w:r>
    </w:p>
    <w:p w14:paraId="079DB7D1" w14:textId="77777777" w:rsidR="00851ED3" w:rsidRPr="00815DF7"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Pr>
          <w:rFonts w:ascii="Times New Roman" w:hAnsi="Times New Roman"/>
        </w:rPr>
        <w:t xml:space="preserve">RCFC 2-7: Process and Manufacturing &lt;40kWr (new category split out from CHF2). </w:t>
      </w:r>
    </w:p>
    <w:p w14:paraId="74803B57" w14:textId="77777777" w:rsidR="00851ED3" w:rsidRDefault="00851ED3" w:rsidP="009A23AA">
      <w:pPr>
        <w:rPr>
          <w:szCs w:val="22"/>
        </w:rPr>
      </w:pPr>
      <w:r>
        <w:rPr>
          <w:szCs w:val="22"/>
        </w:rPr>
        <w:t>Some older walk-in cold rooms, beer coolers and milk vats are still charged with</w:t>
      </w:r>
      <w:r w:rsidRPr="00504BCC">
        <w:rPr>
          <w:szCs w:val="22"/>
        </w:rPr>
        <w:t xml:space="preserve"> HCFC-22</w:t>
      </w:r>
      <w:r>
        <w:rPr>
          <w:szCs w:val="22"/>
        </w:rPr>
        <w:t xml:space="preserve"> although this is expected to fall to less than 5 tonnes by 2030.  </w:t>
      </w:r>
    </w:p>
    <w:p w14:paraId="767170F0" w14:textId="6B1C8D00" w:rsidR="00851ED3" w:rsidRDefault="00851ED3" w:rsidP="009A23AA">
      <w:pPr>
        <w:rPr>
          <w:szCs w:val="22"/>
        </w:rPr>
      </w:pPr>
      <w:r w:rsidRPr="00BE7FA8">
        <w:rPr>
          <w:szCs w:val="22"/>
        </w:rPr>
        <w:t xml:space="preserve">HFC-404A, which has been the refrigerant of choice for most of this segment, particularly in walk-in cold rooms and freezers for more than a decade, maintains its dominance of the bank in RCFC2 with </w:t>
      </w:r>
      <w:r w:rsidR="00BE7FA8" w:rsidRPr="00BE7FA8">
        <w:rPr>
          <w:szCs w:val="22"/>
        </w:rPr>
        <w:t>more than</w:t>
      </w:r>
      <w:r w:rsidRPr="00BE7FA8">
        <w:rPr>
          <w:szCs w:val="22"/>
        </w:rPr>
        <w:t xml:space="preserve"> 2,700 tonnes in 201</w:t>
      </w:r>
      <w:r w:rsidR="00BE7FA8" w:rsidRPr="00BE7FA8">
        <w:rPr>
          <w:szCs w:val="22"/>
        </w:rPr>
        <w:t>8</w:t>
      </w:r>
      <w:r w:rsidRPr="00BE7FA8">
        <w:rPr>
          <w:szCs w:val="22"/>
        </w:rPr>
        <w:t>.</w:t>
      </w:r>
      <w:r>
        <w:rPr>
          <w:szCs w:val="22"/>
        </w:rPr>
        <w:t xml:space="preserve"> HFC-134a is the alternative refrigerant employed in the segment, increasing from around 600 tonnes in 2012 to </w:t>
      </w:r>
      <w:r w:rsidRPr="00BE7FA8">
        <w:rPr>
          <w:szCs w:val="22"/>
        </w:rPr>
        <w:t xml:space="preserve">over </w:t>
      </w:r>
      <w:r w:rsidR="00BE7FA8" w:rsidRPr="00BE7FA8">
        <w:rPr>
          <w:szCs w:val="22"/>
        </w:rPr>
        <w:t>1,000</w:t>
      </w:r>
      <w:r w:rsidRPr="00BE7FA8">
        <w:rPr>
          <w:szCs w:val="22"/>
        </w:rPr>
        <w:t xml:space="preserve"> tonnes in 201</w:t>
      </w:r>
      <w:r w:rsidR="00BE7FA8" w:rsidRPr="00BE7FA8">
        <w:rPr>
          <w:szCs w:val="22"/>
        </w:rPr>
        <w:t>8</w:t>
      </w:r>
      <w:r w:rsidRPr="00BE7FA8">
        <w:rPr>
          <w:szCs w:val="22"/>
        </w:rPr>
        <w:t>, particularly</w:t>
      </w:r>
      <w:r>
        <w:rPr>
          <w:szCs w:val="22"/>
        </w:rPr>
        <w:t xml:space="preserve"> among walk-in cold rooms. HFC-134a is expected to grow steadily in these applications to </w:t>
      </w:r>
      <w:r w:rsidR="00BE7FA8">
        <w:rPr>
          <w:szCs w:val="22"/>
        </w:rPr>
        <w:t>more than 1,300</w:t>
      </w:r>
      <w:r>
        <w:rPr>
          <w:szCs w:val="22"/>
        </w:rPr>
        <w:t xml:space="preserve"> tonnes in 2030 as HFC-404A declines over the same period to around 1,</w:t>
      </w:r>
      <w:r w:rsidR="00BE7FA8">
        <w:rPr>
          <w:szCs w:val="22"/>
        </w:rPr>
        <w:t>230</w:t>
      </w:r>
      <w:r>
        <w:rPr>
          <w:szCs w:val="22"/>
        </w:rPr>
        <w:t xml:space="preserve"> tonnes.</w:t>
      </w:r>
    </w:p>
    <w:p w14:paraId="0DB28BB4" w14:textId="17A367E7" w:rsidR="00851ED3" w:rsidRDefault="00A862A5" w:rsidP="009A23AA">
      <w:pPr>
        <w:rPr>
          <w:szCs w:val="22"/>
        </w:rPr>
      </w:pPr>
      <w:r w:rsidRPr="00A862A5">
        <w:rPr>
          <w:szCs w:val="22"/>
        </w:rPr>
        <w:t>HC charged systems have started to appear in the market for this segment with the entry of HC charged packaged liquid chillers. HC systems are expected to achieve less penetration in this segment, achieving less than 0.5% of the remote condenser bank by 2030.</w:t>
      </w:r>
      <w:r>
        <w:rPr>
          <w:szCs w:val="22"/>
        </w:rPr>
        <w:t xml:space="preserve"> </w:t>
      </w:r>
      <w:r w:rsidRPr="00A862A5">
        <w:rPr>
          <w:szCs w:val="22"/>
        </w:rPr>
        <w:t>CO</w:t>
      </w:r>
      <w:r w:rsidRPr="00A862A5">
        <w:rPr>
          <w:szCs w:val="22"/>
          <w:vertAlign w:val="subscript"/>
        </w:rPr>
        <w:t>2</w:t>
      </w:r>
      <w:r w:rsidRPr="00A862A5">
        <w:rPr>
          <w:szCs w:val="22"/>
        </w:rPr>
        <w:t xml:space="preserve"> systems are projected to grow from a relatively few installations to an estimated 117 tonnes in 2030, representing just 2.8% of the bank in this segment at that time. </w:t>
      </w:r>
      <w:r w:rsidR="00851ED3">
        <w:rPr>
          <w:szCs w:val="22"/>
        </w:rPr>
        <w:t xml:space="preserve"> </w:t>
      </w:r>
    </w:p>
    <w:p w14:paraId="20DCCD1E" w14:textId="19C417F5" w:rsidR="00851ED3" w:rsidRDefault="00851ED3" w:rsidP="009F7491">
      <w:pPr>
        <w:rPr>
          <w:szCs w:val="22"/>
        </w:rPr>
      </w:pPr>
      <w:r>
        <w:rPr>
          <w:szCs w:val="22"/>
        </w:rPr>
        <w:t>Walk-in cold rooms</w:t>
      </w:r>
      <w:r w:rsidRPr="00AC0A21">
        <w:rPr>
          <w:szCs w:val="22"/>
        </w:rPr>
        <w:t xml:space="preserve"> </w:t>
      </w:r>
      <w:r>
        <w:rPr>
          <w:szCs w:val="22"/>
        </w:rPr>
        <w:t>of all sizes are often working in very difficult conditions and are prone to refrigerant leakage with an estimated annual average leak rate of around 15% per annum.</w:t>
      </w:r>
    </w:p>
    <w:p w14:paraId="51B5C84C" w14:textId="77777777" w:rsidR="00851ED3" w:rsidRDefault="00851ED3" w:rsidP="009A23AA">
      <w:pPr>
        <w:rPr>
          <w:szCs w:val="22"/>
        </w:rPr>
      </w:pPr>
    </w:p>
    <w:p w14:paraId="45D1E1A1" w14:textId="68F9D934" w:rsidR="00851ED3" w:rsidRPr="00E17CF2" w:rsidRDefault="00851ED3" w:rsidP="009A23AA">
      <w:pPr>
        <w:pStyle w:val="Heading3"/>
        <w:jc w:val="both"/>
      </w:pPr>
      <w:bookmarkStart w:id="62" w:name="_Toc494661741"/>
      <w:bookmarkStart w:id="63" w:name="_Toc525141267"/>
      <w:bookmarkStart w:id="64" w:name="_Toc19601301"/>
      <w:r w:rsidRPr="00E17CF2">
        <w:t>Supermarkets</w:t>
      </w:r>
      <w:bookmarkEnd w:id="62"/>
      <w:bookmarkEnd w:id="63"/>
      <w:bookmarkEnd w:id="64"/>
    </w:p>
    <w:p w14:paraId="1FC9A50C" w14:textId="77777777" w:rsidR="00851ED3" w:rsidRPr="003E3993" w:rsidRDefault="00851ED3" w:rsidP="009A23AA">
      <w:pPr>
        <w:outlineLvl w:val="0"/>
        <w:rPr>
          <w:rFonts w:cs="Times New Roman"/>
        </w:rPr>
      </w:pPr>
      <w:r w:rsidRPr="003E3993">
        <w:rPr>
          <w:rFonts w:cs="Times New Roman"/>
        </w:rPr>
        <w:t xml:space="preserve">Supermarkets are divided into </w:t>
      </w:r>
      <w:r>
        <w:rPr>
          <w:rFonts w:cs="Times New Roman"/>
        </w:rPr>
        <w:t xml:space="preserve">three </w:t>
      </w:r>
      <w:r w:rsidRPr="003E3993">
        <w:rPr>
          <w:rFonts w:cs="Times New Roman"/>
        </w:rPr>
        <w:t>sub-categories by trading floor area:</w:t>
      </w:r>
    </w:p>
    <w:p w14:paraId="15CD82BF" w14:textId="77777777" w:rsidR="00851ED3" w:rsidRPr="000C5058" w:rsidRDefault="00851ED3" w:rsidP="009A23AA">
      <w:pPr>
        <w:pStyle w:val="ListParagraph"/>
        <w:numPr>
          <w:ilvl w:val="0"/>
          <w:numId w:val="27"/>
        </w:numPr>
        <w:spacing w:before="120" w:after="0" w:line="240" w:lineRule="auto"/>
        <w:ind w:left="357" w:hanging="357"/>
        <w:contextualSpacing w:val="0"/>
        <w:jc w:val="both"/>
        <w:outlineLvl w:val="0"/>
        <w:rPr>
          <w:rFonts w:ascii="Times New Roman" w:hAnsi="Times New Roman"/>
        </w:rPr>
      </w:pPr>
      <w:r w:rsidRPr="000C5058">
        <w:rPr>
          <w:rFonts w:ascii="Times New Roman" w:hAnsi="Times New Roman"/>
        </w:rPr>
        <w:t>Large Supermarkets with a floor area greater than or equal to 2,750 m</w:t>
      </w:r>
      <w:r w:rsidRPr="000C5058">
        <w:rPr>
          <w:rFonts w:ascii="Times New Roman" w:hAnsi="Times New Roman"/>
          <w:vertAlign w:val="superscript"/>
        </w:rPr>
        <w:t>2</w:t>
      </w:r>
      <w:r w:rsidRPr="000C5058">
        <w:rPr>
          <w:rFonts w:ascii="Times New Roman" w:hAnsi="Times New Roman"/>
        </w:rPr>
        <w:t>;</w:t>
      </w:r>
    </w:p>
    <w:p w14:paraId="081D9482" w14:textId="77777777" w:rsidR="00851ED3" w:rsidRPr="000C5058" w:rsidRDefault="00851ED3" w:rsidP="009A23AA">
      <w:pPr>
        <w:pStyle w:val="ListParagraph"/>
        <w:numPr>
          <w:ilvl w:val="0"/>
          <w:numId w:val="27"/>
        </w:numPr>
        <w:spacing w:before="120" w:after="0" w:line="240" w:lineRule="auto"/>
        <w:ind w:left="357" w:hanging="357"/>
        <w:contextualSpacing w:val="0"/>
        <w:jc w:val="both"/>
        <w:outlineLvl w:val="0"/>
        <w:rPr>
          <w:rFonts w:ascii="Times New Roman" w:hAnsi="Times New Roman"/>
        </w:rPr>
      </w:pPr>
      <w:r w:rsidRPr="000C5058">
        <w:rPr>
          <w:rFonts w:ascii="Times New Roman" w:hAnsi="Times New Roman"/>
        </w:rPr>
        <w:t>Medium Supermarket</w:t>
      </w:r>
      <w:r>
        <w:rPr>
          <w:rFonts w:ascii="Times New Roman" w:hAnsi="Times New Roman"/>
        </w:rPr>
        <w:t>s</w:t>
      </w:r>
      <w:r w:rsidRPr="000C5058">
        <w:rPr>
          <w:rFonts w:ascii="Times New Roman" w:hAnsi="Times New Roman"/>
        </w:rPr>
        <w:t xml:space="preserve"> with floor areas between 1,500 m</w:t>
      </w:r>
      <w:r w:rsidRPr="000C5058">
        <w:rPr>
          <w:rFonts w:ascii="Times New Roman" w:hAnsi="Times New Roman"/>
          <w:vertAlign w:val="superscript"/>
        </w:rPr>
        <w:t>2</w:t>
      </w:r>
      <w:r w:rsidRPr="000C5058">
        <w:rPr>
          <w:rFonts w:ascii="Times New Roman" w:hAnsi="Times New Roman"/>
        </w:rPr>
        <w:t xml:space="preserve"> and 2,750 m</w:t>
      </w:r>
      <w:r w:rsidRPr="000C5058">
        <w:rPr>
          <w:rFonts w:ascii="Times New Roman" w:hAnsi="Times New Roman"/>
          <w:vertAlign w:val="superscript"/>
        </w:rPr>
        <w:t>2</w:t>
      </w:r>
      <w:r w:rsidRPr="000C5058">
        <w:rPr>
          <w:rFonts w:ascii="Times New Roman" w:hAnsi="Times New Roman"/>
        </w:rPr>
        <w:t>; and,</w:t>
      </w:r>
    </w:p>
    <w:p w14:paraId="71D6FEC3" w14:textId="77777777" w:rsidR="00851ED3" w:rsidRPr="00840BAF" w:rsidRDefault="00851ED3" w:rsidP="009A23AA">
      <w:pPr>
        <w:pStyle w:val="ListParagraph"/>
        <w:numPr>
          <w:ilvl w:val="0"/>
          <w:numId w:val="27"/>
        </w:numPr>
        <w:spacing w:before="120" w:after="0" w:line="240" w:lineRule="auto"/>
        <w:ind w:left="357" w:hanging="357"/>
        <w:contextualSpacing w:val="0"/>
        <w:jc w:val="both"/>
        <w:outlineLvl w:val="0"/>
        <w:rPr>
          <w:rFonts w:ascii="Times New Roman" w:hAnsi="Times New Roman"/>
        </w:rPr>
      </w:pPr>
      <w:r w:rsidRPr="00840BAF">
        <w:rPr>
          <w:rFonts w:ascii="Times New Roman" w:hAnsi="Times New Roman"/>
        </w:rPr>
        <w:t>Small Supermarkets with floor areas between 400 m</w:t>
      </w:r>
      <w:r w:rsidRPr="00840BAF">
        <w:rPr>
          <w:rFonts w:ascii="Times New Roman" w:hAnsi="Times New Roman"/>
          <w:vertAlign w:val="superscript"/>
        </w:rPr>
        <w:t>2</w:t>
      </w:r>
      <w:r w:rsidRPr="00840BAF">
        <w:rPr>
          <w:rFonts w:ascii="Times New Roman" w:hAnsi="Times New Roman"/>
        </w:rPr>
        <w:t xml:space="preserve"> and 1,500 m</w:t>
      </w:r>
      <w:r w:rsidRPr="00840BAF">
        <w:rPr>
          <w:rFonts w:ascii="Times New Roman" w:hAnsi="Times New Roman"/>
          <w:vertAlign w:val="superscript"/>
        </w:rPr>
        <w:t>2</w:t>
      </w:r>
      <w:r w:rsidRPr="00840BAF">
        <w:rPr>
          <w:rFonts w:ascii="Times New Roman" w:hAnsi="Times New Roman"/>
        </w:rPr>
        <w:t>.</w:t>
      </w:r>
    </w:p>
    <w:p w14:paraId="5FF8803D" w14:textId="35048F97" w:rsidR="00851ED3" w:rsidRDefault="00851ED3" w:rsidP="009A23AA">
      <w:pPr>
        <w:outlineLvl w:val="0"/>
        <w:rPr>
          <w:rFonts w:cs="Times New Roman"/>
        </w:rPr>
      </w:pPr>
      <w:r w:rsidRPr="003F3C3D">
        <w:rPr>
          <w:rFonts w:cs="Times New Roman"/>
        </w:rPr>
        <w:t>Mini-marts, convenience stores and liquor outlets with floor areas smaller than 400 m</w:t>
      </w:r>
      <w:r w:rsidRPr="003F3C3D">
        <w:rPr>
          <w:rFonts w:cs="Times New Roman"/>
          <w:vertAlign w:val="superscript"/>
        </w:rPr>
        <w:t>2</w:t>
      </w:r>
      <w:r w:rsidRPr="003F3C3D">
        <w:rPr>
          <w:rFonts w:cs="Times New Roman"/>
        </w:rPr>
        <w:t xml:space="preserve"> are categorised as ‘Extra small’ but, unlike the first three categories of supermarkets, do not have a code of their own in the taxonomy as the refrigeration equipment </w:t>
      </w:r>
      <w:r w:rsidR="00065330">
        <w:rPr>
          <w:rFonts w:cs="Times New Roman"/>
        </w:rPr>
        <w:t xml:space="preserve">they employ </w:t>
      </w:r>
      <w:r w:rsidRPr="003F3C3D">
        <w:rPr>
          <w:rFonts w:cs="Times New Roman"/>
        </w:rPr>
        <w:t xml:space="preserve">will all be </w:t>
      </w:r>
      <w:r>
        <w:rPr>
          <w:rFonts w:cs="Times New Roman"/>
        </w:rPr>
        <w:t xml:space="preserve">either </w:t>
      </w:r>
      <w:r w:rsidRPr="003F3C3D">
        <w:rPr>
          <w:rFonts w:cs="Times New Roman"/>
        </w:rPr>
        <w:t xml:space="preserve">self-contained equipment </w:t>
      </w:r>
      <w:r w:rsidR="00A862A5">
        <w:rPr>
          <w:rFonts w:cs="Times New Roman"/>
        </w:rPr>
        <w:t xml:space="preserve">and/or </w:t>
      </w:r>
      <w:r>
        <w:rPr>
          <w:rFonts w:cs="Times New Roman"/>
        </w:rPr>
        <w:t xml:space="preserve">remote condensing units (i.e. walk in cold rooms) </w:t>
      </w:r>
      <w:r w:rsidRPr="003F3C3D">
        <w:rPr>
          <w:rFonts w:cs="Times New Roman"/>
        </w:rPr>
        <w:t xml:space="preserve">which is </w:t>
      </w:r>
      <w:r>
        <w:rPr>
          <w:rFonts w:cs="Times New Roman"/>
        </w:rPr>
        <w:t>captured</w:t>
      </w:r>
      <w:r w:rsidRPr="003F3C3D">
        <w:rPr>
          <w:rFonts w:cs="Times New Roman"/>
        </w:rPr>
        <w:t xml:space="preserve"> in </w:t>
      </w:r>
      <w:r>
        <w:rPr>
          <w:rFonts w:cs="Times New Roman"/>
        </w:rPr>
        <w:t xml:space="preserve">other categories of equipment. </w:t>
      </w:r>
      <w:r w:rsidRPr="003E3993">
        <w:rPr>
          <w:rFonts w:cs="Times New Roman"/>
          <w:i/>
        </w:rPr>
        <w:t xml:space="preserve">Table </w:t>
      </w:r>
      <w:r>
        <w:rPr>
          <w:rFonts w:cs="Times New Roman"/>
          <w:i/>
        </w:rPr>
        <w:t>1</w:t>
      </w:r>
      <w:r w:rsidR="00C90311">
        <w:rPr>
          <w:rFonts w:cs="Times New Roman"/>
          <w:i/>
        </w:rPr>
        <w:t>1</w:t>
      </w:r>
      <w:r w:rsidRPr="003E3993">
        <w:rPr>
          <w:rFonts w:cs="Times New Roman"/>
        </w:rPr>
        <w:t xml:space="preserve"> shows the dissection of large, medium and small supermarkets as well as mini</w:t>
      </w:r>
      <w:r>
        <w:rPr>
          <w:rFonts w:cs="Times New Roman"/>
        </w:rPr>
        <w:t>-</w:t>
      </w:r>
      <w:r w:rsidRPr="003E3993">
        <w:rPr>
          <w:rFonts w:cs="Times New Roman"/>
        </w:rPr>
        <w:t>marts by brand.</w:t>
      </w:r>
    </w:p>
    <w:p w14:paraId="5B5C98AC" w14:textId="77777777" w:rsidR="00851ED3" w:rsidRPr="003E3993" w:rsidRDefault="00851ED3" w:rsidP="009A23AA">
      <w:pPr>
        <w:rPr>
          <w:rFonts w:cs="Times New Roman"/>
          <w:lang w:val="en-AU"/>
        </w:rPr>
      </w:pPr>
    </w:p>
    <w:p w14:paraId="0A59E9A3" w14:textId="2E75439D" w:rsidR="00851ED3" w:rsidRPr="00311821" w:rsidRDefault="00851ED3" w:rsidP="009A23AA">
      <w:pPr>
        <w:pStyle w:val="Caption"/>
      </w:pPr>
      <w:bookmarkStart w:id="65" w:name="_Toc525141403"/>
      <w:bookmarkStart w:id="66" w:name="_Toc19601363"/>
      <w:r w:rsidRPr="00311821">
        <w:t xml:space="preserve">Table </w:t>
      </w:r>
      <w:r>
        <w:rPr>
          <w:noProof/>
        </w:rPr>
        <w:fldChar w:fldCharType="begin"/>
      </w:r>
      <w:r>
        <w:rPr>
          <w:noProof/>
        </w:rPr>
        <w:instrText xml:space="preserve"> SEQ Table \* ARABIC </w:instrText>
      </w:r>
      <w:r>
        <w:rPr>
          <w:noProof/>
        </w:rPr>
        <w:fldChar w:fldCharType="separate"/>
      </w:r>
      <w:r w:rsidR="001D0DA3">
        <w:rPr>
          <w:noProof/>
        </w:rPr>
        <w:t>11</w:t>
      </w:r>
      <w:r>
        <w:rPr>
          <w:noProof/>
        </w:rPr>
        <w:fldChar w:fldCharType="end"/>
      </w:r>
      <w:r w:rsidRPr="00311821">
        <w:t xml:space="preserve">: </w:t>
      </w:r>
      <w:r w:rsidRPr="008D7ECE">
        <w:t>Supermarket fleet by brand and size at end of 2018.</w:t>
      </w:r>
      <w:bookmarkEnd w:id="65"/>
      <w:bookmarkEnd w:id="66"/>
      <w:r w:rsidRPr="00311821">
        <w:t xml:space="preserve"> </w:t>
      </w:r>
    </w:p>
    <w:tbl>
      <w:tblPr>
        <w:tblStyle w:val="TableGrid"/>
        <w:tblW w:w="9498" w:type="dxa"/>
        <w:tblInd w:w="-5" w:type="dxa"/>
        <w:tblLook w:val="04A0" w:firstRow="1" w:lastRow="0" w:firstColumn="1" w:lastColumn="0" w:noHBand="0" w:noVBand="1"/>
      </w:tblPr>
      <w:tblGrid>
        <w:gridCol w:w="1424"/>
        <w:gridCol w:w="1284"/>
        <w:gridCol w:w="1285"/>
        <w:gridCol w:w="1376"/>
        <w:gridCol w:w="1376"/>
        <w:gridCol w:w="1376"/>
        <w:gridCol w:w="1377"/>
      </w:tblGrid>
      <w:tr w:rsidR="00851ED3" w14:paraId="5D168D3B" w14:textId="77777777" w:rsidTr="00D306E9">
        <w:trPr>
          <w:tblHeader/>
        </w:trPr>
        <w:tc>
          <w:tcPr>
            <w:tcW w:w="1424" w:type="dxa"/>
            <w:vMerge w:val="restart"/>
            <w:shd w:val="clear" w:color="auto" w:fill="B6DDE8" w:themeFill="accent5" w:themeFillTint="66"/>
          </w:tcPr>
          <w:p w14:paraId="3664BBF3" w14:textId="77777777" w:rsidR="00851ED3" w:rsidRPr="00DD203E" w:rsidRDefault="00851ED3" w:rsidP="009A23AA">
            <w:pPr>
              <w:spacing w:after="120"/>
              <w:rPr>
                <w:szCs w:val="22"/>
              </w:rPr>
            </w:pPr>
            <w:r w:rsidRPr="00DD203E">
              <w:rPr>
                <w:color w:val="000000" w:themeColor="text1"/>
                <w:szCs w:val="22"/>
              </w:rPr>
              <w:t>Brand</w:t>
            </w:r>
          </w:p>
        </w:tc>
        <w:tc>
          <w:tcPr>
            <w:tcW w:w="1284" w:type="dxa"/>
            <w:vMerge w:val="restart"/>
            <w:shd w:val="clear" w:color="auto" w:fill="B6DDE8" w:themeFill="accent5" w:themeFillTint="66"/>
          </w:tcPr>
          <w:p w14:paraId="518B39C9" w14:textId="77777777" w:rsidR="00851ED3" w:rsidRPr="00DD203E" w:rsidRDefault="00851ED3" w:rsidP="00C90311">
            <w:pPr>
              <w:spacing w:after="120"/>
              <w:jc w:val="center"/>
              <w:rPr>
                <w:szCs w:val="22"/>
              </w:rPr>
            </w:pPr>
            <w:r w:rsidRPr="00DD203E">
              <w:rPr>
                <w:color w:val="000000" w:themeColor="text1"/>
                <w:szCs w:val="22"/>
              </w:rPr>
              <w:t>Stores</w:t>
            </w:r>
          </w:p>
        </w:tc>
        <w:tc>
          <w:tcPr>
            <w:tcW w:w="1285" w:type="dxa"/>
            <w:vMerge w:val="restart"/>
            <w:shd w:val="clear" w:color="auto" w:fill="B6DDE8" w:themeFill="accent5" w:themeFillTint="66"/>
          </w:tcPr>
          <w:p w14:paraId="6534AC0F" w14:textId="77777777" w:rsidR="00851ED3" w:rsidRPr="00DD203E" w:rsidRDefault="00851ED3" w:rsidP="00C90311">
            <w:pPr>
              <w:spacing w:after="120"/>
              <w:jc w:val="center"/>
              <w:rPr>
                <w:szCs w:val="22"/>
              </w:rPr>
            </w:pPr>
            <w:r w:rsidRPr="00DD203E">
              <w:rPr>
                <w:color w:val="000000" w:themeColor="text1"/>
                <w:szCs w:val="22"/>
              </w:rPr>
              <w:t>Av. Trading floor (m</w:t>
            </w:r>
            <w:r w:rsidRPr="00861EE6">
              <w:rPr>
                <w:color w:val="000000" w:themeColor="text1"/>
                <w:szCs w:val="22"/>
                <w:vertAlign w:val="superscript"/>
              </w:rPr>
              <w:t>2</w:t>
            </w:r>
            <w:r w:rsidRPr="00DD203E">
              <w:rPr>
                <w:color w:val="000000" w:themeColor="text1"/>
                <w:szCs w:val="22"/>
              </w:rPr>
              <w:t>)</w:t>
            </w:r>
          </w:p>
        </w:tc>
        <w:tc>
          <w:tcPr>
            <w:tcW w:w="5505" w:type="dxa"/>
            <w:gridSpan w:val="4"/>
            <w:shd w:val="clear" w:color="auto" w:fill="B6DDE8" w:themeFill="accent5" w:themeFillTint="66"/>
          </w:tcPr>
          <w:p w14:paraId="30B9A5B3" w14:textId="77777777" w:rsidR="00851ED3" w:rsidRPr="00DD203E" w:rsidRDefault="00851ED3" w:rsidP="00D306E9">
            <w:pPr>
              <w:spacing w:before="60" w:after="60"/>
              <w:jc w:val="center"/>
              <w:rPr>
                <w:szCs w:val="22"/>
              </w:rPr>
            </w:pPr>
            <w:r w:rsidRPr="00DD203E">
              <w:rPr>
                <w:szCs w:val="22"/>
              </w:rPr>
              <w:t>Trading floor (m</w:t>
            </w:r>
            <w:r w:rsidRPr="00DD203E">
              <w:rPr>
                <w:szCs w:val="22"/>
                <w:vertAlign w:val="superscript"/>
              </w:rPr>
              <w:t>2</w:t>
            </w:r>
            <w:r w:rsidRPr="00DD203E">
              <w:rPr>
                <w:szCs w:val="22"/>
              </w:rPr>
              <w:t>)</w:t>
            </w:r>
            <w:r>
              <w:rPr>
                <w:szCs w:val="22"/>
              </w:rPr>
              <w:t xml:space="preserve"> </w:t>
            </w:r>
            <w:r w:rsidRPr="008D7ECE">
              <w:rPr>
                <w:szCs w:val="22"/>
                <w:vertAlign w:val="superscript"/>
              </w:rPr>
              <w:t>(4)</w:t>
            </w:r>
          </w:p>
        </w:tc>
      </w:tr>
      <w:tr w:rsidR="00851ED3" w14:paraId="23A8D005" w14:textId="77777777" w:rsidTr="00D306E9">
        <w:trPr>
          <w:trHeight w:val="283"/>
          <w:tblHeader/>
        </w:trPr>
        <w:tc>
          <w:tcPr>
            <w:tcW w:w="1424" w:type="dxa"/>
            <w:vMerge/>
            <w:shd w:val="clear" w:color="auto" w:fill="B6DDE8" w:themeFill="accent5" w:themeFillTint="66"/>
          </w:tcPr>
          <w:p w14:paraId="4534FC08" w14:textId="77777777" w:rsidR="00851ED3" w:rsidRPr="00DD203E" w:rsidRDefault="00851ED3" w:rsidP="009A23AA">
            <w:pPr>
              <w:spacing w:after="120"/>
              <w:rPr>
                <w:szCs w:val="22"/>
              </w:rPr>
            </w:pPr>
          </w:p>
        </w:tc>
        <w:tc>
          <w:tcPr>
            <w:tcW w:w="1284" w:type="dxa"/>
            <w:vMerge/>
            <w:shd w:val="clear" w:color="auto" w:fill="B6DDE8" w:themeFill="accent5" w:themeFillTint="66"/>
          </w:tcPr>
          <w:p w14:paraId="1CB59274" w14:textId="77777777" w:rsidR="00851ED3" w:rsidRPr="00DD203E" w:rsidRDefault="00851ED3" w:rsidP="00C90311">
            <w:pPr>
              <w:spacing w:after="120"/>
              <w:jc w:val="center"/>
              <w:rPr>
                <w:szCs w:val="22"/>
              </w:rPr>
            </w:pPr>
          </w:p>
        </w:tc>
        <w:tc>
          <w:tcPr>
            <w:tcW w:w="1285" w:type="dxa"/>
            <w:vMerge/>
            <w:shd w:val="clear" w:color="auto" w:fill="B6DDE8" w:themeFill="accent5" w:themeFillTint="66"/>
          </w:tcPr>
          <w:p w14:paraId="7CC033EB" w14:textId="77777777" w:rsidR="00851ED3" w:rsidRPr="00DD203E" w:rsidRDefault="00851ED3" w:rsidP="00C90311">
            <w:pPr>
              <w:spacing w:after="120"/>
              <w:jc w:val="center"/>
              <w:rPr>
                <w:szCs w:val="22"/>
              </w:rPr>
            </w:pPr>
          </w:p>
        </w:tc>
        <w:tc>
          <w:tcPr>
            <w:tcW w:w="1376" w:type="dxa"/>
            <w:shd w:val="clear" w:color="auto" w:fill="B6DDE8" w:themeFill="accent5" w:themeFillTint="66"/>
          </w:tcPr>
          <w:p w14:paraId="7494BF05" w14:textId="77777777" w:rsidR="00851ED3" w:rsidRPr="00DD203E" w:rsidRDefault="00851ED3" w:rsidP="00D306E9">
            <w:pPr>
              <w:spacing w:before="60" w:after="60"/>
              <w:jc w:val="center"/>
              <w:rPr>
                <w:szCs w:val="22"/>
              </w:rPr>
            </w:pPr>
            <w:r w:rsidRPr="00DD203E">
              <w:rPr>
                <w:szCs w:val="22"/>
              </w:rPr>
              <w:t>Large</w:t>
            </w:r>
          </w:p>
        </w:tc>
        <w:tc>
          <w:tcPr>
            <w:tcW w:w="1376" w:type="dxa"/>
            <w:shd w:val="clear" w:color="auto" w:fill="B6DDE8" w:themeFill="accent5" w:themeFillTint="66"/>
          </w:tcPr>
          <w:p w14:paraId="09711E60" w14:textId="77777777" w:rsidR="00851ED3" w:rsidRPr="00DD203E" w:rsidRDefault="00851ED3" w:rsidP="00D306E9">
            <w:pPr>
              <w:spacing w:before="60" w:after="60"/>
              <w:jc w:val="center"/>
              <w:rPr>
                <w:szCs w:val="22"/>
              </w:rPr>
            </w:pPr>
            <w:r w:rsidRPr="00DD203E">
              <w:rPr>
                <w:szCs w:val="22"/>
              </w:rPr>
              <w:t>Medium</w:t>
            </w:r>
          </w:p>
        </w:tc>
        <w:tc>
          <w:tcPr>
            <w:tcW w:w="1376" w:type="dxa"/>
            <w:shd w:val="clear" w:color="auto" w:fill="B6DDE8" w:themeFill="accent5" w:themeFillTint="66"/>
          </w:tcPr>
          <w:p w14:paraId="53A71095" w14:textId="77777777" w:rsidR="00851ED3" w:rsidRPr="00DD203E" w:rsidRDefault="00851ED3" w:rsidP="00D306E9">
            <w:pPr>
              <w:spacing w:before="60" w:after="60"/>
              <w:jc w:val="center"/>
              <w:rPr>
                <w:szCs w:val="22"/>
              </w:rPr>
            </w:pPr>
            <w:r w:rsidRPr="00DD203E">
              <w:rPr>
                <w:szCs w:val="22"/>
              </w:rPr>
              <w:t>Small</w:t>
            </w:r>
          </w:p>
        </w:tc>
        <w:tc>
          <w:tcPr>
            <w:tcW w:w="1377" w:type="dxa"/>
            <w:shd w:val="clear" w:color="auto" w:fill="B6DDE8" w:themeFill="accent5" w:themeFillTint="66"/>
          </w:tcPr>
          <w:p w14:paraId="4B33F773" w14:textId="77777777" w:rsidR="00851ED3" w:rsidRPr="00DD203E" w:rsidRDefault="00851ED3" w:rsidP="00D306E9">
            <w:pPr>
              <w:spacing w:before="60" w:after="60"/>
              <w:jc w:val="center"/>
              <w:rPr>
                <w:szCs w:val="22"/>
              </w:rPr>
            </w:pPr>
            <w:r w:rsidRPr="00DD203E">
              <w:rPr>
                <w:szCs w:val="22"/>
              </w:rPr>
              <w:t>Extra small</w:t>
            </w:r>
          </w:p>
        </w:tc>
      </w:tr>
      <w:tr w:rsidR="00851ED3" w14:paraId="3142270C" w14:textId="77777777" w:rsidTr="00D306E9">
        <w:trPr>
          <w:trHeight w:val="283"/>
          <w:tblHeader/>
        </w:trPr>
        <w:tc>
          <w:tcPr>
            <w:tcW w:w="1424" w:type="dxa"/>
            <w:vMerge/>
            <w:shd w:val="clear" w:color="auto" w:fill="B6DDE8" w:themeFill="accent5" w:themeFillTint="66"/>
          </w:tcPr>
          <w:p w14:paraId="1E41101B" w14:textId="77777777" w:rsidR="00851ED3" w:rsidRPr="00DD203E" w:rsidRDefault="00851ED3" w:rsidP="009A23AA">
            <w:pPr>
              <w:spacing w:after="120"/>
              <w:rPr>
                <w:szCs w:val="22"/>
              </w:rPr>
            </w:pPr>
          </w:p>
        </w:tc>
        <w:tc>
          <w:tcPr>
            <w:tcW w:w="1284" w:type="dxa"/>
            <w:vMerge/>
            <w:shd w:val="clear" w:color="auto" w:fill="B6DDE8" w:themeFill="accent5" w:themeFillTint="66"/>
          </w:tcPr>
          <w:p w14:paraId="4113AFCE" w14:textId="77777777" w:rsidR="00851ED3" w:rsidRPr="00DD203E" w:rsidRDefault="00851ED3" w:rsidP="00C90311">
            <w:pPr>
              <w:spacing w:after="120"/>
              <w:jc w:val="center"/>
              <w:rPr>
                <w:szCs w:val="22"/>
              </w:rPr>
            </w:pPr>
          </w:p>
        </w:tc>
        <w:tc>
          <w:tcPr>
            <w:tcW w:w="1285" w:type="dxa"/>
            <w:vMerge/>
            <w:shd w:val="clear" w:color="auto" w:fill="B6DDE8" w:themeFill="accent5" w:themeFillTint="66"/>
          </w:tcPr>
          <w:p w14:paraId="2B4C3D11" w14:textId="77777777" w:rsidR="00851ED3" w:rsidRPr="00DD203E" w:rsidRDefault="00851ED3" w:rsidP="00C90311">
            <w:pPr>
              <w:spacing w:after="120"/>
              <w:jc w:val="center"/>
              <w:rPr>
                <w:szCs w:val="22"/>
              </w:rPr>
            </w:pPr>
          </w:p>
        </w:tc>
        <w:tc>
          <w:tcPr>
            <w:tcW w:w="1376" w:type="dxa"/>
            <w:shd w:val="clear" w:color="auto" w:fill="B6DDE8" w:themeFill="accent5" w:themeFillTint="66"/>
          </w:tcPr>
          <w:p w14:paraId="26CF76BD" w14:textId="77777777" w:rsidR="00851ED3" w:rsidRPr="00DD203E" w:rsidRDefault="00851ED3" w:rsidP="00D306E9">
            <w:pPr>
              <w:spacing w:before="60" w:after="60"/>
              <w:jc w:val="center"/>
              <w:rPr>
                <w:szCs w:val="22"/>
              </w:rPr>
            </w:pPr>
            <w:r w:rsidRPr="00DD203E">
              <w:rPr>
                <w:szCs w:val="22"/>
              </w:rPr>
              <w:t>≥ 2,750</w:t>
            </w:r>
          </w:p>
        </w:tc>
        <w:tc>
          <w:tcPr>
            <w:tcW w:w="1376" w:type="dxa"/>
            <w:shd w:val="clear" w:color="auto" w:fill="B6DDE8" w:themeFill="accent5" w:themeFillTint="66"/>
          </w:tcPr>
          <w:p w14:paraId="000B0808" w14:textId="77777777" w:rsidR="00851ED3" w:rsidRPr="00DD203E" w:rsidRDefault="00851ED3" w:rsidP="00D306E9">
            <w:pPr>
              <w:spacing w:before="60" w:after="60"/>
              <w:jc w:val="center"/>
              <w:rPr>
                <w:szCs w:val="22"/>
              </w:rPr>
            </w:pPr>
            <w:r w:rsidRPr="00DD203E">
              <w:rPr>
                <w:szCs w:val="22"/>
              </w:rPr>
              <w:t>≥1,500 &amp;       &lt; 2,750</w:t>
            </w:r>
          </w:p>
        </w:tc>
        <w:tc>
          <w:tcPr>
            <w:tcW w:w="1376" w:type="dxa"/>
            <w:shd w:val="clear" w:color="auto" w:fill="B6DDE8" w:themeFill="accent5" w:themeFillTint="66"/>
          </w:tcPr>
          <w:p w14:paraId="423FC671" w14:textId="77777777" w:rsidR="00851ED3" w:rsidRPr="00DD203E" w:rsidRDefault="00851ED3" w:rsidP="00D306E9">
            <w:pPr>
              <w:spacing w:before="60" w:after="60"/>
              <w:jc w:val="center"/>
              <w:rPr>
                <w:szCs w:val="22"/>
              </w:rPr>
            </w:pPr>
            <w:r w:rsidRPr="00DD203E">
              <w:rPr>
                <w:szCs w:val="22"/>
              </w:rPr>
              <w:t>&lt; 1,500 &amp; ≥400</w:t>
            </w:r>
          </w:p>
        </w:tc>
        <w:tc>
          <w:tcPr>
            <w:tcW w:w="1377" w:type="dxa"/>
            <w:shd w:val="clear" w:color="auto" w:fill="B6DDE8" w:themeFill="accent5" w:themeFillTint="66"/>
          </w:tcPr>
          <w:p w14:paraId="23ACA4FC" w14:textId="77777777" w:rsidR="00851ED3" w:rsidRPr="00DD203E" w:rsidRDefault="00851ED3" w:rsidP="00D306E9">
            <w:pPr>
              <w:spacing w:before="60" w:after="60"/>
              <w:jc w:val="center"/>
              <w:rPr>
                <w:szCs w:val="22"/>
              </w:rPr>
            </w:pPr>
            <w:r w:rsidRPr="00DD203E">
              <w:rPr>
                <w:szCs w:val="22"/>
              </w:rPr>
              <w:t>&lt; 400</w:t>
            </w:r>
          </w:p>
        </w:tc>
      </w:tr>
      <w:tr w:rsidR="00851ED3" w14:paraId="48AE7BBC" w14:textId="77777777" w:rsidTr="00D306E9">
        <w:trPr>
          <w:trHeight w:val="492"/>
        </w:trPr>
        <w:tc>
          <w:tcPr>
            <w:tcW w:w="1424" w:type="dxa"/>
          </w:tcPr>
          <w:p w14:paraId="51E0C67C" w14:textId="77777777" w:rsidR="00851ED3" w:rsidRPr="00DD203E" w:rsidRDefault="00851ED3" w:rsidP="009A23AA">
            <w:pPr>
              <w:spacing w:after="120"/>
              <w:rPr>
                <w:color w:val="000000"/>
                <w:szCs w:val="22"/>
              </w:rPr>
            </w:pPr>
            <w:r w:rsidRPr="00DD203E">
              <w:rPr>
                <w:color w:val="000000"/>
                <w:szCs w:val="22"/>
              </w:rPr>
              <w:t>Coles</w:t>
            </w:r>
          </w:p>
        </w:tc>
        <w:tc>
          <w:tcPr>
            <w:tcW w:w="1284" w:type="dxa"/>
          </w:tcPr>
          <w:p w14:paraId="372B55B2" w14:textId="77777777" w:rsidR="00851ED3" w:rsidRPr="00DD203E" w:rsidRDefault="00851ED3" w:rsidP="00C90311">
            <w:pPr>
              <w:spacing w:after="120"/>
              <w:jc w:val="center"/>
              <w:rPr>
                <w:color w:val="000000"/>
                <w:szCs w:val="22"/>
              </w:rPr>
            </w:pPr>
            <w:r w:rsidRPr="00DD203E">
              <w:rPr>
                <w:color w:val="000000"/>
                <w:szCs w:val="22"/>
              </w:rPr>
              <w:t>80</w:t>
            </w:r>
            <w:r>
              <w:rPr>
                <w:color w:val="000000"/>
                <w:szCs w:val="22"/>
              </w:rPr>
              <w:t>8</w:t>
            </w:r>
          </w:p>
        </w:tc>
        <w:tc>
          <w:tcPr>
            <w:tcW w:w="1285" w:type="dxa"/>
          </w:tcPr>
          <w:p w14:paraId="14834E8E" w14:textId="77777777" w:rsidR="00851ED3" w:rsidRPr="00DD203E" w:rsidRDefault="00851ED3" w:rsidP="00C90311">
            <w:pPr>
              <w:spacing w:after="120"/>
              <w:jc w:val="center"/>
              <w:rPr>
                <w:color w:val="000000"/>
                <w:szCs w:val="22"/>
              </w:rPr>
            </w:pPr>
            <w:r w:rsidRPr="00DD203E">
              <w:rPr>
                <w:color w:val="000000"/>
                <w:szCs w:val="22"/>
              </w:rPr>
              <w:t>2,298</w:t>
            </w:r>
          </w:p>
        </w:tc>
        <w:tc>
          <w:tcPr>
            <w:tcW w:w="1376" w:type="dxa"/>
          </w:tcPr>
          <w:p w14:paraId="0C695C9B" w14:textId="77777777" w:rsidR="00851ED3" w:rsidRPr="00DD203E" w:rsidRDefault="00851ED3" w:rsidP="00C90311">
            <w:pPr>
              <w:spacing w:after="120"/>
              <w:jc w:val="center"/>
              <w:rPr>
                <w:color w:val="000000"/>
                <w:szCs w:val="22"/>
              </w:rPr>
            </w:pPr>
            <w:r w:rsidRPr="00DD203E">
              <w:rPr>
                <w:color w:val="000000"/>
                <w:szCs w:val="22"/>
              </w:rPr>
              <w:t>20</w:t>
            </w:r>
            <w:r>
              <w:rPr>
                <w:color w:val="000000"/>
                <w:szCs w:val="22"/>
              </w:rPr>
              <w:t>2</w:t>
            </w:r>
          </w:p>
        </w:tc>
        <w:tc>
          <w:tcPr>
            <w:tcW w:w="1376" w:type="dxa"/>
          </w:tcPr>
          <w:p w14:paraId="41125092" w14:textId="77777777" w:rsidR="00851ED3" w:rsidRPr="00DD203E" w:rsidRDefault="00851ED3" w:rsidP="00C90311">
            <w:pPr>
              <w:spacing w:after="120"/>
              <w:jc w:val="center"/>
              <w:rPr>
                <w:color w:val="000000"/>
                <w:szCs w:val="22"/>
              </w:rPr>
            </w:pPr>
            <w:r w:rsidRPr="00DD203E">
              <w:rPr>
                <w:color w:val="000000"/>
                <w:szCs w:val="22"/>
              </w:rPr>
              <w:t>40</w:t>
            </w:r>
            <w:r>
              <w:rPr>
                <w:color w:val="000000"/>
                <w:szCs w:val="22"/>
              </w:rPr>
              <w:t>4</w:t>
            </w:r>
          </w:p>
        </w:tc>
        <w:tc>
          <w:tcPr>
            <w:tcW w:w="1376" w:type="dxa"/>
          </w:tcPr>
          <w:p w14:paraId="76A9B598" w14:textId="77777777" w:rsidR="00851ED3" w:rsidRPr="00DD203E" w:rsidRDefault="00851ED3" w:rsidP="00C90311">
            <w:pPr>
              <w:spacing w:after="120"/>
              <w:jc w:val="center"/>
              <w:rPr>
                <w:color w:val="000000"/>
                <w:szCs w:val="22"/>
              </w:rPr>
            </w:pPr>
            <w:r w:rsidRPr="00DD203E">
              <w:rPr>
                <w:color w:val="000000"/>
                <w:szCs w:val="22"/>
              </w:rPr>
              <w:t>20</w:t>
            </w:r>
            <w:r>
              <w:rPr>
                <w:color w:val="000000"/>
                <w:szCs w:val="22"/>
              </w:rPr>
              <w:t>2</w:t>
            </w:r>
          </w:p>
        </w:tc>
        <w:tc>
          <w:tcPr>
            <w:tcW w:w="1377" w:type="dxa"/>
          </w:tcPr>
          <w:p w14:paraId="67A89023" w14:textId="77777777" w:rsidR="00851ED3" w:rsidRPr="00DD203E" w:rsidRDefault="00851ED3" w:rsidP="00C90311">
            <w:pPr>
              <w:spacing w:after="120"/>
              <w:jc w:val="center"/>
              <w:rPr>
                <w:color w:val="000000"/>
                <w:szCs w:val="22"/>
              </w:rPr>
            </w:pPr>
            <w:r w:rsidRPr="00DD203E">
              <w:rPr>
                <w:color w:val="000000"/>
                <w:szCs w:val="22"/>
              </w:rPr>
              <w:t>0</w:t>
            </w:r>
          </w:p>
        </w:tc>
      </w:tr>
      <w:tr w:rsidR="00851ED3" w14:paraId="10C2F5C2" w14:textId="77777777" w:rsidTr="00D306E9">
        <w:tc>
          <w:tcPr>
            <w:tcW w:w="1424" w:type="dxa"/>
          </w:tcPr>
          <w:p w14:paraId="68CDC026" w14:textId="77777777" w:rsidR="00851ED3" w:rsidRPr="00DD203E" w:rsidRDefault="00851ED3" w:rsidP="009A23AA">
            <w:pPr>
              <w:spacing w:after="120"/>
              <w:rPr>
                <w:szCs w:val="22"/>
              </w:rPr>
            </w:pPr>
            <w:r w:rsidRPr="00DD203E">
              <w:rPr>
                <w:color w:val="000000"/>
                <w:szCs w:val="22"/>
              </w:rPr>
              <w:t>Woolworths (Safeway)</w:t>
            </w:r>
            <w:r w:rsidRPr="00DD203E">
              <w:rPr>
                <w:color w:val="000000"/>
                <w:szCs w:val="22"/>
                <w:vertAlign w:val="superscript"/>
              </w:rPr>
              <w:t>(1)</w:t>
            </w:r>
          </w:p>
        </w:tc>
        <w:tc>
          <w:tcPr>
            <w:tcW w:w="1284" w:type="dxa"/>
          </w:tcPr>
          <w:p w14:paraId="38515E60" w14:textId="77777777" w:rsidR="00851ED3" w:rsidRPr="00DD203E" w:rsidRDefault="00851ED3" w:rsidP="00C90311">
            <w:pPr>
              <w:spacing w:after="120"/>
              <w:jc w:val="center"/>
              <w:rPr>
                <w:szCs w:val="22"/>
              </w:rPr>
            </w:pPr>
            <w:r w:rsidRPr="00DD203E">
              <w:rPr>
                <w:color w:val="000000"/>
                <w:szCs w:val="22"/>
              </w:rPr>
              <w:t>1,0</w:t>
            </w:r>
            <w:r>
              <w:rPr>
                <w:color w:val="000000"/>
                <w:szCs w:val="22"/>
              </w:rPr>
              <w:t>29</w:t>
            </w:r>
          </w:p>
        </w:tc>
        <w:tc>
          <w:tcPr>
            <w:tcW w:w="1285" w:type="dxa"/>
          </w:tcPr>
          <w:p w14:paraId="249E6A49" w14:textId="77777777" w:rsidR="00851ED3" w:rsidRPr="00DD203E" w:rsidRDefault="00851ED3" w:rsidP="00C90311">
            <w:pPr>
              <w:spacing w:after="120"/>
              <w:jc w:val="center"/>
              <w:rPr>
                <w:szCs w:val="22"/>
              </w:rPr>
            </w:pPr>
            <w:r w:rsidRPr="00DD203E">
              <w:rPr>
                <w:color w:val="000000"/>
                <w:szCs w:val="22"/>
              </w:rPr>
              <w:t>2,605</w:t>
            </w:r>
          </w:p>
        </w:tc>
        <w:tc>
          <w:tcPr>
            <w:tcW w:w="1376" w:type="dxa"/>
          </w:tcPr>
          <w:p w14:paraId="6C602B17" w14:textId="77777777" w:rsidR="00851ED3" w:rsidRPr="00DD203E" w:rsidRDefault="00851ED3" w:rsidP="00C90311">
            <w:pPr>
              <w:spacing w:after="120"/>
              <w:jc w:val="center"/>
              <w:rPr>
                <w:szCs w:val="22"/>
              </w:rPr>
            </w:pPr>
            <w:r w:rsidRPr="00DD203E">
              <w:rPr>
                <w:color w:val="000000"/>
                <w:szCs w:val="22"/>
              </w:rPr>
              <w:t>25</w:t>
            </w:r>
            <w:r>
              <w:rPr>
                <w:color w:val="000000"/>
                <w:szCs w:val="22"/>
              </w:rPr>
              <w:t>7</w:t>
            </w:r>
          </w:p>
        </w:tc>
        <w:tc>
          <w:tcPr>
            <w:tcW w:w="1376" w:type="dxa"/>
          </w:tcPr>
          <w:p w14:paraId="4061F084" w14:textId="77777777" w:rsidR="00851ED3" w:rsidRPr="00DD203E" w:rsidRDefault="00851ED3" w:rsidP="00C90311">
            <w:pPr>
              <w:spacing w:after="120"/>
              <w:jc w:val="center"/>
              <w:rPr>
                <w:szCs w:val="22"/>
              </w:rPr>
            </w:pPr>
            <w:r w:rsidRPr="00DD203E">
              <w:rPr>
                <w:color w:val="000000"/>
                <w:szCs w:val="22"/>
              </w:rPr>
              <w:t>5</w:t>
            </w:r>
            <w:r>
              <w:rPr>
                <w:color w:val="000000"/>
                <w:szCs w:val="22"/>
              </w:rPr>
              <w:t>15</w:t>
            </w:r>
          </w:p>
        </w:tc>
        <w:tc>
          <w:tcPr>
            <w:tcW w:w="1376" w:type="dxa"/>
          </w:tcPr>
          <w:p w14:paraId="0854C5CF" w14:textId="77777777" w:rsidR="00851ED3" w:rsidRPr="00DD203E" w:rsidRDefault="00851ED3" w:rsidP="00C90311">
            <w:pPr>
              <w:spacing w:after="120"/>
              <w:jc w:val="center"/>
              <w:rPr>
                <w:szCs w:val="22"/>
              </w:rPr>
            </w:pPr>
            <w:r w:rsidRPr="00DD203E">
              <w:rPr>
                <w:color w:val="000000"/>
                <w:szCs w:val="22"/>
              </w:rPr>
              <w:t>25</w:t>
            </w:r>
            <w:r>
              <w:rPr>
                <w:color w:val="000000"/>
                <w:szCs w:val="22"/>
              </w:rPr>
              <w:t>7</w:t>
            </w:r>
          </w:p>
        </w:tc>
        <w:tc>
          <w:tcPr>
            <w:tcW w:w="1377" w:type="dxa"/>
          </w:tcPr>
          <w:p w14:paraId="37353F1C" w14:textId="77777777" w:rsidR="00851ED3" w:rsidRPr="00DD203E" w:rsidRDefault="00851ED3" w:rsidP="00C90311">
            <w:pPr>
              <w:spacing w:after="120"/>
              <w:jc w:val="center"/>
              <w:rPr>
                <w:szCs w:val="22"/>
              </w:rPr>
            </w:pPr>
            <w:r w:rsidRPr="00DD203E">
              <w:rPr>
                <w:color w:val="000000"/>
                <w:szCs w:val="22"/>
              </w:rPr>
              <w:t>0</w:t>
            </w:r>
          </w:p>
        </w:tc>
      </w:tr>
      <w:tr w:rsidR="00851ED3" w14:paraId="7801671D" w14:textId="77777777" w:rsidTr="00D306E9">
        <w:tc>
          <w:tcPr>
            <w:tcW w:w="1424" w:type="dxa"/>
          </w:tcPr>
          <w:p w14:paraId="225ACC20" w14:textId="77777777" w:rsidR="00851ED3" w:rsidRPr="00DD203E" w:rsidRDefault="00851ED3" w:rsidP="009A23AA">
            <w:pPr>
              <w:spacing w:after="120"/>
              <w:rPr>
                <w:color w:val="000000"/>
                <w:szCs w:val="22"/>
              </w:rPr>
            </w:pPr>
            <w:r w:rsidRPr="00DD203E">
              <w:rPr>
                <w:color w:val="000000"/>
                <w:szCs w:val="22"/>
              </w:rPr>
              <w:t xml:space="preserve">Aldi </w:t>
            </w:r>
            <w:r w:rsidRPr="00DD203E">
              <w:rPr>
                <w:color w:val="000000"/>
                <w:szCs w:val="22"/>
                <w:vertAlign w:val="superscript"/>
              </w:rPr>
              <w:t>(2)</w:t>
            </w:r>
          </w:p>
        </w:tc>
        <w:tc>
          <w:tcPr>
            <w:tcW w:w="1284" w:type="dxa"/>
          </w:tcPr>
          <w:p w14:paraId="1055A764" w14:textId="77777777" w:rsidR="00851ED3" w:rsidRPr="00DD203E" w:rsidRDefault="00851ED3" w:rsidP="00C90311">
            <w:pPr>
              <w:spacing w:after="120"/>
              <w:jc w:val="center"/>
              <w:rPr>
                <w:szCs w:val="22"/>
              </w:rPr>
            </w:pPr>
            <w:r>
              <w:rPr>
                <w:szCs w:val="22"/>
              </w:rPr>
              <w:t>524</w:t>
            </w:r>
          </w:p>
        </w:tc>
        <w:tc>
          <w:tcPr>
            <w:tcW w:w="1285" w:type="dxa"/>
          </w:tcPr>
          <w:p w14:paraId="410370E8" w14:textId="77777777" w:rsidR="00851ED3" w:rsidRPr="00DD203E" w:rsidRDefault="00851ED3" w:rsidP="00C90311">
            <w:pPr>
              <w:spacing w:after="120"/>
              <w:jc w:val="center"/>
              <w:rPr>
                <w:szCs w:val="22"/>
              </w:rPr>
            </w:pPr>
            <w:r w:rsidRPr="00DD203E">
              <w:rPr>
                <w:color w:val="000000"/>
                <w:szCs w:val="22"/>
              </w:rPr>
              <w:t>1,060</w:t>
            </w:r>
          </w:p>
        </w:tc>
        <w:tc>
          <w:tcPr>
            <w:tcW w:w="1376" w:type="dxa"/>
          </w:tcPr>
          <w:p w14:paraId="3C0F5C5B" w14:textId="77777777" w:rsidR="00851ED3" w:rsidRPr="00DD203E" w:rsidRDefault="00851ED3" w:rsidP="00C90311">
            <w:pPr>
              <w:spacing w:after="120"/>
              <w:jc w:val="center"/>
              <w:rPr>
                <w:szCs w:val="22"/>
              </w:rPr>
            </w:pPr>
            <w:r w:rsidRPr="00DD203E">
              <w:rPr>
                <w:color w:val="000000"/>
                <w:szCs w:val="22"/>
              </w:rPr>
              <w:t>0</w:t>
            </w:r>
          </w:p>
        </w:tc>
        <w:tc>
          <w:tcPr>
            <w:tcW w:w="1376" w:type="dxa"/>
          </w:tcPr>
          <w:p w14:paraId="3456F45D" w14:textId="77777777" w:rsidR="00851ED3" w:rsidRPr="00DD203E" w:rsidRDefault="00851ED3" w:rsidP="00C90311">
            <w:pPr>
              <w:spacing w:after="120"/>
              <w:jc w:val="center"/>
              <w:rPr>
                <w:szCs w:val="22"/>
              </w:rPr>
            </w:pPr>
            <w:r w:rsidRPr="00DD203E">
              <w:rPr>
                <w:color w:val="000000"/>
                <w:szCs w:val="22"/>
              </w:rPr>
              <w:t>0</w:t>
            </w:r>
          </w:p>
        </w:tc>
        <w:tc>
          <w:tcPr>
            <w:tcW w:w="1376" w:type="dxa"/>
          </w:tcPr>
          <w:p w14:paraId="06E95D72" w14:textId="77777777" w:rsidR="00851ED3" w:rsidRPr="00DD203E" w:rsidRDefault="00851ED3" w:rsidP="00C90311">
            <w:pPr>
              <w:spacing w:after="120"/>
              <w:jc w:val="center"/>
              <w:rPr>
                <w:szCs w:val="22"/>
              </w:rPr>
            </w:pPr>
            <w:r>
              <w:rPr>
                <w:color w:val="000000"/>
                <w:szCs w:val="22"/>
              </w:rPr>
              <w:t>524</w:t>
            </w:r>
          </w:p>
        </w:tc>
        <w:tc>
          <w:tcPr>
            <w:tcW w:w="1377" w:type="dxa"/>
          </w:tcPr>
          <w:p w14:paraId="41B280BB" w14:textId="77777777" w:rsidR="00851ED3" w:rsidRPr="00DD203E" w:rsidRDefault="00851ED3" w:rsidP="00C90311">
            <w:pPr>
              <w:spacing w:after="120"/>
              <w:jc w:val="center"/>
              <w:rPr>
                <w:szCs w:val="22"/>
              </w:rPr>
            </w:pPr>
            <w:r w:rsidRPr="00DD203E">
              <w:rPr>
                <w:color w:val="000000"/>
                <w:szCs w:val="22"/>
              </w:rPr>
              <w:t>0</w:t>
            </w:r>
          </w:p>
        </w:tc>
      </w:tr>
      <w:tr w:rsidR="00851ED3" w14:paraId="291D0823" w14:textId="77777777" w:rsidTr="00D306E9">
        <w:tc>
          <w:tcPr>
            <w:tcW w:w="1424" w:type="dxa"/>
          </w:tcPr>
          <w:p w14:paraId="68DDB3ED" w14:textId="77777777" w:rsidR="00851ED3" w:rsidRPr="00DD203E" w:rsidRDefault="00851ED3" w:rsidP="009A23AA">
            <w:pPr>
              <w:spacing w:after="120"/>
              <w:rPr>
                <w:szCs w:val="22"/>
              </w:rPr>
            </w:pPr>
            <w:r w:rsidRPr="00DD203E">
              <w:rPr>
                <w:color w:val="000000"/>
                <w:szCs w:val="22"/>
              </w:rPr>
              <w:t>IGA</w:t>
            </w:r>
          </w:p>
        </w:tc>
        <w:tc>
          <w:tcPr>
            <w:tcW w:w="1284" w:type="dxa"/>
          </w:tcPr>
          <w:p w14:paraId="1C4C769F" w14:textId="77777777" w:rsidR="00851ED3" w:rsidRPr="00DD203E" w:rsidRDefault="00851ED3" w:rsidP="00C90311">
            <w:pPr>
              <w:spacing w:after="120"/>
              <w:jc w:val="center"/>
              <w:rPr>
                <w:szCs w:val="22"/>
              </w:rPr>
            </w:pPr>
            <w:r w:rsidRPr="00DD203E">
              <w:rPr>
                <w:color w:val="000000"/>
                <w:szCs w:val="22"/>
              </w:rPr>
              <w:t>1,6</w:t>
            </w:r>
            <w:r>
              <w:rPr>
                <w:color w:val="000000"/>
                <w:szCs w:val="22"/>
              </w:rPr>
              <w:t>74</w:t>
            </w:r>
          </w:p>
        </w:tc>
        <w:tc>
          <w:tcPr>
            <w:tcW w:w="1285" w:type="dxa"/>
            <w:vMerge w:val="restart"/>
            <w:vAlign w:val="center"/>
          </w:tcPr>
          <w:p w14:paraId="3C6F7E57" w14:textId="77777777" w:rsidR="00851ED3" w:rsidRPr="00DD203E" w:rsidRDefault="00851ED3" w:rsidP="00C90311">
            <w:pPr>
              <w:spacing w:after="120"/>
              <w:jc w:val="center"/>
              <w:rPr>
                <w:szCs w:val="22"/>
              </w:rPr>
            </w:pPr>
            <w:r>
              <w:rPr>
                <w:szCs w:val="22"/>
              </w:rPr>
              <w:t>~800</w:t>
            </w:r>
          </w:p>
        </w:tc>
        <w:tc>
          <w:tcPr>
            <w:tcW w:w="1376" w:type="dxa"/>
          </w:tcPr>
          <w:p w14:paraId="1C4E9B83" w14:textId="77777777" w:rsidR="00851ED3" w:rsidRPr="00DD203E" w:rsidRDefault="00851ED3" w:rsidP="00C90311">
            <w:pPr>
              <w:spacing w:after="120"/>
              <w:jc w:val="center"/>
              <w:rPr>
                <w:szCs w:val="22"/>
              </w:rPr>
            </w:pPr>
            <w:r w:rsidRPr="00DD203E">
              <w:rPr>
                <w:color w:val="000000"/>
                <w:szCs w:val="22"/>
              </w:rPr>
              <w:t>0</w:t>
            </w:r>
          </w:p>
        </w:tc>
        <w:tc>
          <w:tcPr>
            <w:tcW w:w="1376" w:type="dxa"/>
            <w:vAlign w:val="bottom"/>
          </w:tcPr>
          <w:p w14:paraId="0EB0A425" w14:textId="77777777" w:rsidR="00851ED3" w:rsidRPr="007624EA" w:rsidRDefault="00851ED3" w:rsidP="00C90311">
            <w:pPr>
              <w:spacing w:after="120"/>
              <w:jc w:val="center"/>
              <w:rPr>
                <w:color w:val="000000"/>
                <w:szCs w:val="22"/>
              </w:rPr>
            </w:pPr>
            <w:r w:rsidRPr="007624EA">
              <w:rPr>
                <w:color w:val="000000"/>
                <w:szCs w:val="22"/>
              </w:rPr>
              <w:t>335</w:t>
            </w:r>
          </w:p>
        </w:tc>
        <w:tc>
          <w:tcPr>
            <w:tcW w:w="1376" w:type="dxa"/>
            <w:vAlign w:val="bottom"/>
          </w:tcPr>
          <w:p w14:paraId="2995D1B8" w14:textId="77777777" w:rsidR="00851ED3" w:rsidRPr="007624EA" w:rsidRDefault="00851ED3" w:rsidP="00C90311">
            <w:pPr>
              <w:spacing w:after="120"/>
              <w:jc w:val="center"/>
              <w:rPr>
                <w:color w:val="000000"/>
                <w:szCs w:val="22"/>
              </w:rPr>
            </w:pPr>
            <w:r w:rsidRPr="007624EA">
              <w:rPr>
                <w:color w:val="000000"/>
                <w:szCs w:val="22"/>
              </w:rPr>
              <w:t>1,172</w:t>
            </w:r>
          </w:p>
        </w:tc>
        <w:tc>
          <w:tcPr>
            <w:tcW w:w="1377" w:type="dxa"/>
            <w:vAlign w:val="bottom"/>
          </w:tcPr>
          <w:p w14:paraId="739B551C" w14:textId="77777777" w:rsidR="00851ED3" w:rsidRPr="007624EA" w:rsidRDefault="00851ED3" w:rsidP="00C90311">
            <w:pPr>
              <w:spacing w:after="120"/>
              <w:jc w:val="center"/>
              <w:rPr>
                <w:color w:val="000000"/>
                <w:szCs w:val="22"/>
              </w:rPr>
            </w:pPr>
            <w:r w:rsidRPr="007624EA">
              <w:rPr>
                <w:color w:val="000000"/>
                <w:szCs w:val="22"/>
              </w:rPr>
              <w:t>167</w:t>
            </w:r>
          </w:p>
        </w:tc>
      </w:tr>
      <w:tr w:rsidR="00851ED3" w14:paraId="32ADFB0D" w14:textId="77777777" w:rsidTr="00D306E9">
        <w:tc>
          <w:tcPr>
            <w:tcW w:w="1424" w:type="dxa"/>
          </w:tcPr>
          <w:p w14:paraId="59CDEF05" w14:textId="77777777" w:rsidR="00851ED3" w:rsidRPr="00DD203E" w:rsidRDefault="00851ED3" w:rsidP="009A23AA">
            <w:pPr>
              <w:spacing w:after="120"/>
              <w:rPr>
                <w:szCs w:val="22"/>
              </w:rPr>
            </w:pPr>
            <w:proofErr w:type="spellStart"/>
            <w:r w:rsidRPr="00DD203E">
              <w:rPr>
                <w:szCs w:val="22"/>
              </w:rPr>
              <w:t>Foodworks</w:t>
            </w:r>
            <w:proofErr w:type="spellEnd"/>
          </w:p>
        </w:tc>
        <w:tc>
          <w:tcPr>
            <w:tcW w:w="1284" w:type="dxa"/>
          </w:tcPr>
          <w:p w14:paraId="4C577785" w14:textId="77777777" w:rsidR="00851ED3" w:rsidRPr="00DD203E" w:rsidRDefault="00851ED3" w:rsidP="00C90311">
            <w:pPr>
              <w:spacing w:after="120"/>
              <w:jc w:val="center"/>
              <w:rPr>
                <w:szCs w:val="22"/>
              </w:rPr>
            </w:pPr>
            <w:r w:rsidRPr="00DD203E">
              <w:rPr>
                <w:szCs w:val="22"/>
              </w:rPr>
              <w:t>530</w:t>
            </w:r>
          </w:p>
        </w:tc>
        <w:tc>
          <w:tcPr>
            <w:tcW w:w="1285" w:type="dxa"/>
            <w:vMerge/>
          </w:tcPr>
          <w:p w14:paraId="529107F3" w14:textId="77777777" w:rsidR="00851ED3" w:rsidRPr="00DD203E" w:rsidRDefault="00851ED3" w:rsidP="00C90311">
            <w:pPr>
              <w:spacing w:after="120"/>
              <w:jc w:val="center"/>
              <w:rPr>
                <w:szCs w:val="22"/>
              </w:rPr>
            </w:pPr>
          </w:p>
        </w:tc>
        <w:tc>
          <w:tcPr>
            <w:tcW w:w="1376" w:type="dxa"/>
          </w:tcPr>
          <w:p w14:paraId="20EADEEE" w14:textId="77777777" w:rsidR="00851ED3" w:rsidRPr="00DD203E" w:rsidRDefault="00851ED3" w:rsidP="00C90311">
            <w:pPr>
              <w:spacing w:after="120"/>
              <w:jc w:val="center"/>
              <w:rPr>
                <w:szCs w:val="22"/>
              </w:rPr>
            </w:pPr>
            <w:r w:rsidRPr="00DD203E">
              <w:rPr>
                <w:szCs w:val="22"/>
              </w:rPr>
              <w:t>0</w:t>
            </w:r>
          </w:p>
        </w:tc>
        <w:tc>
          <w:tcPr>
            <w:tcW w:w="1376" w:type="dxa"/>
            <w:vAlign w:val="bottom"/>
          </w:tcPr>
          <w:p w14:paraId="6D770848" w14:textId="77777777" w:rsidR="00851ED3" w:rsidRPr="007624EA" w:rsidRDefault="00851ED3" w:rsidP="00C90311">
            <w:pPr>
              <w:spacing w:after="120"/>
              <w:jc w:val="center"/>
              <w:rPr>
                <w:color w:val="000000"/>
                <w:szCs w:val="22"/>
              </w:rPr>
            </w:pPr>
            <w:r w:rsidRPr="007624EA">
              <w:rPr>
                <w:color w:val="000000"/>
                <w:szCs w:val="22"/>
              </w:rPr>
              <w:t>53</w:t>
            </w:r>
          </w:p>
        </w:tc>
        <w:tc>
          <w:tcPr>
            <w:tcW w:w="1376" w:type="dxa"/>
            <w:vAlign w:val="bottom"/>
          </w:tcPr>
          <w:p w14:paraId="0A85985D" w14:textId="77777777" w:rsidR="00851ED3" w:rsidRPr="007624EA" w:rsidRDefault="00851ED3" w:rsidP="00C90311">
            <w:pPr>
              <w:spacing w:after="120"/>
              <w:jc w:val="center"/>
              <w:rPr>
                <w:color w:val="000000"/>
                <w:szCs w:val="22"/>
              </w:rPr>
            </w:pPr>
            <w:r w:rsidRPr="007624EA">
              <w:rPr>
                <w:color w:val="000000"/>
                <w:szCs w:val="22"/>
              </w:rPr>
              <w:t>212</w:t>
            </w:r>
          </w:p>
        </w:tc>
        <w:tc>
          <w:tcPr>
            <w:tcW w:w="1377" w:type="dxa"/>
            <w:vAlign w:val="bottom"/>
          </w:tcPr>
          <w:p w14:paraId="4232D1F8" w14:textId="77777777" w:rsidR="00851ED3" w:rsidRPr="007624EA" w:rsidRDefault="00851ED3" w:rsidP="00C90311">
            <w:pPr>
              <w:spacing w:after="120"/>
              <w:jc w:val="center"/>
              <w:rPr>
                <w:color w:val="000000"/>
                <w:szCs w:val="22"/>
              </w:rPr>
            </w:pPr>
            <w:r w:rsidRPr="007624EA">
              <w:rPr>
                <w:color w:val="000000"/>
                <w:szCs w:val="22"/>
              </w:rPr>
              <w:t>265</w:t>
            </w:r>
          </w:p>
        </w:tc>
      </w:tr>
      <w:tr w:rsidR="00851ED3" w14:paraId="0C138B55" w14:textId="77777777" w:rsidTr="00D306E9">
        <w:tc>
          <w:tcPr>
            <w:tcW w:w="1424" w:type="dxa"/>
          </w:tcPr>
          <w:p w14:paraId="5784E109" w14:textId="77777777" w:rsidR="00851ED3" w:rsidRPr="00DD203E" w:rsidRDefault="00851ED3" w:rsidP="009A23AA">
            <w:pPr>
              <w:spacing w:after="120"/>
              <w:rPr>
                <w:szCs w:val="22"/>
              </w:rPr>
            </w:pPr>
            <w:r w:rsidRPr="00DD203E">
              <w:rPr>
                <w:szCs w:val="22"/>
              </w:rPr>
              <w:t>Costco</w:t>
            </w:r>
          </w:p>
        </w:tc>
        <w:tc>
          <w:tcPr>
            <w:tcW w:w="1284" w:type="dxa"/>
          </w:tcPr>
          <w:p w14:paraId="1FBA02C5" w14:textId="77777777" w:rsidR="00851ED3" w:rsidRPr="00DD203E" w:rsidRDefault="00851ED3" w:rsidP="00C90311">
            <w:pPr>
              <w:spacing w:after="120"/>
              <w:jc w:val="center"/>
              <w:rPr>
                <w:szCs w:val="22"/>
              </w:rPr>
            </w:pPr>
            <w:r>
              <w:rPr>
                <w:szCs w:val="22"/>
              </w:rPr>
              <w:t>11</w:t>
            </w:r>
          </w:p>
        </w:tc>
        <w:tc>
          <w:tcPr>
            <w:tcW w:w="1285" w:type="dxa"/>
          </w:tcPr>
          <w:p w14:paraId="3E08F3A4" w14:textId="77777777" w:rsidR="00851ED3" w:rsidRPr="00DD203E" w:rsidRDefault="00851ED3" w:rsidP="00C90311">
            <w:pPr>
              <w:spacing w:after="120"/>
              <w:jc w:val="center"/>
              <w:rPr>
                <w:szCs w:val="22"/>
              </w:rPr>
            </w:pPr>
            <w:r w:rsidRPr="00DD203E">
              <w:rPr>
                <w:szCs w:val="22"/>
              </w:rPr>
              <w:t>~5,000</w:t>
            </w:r>
          </w:p>
        </w:tc>
        <w:tc>
          <w:tcPr>
            <w:tcW w:w="1376" w:type="dxa"/>
          </w:tcPr>
          <w:p w14:paraId="7877BDA1" w14:textId="77777777" w:rsidR="00851ED3" w:rsidRPr="00DD203E" w:rsidRDefault="00851ED3" w:rsidP="00C90311">
            <w:pPr>
              <w:spacing w:after="120"/>
              <w:jc w:val="center"/>
              <w:rPr>
                <w:color w:val="000000"/>
                <w:szCs w:val="22"/>
              </w:rPr>
            </w:pPr>
            <w:r>
              <w:rPr>
                <w:color w:val="000000"/>
                <w:szCs w:val="22"/>
              </w:rPr>
              <w:t>11</w:t>
            </w:r>
          </w:p>
        </w:tc>
        <w:tc>
          <w:tcPr>
            <w:tcW w:w="1376" w:type="dxa"/>
          </w:tcPr>
          <w:p w14:paraId="24B2CEA3" w14:textId="77777777" w:rsidR="00851ED3" w:rsidRPr="00DD203E" w:rsidRDefault="00851ED3" w:rsidP="00C90311">
            <w:pPr>
              <w:spacing w:after="120"/>
              <w:jc w:val="center"/>
              <w:rPr>
                <w:color w:val="000000"/>
                <w:szCs w:val="22"/>
              </w:rPr>
            </w:pPr>
            <w:r w:rsidRPr="00DD203E">
              <w:rPr>
                <w:color w:val="000000"/>
                <w:szCs w:val="22"/>
              </w:rPr>
              <w:t>0</w:t>
            </w:r>
          </w:p>
        </w:tc>
        <w:tc>
          <w:tcPr>
            <w:tcW w:w="1376" w:type="dxa"/>
          </w:tcPr>
          <w:p w14:paraId="7AAE1482" w14:textId="77777777" w:rsidR="00851ED3" w:rsidRPr="00DD203E" w:rsidRDefault="00851ED3" w:rsidP="00C90311">
            <w:pPr>
              <w:spacing w:after="120"/>
              <w:jc w:val="center"/>
              <w:rPr>
                <w:color w:val="000000"/>
                <w:szCs w:val="22"/>
              </w:rPr>
            </w:pPr>
            <w:r w:rsidRPr="00DD203E">
              <w:rPr>
                <w:color w:val="000000"/>
                <w:szCs w:val="22"/>
              </w:rPr>
              <w:t>0</w:t>
            </w:r>
          </w:p>
        </w:tc>
        <w:tc>
          <w:tcPr>
            <w:tcW w:w="1377" w:type="dxa"/>
          </w:tcPr>
          <w:p w14:paraId="0355C281" w14:textId="77777777" w:rsidR="00851ED3" w:rsidRPr="00DD203E" w:rsidRDefault="00851ED3" w:rsidP="00C90311">
            <w:pPr>
              <w:spacing w:after="120"/>
              <w:jc w:val="center"/>
              <w:rPr>
                <w:color w:val="000000"/>
                <w:szCs w:val="22"/>
              </w:rPr>
            </w:pPr>
            <w:r w:rsidRPr="00DD203E">
              <w:rPr>
                <w:color w:val="000000"/>
                <w:szCs w:val="22"/>
              </w:rPr>
              <w:t>0</w:t>
            </w:r>
          </w:p>
        </w:tc>
      </w:tr>
      <w:tr w:rsidR="00851ED3" w14:paraId="4116BCD3" w14:textId="77777777" w:rsidTr="00D306E9">
        <w:tc>
          <w:tcPr>
            <w:tcW w:w="1424" w:type="dxa"/>
          </w:tcPr>
          <w:p w14:paraId="64D505C2" w14:textId="77777777" w:rsidR="00851ED3" w:rsidRPr="00DD203E" w:rsidRDefault="00851ED3" w:rsidP="009A23AA">
            <w:pPr>
              <w:spacing w:after="120"/>
              <w:rPr>
                <w:szCs w:val="22"/>
              </w:rPr>
            </w:pPr>
            <w:r w:rsidRPr="00DD203E">
              <w:rPr>
                <w:szCs w:val="22"/>
              </w:rPr>
              <w:t>SPAR</w:t>
            </w:r>
          </w:p>
        </w:tc>
        <w:tc>
          <w:tcPr>
            <w:tcW w:w="1284" w:type="dxa"/>
          </w:tcPr>
          <w:p w14:paraId="5B4AC110" w14:textId="77777777" w:rsidR="00851ED3" w:rsidRPr="00DD203E" w:rsidRDefault="00851ED3" w:rsidP="00C90311">
            <w:pPr>
              <w:spacing w:after="120"/>
              <w:jc w:val="center"/>
              <w:rPr>
                <w:szCs w:val="22"/>
              </w:rPr>
            </w:pPr>
            <w:r>
              <w:rPr>
                <w:szCs w:val="22"/>
              </w:rPr>
              <w:t>150</w:t>
            </w:r>
          </w:p>
        </w:tc>
        <w:tc>
          <w:tcPr>
            <w:tcW w:w="1285" w:type="dxa"/>
          </w:tcPr>
          <w:p w14:paraId="5DDD57A1" w14:textId="77777777" w:rsidR="00851ED3" w:rsidRPr="00DD203E" w:rsidRDefault="00851ED3" w:rsidP="00C90311">
            <w:pPr>
              <w:spacing w:after="120"/>
              <w:jc w:val="center"/>
              <w:rPr>
                <w:szCs w:val="22"/>
              </w:rPr>
            </w:pPr>
            <w:r w:rsidRPr="00DD203E">
              <w:rPr>
                <w:szCs w:val="22"/>
              </w:rPr>
              <w:t>-</w:t>
            </w:r>
          </w:p>
        </w:tc>
        <w:tc>
          <w:tcPr>
            <w:tcW w:w="1376" w:type="dxa"/>
          </w:tcPr>
          <w:p w14:paraId="0F77AD02" w14:textId="77777777" w:rsidR="00851ED3" w:rsidRPr="00DD203E" w:rsidRDefault="00851ED3" w:rsidP="00C90311">
            <w:pPr>
              <w:spacing w:after="120"/>
              <w:jc w:val="center"/>
              <w:rPr>
                <w:szCs w:val="22"/>
              </w:rPr>
            </w:pPr>
            <w:r w:rsidRPr="00DD203E">
              <w:rPr>
                <w:color w:val="000000"/>
                <w:szCs w:val="22"/>
              </w:rPr>
              <w:t>0</w:t>
            </w:r>
          </w:p>
        </w:tc>
        <w:tc>
          <w:tcPr>
            <w:tcW w:w="1376" w:type="dxa"/>
          </w:tcPr>
          <w:p w14:paraId="7D34E051" w14:textId="77777777" w:rsidR="00851ED3" w:rsidRPr="00DD203E" w:rsidRDefault="00851ED3" w:rsidP="00C90311">
            <w:pPr>
              <w:spacing w:after="120"/>
              <w:jc w:val="center"/>
              <w:rPr>
                <w:szCs w:val="22"/>
              </w:rPr>
            </w:pPr>
            <w:r w:rsidRPr="00DD203E">
              <w:rPr>
                <w:color w:val="000000"/>
                <w:szCs w:val="22"/>
              </w:rPr>
              <w:t>0</w:t>
            </w:r>
          </w:p>
        </w:tc>
        <w:tc>
          <w:tcPr>
            <w:tcW w:w="1376" w:type="dxa"/>
          </w:tcPr>
          <w:p w14:paraId="708E8546" w14:textId="77777777" w:rsidR="00851ED3" w:rsidRPr="00DD203E" w:rsidRDefault="00851ED3" w:rsidP="00C90311">
            <w:pPr>
              <w:spacing w:after="120"/>
              <w:jc w:val="center"/>
              <w:rPr>
                <w:szCs w:val="22"/>
              </w:rPr>
            </w:pPr>
            <w:r>
              <w:rPr>
                <w:color w:val="000000"/>
                <w:szCs w:val="22"/>
              </w:rPr>
              <w:t>30</w:t>
            </w:r>
          </w:p>
        </w:tc>
        <w:tc>
          <w:tcPr>
            <w:tcW w:w="1377" w:type="dxa"/>
          </w:tcPr>
          <w:p w14:paraId="269BC664" w14:textId="77777777" w:rsidR="00851ED3" w:rsidRPr="00DD203E" w:rsidRDefault="00851ED3" w:rsidP="00C90311">
            <w:pPr>
              <w:spacing w:after="120"/>
              <w:jc w:val="center"/>
              <w:rPr>
                <w:szCs w:val="22"/>
              </w:rPr>
            </w:pPr>
            <w:r>
              <w:rPr>
                <w:color w:val="000000"/>
                <w:szCs w:val="22"/>
              </w:rPr>
              <w:t>120</w:t>
            </w:r>
          </w:p>
        </w:tc>
      </w:tr>
      <w:tr w:rsidR="00851ED3" w14:paraId="27437348" w14:textId="77777777" w:rsidTr="00D306E9">
        <w:tc>
          <w:tcPr>
            <w:tcW w:w="1424" w:type="dxa"/>
          </w:tcPr>
          <w:p w14:paraId="2056C3F8" w14:textId="77777777" w:rsidR="00851ED3" w:rsidRPr="00DD203E" w:rsidRDefault="00851ED3" w:rsidP="009A23AA">
            <w:pPr>
              <w:spacing w:after="120"/>
              <w:rPr>
                <w:b/>
                <w:szCs w:val="22"/>
              </w:rPr>
            </w:pPr>
          </w:p>
        </w:tc>
        <w:tc>
          <w:tcPr>
            <w:tcW w:w="1284" w:type="dxa"/>
          </w:tcPr>
          <w:p w14:paraId="3BA8C85A" w14:textId="77777777" w:rsidR="00851ED3" w:rsidRPr="00DD203E" w:rsidRDefault="00851ED3" w:rsidP="00C90311">
            <w:pPr>
              <w:spacing w:after="120"/>
              <w:jc w:val="center"/>
              <w:rPr>
                <w:b/>
                <w:szCs w:val="22"/>
              </w:rPr>
            </w:pPr>
            <w:r w:rsidRPr="00DD203E">
              <w:rPr>
                <w:b/>
                <w:szCs w:val="22"/>
              </w:rPr>
              <w:t>4,</w:t>
            </w:r>
            <w:r>
              <w:rPr>
                <w:b/>
                <w:szCs w:val="22"/>
              </w:rPr>
              <w:t>726</w:t>
            </w:r>
          </w:p>
        </w:tc>
        <w:tc>
          <w:tcPr>
            <w:tcW w:w="1285" w:type="dxa"/>
          </w:tcPr>
          <w:p w14:paraId="551AF491" w14:textId="77777777" w:rsidR="00851ED3" w:rsidRPr="00DD203E" w:rsidRDefault="00851ED3" w:rsidP="00C90311">
            <w:pPr>
              <w:spacing w:after="120"/>
              <w:jc w:val="center"/>
              <w:rPr>
                <w:b/>
                <w:szCs w:val="22"/>
              </w:rPr>
            </w:pPr>
          </w:p>
        </w:tc>
        <w:tc>
          <w:tcPr>
            <w:tcW w:w="1376" w:type="dxa"/>
          </w:tcPr>
          <w:p w14:paraId="062550A5" w14:textId="77777777" w:rsidR="00851ED3" w:rsidRPr="00DD203E" w:rsidRDefault="00851ED3" w:rsidP="00C90311">
            <w:pPr>
              <w:spacing w:after="120"/>
              <w:jc w:val="center"/>
              <w:rPr>
                <w:b/>
                <w:szCs w:val="22"/>
              </w:rPr>
            </w:pPr>
            <w:r w:rsidRPr="00DD203E">
              <w:rPr>
                <w:b/>
                <w:bCs/>
                <w:szCs w:val="22"/>
              </w:rPr>
              <w:t>4</w:t>
            </w:r>
            <w:r>
              <w:rPr>
                <w:b/>
                <w:bCs/>
                <w:szCs w:val="22"/>
              </w:rPr>
              <w:t>7</w:t>
            </w:r>
            <w:r w:rsidRPr="00DD203E">
              <w:rPr>
                <w:b/>
                <w:bCs/>
                <w:szCs w:val="22"/>
              </w:rPr>
              <w:t>0</w:t>
            </w:r>
          </w:p>
        </w:tc>
        <w:tc>
          <w:tcPr>
            <w:tcW w:w="1376" w:type="dxa"/>
          </w:tcPr>
          <w:p w14:paraId="609387FB" w14:textId="77777777" w:rsidR="00851ED3" w:rsidRPr="00DD203E" w:rsidRDefault="00851ED3" w:rsidP="00C90311">
            <w:pPr>
              <w:spacing w:after="120"/>
              <w:jc w:val="center"/>
              <w:rPr>
                <w:b/>
                <w:szCs w:val="22"/>
              </w:rPr>
            </w:pPr>
            <w:r w:rsidRPr="00DD203E">
              <w:rPr>
                <w:b/>
                <w:bCs/>
                <w:szCs w:val="22"/>
              </w:rPr>
              <w:t>1,</w:t>
            </w:r>
            <w:r>
              <w:rPr>
                <w:b/>
                <w:bCs/>
                <w:szCs w:val="22"/>
              </w:rPr>
              <w:t>306</w:t>
            </w:r>
          </w:p>
        </w:tc>
        <w:tc>
          <w:tcPr>
            <w:tcW w:w="1376" w:type="dxa"/>
          </w:tcPr>
          <w:p w14:paraId="16D49150" w14:textId="77777777" w:rsidR="00851ED3" w:rsidRPr="00DD203E" w:rsidRDefault="00851ED3" w:rsidP="00C90311">
            <w:pPr>
              <w:spacing w:after="120"/>
              <w:jc w:val="center"/>
              <w:rPr>
                <w:b/>
                <w:szCs w:val="22"/>
              </w:rPr>
            </w:pPr>
            <w:r w:rsidRPr="00DD203E">
              <w:rPr>
                <w:b/>
                <w:bCs/>
                <w:szCs w:val="22"/>
              </w:rPr>
              <w:t>2,3</w:t>
            </w:r>
            <w:r>
              <w:rPr>
                <w:b/>
                <w:bCs/>
                <w:szCs w:val="22"/>
              </w:rPr>
              <w:t>97</w:t>
            </w:r>
          </w:p>
        </w:tc>
        <w:tc>
          <w:tcPr>
            <w:tcW w:w="1377" w:type="dxa"/>
          </w:tcPr>
          <w:p w14:paraId="73D75777" w14:textId="77777777" w:rsidR="00851ED3" w:rsidRPr="00DD203E" w:rsidRDefault="00851ED3" w:rsidP="00C90311">
            <w:pPr>
              <w:spacing w:after="120"/>
              <w:jc w:val="center"/>
              <w:rPr>
                <w:b/>
                <w:szCs w:val="22"/>
              </w:rPr>
            </w:pPr>
            <w:r w:rsidRPr="00DD203E">
              <w:rPr>
                <w:b/>
                <w:bCs/>
                <w:szCs w:val="22"/>
              </w:rPr>
              <w:t>5</w:t>
            </w:r>
            <w:r>
              <w:rPr>
                <w:b/>
                <w:bCs/>
                <w:szCs w:val="22"/>
              </w:rPr>
              <w:t>52</w:t>
            </w:r>
            <w:r w:rsidRPr="00831467">
              <w:rPr>
                <w:bCs/>
                <w:szCs w:val="22"/>
                <w:vertAlign w:val="superscript"/>
              </w:rPr>
              <w:t>(3)</w:t>
            </w:r>
          </w:p>
        </w:tc>
      </w:tr>
    </w:tbl>
    <w:p w14:paraId="61AA5F28" w14:textId="3268F5B1" w:rsidR="00851ED3" w:rsidRPr="008874A5" w:rsidRDefault="00851ED3" w:rsidP="009A23AA">
      <w:pPr>
        <w:spacing w:before="0"/>
        <w:rPr>
          <w:rFonts w:cs="Times New Roman"/>
          <w:sz w:val="20"/>
          <w:szCs w:val="20"/>
        </w:rPr>
      </w:pPr>
      <w:r w:rsidRPr="008874A5">
        <w:rPr>
          <w:rFonts w:cs="Times New Roman"/>
          <w:sz w:val="20"/>
          <w:szCs w:val="20"/>
        </w:rPr>
        <w:t xml:space="preserve">(Sources: </w:t>
      </w:r>
      <w:r>
        <w:rPr>
          <w:rFonts w:cs="Times New Roman"/>
          <w:sz w:val="20"/>
          <w:szCs w:val="20"/>
        </w:rPr>
        <w:t>CG</w:t>
      </w:r>
      <w:r w:rsidRPr="008874A5">
        <w:rPr>
          <w:rFonts w:cs="Times New Roman"/>
          <w:sz w:val="20"/>
          <w:szCs w:val="20"/>
        </w:rPr>
        <w:t xml:space="preserve"> 201</w:t>
      </w:r>
      <w:r>
        <w:rPr>
          <w:rFonts w:cs="Times New Roman"/>
          <w:sz w:val="20"/>
          <w:szCs w:val="20"/>
        </w:rPr>
        <w:t>9</w:t>
      </w:r>
      <w:r w:rsidRPr="008874A5">
        <w:rPr>
          <w:rFonts w:cs="Times New Roman"/>
          <w:sz w:val="20"/>
          <w:szCs w:val="20"/>
        </w:rPr>
        <w:t>, WOW 201</w:t>
      </w:r>
      <w:r>
        <w:rPr>
          <w:rFonts w:cs="Times New Roman"/>
          <w:sz w:val="20"/>
          <w:szCs w:val="20"/>
        </w:rPr>
        <w:t xml:space="preserve">9a, </w:t>
      </w:r>
      <w:r w:rsidRPr="008874A5">
        <w:rPr>
          <w:rFonts w:cs="Times New Roman"/>
          <w:sz w:val="20"/>
          <w:szCs w:val="20"/>
        </w:rPr>
        <w:t>MC 201</w:t>
      </w:r>
      <w:r>
        <w:rPr>
          <w:rFonts w:cs="Times New Roman"/>
          <w:sz w:val="20"/>
          <w:szCs w:val="20"/>
        </w:rPr>
        <w:t>8</w:t>
      </w:r>
      <w:r w:rsidRPr="008874A5">
        <w:rPr>
          <w:rFonts w:cs="Times New Roman"/>
          <w:sz w:val="20"/>
          <w:szCs w:val="20"/>
        </w:rPr>
        <w:t xml:space="preserve"> and industry sources)</w:t>
      </w:r>
    </w:p>
    <w:p w14:paraId="60115EBE" w14:textId="77777777" w:rsidR="00851ED3" w:rsidRPr="00D273D6" w:rsidRDefault="00851ED3" w:rsidP="009A23AA">
      <w:pPr>
        <w:spacing w:before="60" w:after="60"/>
        <w:rPr>
          <w:rFonts w:cs="Times New Roman"/>
          <w:sz w:val="20"/>
          <w:szCs w:val="20"/>
        </w:rPr>
      </w:pPr>
      <w:r w:rsidRPr="00D273D6">
        <w:rPr>
          <w:rFonts w:cs="Times New Roman"/>
          <w:sz w:val="20"/>
          <w:szCs w:val="20"/>
        </w:rPr>
        <w:t>Notes</w:t>
      </w:r>
      <w:r>
        <w:rPr>
          <w:rFonts w:cs="Times New Roman"/>
          <w:sz w:val="20"/>
          <w:szCs w:val="20"/>
        </w:rPr>
        <w:t>:</w:t>
      </w:r>
    </w:p>
    <w:p w14:paraId="156C775E" w14:textId="77777777" w:rsidR="00851ED3" w:rsidRPr="008D7ECE" w:rsidRDefault="00851ED3" w:rsidP="009A23AA">
      <w:pPr>
        <w:pStyle w:val="ListParagraph"/>
        <w:numPr>
          <w:ilvl w:val="0"/>
          <w:numId w:val="28"/>
        </w:numPr>
        <w:spacing w:before="60" w:after="0" w:line="240" w:lineRule="auto"/>
        <w:ind w:left="357" w:hanging="357"/>
        <w:contextualSpacing w:val="0"/>
        <w:jc w:val="both"/>
        <w:rPr>
          <w:rFonts w:ascii="Times New Roman" w:hAnsi="Times New Roman"/>
          <w:sz w:val="20"/>
          <w:szCs w:val="20"/>
        </w:rPr>
      </w:pPr>
      <w:r w:rsidRPr="008D7ECE">
        <w:rPr>
          <w:rFonts w:ascii="Times New Roman" w:hAnsi="Times New Roman"/>
          <w:sz w:val="20"/>
          <w:szCs w:val="20"/>
        </w:rPr>
        <w:t>Woolworths has more than 544 stores with attached liquor.</w:t>
      </w:r>
    </w:p>
    <w:p w14:paraId="7D2C0A8A" w14:textId="77777777" w:rsidR="00851ED3" w:rsidRDefault="00851ED3" w:rsidP="009A23AA">
      <w:pPr>
        <w:pStyle w:val="ListParagraph"/>
        <w:numPr>
          <w:ilvl w:val="0"/>
          <w:numId w:val="28"/>
        </w:numPr>
        <w:spacing w:before="60" w:after="0" w:line="240" w:lineRule="auto"/>
        <w:ind w:left="357" w:hanging="357"/>
        <w:contextualSpacing w:val="0"/>
        <w:jc w:val="both"/>
        <w:rPr>
          <w:rFonts w:ascii="Times New Roman" w:hAnsi="Times New Roman"/>
          <w:sz w:val="20"/>
          <w:szCs w:val="20"/>
        </w:rPr>
      </w:pPr>
      <w:r w:rsidRPr="00A26E50">
        <w:rPr>
          <w:rFonts w:ascii="Times New Roman" w:hAnsi="Times New Roman"/>
          <w:sz w:val="20"/>
          <w:szCs w:val="20"/>
        </w:rPr>
        <w:t>The count of stores is as of the end of 2018</w:t>
      </w:r>
      <w:r>
        <w:rPr>
          <w:rFonts w:ascii="Times New Roman" w:hAnsi="Times New Roman"/>
          <w:sz w:val="20"/>
          <w:szCs w:val="20"/>
        </w:rPr>
        <w:t>, except IGA is April 2018. T</w:t>
      </w:r>
      <w:r w:rsidRPr="00A26E50">
        <w:rPr>
          <w:rFonts w:ascii="Times New Roman" w:hAnsi="Times New Roman"/>
          <w:sz w:val="20"/>
          <w:szCs w:val="20"/>
        </w:rPr>
        <w:t>he mix of small, medium and large is estimated</w:t>
      </w:r>
      <w:r>
        <w:rPr>
          <w:rFonts w:ascii="Times New Roman" w:hAnsi="Times New Roman"/>
          <w:sz w:val="20"/>
          <w:szCs w:val="20"/>
        </w:rPr>
        <w:t xml:space="preserve"> based on total fleet m</w:t>
      </w:r>
      <w:r w:rsidRPr="00A26E50">
        <w:rPr>
          <w:rFonts w:ascii="Times New Roman" w:hAnsi="Times New Roman"/>
          <w:sz w:val="20"/>
          <w:szCs w:val="20"/>
          <w:vertAlign w:val="superscript"/>
        </w:rPr>
        <w:t>2</w:t>
      </w:r>
      <w:r>
        <w:rPr>
          <w:rFonts w:ascii="Times New Roman" w:hAnsi="Times New Roman"/>
          <w:sz w:val="20"/>
          <w:szCs w:val="20"/>
        </w:rPr>
        <w:t xml:space="preserve"> and other factors</w:t>
      </w:r>
      <w:r w:rsidRPr="00A26E50">
        <w:rPr>
          <w:rFonts w:ascii="Times New Roman" w:hAnsi="Times New Roman"/>
          <w:sz w:val="20"/>
          <w:szCs w:val="20"/>
        </w:rPr>
        <w:t>.</w:t>
      </w:r>
    </w:p>
    <w:p w14:paraId="1D9D5595" w14:textId="77777777" w:rsidR="00851ED3" w:rsidRDefault="00851ED3" w:rsidP="009A23AA">
      <w:pPr>
        <w:pStyle w:val="ListParagraph"/>
        <w:numPr>
          <w:ilvl w:val="0"/>
          <w:numId w:val="28"/>
        </w:numPr>
        <w:spacing w:before="60" w:after="0" w:line="240" w:lineRule="auto"/>
        <w:ind w:left="357" w:hanging="357"/>
        <w:contextualSpacing w:val="0"/>
        <w:jc w:val="both"/>
        <w:rPr>
          <w:rFonts w:ascii="Times New Roman" w:hAnsi="Times New Roman"/>
          <w:sz w:val="20"/>
          <w:szCs w:val="20"/>
        </w:rPr>
      </w:pPr>
      <w:r w:rsidRPr="00831467">
        <w:rPr>
          <w:rFonts w:ascii="Times New Roman" w:hAnsi="Times New Roman"/>
          <w:sz w:val="20"/>
          <w:szCs w:val="20"/>
        </w:rPr>
        <w:t>There are a further 6,</w:t>
      </w:r>
      <w:r>
        <w:rPr>
          <w:rFonts w:ascii="Times New Roman" w:hAnsi="Times New Roman"/>
          <w:sz w:val="20"/>
          <w:szCs w:val="20"/>
        </w:rPr>
        <w:t>343</w:t>
      </w:r>
      <w:r w:rsidRPr="00831467">
        <w:rPr>
          <w:rFonts w:ascii="Times New Roman" w:hAnsi="Times New Roman"/>
          <w:sz w:val="20"/>
          <w:szCs w:val="20"/>
        </w:rPr>
        <w:t xml:space="preserve"> convenience and petrol stores </w:t>
      </w:r>
      <w:r>
        <w:rPr>
          <w:rFonts w:ascii="Times New Roman" w:hAnsi="Times New Roman"/>
          <w:sz w:val="20"/>
          <w:szCs w:val="20"/>
        </w:rPr>
        <w:t xml:space="preserve">as at the end of 2017 </w:t>
      </w:r>
      <w:r w:rsidRPr="00831467">
        <w:rPr>
          <w:rFonts w:ascii="Times New Roman" w:hAnsi="Times New Roman"/>
          <w:sz w:val="20"/>
          <w:szCs w:val="20"/>
        </w:rPr>
        <w:t xml:space="preserve">including 7 Eleven, AA Holdings, </w:t>
      </w:r>
      <w:proofErr w:type="spellStart"/>
      <w:r w:rsidRPr="00831467">
        <w:rPr>
          <w:rFonts w:ascii="Times New Roman" w:hAnsi="Times New Roman"/>
          <w:sz w:val="20"/>
          <w:szCs w:val="20"/>
        </w:rPr>
        <w:t>Apco</w:t>
      </w:r>
      <w:proofErr w:type="spellEnd"/>
      <w:r w:rsidRPr="00831467">
        <w:rPr>
          <w:rFonts w:ascii="Times New Roman" w:hAnsi="Times New Roman"/>
          <w:sz w:val="20"/>
          <w:szCs w:val="20"/>
        </w:rPr>
        <w:t xml:space="preserve">, BP, Caltex All Star (excluding WW co-branded sites), Coles Express, Freedom Fuels, Independents, New Sunrise, Night Owl, On The Run (Peregrine), Puma Energy, UCB, United (incl. distributors), </w:t>
      </w:r>
      <w:r>
        <w:rPr>
          <w:rFonts w:ascii="Times New Roman" w:hAnsi="Times New Roman"/>
          <w:sz w:val="20"/>
          <w:szCs w:val="20"/>
        </w:rPr>
        <w:t xml:space="preserve">and </w:t>
      </w:r>
      <w:r w:rsidRPr="00831467">
        <w:rPr>
          <w:rFonts w:ascii="Times New Roman" w:hAnsi="Times New Roman"/>
          <w:sz w:val="20"/>
          <w:szCs w:val="20"/>
        </w:rPr>
        <w:t>Woolworths Petrol</w:t>
      </w:r>
      <w:r>
        <w:rPr>
          <w:rFonts w:ascii="Times New Roman" w:hAnsi="Times New Roman"/>
          <w:sz w:val="20"/>
          <w:szCs w:val="20"/>
        </w:rPr>
        <w:t xml:space="preserve"> (AACS 2018).</w:t>
      </w:r>
    </w:p>
    <w:p w14:paraId="37E8FBF0" w14:textId="77777777" w:rsidR="00851ED3" w:rsidRPr="00831467" w:rsidRDefault="00851ED3" w:rsidP="009A23AA">
      <w:pPr>
        <w:pStyle w:val="ListParagraph"/>
        <w:numPr>
          <w:ilvl w:val="0"/>
          <w:numId w:val="28"/>
        </w:numPr>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 xml:space="preserve">The average trading floor and allocations of sizes are estimates only and are calculated based on a combination of published information and data from industry sources. </w:t>
      </w:r>
    </w:p>
    <w:p w14:paraId="0015F29E" w14:textId="77777777" w:rsidR="00851ED3" w:rsidRPr="003E3993" w:rsidRDefault="00851ED3" w:rsidP="009A23AA">
      <w:pPr>
        <w:rPr>
          <w:rFonts w:cs="Times New Roman"/>
        </w:rPr>
      </w:pPr>
    </w:p>
    <w:p w14:paraId="321CB2F2" w14:textId="77777777" w:rsidR="00851ED3" w:rsidRPr="008D7ECE" w:rsidRDefault="00851ED3" w:rsidP="009A23AA">
      <w:pPr>
        <w:outlineLvl w:val="0"/>
        <w:rPr>
          <w:rFonts w:cs="Times New Roman"/>
          <w:color w:val="000000" w:themeColor="text1"/>
        </w:rPr>
      </w:pPr>
      <w:r w:rsidRPr="008D7ECE">
        <w:rPr>
          <w:rFonts w:cs="Times New Roman"/>
          <w:color w:val="000000" w:themeColor="text1"/>
        </w:rPr>
        <w:t>Mini-marts, convenience stores, liquor outlets and some small supermarkets generally operate with remote condensing units connected to display cases, cool rooms and freezers with total aggregate charges on average of only 40 to 80 kg. Depending on the type of retailer and location these smaller food retail and liquor outlets will also employ a variety of self-contained equipment such as self-contained refrigeration display cabinets, vending machines and frozen drink makers.</w:t>
      </w:r>
    </w:p>
    <w:p w14:paraId="1209AD15" w14:textId="77777777" w:rsidR="00851ED3" w:rsidRDefault="00851ED3" w:rsidP="009A23AA">
      <w:pPr>
        <w:rPr>
          <w:rFonts w:cs="Times New Roman"/>
        </w:rPr>
      </w:pPr>
      <w:r>
        <w:rPr>
          <w:rFonts w:cs="Times New Roman"/>
        </w:rPr>
        <w:t>S</w:t>
      </w:r>
      <w:r w:rsidRPr="003E3993">
        <w:rPr>
          <w:rFonts w:cs="Times New Roman"/>
        </w:rPr>
        <w:t>upermarkets generally contain a variety of refrigeration equipme</w:t>
      </w:r>
      <w:r>
        <w:rPr>
          <w:rFonts w:cs="Times New Roman"/>
        </w:rPr>
        <w:t>nt that can include:</w:t>
      </w:r>
    </w:p>
    <w:p w14:paraId="1841B6D4" w14:textId="77777777" w:rsidR="00851ED3" w:rsidRPr="004E36EC" w:rsidRDefault="00851ED3" w:rsidP="009A23AA">
      <w:pPr>
        <w:pStyle w:val="ListParagraph"/>
        <w:numPr>
          <w:ilvl w:val="0"/>
          <w:numId w:val="26"/>
        </w:numPr>
        <w:spacing w:before="120" w:after="0" w:line="240" w:lineRule="auto"/>
        <w:ind w:left="357" w:hanging="357"/>
        <w:contextualSpacing w:val="0"/>
        <w:jc w:val="both"/>
        <w:rPr>
          <w:rFonts w:ascii="Times New Roman" w:hAnsi="Times New Roman"/>
        </w:rPr>
      </w:pPr>
      <w:r w:rsidRPr="004E36EC">
        <w:rPr>
          <w:rFonts w:ascii="Times New Roman" w:hAnsi="Times New Roman"/>
        </w:rPr>
        <w:t xml:space="preserve">Large central plant (rack system) providing refrigeration to large volumes of glass fronted </w:t>
      </w:r>
      <w:r>
        <w:rPr>
          <w:rFonts w:ascii="Times New Roman" w:hAnsi="Times New Roman"/>
        </w:rPr>
        <w:t xml:space="preserve">and open </w:t>
      </w:r>
      <w:r w:rsidRPr="004E36EC">
        <w:rPr>
          <w:rFonts w:ascii="Times New Roman" w:hAnsi="Times New Roman"/>
        </w:rPr>
        <w:t>display cases with varying temperature requirements</w:t>
      </w:r>
      <w:r>
        <w:rPr>
          <w:rFonts w:ascii="Times New Roman" w:hAnsi="Times New Roman"/>
        </w:rPr>
        <w:t xml:space="preserve"> for dairy, meat and grocery food stuffs; large volume freezers for frozen goods; </w:t>
      </w:r>
      <w:r w:rsidRPr="004E36EC">
        <w:rPr>
          <w:rFonts w:ascii="Times New Roman" w:hAnsi="Times New Roman"/>
        </w:rPr>
        <w:t>and</w:t>
      </w:r>
      <w:r>
        <w:rPr>
          <w:rFonts w:ascii="Times New Roman" w:hAnsi="Times New Roman"/>
        </w:rPr>
        <w:t>,</w:t>
      </w:r>
      <w:r w:rsidRPr="004E36EC">
        <w:rPr>
          <w:rFonts w:ascii="Times New Roman" w:hAnsi="Times New Roman"/>
        </w:rPr>
        <w:t xml:space="preserve"> other refrigerated retail display formats</w:t>
      </w:r>
      <w:r>
        <w:rPr>
          <w:rFonts w:ascii="Times New Roman" w:hAnsi="Times New Roman"/>
        </w:rPr>
        <w:t>;</w:t>
      </w:r>
    </w:p>
    <w:p w14:paraId="2C0F9F56" w14:textId="77777777" w:rsidR="00851ED3" w:rsidRPr="004E36EC" w:rsidRDefault="00851ED3" w:rsidP="009A23AA">
      <w:pPr>
        <w:pStyle w:val="ListParagraph"/>
        <w:numPr>
          <w:ilvl w:val="0"/>
          <w:numId w:val="26"/>
        </w:numPr>
        <w:spacing w:before="120" w:after="0" w:line="240" w:lineRule="auto"/>
        <w:ind w:left="357" w:hanging="357"/>
        <w:contextualSpacing w:val="0"/>
        <w:jc w:val="both"/>
        <w:rPr>
          <w:rFonts w:ascii="Times New Roman" w:hAnsi="Times New Roman"/>
        </w:rPr>
      </w:pPr>
      <w:r w:rsidRPr="004E36EC">
        <w:rPr>
          <w:rFonts w:ascii="Times New Roman" w:hAnsi="Times New Roman"/>
        </w:rPr>
        <w:t xml:space="preserve">Remote condensing units servicing </w:t>
      </w:r>
      <w:r>
        <w:rPr>
          <w:rFonts w:ascii="Times New Roman" w:hAnsi="Times New Roman"/>
        </w:rPr>
        <w:t xml:space="preserve">refrigerated </w:t>
      </w:r>
      <w:r w:rsidRPr="004E36EC">
        <w:rPr>
          <w:rFonts w:ascii="Times New Roman" w:hAnsi="Times New Roman"/>
        </w:rPr>
        <w:t xml:space="preserve">display cases and walk-in </w:t>
      </w:r>
      <w:r>
        <w:rPr>
          <w:rFonts w:ascii="Times New Roman" w:hAnsi="Times New Roman"/>
        </w:rPr>
        <w:t>cold</w:t>
      </w:r>
      <w:r w:rsidRPr="004E36EC">
        <w:rPr>
          <w:rFonts w:ascii="Times New Roman" w:hAnsi="Times New Roman"/>
        </w:rPr>
        <w:t xml:space="preserve"> rooms</w:t>
      </w:r>
      <w:r>
        <w:rPr>
          <w:rFonts w:ascii="Times New Roman" w:hAnsi="Times New Roman"/>
        </w:rPr>
        <w:t>;</w:t>
      </w:r>
      <w:r w:rsidRPr="004E36EC">
        <w:rPr>
          <w:rFonts w:ascii="Times New Roman" w:hAnsi="Times New Roman"/>
        </w:rPr>
        <w:t xml:space="preserve"> and</w:t>
      </w:r>
      <w:r>
        <w:rPr>
          <w:rFonts w:ascii="Times New Roman" w:hAnsi="Times New Roman"/>
        </w:rPr>
        <w:t>,</w:t>
      </w:r>
      <w:r w:rsidRPr="004E36EC">
        <w:rPr>
          <w:rFonts w:ascii="Times New Roman" w:hAnsi="Times New Roman"/>
        </w:rPr>
        <w:t xml:space="preserve"> </w:t>
      </w:r>
    </w:p>
    <w:p w14:paraId="6E60622F" w14:textId="77777777" w:rsidR="00851ED3" w:rsidRPr="004E36EC" w:rsidRDefault="00851ED3" w:rsidP="009A23AA">
      <w:pPr>
        <w:pStyle w:val="ListParagraph"/>
        <w:numPr>
          <w:ilvl w:val="0"/>
          <w:numId w:val="26"/>
        </w:numPr>
        <w:spacing w:before="120" w:after="0" w:line="240" w:lineRule="auto"/>
        <w:ind w:left="357" w:hanging="357"/>
        <w:contextualSpacing w:val="0"/>
        <w:jc w:val="both"/>
        <w:rPr>
          <w:rFonts w:ascii="Times New Roman" w:hAnsi="Times New Roman"/>
        </w:rPr>
      </w:pPr>
      <w:r w:rsidRPr="004E36EC">
        <w:rPr>
          <w:rFonts w:ascii="Times New Roman" w:hAnsi="Times New Roman"/>
        </w:rPr>
        <w:t>Self-contained merchandisers in a wide variety of formats located throughout the store</w:t>
      </w:r>
      <w:r>
        <w:rPr>
          <w:rFonts w:ascii="Times New Roman" w:hAnsi="Times New Roman"/>
        </w:rPr>
        <w:t xml:space="preserve"> such as single, double or even triple door glass fronted display cabinets for selling drinks, ice cream, dairy or other medium and low temperature products.</w:t>
      </w:r>
    </w:p>
    <w:p w14:paraId="02A38AE8" w14:textId="77777777" w:rsidR="00851ED3" w:rsidRPr="003E3993" w:rsidRDefault="00851ED3" w:rsidP="009A23AA">
      <w:pPr>
        <w:rPr>
          <w:rFonts w:cs="Times New Roman"/>
        </w:rPr>
      </w:pPr>
      <w:r>
        <w:rPr>
          <w:rFonts w:cs="Times New Roman"/>
        </w:rPr>
        <w:t xml:space="preserve">A centralised plant </w:t>
      </w:r>
      <w:r w:rsidRPr="003E3993">
        <w:rPr>
          <w:rFonts w:cs="Times New Roman"/>
        </w:rPr>
        <w:t xml:space="preserve">supermarket refrigeration system typically includes 8 to 12 compressors, ranging in capacity from 7.5 to 22.5 </w:t>
      </w:r>
      <w:proofErr w:type="spellStart"/>
      <w:r w:rsidRPr="003E3993">
        <w:rPr>
          <w:rFonts w:cs="Times New Roman"/>
        </w:rPr>
        <w:t>kWr</w:t>
      </w:r>
      <w:proofErr w:type="spellEnd"/>
      <w:r w:rsidRPr="003E3993">
        <w:rPr>
          <w:rFonts w:cs="Times New Roman"/>
        </w:rPr>
        <w:t>, serving both low</w:t>
      </w:r>
      <w:r>
        <w:rPr>
          <w:rFonts w:cs="Times New Roman"/>
        </w:rPr>
        <w:t xml:space="preserve">, </w:t>
      </w:r>
      <w:r w:rsidRPr="003E3993">
        <w:rPr>
          <w:rFonts w:cs="Times New Roman"/>
        </w:rPr>
        <w:t xml:space="preserve">medium </w:t>
      </w:r>
      <w:r>
        <w:rPr>
          <w:rFonts w:cs="Times New Roman"/>
        </w:rPr>
        <w:t xml:space="preserve">and high refrigeration </w:t>
      </w:r>
      <w:r w:rsidRPr="003E3993">
        <w:rPr>
          <w:rFonts w:cs="Times New Roman"/>
        </w:rPr>
        <w:t xml:space="preserve">temperatures, built onto a rack system located in a dedicated refrigeration plant room. It is these centralised refrigeration systems that </w:t>
      </w:r>
      <w:r>
        <w:rPr>
          <w:rFonts w:cs="Times New Roman"/>
        </w:rPr>
        <w:t xml:space="preserve">are increasingly being operated with a </w:t>
      </w:r>
      <w:r w:rsidRPr="003E3993">
        <w:rPr>
          <w:rFonts w:cs="Times New Roman"/>
        </w:rPr>
        <w:t>low GWP refrigerant</w:t>
      </w:r>
      <w:r>
        <w:rPr>
          <w:rFonts w:cs="Times New Roman"/>
        </w:rPr>
        <w:t>, reducing the GWP of the bank in this segment, and</w:t>
      </w:r>
      <w:r w:rsidRPr="003E3993">
        <w:rPr>
          <w:rFonts w:cs="Times New Roman"/>
        </w:rPr>
        <w:t xml:space="preserve"> </w:t>
      </w:r>
      <w:r>
        <w:rPr>
          <w:rFonts w:cs="Times New Roman"/>
        </w:rPr>
        <w:t>delivering</w:t>
      </w:r>
      <w:r w:rsidRPr="003E3993">
        <w:rPr>
          <w:rFonts w:cs="Times New Roman"/>
        </w:rPr>
        <w:t xml:space="preserve"> significant improvements in energy efficiency</w:t>
      </w:r>
      <w:r>
        <w:rPr>
          <w:rFonts w:cs="Times New Roman"/>
        </w:rPr>
        <w:t xml:space="preserve"> from more advanced refrigeration systems</w:t>
      </w:r>
      <w:r w:rsidRPr="003E3993">
        <w:rPr>
          <w:rFonts w:cs="Times New Roman"/>
        </w:rPr>
        <w:t>.</w:t>
      </w:r>
    </w:p>
    <w:p w14:paraId="57149410" w14:textId="77777777" w:rsidR="00851ED3" w:rsidRDefault="00851ED3" w:rsidP="009A23AA">
      <w:pPr>
        <w:rPr>
          <w:rFonts w:cs="Times New Roman"/>
        </w:rPr>
      </w:pPr>
      <w:r>
        <w:rPr>
          <w:rFonts w:cs="Times New Roman"/>
        </w:rPr>
        <w:t>Historical data indicates that l</w:t>
      </w:r>
      <w:r w:rsidRPr="003E3993">
        <w:rPr>
          <w:rFonts w:cs="Times New Roman"/>
        </w:rPr>
        <w:t xml:space="preserve">arge supermarkets </w:t>
      </w:r>
      <w:r>
        <w:rPr>
          <w:rFonts w:cs="Times New Roman"/>
        </w:rPr>
        <w:t>have</w:t>
      </w:r>
      <w:r w:rsidRPr="003E3993">
        <w:rPr>
          <w:rFonts w:cs="Times New Roman"/>
        </w:rPr>
        <w:t xml:space="preserve"> employed centralised equipment requiring refrigerant charges </w:t>
      </w:r>
      <w:r>
        <w:rPr>
          <w:rFonts w:cs="Times New Roman"/>
        </w:rPr>
        <w:t xml:space="preserve">from </w:t>
      </w:r>
      <w:r w:rsidRPr="003E3993">
        <w:rPr>
          <w:rFonts w:cs="Times New Roman"/>
        </w:rPr>
        <w:t xml:space="preserve">900 </w:t>
      </w:r>
      <w:r>
        <w:rPr>
          <w:rFonts w:cs="Times New Roman"/>
        </w:rPr>
        <w:t xml:space="preserve">to 1,300 </w:t>
      </w:r>
      <w:r w:rsidRPr="003E3993">
        <w:rPr>
          <w:rFonts w:cs="Times New Roman"/>
        </w:rPr>
        <w:t>kg</w:t>
      </w:r>
      <w:r>
        <w:rPr>
          <w:rFonts w:cs="Times New Roman"/>
        </w:rPr>
        <w:t>;</w:t>
      </w:r>
      <w:r w:rsidRPr="003E3993">
        <w:rPr>
          <w:rFonts w:cs="Times New Roman"/>
        </w:rPr>
        <w:t xml:space="preserve"> with medium supermarkets generally requiring </w:t>
      </w:r>
      <w:r>
        <w:rPr>
          <w:rFonts w:cs="Times New Roman"/>
        </w:rPr>
        <w:t>between</w:t>
      </w:r>
      <w:r w:rsidRPr="003E3993">
        <w:rPr>
          <w:rFonts w:cs="Times New Roman"/>
        </w:rPr>
        <w:t xml:space="preserve"> 600 </w:t>
      </w:r>
      <w:r>
        <w:rPr>
          <w:rFonts w:cs="Times New Roman"/>
        </w:rPr>
        <w:t xml:space="preserve">to 900 </w:t>
      </w:r>
      <w:r w:rsidRPr="003E3993">
        <w:rPr>
          <w:rFonts w:cs="Times New Roman"/>
        </w:rPr>
        <w:t xml:space="preserve">kg and </w:t>
      </w:r>
      <w:r>
        <w:rPr>
          <w:rFonts w:cs="Times New Roman"/>
        </w:rPr>
        <w:t xml:space="preserve">small supermarkets employing </w:t>
      </w:r>
      <w:r w:rsidRPr="003E3993">
        <w:rPr>
          <w:rFonts w:cs="Times New Roman"/>
        </w:rPr>
        <w:t xml:space="preserve">160 </w:t>
      </w:r>
      <w:r>
        <w:rPr>
          <w:rFonts w:cs="Times New Roman"/>
        </w:rPr>
        <w:t xml:space="preserve">to 300 </w:t>
      </w:r>
      <w:r w:rsidRPr="003E3993">
        <w:rPr>
          <w:rFonts w:cs="Times New Roman"/>
        </w:rPr>
        <w:t xml:space="preserve">kg of </w:t>
      </w:r>
      <w:r>
        <w:rPr>
          <w:rFonts w:cs="Times New Roman"/>
        </w:rPr>
        <w:t>refrigerant</w:t>
      </w:r>
      <w:r w:rsidRPr="003E3993">
        <w:rPr>
          <w:rFonts w:cs="Times New Roman"/>
        </w:rPr>
        <w:t xml:space="preserve"> on average. </w:t>
      </w:r>
    </w:p>
    <w:p w14:paraId="4B8102FB" w14:textId="77777777" w:rsidR="00851ED3" w:rsidRPr="003E3993" w:rsidRDefault="00851ED3" w:rsidP="009A23AA">
      <w:pPr>
        <w:rPr>
          <w:rFonts w:cs="Times New Roman"/>
        </w:rPr>
      </w:pPr>
      <w:r>
        <w:rPr>
          <w:rFonts w:cs="Times New Roman"/>
        </w:rPr>
        <w:t xml:space="preserve">The major supermarket chains are leading </w:t>
      </w:r>
      <w:r w:rsidRPr="003E3993">
        <w:rPr>
          <w:rFonts w:cs="Times New Roman"/>
        </w:rPr>
        <w:t>the trends that are expected to do</w:t>
      </w:r>
      <w:r>
        <w:rPr>
          <w:rFonts w:cs="Times New Roman"/>
        </w:rPr>
        <w:t xml:space="preserve">minate the supermarket sector until 2030, demonstrating new technologies and practices to the rest of the commercial refrigeration sector. </w:t>
      </w:r>
    </w:p>
    <w:p w14:paraId="2F5C2782" w14:textId="77777777" w:rsidR="00851ED3" w:rsidRPr="003E3993" w:rsidRDefault="00851ED3" w:rsidP="009A23AA">
      <w:pPr>
        <w:rPr>
          <w:rFonts w:cs="Times New Roman"/>
        </w:rPr>
      </w:pPr>
      <w:r>
        <w:rPr>
          <w:rFonts w:cs="Times New Roman"/>
        </w:rPr>
        <w:t>C</w:t>
      </w:r>
      <w:r w:rsidRPr="003E3993">
        <w:rPr>
          <w:rFonts w:cs="Times New Roman"/>
        </w:rPr>
        <w:t>harge sizes are changing as modern supermarket systems evolve from conventional direct expansion rack systems, to more advanced refrigeration systems</w:t>
      </w:r>
      <w:r>
        <w:rPr>
          <w:rFonts w:cs="Times New Roman"/>
        </w:rPr>
        <w:t>,</w:t>
      </w:r>
      <w:r w:rsidRPr="003E3993">
        <w:rPr>
          <w:rFonts w:cs="Times New Roman"/>
        </w:rPr>
        <w:t xml:space="preserve"> such as cascade systems with secondary chilling loops </w:t>
      </w:r>
      <w:r>
        <w:rPr>
          <w:rFonts w:cs="Times New Roman"/>
        </w:rPr>
        <w:t>and trans-critical CO</w:t>
      </w:r>
      <w:r w:rsidRPr="006E21BD">
        <w:rPr>
          <w:rFonts w:cs="Times New Roman"/>
          <w:vertAlign w:val="subscript"/>
        </w:rPr>
        <w:t>2</w:t>
      </w:r>
      <w:r>
        <w:rPr>
          <w:rFonts w:cs="Times New Roman"/>
        </w:rPr>
        <w:t xml:space="preserve"> only systems </w:t>
      </w:r>
      <w:r w:rsidRPr="003E3993">
        <w:rPr>
          <w:rFonts w:cs="Times New Roman"/>
        </w:rPr>
        <w:t xml:space="preserve">that can encompass air conditioning loads and other refrigeration loads </w:t>
      </w:r>
      <w:r>
        <w:rPr>
          <w:rFonts w:cs="Times New Roman"/>
        </w:rPr>
        <w:t xml:space="preserve">such as </w:t>
      </w:r>
      <w:r w:rsidRPr="003E3993">
        <w:rPr>
          <w:rFonts w:cs="Times New Roman"/>
        </w:rPr>
        <w:t>attached liquor outlets</w:t>
      </w:r>
      <w:r>
        <w:rPr>
          <w:rFonts w:cs="Times New Roman"/>
        </w:rPr>
        <w:t>.</w:t>
      </w:r>
    </w:p>
    <w:p w14:paraId="7D647546" w14:textId="74876912" w:rsidR="00851ED3" w:rsidRDefault="00851ED3" w:rsidP="009A23AA">
      <w:pPr>
        <w:rPr>
          <w:rFonts w:cs="Times New Roman"/>
        </w:rPr>
      </w:pPr>
      <w:r w:rsidRPr="00462777">
        <w:rPr>
          <w:rFonts w:cs="Times New Roman"/>
        </w:rPr>
        <w:t>There are at least 4,174 supermarkets (trading floor &gt;400 m</w:t>
      </w:r>
      <w:r w:rsidRPr="00462777">
        <w:rPr>
          <w:rFonts w:cs="Times New Roman"/>
          <w:vertAlign w:val="superscript"/>
        </w:rPr>
        <w:t>2</w:t>
      </w:r>
      <w:r w:rsidRPr="00462777">
        <w:rPr>
          <w:rFonts w:cs="Times New Roman"/>
        </w:rPr>
        <w:t xml:space="preserve">) which together contain around </w:t>
      </w:r>
      <w:r w:rsidR="00462777" w:rsidRPr="00462777">
        <w:rPr>
          <w:rFonts w:cs="Times New Roman"/>
        </w:rPr>
        <w:t>2</w:t>
      </w:r>
      <w:r w:rsidRPr="00462777">
        <w:rPr>
          <w:rFonts w:cs="Times New Roman"/>
        </w:rPr>
        <w:t>,</w:t>
      </w:r>
      <w:r w:rsidR="00462777" w:rsidRPr="00462777">
        <w:rPr>
          <w:rFonts w:cs="Times New Roman"/>
        </w:rPr>
        <w:t>100</w:t>
      </w:r>
      <w:r w:rsidRPr="00462777">
        <w:rPr>
          <w:rFonts w:cs="Times New Roman"/>
        </w:rPr>
        <w:t xml:space="preserve"> tonnes of high GWP HFCs and 1</w:t>
      </w:r>
      <w:r w:rsidR="00462777" w:rsidRPr="00462777">
        <w:rPr>
          <w:rFonts w:cs="Times New Roman"/>
        </w:rPr>
        <w:t>2</w:t>
      </w:r>
      <w:r w:rsidRPr="00462777">
        <w:rPr>
          <w:rFonts w:cs="Times New Roman"/>
        </w:rPr>
        <w:t>0 tonnes of HCFCs, or about 4% of the bank (</w:t>
      </w:r>
      <w:r w:rsidRPr="00462777">
        <w:rPr>
          <w:rFonts w:cs="Times New Roman"/>
          <w:i/>
        </w:rPr>
        <w:t>CHF</w:t>
      </w:r>
      <w:r w:rsidR="00462777" w:rsidRPr="00462777">
        <w:rPr>
          <w:rFonts w:cs="Times New Roman"/>
          <w:i/>
        </w:rPr>
        <w:t>3 2016</w:t>
      </w:r>
      <w:r w:rsidR="00573EFC">
        <w:rPr>
          <w:rFonts w:cs="Times New Roman"/>
          <w:i/>
        </w:rPr>
        <w:t>,</w:t>
      </w:r>
      <w:r w:rsidRPr="00462777">
        <w:rPr>
          <w:rFonts w:cs="Times New Roman"/>
          <w:i/>
        </w:rPr>
        <w:t xml:space="preserve"> 3,200 tonnes and </w:t>
      </w:r>
      <w:r w:rsidR="00462777" w:rsidRPr="00462777">
        <w:rPr>
          <w:rFonts w:cs="Times New Roman"/>
          <w:i/>
        </w:rPr>
        <w:t>4</w:t>
      </w:r>
      <w:r w:rsidRPr="00462777">
        <w:rPr>
          <w:rFonts w:cs="Times New Roman"/>
          <w:i/>
        </w:rPr>
        <w:t>%</w:t>
      </w:r>
      <w:r w:rsidRPr="00462777">
        <w:rPr>
          <w:rFonts w:cs="Times New Roman"/>
        </w:rPr>
        <w:t>).</w:t>
      </w:r>
      <w:r w:rsidRPr="003E3993">
        <w:rPr>
          <w:rFonts w:cs="Times New Roman"/>
        </w:rPr>
        <w:t xml:space="preserve"> This estimate of the share of the bank employed in supermarkets </w:t>
      </w:r>
      <w:r w:rsidRPr="0091686D">
        <w:rPr>
          <w:rFonts w:cs="Times New Roman"/>
          <w:i/>
        </w:rPr>
        <w:t>excludes</w:t>
      </w:r>
      <w:r w:rsidRPr="003E3993">
        <w:rPr>
          <w:rFonts w:cs="Times New Roman"/>
        </w:rPr>
        <w:t xml:space="preserve"> refrigerant in self-contained devices </w:t>
      </w:r>
      <w:r>
        <w:rPr>
          <w:rFonts w:cs="Times New Roman"/>
        </w:rPr>
        <w:t>which are</w:t>
      </w:r>
      <w:r w:rsidRPr="003E3993">
        <w:rPr>
          <w:rFonts w:cs="Times New Roman"/>
        </w:rPr>
        <w:t xml:space="preserve"> analysed</w:t>
      </w:r>
      <w:r>
        <w:rPr>
          <w:rFonts w:cs="Times New Roman"/>
        </w:rPr>
        <w:t xml:space="preserve"> separately</w:t>
      </w:r>
      <w:r w:rsidRPr="003E3993">
        <w:rPr>
          <w:rFonts w:cs="Times New Roman"/>
        </w:rPr>
        <w:t xml:space="preserve"> in </w:t>
      </w:r>
      <w:r w:rsidRPr="00C5053A">
        <w:rPr>
          <w:rFonts w:cs="Times New Roman"/>
        </w:rPr>
        <w:t>Sections</w:t>
      </w:r>
      <w:r w:rsidRPr="00C5053A">
        <w:rPr>
          <w:rFonts w:cs="Times New Roman"/>
          <w:i/>
        </w:rPr>
        <w:t xml:space="preserve"> 4.4.1 RCFC, Self-contained commercial refrigeration</w:t>
      </w:r>
      <w:r>
        <w:rPr>
          <w:rFonts w:cs="Times New Roman"/>
        </w:rPr>
        <w:t>.</w:t>
      </w:r>
    </w:p>
    <w:p w14:paraId="11F3F079" w14:textId="77777777" w:rsidR="00851ED3" w:rsidRPr="003E3993" w:rsidRDefault="00851ED3" w:rsidP="009A23AA">
      <w:pPr>
        <w:rPr>
          <w:rFonts w:cs="Times New Roman"/>
        </w:rPr>
      </w:pPr>
      <w:r>
        <w:rPr>
          <w:rFonts w:cs="Times New Roman"/>
        </w:rPr>
        <w:t>In 2012 the large majority (</w:t>
      </w:r>
      <w:r w:rsidRPr="003E3993">
        <w:rPr>
          <w:rFonts w:cs="Times New Roman"/>
        </w:rPr>
        <w:t xml:space="preserve">85 </w:t>
      </w:r>
      <w:r>
        <w:rPr>
          <w:rFonts w:cs="Times New Roman"/>
        </w:rPr>
        <w:t>to 9</w:t>
      </w:r>
      <w:r w:rsidRPr="003E3993">
        <w:rPr>
          <w:rFonts w:cs="Times New Roman"/>
        </w:rPr>
        <w:t>0</w:t>
      </w:r>
      <w:r>
        <w:rPr>
          <w:rFonts w:cs="Times New Roman"/>
        </w:rPr>
        <w:t>%</w:t>
      </w:r>
      <w:r w:rsidRPr="003E3993">
        <w:rPr>
          <w:rFonts w:cs="Times New Roman"/>
        </w:rPr>
        <w:t>) of refrigerant in supermarkets was the very high GWP HFC-404A (GWP 3</w:t>
      </w:r>
      <w:r>
        <w:rPr>
          <w:rFonts w:cs="Times New Roman"/>
        </w:rPr>
        <w:t>,</w:t>
      </w:r>
      <w:r w:rsidRPr="003E3993">
        <w:rPr>
          <w:rFonts w:cs="Times New Roman"/>
        </w:rPr>
        <w:t>922). Most of the rest of the refrigerant emp</w:t>
      </w:r>
      <w:r>
        <w:rPr>
          <w:rFonts w:cs="Times New Roman"/>
        </w:rPr>
        <w:t>loyed at that time was HFC-134a</w:t>
      </w:r>
      <w:r w:rsidRPr="003E3993">
        <w:rPr>
          <w:rFonts w:cs="Times New Roman"/>
        </w:rPr>
        <w:t xml:space="preserve"> or HCFC-22. </w:t>
      </w:r>
    </w:p>
    <w:p w14:paraId="565D171D" w14:textId="380C0700" w:rsidR="00851ED3" w:rsidRPr="003E3993" w:rsidRDefault="00851ED3" w:rsidP="009A23AA">
      <w:pPr>
        <w:rPr>
          <w:rFonts w:cs="Times New Roman"/>
        </w:rPr>
      </w:pPr>
      <w:r w:rsidRPr="00E51515">
        <w:rPr>
          <w:rFonts w:cs="Times New Roman"/>
        </w:rPr>
        <w:t xml:space="preserve">As the share of the total bank attributed to supermarkets has fallen since 2012 from approximately 7% to approximately 4% </w:t>
      </w:r>
      <w:r w:rsidR="00E51515" w:rsidRPr="00E51515">
        <w:rPr>
          <w:rFonts w:cs="Times New Roman"/>
        </w:rPr>
        <w:t xml:space="preserve">by mass </w:t>
      </w:r>
      <w:r w:rsidRPr="00E51515">
        <w:rPr>
          <w:rFonts w:cs="Times New Roman"/>
        </w:rPr>
        <w:t>of the larger 201</w:t>
      </w:r>
      <w:r w:rsidR="0060100D" w:rsidRPr="00E51515">
        <w:rPr>
          <w:rFonts w:cs="Times New Roman"/>
        </w:rPr>
        <w:t>8</w:t>
      </w:r>
      <w:r w:rsidRPr="00E51515">
        <w:rPr>
          <w:rFonts w:cs="Times New Roman"/>
        </w:rPr>
        <w:t xml:space="preserve"> bank, so has the relative share of direct emissions from supermarkets fallen to an estimated </w:t>
      </w:r>
      <w:r w:rsidR="00E6230E">
        <w:rPr>
          <w:rFonts w:cs="Times New Roman"/>
        </w:rPr>
        <w:t>6</w:t>
      </w:r>
      <w:r w:rsidRPr="00E51515">
        <w:rPr>
          <w:rFonts w:cs="Times New Roman"/>
        </w:rPr>
        <w:t>% in 201</w:t>
      </w:r>
      <w:r w:rsidR="0060100D" w:rsidRPr="00E51515">
        <w:rPr>
          <w:rFonts w:cs="Times New Roman"/>
        </w:rPr>
        <w:t>8</w:t>
      </w:r>
      <w:r w:rsidR="00E51515" w:rsidRPr="00E51515">
        <w:rPr>
          <w:rFonts w:cs="Times New Roman"/>
        </w:rPr>
        <w:t xml:space="preserve"> based on </w:t>
      </w:r>
      <w:proofErr w:type="gramStart"/>
      <w:r w:rsidR="00E51515" w:rsidRPr="00E51515">
        <w:rPr>
          <w:rFonts w:cs="Times New Roman"/>
        </w:rPr>
        <w:t>CO</w:t>
      </w:r>
      <w:r w:rsidR="00E51515" w:rsidRPr="00E51515">
        <w:rPr>
          <w:rFonts w:cs="Times New Roman"/>
          <w:vertAlign w:val="subscript"/>
        </w:rPr>
        <w:t>2</w:t>
      </w:r>
      <w:r w:rsidR="00E51515" w:rsidRPr="00E51515">
        <w:rPr>
          <w:rFonts w:cs="Times New Roman"/>
        </w:rPr>
        <w:t>e</w:t>
      </w:r>
      <w:r w:rsidRPr="00E51515">
        <w:rPr>
          <w:rFonts w:cs="Times New Roman"/>
        </w:rPr>
        <w:t>.</w:t>
      </w:r>
      <w:proofErr w:type="gramEnd"/>
    </w:p>
    <w:p w14:paraId="4C4CA67A" w14:textId="5B8D9D86" w:rsidR="00851ED3" w:rsidRPr="003E3993" w:rsidRDefault="00A862A5" w:rsidP="009A23AA">
      <w:pPr>
        <w:rPr>
          <w:rFonts w:cs="Times New Roman"/>
        </w:rPr>
      </w:pPr>
      <w:r>
        <w:rPr>
          <w:rFonts w:cs="Times New Roman"/>
        </w:rPr>
        <w:t>T</w:t>
      </w:r>
      <w:r w:rsidR="00851ED3">
        <w:rPr>
          <w:rFonts w:cs="Times New Roman"/>
        </w:rPr>
        <w:t>he leading supermarket operators have also achieved real absolute reductions in direct emissions in the course of the last decade, as a result of long term programs of improved maintenance, leak reduction and improved containment, equipment redesign and a concerted shift towards lower GWP refrigerants. These increasingly common programs of improved refrigerant management are generally accompanied by, or part of, overarching energy efficiency programs, which have also been producing tremendously positive results for supermarket owners.</w:t>
      </w:r>
    </w:p>
    <w:p w14:paraId="6B13FE9E" w14:textId="27BCF0D4" w:rsidR="00851ED3" w:rsidRPr="003E3993" w:rsidRDefault="00851ED3" w:rsidP="00065330">
      <w:pPr>
        <w:rPr>
          <w:rFonts w:cs="Times New Roman"/>
          <w:lang w:val="en-AU"/>
        </w:rPr>
      </w:pPr>
      <w:r w:rsidRPr="00FB13BB">
        <w:rPr>
          <w:rFonts w:cs="Times New Roman"/>
          <w:color w:val="000000" w:themeColor="text1"/>
        </w:rPr>
        <w:t xml:space="preserve">A trend in refrigerant retrofitting, </w:t>
      </w:r>
      <w:r w:rsidR="00A862A5">
        <w:rPr>
          <w:rFonts w:cs="Times New Roman"/>
          <w:color w:val="000000" w:themeColor="text1"/>
        </w:rPr>
        <w:t xml:space="preserve">which </w:t>
      </w:r>
      <w:r w:rsidRPr="00FB13BB">
        <w:rPr>
          <w:rFonts w:cs="Times New Roman"/>
          <w:color w:val="000000" w:themeColor="text1"/>
        </w:rPr>
        <w:t xml:space="preserve">was first reported in CHF2, has also persisted. </w:t>
      </w:r>
      <w:r w:rsidR="00065330">
        <w:rPr>
          <w:rFonts w:cs="Times New Roman"/>
        </w:rPr>
        <w:t>I</w:t>
      </w:r>
      <w:r w:rsidRPr="003E3993">
        <w:rPr>
          <w:rFonts w:cs="Times New Roman"/>
        </w:rPr>
        <w:t xml:space="preserve">nvestment trends in new equipment demonstrate that the </w:t>
      </w:r>
      <w:r w:rsidRPr="007022AD">
        <w:rPr>
          <w:rFonts w:cs="Times New Roman"/>
        </w:rPr>
        <w:t xml:space="preserve">large and medium </w:t>
      </w:r>
      <w:r w:rsidRPr="007022AD">
        <w:rPr>
          <w:rFonts w:cs="Times New Roman"/>
          <w:lang w:val="en-AU"/>
        </w:rPr>
        <w:t>supermarket</w:t>
      </w:r>
      <w:r w:rsidRPr="003E3993">
        <w:rPr>
          <w:rFonts w:cs="Times New Roman"/>
          <w:lang w:val="en-AU"/>
        </w:rPr>
        <w:t xml:space="preserve"> segments in Australia are rapidly adopting refrigeration systems that need </w:t>
      </w:r>
      <w:r>
        <w:rPr>
          <w:rFonts w:cs="Times New Roman"/>
          <w:lang w:val="en-AU"/>
        </w:rPr>
        <w:t xml:space="preserve">much </w:t>
      </w:r>
      <w:r w:rsidRPr="003E3993">
        <w:rPr>
          <w:rFonts w:cs="Times New Roman"/>
          <w:lang w:val="en-AU"/>
        </w:rPr>
        <w:t>smaller HFC charges overall</w:t>
      </w:r>
      <w:r>
        <w:rPr>
          <w:rFonts w:cs="Times New Roman"/>
          <w:lang w:val="en-AU"/>
        </w:rPr>
        <w:t>.</w:t>
      </w:r>
    </w:p>
    <w:p w14:paraId="791BF266" w14:textId="77777777" w:rsidR="00851ED3" w:rsidRPr="003E3993" w:rsidRDefault="00851ED3" w:rsidP="009A23AA">
      <w:pPr>
        <w:rPr>
          <w:rFonts w:cs="Times New Roman"/>
        </w:rPr>
      </w:pPr>
      <w:r w:rsidRPr="003E3993">
        <w:rPr>
          <w:rFonts w:cs="Times New Roman"/>
          <w:lang w:val="en-AU"/>
        </w:rPr>
        <w:t xml:space="preserve">This is being achieved with the active adoption of </w:t>
      </w:r>
      <w:r>
        <w:rPr>
          <w:rFonts w:cs="Times New Roman"/>
          <w:lang w:val="en-AU"/>
        </w:rPr>
        <w:t>‘</w:t>
      </w:r>
      <w:r w:rsidRPr="003E3993">
        <w:rPr>
          <w:rFonts w:cs="Times New Roman"/>
          <w:lang w:val="en-AU"/>
        </w:rPr>
        <w:t>cascade</w:t>
      </w:r>
      <w:r>
        <w:rPr>
          <w:rFonts w:cs="Times New Roman"/>
          <w:lang w:val="en-AU"/>
        </w:rPr>
        <w:t>’</w:t>
      </w:r>
      <w:r w:rsidRPr="003E3993">
        <w:rPr>
          <w:rFonts w:cs="Times New Roman"/>
          <w:lang w:val="en-AU"/>
        </w:rPr>
        <w:t xml:space="preserve"> refrigeration systems that </w:t>
      </w:r>
      <w:r>
        <w:rPr>
          <w:rFonts w:cs="Times New Roman"/>
          <w:lang w:val="en-AU"/>
        </w:rPr>
        <w:t>employ</w:t>
      </w:r>
      <w:r w:rsidRPr="003E3993">
        <w:rPr>
          <w:rFonts w:cs="Times New Roman"/>
          <w:lang w:val="en-AU"/>
        </w:rPr>
        <w:t xml:space="preserve"> a</w:t>
      </w:r>
      <w:r>
        <w:rPr>
          <w:rFonts w:cs="Times New Roman"/>
          <w:lang w:val="en-AU"/>
        </w:rPr>
        <w:t xml:space="preserve"> smaller charge of </w:t>
      </w:r>
      <w:r w:rsidRPr="003E3993">
        <w:rPr>
          <w:rFonts w:cs="Times New Roman"/>
          <w:lang w:val="en-AU"/>
        </w:rPr>
        <w:t xml:space="preserve">high GWP HFC in </w:t>
      </w:r>
      <w:r>
        <w:rPr>
          <w:rFonts w:cs="Times New Roman"/>
          <w:lang w:val="en-AU"/>
        </w:rPr>
        <w:t>the primary cooling loop</w:t>
      </w:r>
      <w:r w:rsidRPr="003E3993">
        <w:rPr>
          <w:rFonts w:cs="Times New Roman"/>
          <w:lang w:val="en-AU"/>
        </w:rPr>
        <w:t xml:space="preserve">, and </w:t>
      </w:r>
      <w:r>
        <w:rPr>
          <w:rFonts w:cs="Times New Roman"/>
          <w:lang w:val="en-AU"/>
        </w:rPr>
        <w:t xml:space="preserve">a </w:t>
      </w:r>
      <w:r w:rsidRPr="003E3993">
        <w:rPr>
          <w:rFonts w:cs="Times New Roman"/>
          <w:lang w:val="en-AU"/>
        </w:rPr>
        <w:t>charge of CO</w:t>
      </w:r>
      <w:r w:rsidRPr="003E3993">
        <w:rPr>
          <w:rFonts w:cs="Times New Roman"/>
          <w:vertAlign w:val="subscript"/>
          <w:lang w:val="en-AU"/>
        </w:rPr>
        <w:t>2</w:t>
      </w:r>
      <w:r w:rsidRPr="003E3993">
        <w:rPr>
          <w:rFonts w:cs="Times New Roman"/>
          <w:lang w:val="en-AU"/>
        </w:rPr>
        <w:t xml:space="preserve"> in a secondary </w:t>
      </w:r>
      <w:r>
        <w:rPr>
          <w:rFonts w:cs="Times New Roman"/>
          <w:lang w:val="en-AU"/>
        </w:rPr>
        <w:t xml:space="preserve">refrigerant circuit. </w:t>
      </w:r>
    </w:p>
    <w:p w14:paraId="402F2EC3" w14:textId="77777777" w:rsidR="00851ED3" w:rsidRPr="003E3993" w:rsidRDefault="00851ED3" w:rsidP="009A23AA">
      <w:pPr>
        <w:rPr>
          <w:rFonts w:cs="Times New Roman"/>
          <w:lang w:val="en-AU"/>
        </w:rPr>
      </w:pPr>
      <w:r w:rsidRPr="003E3993">
        <w:rPr>
          <w:rFonts w:cs="Times New Roman"/>
          <w:lang w:val="en-AU"/>
        </w:rPr>
        <w:t>The first HFC/CO</w:t>
      </w:r>
      <w:r w:rsidRPr="003E3993">
        <w:rPr>
          <w:rFonts w:cs="Times New Roman"/>
          <w:vertAlign w:val="subscript"/>
          <w:lang w:val="en-AU"/>
        </w:rPr>
        <w:t>2</w:t>
      </w:r>
      <w:r w:rsidRPr="003E3993">
        <w:rPr>
          <w:rFonts w:cs="Times New Roman"/>
          <w:lang w:val="en-AU"/>
        </w:rPr>
        <w:t xml:space="preserve"> cascade refrigeration system was installed in Australia in 2005 by Coles</w:t>
      </w:r>
      <w:r>
        <w:rPr>
          <w:rFonts w:cs="Times New Roman"/>
          <w:lang w:val="en-AU"/>
        </w:rPr>
        <w:t xml:space="preserve"> and other varieties were trialled including an ammonia/CO</w:t>
      </w:r>
      <w:r w:rsidRPr="00EA6C13">
        <w:rPr>
          <w:rFonts w:cs="Times New Roman"/>
          <w:vertAlign w:val="subscript"/>
          <w:lang w:val="en-AU"/>
        </w:rPr>
        <w:t>2</w:t>
      </w:r>
      <w:r>
        <w:rPr>
          <w:rFonts w:cs="Times New Roman"/>
          <w:lang w:val="en-AU"/>
        </w:rPr>
        <w:t xml:space="preserve"> cascade system</w:t>
      </w:r>
      <w:r w:rsidRPr="003E3993">
        <w:rPr>
          <w:rFonts w:cs="Times New Roman"/>
          <w:lang w:val="en-AU"/>
        </w:rPr>
        <w:t xml:space="preserve">. There are now more </w:t>
      </w:r>
      <w:r w:rsidRPr="00D264AE">
        <w:rPr>
          <w:rFonts w:cs="Times New Roman"/>
          <w:lang w:val="en-AU"/>
        </w:rPr>
        <w:t>than 800 of</w:t>
      </w:r>
      <w:r w:rsidRPr="003E3993">
        <w:rPr>
          <w:rFonts w:cs="Times New Roman"/>
          <w:lang w:val="en-AU"/>
        </w:rPr>
        <w:t xml:space="preserve"> these </w:t>
      </w:r>
      <w:r>
        <w:rPr>
          <w:rFonts w:cs="Times New Roman"/>
          <w:lang w:val="en-AU"/>
        </w:rPr>
        <w:t xml:space="preserve">advanced refrigeration </w:t>
      </w:r>
      <w:r w:rsidRPr="003E3993">
        <w:rPr>
          <w:rFonts w:cs="Times New Roman"/>
          <w:lang w:val="en-AU"/>
        </w:rPr>
        <w:t>systems in operation in Australian supermarkets</w:t>
      </w:r>
      <w:r>
        <w:rPr>
          <w:rFonts w:cs="Times New Roman"/>
          <w:lang w:val="en-AU"/>
        </w:rPr>
        <w:t>.</w:t>
      </w:r>
      <w:r w:rsidRPr="003E3993">
        <w:rPr>
          <w:rFonts w:cs="Times New Roman"/>
          <w:lang w:val="en-AU"/>
        </w:rPr>
        <w:t xml:space="preserve"> </w:t>
      </w:r>
    </w:p>
    <w:p w14:paraId="6D21C47B" w14:textId="29AA0046" w:rsidR="00851ED3" w:rsidRDefault="00851ED3" w:rsidP="009A23AA">
      <w:pPr>
        <w:rPr>
          <w:rFonts w:cs="Times New Roman"/>
          <w:lang w:val="en-AU"/>
        </w:rPr>
      </w:pPr>
      <w:r w:rsidRPr="003E3993">
        <w:rPr>
          <w:rFonts w:cs="Times New Roman"/>
          <w:lang w:val="en-AU"/>
        </w:rPr>
        <w:t>The technology formats and charge sizes in cascade systems vary significantly, however the primary refrigerant of choice is HFC-134a</w:t>
      </w:r>
      <w:r>
        <w:rPr>
          <w:rFonts w:cs="Times New Roman"/>
          <w:lang w:val="en-AU"/>
        </w:rPr>
        <w:t xml:space="preserve"> comprising around two thirds of the total charge</w:t>
      </w:r>
      <w:r w:rsidRPr="003E3993">
        <w:rPr>
          <w:rFonts w:cs="Times New Roman"/>
          <w:lang w:val="en-AU"/>
        </w:rPr>
        <w:t xml:space="preserve">, </w:t>
      </w:r>
      <w:r w:rsidR="00A862A5">
        <w:rPr>
          <w:rFonts w:cs="Times New Roman"/>
          <w:lang w:val="en-AU"/>
        </w:rPr>
        <w:t xml:space="preserve">with </w:t>
      </w:r>
      <w:r w:rsidRPr="003E3993">
        <w:rPr>
          <w:rFonts w:cs="Times New Roman"/>
          <w:lang w:val="en-AU"/>
        </w:rPr>
        <w:t>CO</w:t>
      </w:r>
      <w:r w:rsidRPr="003E3993">
        <w:rPr>
          <w:rFonts w:cs="Times New Roman"/>
          <w:vertAlign w:val="subscript"/>
          <w:lang w:val="en-AU"/>
        </w:rPr>
        <w:t>2</w:t>
      </w:r>
      <w:r w:rsidRPr="003E3993">
        <w:rPr>
          <w:rFonts w:cs="Times New Roman"/>
          <w:lang w:val="en-AU"/>
        </w:rPr>
        <w:t xml:space="preserve"> as the secondary refrigerant</w:t>
      </w:r>
      <w:r>
        <w:rPr>
          <w:rFonts w:cs="Times New Roman"/>
          <w:lang w:val="en-AU"/>
        </w:rPr>
        <w:t xml:space="preserve"> with CO</w:t>
      </w:r>
      <w:r w:rsidRPr="000B4DE9">
        <w:rPr>
          <w:rFonts w:cs="Times New Roman"/>
          <w:vertAlign w:val="subscript"/>
          <w:lang w:val="en-AU"/>
        </w:rPr>
        <w:t>2</w:t>
      </w:r>
      <w:r>
        <w:rPr>
          <w:rFonts w:cs="Times New Roman"/>
          <w:lang w:val="en-AU"/>
        </w:rPr>
        <w:t xml:space="preserve"> charges ranging from more than 400 kg to as little as 25 kg of CO</w:t>
      </w:r>
      <w:r w:rsidRPr="00000BEE">
        <w:rPr>
          <w:rFonts w:cs="Times New Roman"/>
          <w:vertAlign w:val="subscript"/>
          <w:lang w:val="en-AU"/>
        </w:rPr>
        <w:t>2</w:t>
      </w:r>
      <w:r w:rsidRPr="003E3993">
        <w:rPr>
          <w:rFonts w:cs="Times New Roman"/>
          <w:lang w:val="en-AU"/>
        </w:rPr>
        <w:t>. This format means there will be scope to replace the HFC-134a charged phase with lower GWP blends at some time in the future</w:t>
      </w:r>
      <w:r>
        <w:rPr>
          <w:rFonts w:cs="Times New Roman"/>
          <w:lang w:val="en-AU"/>
        </w:rPr>
        <w:t xml:space="preserve"> as effective </w:t>
      </w:r>
      <w:r w:rsidR="00065330">
        <w:rPr>
          <w:rFonts w:cs="Times New Roman"/>
          <w:lang w:val="en-AU"/>
        </w:rPr>
        <w:t xml:space="preserve">HFC </w:t>
      </w:r>
      <w:r>
        <w:rPr>
          <w:rFonts w:cs="Times New Roman"/>
          <w:lang w:val="en-AU"/>
        </w:rPr>
        <w:t>replacements are proven and released to the market</w:t>
      </w:r>
      <w:r w:rsidRPr="003E3993">
        <w:rPr>
          <w:rFonts w:cs="Times New Roman"/>
          <w:lang w:val="en-AU"/>
        </w:rPr>
        <w:t>.</w:t>
      </w:r>
    </w:p>
    <w:p w14:paraId="437B9420" w14:textId="2DFD944D" w:rsidR="00851ED3" w:rsidRDefault="00851ED3" w:rsidP="009A23AA">
      <w:pPr>
        <w:rPr>
          <w:lang w:val="en-AU"/>
        </w:rPr>
      </w:pPr>
      <w:r>
        <w:rPr>
          <w:lang w:val="en-AU"/>
        </w:rPr>
        <w:t>For some time, efficient operation of CO</w:t>
      </w:r>
      <w:r w:rsidRPr="0075752C">
        <w:rPr>
          <w:vertAlign w:val="subscript"/>
          <w:lang w:val="en-AU"/>
        </w:rPr>
        <w:t>2</w:t>
      </w:r>
      <w:r>
        <w:rPr>
          <w:lang w:val="en-AU"/>
        </w:rPr>
        <w:t xml:space="preserve"> systems has been restricted in warmer climatic zones due to the low critical temperature of CO</w:t>
      </w:r>
      <w:r w:rsidRPr="0075752C">
        <w:rPr>
          <w:vertAlign w:val="subscript"/>
          <w:lang w:val="en-AU"/>
        </w:rPr>
        <w:t>2</w:t>
      </w:r>
      <w:r>
        <w:rPr>
          <w:lang w:val="en-AU"/>
        </w:rPr>
        <w:t xml:space="preserve"> refrigerant (e.g. critical temperature of CO</w:t>
      </w:r>
      <w:r w:rsidRPr="0075752C">
        <w:rPr>
          <w:vertAlign w:val="subscript"/>
          <w:lang w:val="en-AU"/>
        </w:rPr>
        <w:t>2</w:t>
      </w:r>
      <w:r>
        <w:rPr>
          <w:lang w:val="en-AU"/>
        </w:rPr>
        <w:t xml:space="preserve"> is 31.1</w:t>
      </w:r>
      <w:r w:rsidRPr="00C8615F">
        <w:rPr>
          <w:vertAlign w:val="superscript"/>
          <w:lang w:val="en-AU"/>
        </w:rPr>
        <w:t>o</w:t>
      </w:r>
      <w:r>
        <w:rPr>
          <w:lang w:val="en-AU"/>
        </w:rPr>
        <w:t>C versus 101</w:t>
      </w:r>
      <w:r w:rsidRPr="00C8615F">
        <w:rPr>
          <w:vertAlign w:val="superscript"/>
          <w:lang w:val="en-AU"/>
        </w:rPr>
        <w:t>o</w:t>
      </w:r>
      <w:r>
        <w:rPr>
          <w:lang w:val="en-AU"/>
        </w:rPr>
        <w:t>C for HFC-134a). This characteristic of CO</w:t>
      </w:r>
      <w:r w:rsidRPr="0075752C">
        <w:rPr>
          <w:vertAlign w:val="subscript"/>
          <w:lang w:val="en-AU"/>
        </w:rPr>
        <w:t>2</w:t>
      </w:r>
      <w:r>
        <w:rPr>
          <w:lang w:val="en-AU"/>
        </w:rPr>
        <w:t xml:space="preserve"> refrigerants has been a technical barrier for use of trans-critical CO</w:t>
      </w:r>
      <w:r w:rsidRPr="00E238A4">
        <w:rPr>
          <w:vertAlign w:val="subscript"/>
          <w:lang w:val="en-AU"/>
        </w:rPr>
        <w:t>2</w:t>
      </w:r>
      <w:r>
        <w:rPr>
          <w:lang w:val="en-AU"/>
        </w:rPr>
        <w:t xml:space="preserve"> systems in higher ambient </w:t>
      </w:r>
      <w:r w:rsidR="00A862A5">
        <w:rPr>
          <w:lang w:val="en-AU"/>
        </w:rPr>
        <w:t xml:space="preserve">temperature </w:t>
      </w:r>
      <w:r>
        <w:rPr>
          <w:lang w:val="en-AU"/>
        </w:rPr>
        <w:t>regions in Australia, with the early CO</w:t>
      </w:r>
      <w:r w:rsidRPr="00A56117">
        <w:rPr>
          <w:vertAlign w:val="subscript"/>
          <w:lang w:val="en-AU"/>
        </w:rPr>
        <w:t>2</w:t>
      </w:r>
      <w:r>
        <w:rPr>
          <w:lang w:val="en-AU"/>
        </w:rPr>
        <w:t xml:space="preserve"> trans-critical systems only found to perform efficiently in BCA climate zones 6 and 7. Early designs for trans-critical CO</w:t>
      </w:r>
      <w:r w:rsidRPr="0075752C">
        <w:rPr>
          <w:vertAlign w:val="subscript"/>
          <w:lang w:val="en-AU"/>
        </w:rPr>
        <w:t>2</w:t>
      </w:r>
      <w:r>
        <w:rPr>
          <w:lang w:val="en-AU"/>
        </w:rPr>
        <w:t xml:space="preserve"> systems incurred an energy penalty in the hotter months in warmer climate zones, as compared to HFC charged systems.</w:t>
      </w:r>
    </w:p>
    <w:p w14:paraId="1E743755" w14:textId="24CF8421" w:rsidR="00E85EF2" w:rsidRPr="005F6103" w:rsidRDefault="00851ED3" w:rsidP="009A23AA">
      <w:pPr>
        <w:rPr>
          <w:lang w:val="en-AU"/>
        </w:rPr>
      </w:pPr>
      <w:r w:rsidRPr="006E21BD">
        <w:rPr>
          <w:lang w:val="en-AU"/>
        </w:rPr>
        <w:t>However, a new generation of CO</w:t>
      </w:r>
      <w:r w:rsidRPr="006E21BD">
        <w:rPr>
          <w:vertAlign w:val="subscript"/>
          <w:lang w:val="en-AU"/>
        </w:rPr>
        <w:t>2</w:t>
      </w:r>
      <w:r w:rsidRPr="006E21BD">
        <w:rPr>
          <w:lang w:val="en-AU"/>
        </w:rPr>
        <w:t xml:space="preserve"> trans-critical technology is rapidly evolving with a mix of technology enhancements including booster systems, parallel compression groups, ejectors, adiabatic coolers, evaporative pre-cooling, indirect evaporative/dew point coolers and mechanical sub-cooling. Many of these innovations seek to manage the system gas cooler outlet temperature to offset the limitations of the low critical temperature of CO</w:t>
      </w:r>
      <w:r w:rsidRPr="006E21BD">
        <w:rPr>
          <w:vertAlign w:val="subscript"/>
          <w:lang w:val="en-AU"/>
        </w:rPr>
        <w:t>2</w:t>
      </w:r>
      <w:r w:rsidRPr="006E21BD">
        <w:rPr>
          <w:lang w:val="en-AU"/>
        </w:rPr>
        <w:t>.</w:t>
      </w:r>
      <w:r w:rsidR="00E6230E">
        <w:rPr>
          <w:lang w:val="en-AU"/>
        </w:rPr>
        <w:t xml:space="preserve"> </w:t>
      </w:r>
      <w:r w:rsidR="00E85EF2" w:rsidRPr="005F6103">
        <w:rPr>
          <w:lang w:val="en-AU"/>
        </w:rPr>
        <w:t xml:space="preserve">The current count on </w:t>
      </w:r>
      <w:r w:rsidR="00E6230E" w:rsidRPr="005F6103">
        <w:rPr>
          <w:lang w:val="en-AU"/>
        </w:rPr>
        <w:t>CO</w:t>
      </w:r>
      <w:r w:rsidR="00E6230E" w:rsidRPr="005F6103">
        <w:rPr>
          <w:vertAlign w:val="subscript"/>
          <w:lang w:val="en-AU"/>
        </w:rPr>
        <w:t>2</w:t>
      </w:r>
      <w:r w:rsidR="00E6230E" w:rsidRPr="005F6103">
        <w:rPr>
          <w:lang w:val="en-AU"/>
        </w:rPr>
        <w:t xml:space="preserve"> trans-critical </w:t>
      </w:r>
      <w:r w:rsidR="00E85EF2" w:rsidRPr="005F6103">
        <w:rPr>
          <w:lang w:val="en-AU"/>
        </w:rPr>
        <w:t>system</w:t>
      </w:r>
      <w:r w:rsidR="00E6230E" w:rsidRPr="005F6103">
        <w:rPr>
          <w:lang w:val="en-AU"/>
        </w:rPr>
        <w:t>s</w:t>
      </w:r>
      <w:r w:rsidR="00E85EF2" w:rsidRPr="005F6103">
        <w:rPr>
          <w:lang w:val="en-AU"/>
        </w:rPr>
        <w:t xml:space="preserve"> is</w:t>
      </w:r>
      <w:r w:rsidR="00E6230E" w:rsidRPr="005F6103">
        <w:rPr>
          <w:lang w:val="en-AU"/>
        </w:rPr>
        <w:t xml:space="preserve"> more than </w:t>
      </w:r>
      <w:r w:rsidR="00F43070">
        <w:rPr>
          <w:lang w:val="en-AU"/>
        </w:rPr>
        <w:t>3</w:t>
      </w:r>
      <w:r w:rsidR="00D56A84">
        <w:rPr>
          <w:lang w:val="en-AU"/>
        </w:rPr>
        <w:t>5</w:t>
      </w:r>
      <w:r w:rsidR="00E6230E" w:rsidRPr="005F6103">
        <w:rPr>
          <w:lang w:val="en-AU"/>
        </w:rPr>
        <w:t xml:space="preserve"> with significant growth over the next five years. For example, Aldi recently announced a target of 100 CO</w:t>
      </w:r>
      <w:r w:rsidR="00E6230E" w:rsidRPr="005F6103">
        <w:rPr>
          <w:vertAlign w:val="subscript"/>
          <w:lang w:val="en-AU"/>
        </w:rPr>
        <w:t>2</w:t>
      </w:r>
      <w:r w:rsidR="00E6230E" w:rsidRPr="005F6103">
        <w:rPr>
          <w:lang w:val="en-AU"/>
        </w:rPr>
        <w:t xml:space="preserve"> trans-critical systems by 2025.</w:t>
      </w:r>
    </w:p>
    <w:p w14:paraId="335C4B63" w14:textId="3FC3BF4F" w:rsidR="00851ED3" w:rsidRPr="00E94279" w:rsidRDefault="00A862A5" w:rsidP="009A23AA">
      <w:pPr>
        <w:rPr>
          <w:lang w:val="en-AU"/>
        </w:rPr>
      </w:pPr>
      <w:r w:rsidRPr="00A862A5">
        <w:rPr>
          <w:lang w:val="en-AU"/>
        </w:rPr>
        <w:t>CO</w:t>
      </w:r>
      <w:r w:rsidRPr="00A862A5">
        <w:rPr>
          <w:vertAlign w:val="subscript"/>
          <w:lang w:val="en-AU"/>
        </w:rPr>
        <w:t>2</w:t>
      </w:r>
      <w:r w:rsidRPr="00A862A5">
        <w:rPr>
          <w:lang w:val="en-AU"/>
        </w:rPr>
        <w:t xml:space="preserve"> trans-critical</w:t>
      </w:r>
      <w:r w:rsidR="00851ED3" w:rsidRPr="00D56A84">
        <w:rPr>
          <w:lang w:val="en-AU"/>
        </w:rPr>
        <w:t xml:space="preserve"> are now well established in major supermarket groups and are starting to be employed by smaller independent supermarket operators. </w:t>
      </w:r>
      <w:r>
        <w:rPr>
          <w:lang w:val="en-AU"/>
        </w:rPr>
        <w:t>S</w:t>
      </w:r>
      <w:r w:rsidR="00851ED3" w:rsidRPr="00D56A84">
        <w:rPr>
          <w:lang w:val="en-AU"/>
        </w:rPr>
        <w:t>upermarket contractor AJ Baker has installed CO</w:t>
      </w:r>
      <w:r w:rsidR="00851ED3" w:rsidRPr="00D56A84">
        <w:rPr>
          <w:vertAlign w:val="subscript"/>
          <w:lang w:val="en-AU"/>
        </w:rPr>
        <w:t>2</w:t>
      </w:r>
      <w:r w:rsidR="00851ED3" w:rsidRPr="00D56A84">
        <w:rPr>
          <w:lang w:val="en-AU"/>
        </w:rPr>
        <w:t xml:space="preserve"> trans-critical systems across </w:t>
      </w:r>
      <w:r w:rsidR="00D56A84" w:rsidRPr="00D56A84">
        <w:rPr>
          <w:lang w:val="en-AU"/>
        </w:rPr>
        <w:t>20</w:t>
      </w:r>
      <w:r w:rsidR="00851ED3" w:rsidRPr="00D56A84">
        <w:rPr>
          <w:lang w:val="en-AU"/>
        </w:rPr>
        <w:t xml:space="preserve"> sites with </w:t>
      </w:r>
      <w:r w:rsidR="00D56A84" w:rsidRPr="00D56A84">
        <w:rPr>
          <w:lang w:val="en-AU"/>
        </w:rPr>
        <w:t xml:space="preserve">eight </w:t>
      </w:r>
      <w:r w:rsidR="00851ED3" w:rsidRPr="00D56A84">
        <w:rPr>
          <w:lang w:val="en-AU"/>
        </w:rPr>
        <w:t xml:space="preserve">in Perth, </w:t>
      </w:r>
      <w:r w:rsidR="00D56A84" w:rsidRPr="00D56A84">
        <w:rPr>
          <w:lang w:val="en-AU"/>
        </w:rPr>
        <w:t xml:space="preserve">three </w:t>
      </w:r>
      <w:r w:rsidR="00851ED3" w:rsidRPr="00D56A84">
        <w:rPr>
          <w:lang w:val="en-AU"/>
        </w:rPr>
        <w:t xml:space="preserve">in Brisbane, </w:t>
      </w:r>
      <w:r w:rsidR="00D56A84" w:rsidRPr="00D56A84">
        <w:rPr>
          <w:lang w:val="en-AU"/>
        </w:rPr>
        <w:t xml:space="preserve">three </w:t>
      </w:r>
      <w:r w:rsidR="00851ED3" w:rsidRPr="00D56A84">
        <w:rPr>
          <w:lang w:val="en-AU"/>
        </w:rPr>
        <w:t xml:space="preserve">in Sydney and </w:t>
      </w:r>
      <w:r w:rsidR="00D56A84" w:rsidRPr="00D56A84">
        <w:rPr>
          <w:lang w:val="en-AU"/>
        </w:rPr>
        <w:t xml:space="preserve">six </w:t>
      </w:r>
      <w:r w:rsidR="00851ED3" w:rsidRPr="00D56A84">
        <w:rPr>
          <w:lang w:val="en-AU"/>
        </w:rPr>
        <w:t>others in climate zones 5 and 6 as of March 201</w:t>
      </w:r>
      <w:r w:rsidR="00D56A84" w:rsidRPr="00D56A84">
        <w:rPr>
          <w:lang w:val="en-AU"/>
        </w:rPr>
        <w:t>9</w:t>
      </w:r>
      <w:r w:rsidR="00851ED3" w:rsidRPr="00D56A84">
        <w:rPr>
          <w:lang w:val="en-AU"/>
        </w:rPr>
        <w:t>.</w:t>
      </w:r>
      <w:r w:rsidR="00851ED3" w:rsidRPr="00D56A84">
        <w:rPr>
          <w:rStyle w:val="FootnoteReference"/>
        </w:rPr>
        <w:footnoteReference w:id="18"/>
      </w:r>
      <w:r w:rsidR="00851ED3" w:rsidRPr="00D56A84">
        <w:rPr>
          <w:lang w:val="en-AU"/>
        </w:rPr>
        <w:t xml:space="preserve"> T</w:t>
      </w:r>
      <w:r w:rsidR="00851ED3" w:rsidRPr="00F43070">
        <w:rPr>
          <w:lang w:val="en-AU"/>
        </w:rPr>
        <w:t>he key lessons have been that system gas cooler outlet temperature control is imperative for energy efficient operation in higher ambient temperature zones, and that adiabatic coolers can deliver energy savings not previously possible in hotter months.</w:t>
      </w:r>
    </w:p>
    <w:p w14:paraId="76C4DE04" w14:textId="77777777" w:rsidR="00851ED3" w:rsidRDefault="00851ED3" w:rsidP="009A23AA">
      <w:pPr>
        <w:rPr>
          <w:rFonts w:cs="Times New Roman"/>
        </w:rPr>
      </w:pPr>
      <w:r w:rsidRPr="00A56117">
        <w:rPr>
          <w:rFonts w:cs="Times New Roman"/>
        </w:rPr>
        <w:t>A combination of the focus on alternative refrigerants, dedicated efforts to reduce losses of refrigerant, the shift to cascade systems with much smaller HFC charges, and the adoption of some CO</w:t>
      </w:r>
      <w:r w:rsidRPr="00A56117">
        <w:rPr>
          <w:rFonts w:cs="Times New Roman"/>
          <w:vertAlign w:val="subscript"/>
        </w:rPr>
        <w:t>2</w:t>
      </w:r>
      <w:r>
        <w:rPr>
          <w:rFonts w:cs="Times New Roman"/>
        </w:rPr>
        <w:t>-</w:t>
      </w:r>
      <w:r w:rsidRPr="00A56117">
        <w:rPr>
          <w:rFonts w:cs="Times New Roman"/>
        </w:rPr>
        <w:t>only trans-critical systems, have all contributed to reduce demand for bulk refrigerant in supermarkets.</w:t>
      </w:r>
    </w:p>
    <w:p w14:paraId="79864379" w14:textId="1A69F0FE" w:rsidR="00851ED3" w:rsidRPr="003E3993" w:rsidRDefault="00851ED3" w:rsidP="009A23AA">
      <w:pPr>
        <w:rPr>
          <w:rFonts w:cs="Times New Roman"/>
          <w:lang w:val="en-AU"/>
        </w:rPr>
      </w:pPr>
      <w:r w:rsidRPr="003E3993">
        <w:rPr>
          <w:rFonts w:cs="Times New Roman"/>
          <w:lang w:val="en-AU"/>
        </w:rPr>
        <w:t xml:space="preserve">As a result of these trends </w:t>
      </w:r>
      <w:r>
        <w:rPr>
          <w:rFonts w:cs="Times New Roman"/>
          <w:lang w:val="en-AU"/>
        </w:rPr>
        <w:t>the RAC Stock m</w:t>
      </w:r>
      <w:r w:rsidRPr="003E3993">
        <w:rPr>
          <w:rFonts w:cs="Times New Roman"/>
          <w:lang w:val="en-AU"/>
        </w:rPr>
        <w:t xml:space="preserve">odel predicts that </w:t>
      </w:r>
      <w:r>
        <w:rPr>
          <w:rFonts w:cs="Times New Roman"/>
          <w:lang w:val="en-AU"/>
        </w:rPr>
        <w:t xml:space="preserve">a significant portion of </w:t>
      </w:r>
      <w:r w:rsidRPr="003E3993">
        <w:rPr>
          <w:rFonts w:cs="Times New Roman"/>
          <w:lang w:val="en-AU"/>
        </w:rPr>
        <w:t xml:space="preserve">high GWP refrigerants will be removed from the supermarket sector by 2030, with around </w:t>
      </w:r>
      <w:r>
        <w:rPr>
          <w:rFonts w:cs="Times New Roman"/>
          <w:lang w:val="en-AU"/>
        </w:rPr>
        <w:t>35</w:t>
      </w:r>
      <w:r w:rsidRPr="003E3993">
        <w:rPr>
          <w:rFonts w:cs="Times New Roman"/>
          <w:lang w:val="en-AU"/>
        </w:rPr>
        <w:t xml:space="preserve">% of systems operating </w:t>
      </w:r>
      <w:r w:rsidRPr="00287428">
        <w:rPr>
          <w:rFonts w:cs="Times New Roman"/>
          <w:lang w:val="en-AU"/>
        </w:rPr>
        <w:t>entirely or in part</w:t>
      </w:r>
      <w:r w:rsidRPr="003E3993">
        <w:rPr>
          <w:rFonts w:cs="Times New Roman"/>
          <w:lang w:val="en-AU"/>
        </w:rPr>
        <w:t xml:space="preserve"> on CO</w:t>
      </w:r>
      <w:r w:rsidRPr="003E3993">
        <w:rPr>
          <w:rFonts w:cs="Times New Roman"/>
          <w:vertAlign w:val="subscript"/>
          <w:lang w:val="en-AU"/>
        </w:rPr>
        <w:t>2</w:t>
      </w:r>
      <w:r>
        <w:rPr>
          <w:rFonts w:cs="Times New Roman"/>
          <w:lang w:val="en-AU"/>
        </w:rPr>
        <w:t>.</w:t>
      </w:r>
      <w:r w:rsidRPr="003E3993">
        <w:rPr>
          <w:rFonts w:cs="Times New Roman"/>
          <w:lang w:val="en-AU"/>
        </w:rPr>
        <w:t xml:space="preserve"> </w:t>
      </w:r>
      <w:r>
        <w:rPr>
          <w:rFonts w:cs="Times New Roman"/>
          <w:lang w:val="en-AU"/>
        </w:rPr>
        <w:t>T</w:t>
      </w:r>
      <w:r w:rsidRPr="003E3993">
        <w:rPr>
          <w:rFonts w:cs="Times New Roman"/>
          <w:lang w:val="en-AU"/>
        </w:rPr>
        <w:t xml:space="preserve">he </w:t>
      </w:r>
      <w:r>
        <w:rPr>
          <w:rFonts w:cs="Times New Roman"/>
          <w:lang w:val="en-AU"/>
        </w:rPr>
        <w:t>model predicts around 35% of refrigeration systems in supermarkets will still be operating on high GWP</w:t>
      </w:r>
      <w:r w:rsidR="00A862A5">
        <w:rPr>
          <w:rFonts w:cs="Times New Roman"/>
          <w:lang w:val="en-AU"/>
        </w:rPr>
        <w:t xml:space="preserve"> refrigerant</w:t>
      </w:r>
      <w:r>
        <w:rPr>
          <w:rFonts w:cs="Times New Roman"/>
          <w:lang w:val="en-AU"/>
        </w:rPr>
        <w:t>s however this could be a conservative estimate if prices of high GWP refrigerant increase compared to alternatives</w:t>
      </w:r>
      <w:r w:rsidRPr="003E3993">
        <w:rPr>
          <w:rFonts w:cs="Times New Roman"/>
          <w:lang w:val="en-AU"/>
        </w:rPr>
        <w:t>.</w:t>
      </w:r>
      <w:r>
        <w:rPr>
          <w:rFonts w:cs="Times New Roman"/>
          <w:lang w:val="en-AU"/>
        </w:rPr>
        <w:t xml:space="preserve"> The balance of refrigerants comprises lower GWP blends and HFOs with a smaller footprint of HC (&lt;1%) in 2030.</w:t>
      </w:r>
    </w:p>
    <w:p w14:paraId="2ED77B42" w14:textId="299923E7" w:rsidR="00851ED3" w:rsidRPr="003E3993" w:rsidRDefault="002475C4" w:rsidP="009A23AA">
      <w:pPr>
        <w:rPr>
          <w:rFonts w:cs="Times New Roman"/>
        </w:rPr>
      </w:pPr>
      <w:r w:rsidRPr="002475C4">
        <w:rPr>
          <w:rFonts w:cs="Times New Roman"/>
        </w:rPr>
        <w:t>Coles and Woolworths</w:t>
      </w:r>
      <w:r w:rsidR="00A862A5">
        <w:rPr>
          <w:rFonts w:cs="Times New Roman"/>
        </w:rPr>
        <w:t>, which</w:t>
      </w:r>
      <w:r w:rsidR="00851ED3" w:rsidRPr="003E3993">
        <w:rPr>
          <w:rFonts w:cs="Times New Roman"/>
        </w:rPr>
        <w:t xml:space="preserve"> control the majority of food retail in Australia (estimated at </w:t>
      </w:r>
      <w:r w:rsidR="00851ED3">
        <w:rPr>
          <w:rFonts w:cs="Times New Roman"/>
        </w:rPr>
        <w:t xml:space="preserve">around 65% </w:t>
      </w:r>
      <w:r w:rsidR="00851ED3" w:rsidRPr="003E3993">
        <w:rPr>
          <w:rFonts w:cs="Times New Roman"/>
        </w:rPr>
        <w:t xml:space="preserve">of </w:t>
      </w:r>
      <w:r w:rsidR="00851ED3">
        <w:rPr>
          <w:rFonts w:cs="Times New Roman"/>
        </w:rPr>
        <w:t>the trading floor</w:t>
      </w:r>
      <w:r w:rsidR="00851ED3" w:rsidRPr="003E3993">
        <w:rPr>
          <w:rFonts w:cs="Times New Roman"/>
        </w:rPr>
        <w:t>), have both made public commitments to deliver HFC free refrigeration in their supermarket fleet in the course of the next decade, by 2026-27</w:t>
      </w:r>
      <w:r w:rsidR="00851ED3">
        <w:rPr>
          <w:rFonts w:cs="Times New Roman"/>
        </w:rPr>
        <w:t xml:space="preserve"> (WOW 2017b, WF 2017a)</w:t>
      </w:r>
      <w:r w:rsidR="00851ED3" w:rsidRPr="003E3993">
        <w:rPr>
          <w:rFonts w:cs="Times New Roman"/>
        </w:rPr>
        <w:t>.</w:t>
      </w:r>
      <w:r w:rsidR="00851ED3">
        <w:rPr>
          <w:rFonts w:cs="Times New Roman"/>
        </w:rPr>
        <w:t xml:space="preserve"> </w:t>
      </w:r>
    </w:p>
    <w:p w14:paraId="1BA06806" w14:textId="6DA58FA1" w:rsidR="00851ED3" w:rsidRPr="003E3993" w:rsidRDefault="00851ED3" w:rsidP="009A23AA">
      <w:pPr>
        <w:outlineLvl w:val="0"/>
        <w:rPr>
          <w:rFonts w:cs="Times New Roman"/>
        </w:rPr>
      </w:pPr>
      <w:r>
        <w:rPr>
          <w:rFonts w:cs="Times New Roman"/>
        </w:rPr>
        <w:t>T</w:t>
      </w:r>
      <w:r w:rsidRPr="003E3993">
        <w:rPr>
          <w:rFonts w:cs="Times New Roman"/>
        </w:rPr>
        <w:t>heir central role in the RAC industry</w:t>
      </w:r>
      <w:r>
        <w:rPr>
          <w:rFonts w:cs="Times New Roman"/>
        </w:rPr>
        <w:t xml:space="preserve"> in Australia</w:t>
      </w:r>
      <w:r w:rsidRPr="003E3993">
        <w:rPr>
          <w:rFonts w:cs="Times New Roman"/>
        </w:rPr>
        <w:t xml:space="preserve"> means that the plans by these industry leaders to transform the technology employed in the cold food chain will have far reaching impacts on </w:t>
      </w:r>
      <w:r>
        <w:rPr>
          <w:rFonts w:cs="Times New Roman"/>
        </w:rPr>
        <w:t xml:space="preserve">the performance and characteristics of the refrigerated cold food chain, and on </w:t>
      </w:r>
      <w:r w:rsidRPr="003E3993">
        <w:rPr>
          <w:rFonts w:cs="Times New Roman"/>
        </w:rPr>
        <w:t>RAC supply chains.</w:t>
      </w:r>
    </w:p>
    <w:p w14:paraId="73C367DF" w14:textId="0383FAF8" w:rsidR="00851ED3" w:rsidRDefault="00851ED3" w:rsidP="009A23AA">
      <w:pPr>
        <w:rPr>
          <w:rFonts w:cs="Times New Roman"/>
        </w:rPr>
      </w:pPr>
      <w:r w:rsidRPr="003E3993">
        <w:rPr>
          <w:rFonts w:cs="Times New Roman"/>
        </w:rPr>
        <w:t xml:space="preserve">While the major supermarket operators have declared </w:t>
      </w:r>
      <w:r>
        <w:rPr>
          <w:rFonts w:cs="Times New Roman"/>
        </w:rPr>
        <w:t xml:space="preserve">their </w:t>
      </w:r>
      <w:r w:rsidRPr="003E3993">
        <w:rPr>
          <w:rFonts w:cs="Times New Roman"/>
        </w:rPr>
        <w:t>intention of achieving HFC free refrigeration services,</w:t>
      </w:r>
      <w:r>
        <w:rPr>
          <w:rFonts w:cs="Times New Roman"/>
        </w:rPr>
        <w:t xml:space="preserve"> across the many thousands of stores in the smaller end of the industry cost pressures and low margins will mean older equipment is likely to be employed for much longer, which has implications for both the use of older high GWP refrigerants</w:t>
      </w:r>
      <w:r w:rsidR="007A1E7E">
        <w:rPr>
          <w:rFonts w:cs="Times New Roman"/>
        </w:rPr>
        <w:t>,</w:t>
      </w:r>
      <w:r>
        <w:rPr>
          <w:rFonts w:cs="Times New Roman"/>
        </w:rPr>
        <w:t xml:space="preserve"> and for leak rates.</w:t>
      </w:r>
    </w:p>
    <w:p w14:paraId="2A74D0F8" w14:textId="73032E9B" w:rsidR="00851ED3" w:rsidRDefault="002475C4" w:rsidP="009A23AA">
      <w:pPr>
        <w:rPr>
          <w:lang w:val="en-AU"/>
        </w:rPr>
      </w:pPr>
      <w:r>
        <w:rPr>
          <w:lang w:val="en-AU"/>
        </w:rPr>
        <w:t xml:space="preserve">An example of industry change is </w:t>
      </w:r>
      <w:r w:rsidR="00851ED3" w:rsidRPr="00FB13BB">
        <w:rPr>
          <w:lang w:val="en-AU"/>
        </w:rPr>
        <w:t xml:space="preserve">a recent </w:t>
      </w:r>
      <w:r w:rsidR="00851ED3">
        <w:rPr>
          <w:lang w:val="en-AU"/>
        </w:rPr>
        <w:t xml:space="preserve">smaller independent </w:t>
      </w:r>
      <w:r w:rsidR="00851ED3" w:rsidRPr="00FB13BB">
        <w:rPr>
          <w:lang w:val="en-AU"/>
        </w:rPr>
        <w:t xml:space="preserve">store refurbishment </w:t>
      </w:r>
      <w:r w:rsidR="00851ED3">
        <w:rPr>
          <w:lang w:val="en-AU"/>
        </w:rPr>
        <w:t xml:space="preserve">reported in RAC industry media </w:t>
      </w:r>
      <w:r w:rsidR="00851ED3" w:rsidRPr="00FB13BB">
        <w:rPr>
          <w:lang w:val="en-AU"/>
        </w:rPr>
        <w:t>in 2019</w:t>
      </w:r>
      <w:r w:rsidR="007A1E7E">
        <w:rPr>
          <w:lang w:val="en-AU"/>
        </w:rPr>
        <w:t>.</w:t>
      </w:r>
      <w:r w:rsidR="00851ED3" w:rsidRPr="00FB13BB">
        <w:rPr>
          <w:lang w:val="en-AU"/>
        </w:rPr>
        <w:t xml:space="preserve"> </w:t>
      </w:r>
      <w:r w:rsidR="007A1E7E">
        <w:rPr>
          <w:lang w:val="en-AU"/>
        </w:rPr>
        <w:t>T</w:t>
      </w:r>
      <w:r w:rsidR="00851ED3">
        <w:rPr>
          <w:lang w:val="en-AU"/>
        </w:rPr>
        <w:t>he contractor, MB Refrigeration</w:t>
      </w:r>
      <w:r w:rsidR="00A862A5">
        <w:rPr>
          <w:lang w:val="en-AU"/>
        </w:rPr>
        <w:t>,</w:t>
      </w:r>
      <w:r w:rsidR="00851ED3">
        <w:rPr>
          <w:lang w:val="en-AU"/>
        </w:rPr>
        <w:t xml:space="preserve"> </w:t>
      </w:r>
      <w:r w:rsidR="00851ED3" w:rsidRPr="00FB13BB">
        <w:rPr>
          <w:lang w:val="en-AU"/>
        </w:rPr>
        <w:t>replaced around 50 kg of CFC-12, 500 kg of HCFC-22, 400 kg of HFC</w:t>
      </w:r>
      <w:r>
        <w:rPr>
          <w:lang w:val="en-AU"/>
        </w:rPr>
        <w:noBreakHyphen/>
      </w:r>
      <w:r w:rsidR="00851ED3" w:rsidRPr="00FB13BB">
        <w:rPr>
          <w:lang w:val="en-AU"/>
        </w:rPr>
        <w:t>404A and 100 kg of HFC-134a</w:t>
      </w:r>
      <w:r w:rsidR="00851ED3">
        <w:rPr>
          <w:lang w:val="en-AU"/>
        </w:rPr>
        <w:t xml:space="preserve">. In this case all of the refrigeration and HVAC requirements in the store are now provided by </w:t>
      </w:r>
      <w:r w:rsidR="00851ED3" w:rsidRPr="00FB13BB">
        <w:rPr>
          <w:lang w:val="en-AU"/>
        </w:rPr>
        <w:t>an integrated trans-critical CO</w:t>
      </w:r>
      <w:r w:rsidR="00851ED3" w:rsidRPr="00FB13BB">
        <w:rPr>
          <w:vertAlign w:val="subscript"/>
          <w:lang w:val="en-AU"/>
        </w:rPr>
        <w:t>2</w:t>
      </w:r>
      <w:r w:rsidR="00851ED3" w:rsidRPr="00FB13BB">
        <w:rPr>
          <w:lang w:val="en-AU"/>
        </w:rPr>
        <w:t xml:space="preserve"> system</w:t>
      </w:r>
      <w:r w:rsidR="00851ED3">
        <w:rPr>
          <w:lang w:val="en-AU"/>
        </w:rPr>
        <w:t xml:space="preserve">. </w:t>
      </w:r>
    </w:p>
    <w:p w14:paraId="5E8196C7" w14:textId="77777777" w:rsidR="00851ED3" w:rsidRDefault="00851ED3" w:rsidP="009A23AA">
      <w:pPr>
        <w:rPr>
          <w:rFonts w:cs="Times New Roman"/>
        </w:rPr>
      </w:pPr>
    </w:p>
    <w:p w14:paraId="2C824495" w14:textId="62020A70" w:rsidR="00851ED3" w:rsidRDefault="009842EF" w:rsidP="009A23AA">
      <w:pPr>
        <w:pStyle w:val="Heading3"/>
        <w:jc w:val="both"/>
      </w:pPr>
      <w:bookmarkStart w:id="67" w:name="_Toc525141268"/>
      <w:bookmarkStart w:id="68" w:name="_Toc19601302"/>
      <w:r>
        <w:t>T</w:t>
      </w:r>
      <w:r w:rsidR="00851ED3">
        <w:t>ransport refrigeration</w:t>
      </w:r>
      <w:bookmarkEnd w:id="67"/>
      <w:bookmarkEnd w:id="68"/>
      <w:r w:rsidR="00851ED3">
        <w:t xml:space="preserve"> </w:t>
      </w:r>
    </w:p>
    <w:p w14:paraId="1C8DDE60" w14:textId="77777777" w:rsidR="00851ED3" w:rsidRPr="00504BCC" w:rsidRDefault="00851ED3" w:rsidP="009A23AA">
      <w:pPr>
        <w:rPr>
          <w:szCs w:val="22"/>
        </w:rPr>
      </w:pPr>
      <w:r>
        <w:rPr>
          <w:szCs w:val="22"/>
        </w:rPr>
        <w:t xml:space="preserve">Refrigerated transport systems on </w:t>
      </w:r>
      <w:r w:rsidRPr="00504BCC">
        <w:rPr>
          <w:szCs w:val="22"/>
        </w:rPr>
        <w:t xml:space="preserve">road, rail and </w:t>
      </w:r>
      <w:r>
        <w:rPr>
          <w:szCs w:val="22"/>
        </w:rPr>
        <w:t xml:space="preserve">in intermodal containers are all </w:t>
      </w:r>
      <w:r w:rsidRPr="00504BCC">
        <w:rPr>
          <w:szCs w:val="22"/>
        </w:rPr>
        <w:t>referred to as ‘transport refrigeration’</w:t>
      </w:r>
      <w:r>
        <w:rPr>
          <w:szCs w:val="22"/>
        </w:rPr>
        <w:t>.</w:t>
      </w:r>
      <w:r w:rsidRPr="00504BCC">
        <w:rPr>
          <w:szCs w:val="22"/>
        </w:rPr>
        <w:t xml:space="preserve"> </w:t>
      </w:r>
      <w:r>
        <w:rPr>
          <w:szCs w:val="22"/>
        </w:rPr>
        <w:t xml:space="preserve">Refrigeration systems on fishing vessels and coastal shipping are simply called ‘marine’. The majority of marine systems are </w:t>
      </w:r>
      <w:r w:rsidRPr="00504BCC">
        <w:rPr>
          <w:szCs w:val="22"/>
        </w:rPr>
        <w:t xml:space="preserve">on fishing vessels. </w:t>
      </w:r>
    </w:p>
    <w:p w14:paraId="0998BEFA" w14:textId="5E925749" w:rsidR="00851ED3" w:rsidRDefault="00851ED3" w:rsidP="009A23AA">
      <w:pPr>
        <w:rPr>
          <w:szCs w:val="22"/>
        </w:rPr>
      </w:pPr>
      <w:r w:rsidRPr="00090CEC">
        <w:rPr>
          <w:szCs w:val="22"/>
        </w:rPr>
        <w:t xml:space="preserve">The transport refrigeration bank is estimated to employ </w:t>
      </w:r>
      <w:r w:rsidR="00090CEC" w:rsidRPr="00090CEC">
        <w:rPr>
          <w:szCs w:val="22"/>
        </w:rPr>
        <w:t>260</w:t>
      </w:r>
      <w:r w:rsidRPr="00090CEC">
        <w:rPr>
          <w:szCs w:val="22"/>
        </w:rPr>
        <w:t xml:space="preserve"> tonnes of refrigerant comprising less than 0.</w:t>
      </w:r>
      <w:r w:rsidR="00090CEC" w:rsidRPr="00090CEC">
        <w:rPr>
          <w:szCs w:val="22"/>
        </w:rPr>
        <w:t>5</w:t>
      </w:r>
      <w:r w:rsidRPr="00090CEC">
        <w:rPr>
          <w:szCs w:val="22"/>
        </w:rPr>
        <w:t xml:space="preserve"> % of the refrigerant bank (</w:t>
      </w:r>
      <w:r w:rsidRPr="00090CEC">
        <w:rPr>
          <w:i/>
          <w:szCs w:val="22"/>
        </w:rPr>
        <w:t>CHF</w:t>
      </w:r>
      <w:r w:rsidR="005D76FC" w:rsidRPr="00090CEC">
        <w:rPr>
          <w:i/>
          <w:szCs w:val="22"/>
        </w:rPr>
        <w:t>3</w:t>
      </w:r>
      <w:r w:rsidRPr="00090CEC">
        <w:rPr>
          <w:i/>
          <w:szCs w:val="22"/>
        </w:rPr>
        <w:t xml:space="preserve"> </w:t>
      </w:r>
      <w:r w:rsidR="00BE7FA8" w:rsidRPr="00090CEC">
        <w:rPr>
          <w:i/>
          <w:szCs w:val="22"/>
        </w:rPr>
        <w:t>2016</w:t>
      </w:r>
      <w:r w:rsidR="00090CEC" w:rsidRPr="00090CEC">
        <w:rPr>
          <w:i/>
          <w:szCs w:val="22"/>
        </w:rPr>
        <w:t>,</w:t>
      </w:r>
      <w:r w:rsidR="00BE7FA8" w:rsidRPr="00090CEC">
        <w:rPr>
          <w:i/>
          <w:szCs w:val="22"/>
        </w:rPr>
        <w:t xml:space="preserve"> </w:t>
      </w:r>
      <w:r w:rsidRPr="00090CEC">
        <w:rPr>
          <w:i/>
          <w:szCs w:val="22"/>
        </w:rPr>
        <w:t>0.</w:t>
      </w:r>
      <w:r w:rsidR="005D76FC" w:rsidRPr="00090CEC">
        <w:rPr>
          <w:i/>
          <w:szCs w:val="22"/>
        </w:rPr>
        <w:t>5</w:t>
      </w:r>
      <w:r w:rsidRPr="00090CEC">
        <w:rPr>
          <w:i/>
          <w:szCs w:val="22"/>
        </w:rPr>
        <w:t>% and ~</w:t>
      </w:r>
      <w:r w:rsidR="005D76FC" w:rsidRPr="00090CEC">
        <w:rPr>
          <w:i/>
          <w:szCs w:val="22"/>
        </w:rPr>
        <w:t>245</w:t>
      </w:r>
      <w:r w:rsidRPr="00090CEC">
        <w:rPr>
          <w:i/>
          <w:szCs w:val="22"/>
        </w:rPr>
        <w:t xml:space="preserve"> tonnes</w:t>
      </w:r>
      <w:r w:rsidRPr="00090CEC">
        <w:rPr>
          <w:szCs w:val="22"/>
        </w:rPr>
        <w:t>). Annual leakage of refrigerants is relatively high as a result of high vibration and hard operating conditions of this equipment, compared to the small portion of the bank this segment employs.</w:t>
      </w:r>
      <w:r>
        <w:rPr>
          <w:szCs w:val="22"/>
        </w:rPr>
        <w:t xml:space="preserve"> </w:t>
      </w:r>
    </w:p>
    <w:p w14:paraId="43E335D7" w14:textId="1608089E" w:rsidR="00851ED3" w:rsidRPr="00504BCC" w:rsidRDefault="00851ED3" w:rsidP="009A23AA">
      <w:pPr>
        <w:rPr>
          <w:szCs w:val="22"/>
        </w:rPr>
      </w:pPr>
      <w:r w:rsidRPr="00090CEC">
        <w:rPr>
          <w:szCs w:val="22"/>
        </w:rPr>
        <w:t>Transport refrigeration is estimated to use approximately 1.</w:t>
      </w:r>
      <w:r w:rsidR="00090CEC">
        <w:rPr>
          <w:szCs w:val="22"/>
        </w:rPr>
        <w:t>6</w:t>
      </w:r>
      <w:r w:rsidRPr="00090CEC">
        <w:rPr>
          <w:szCs w:val="22"/>
        </w:rPr>
        <w:t>% or around 55 to 60 tonnes (</w:t>
      </w:r>
      <w:r w:rsidRPr="00090CEC">
        <w:rPr>
          <w:i/>
          <w:szCs w:val="22"/>
        </w:rPr>
        <w:t>CHF</w:t>
      </w:r>
      <w:r w:rsidR="005D76FC" w:rsidRPr="00090CEC">
        <w:rPr>
          <w:i/>
          <w:szCs w:val="22"/>
        </w:rPr>
        <w:t>3</w:t>
      </w:r>
      <w:r w:rsidR="00090CEC" w:rsidRPr="00090CEC">
        <w:rPr>
          <w:i/>
          <w:szCs w:val="22"/>
        </w:rPr>
        <w:t xml:space="preserve"> 2016,</w:t>
      </w:r>
      <w:r w:rsidRPr="00090CEC">
        <w:rPr>
          <w:i/>
          <w:szCs w:val="22"/>
        </w:rPr>
        <w:t xml:space="preserve"> 1</w:t>
      </w:r>
      <w:r w:rsidR="005D76FC" w:rsidRPr="00090CEC">
        <w:rPr>
          <w:i/>
          <w:szCs w:val="22"/>
        </w:rPr>
        <w:t>.6</w:t>
      </w:r>
      <w:r w:rsidRPr="00090CEC">
        <w:rPr>
          <w:i/>
          <w:szCs w:val="22"/>
        </w:rPr>
        <w:t>%, ~5</w:t>
      </w:r>
      <w:r w:rsidR="005D76FC" w:rsidRPr="00090CEC">
        <w:rPr>
          <w:i/>
          <w:szCs w:val="22"/>
        </w:rPr>
        <w:t>5-60</w:t>
      </w:r>
      <w:r w:rsidRPr="00090CEC">
        <w:rPr>
          <w:i/>
          <w:szCs w:val="22"/>
        </w:rPr>
        <w:t xml:space="preserve"> tonnes</w:t>
      </w:r>
      <w:r w:rsidRPr="00090CEC">
        <w:rPr>
          <w:szCs w:val="22"/>
        </w:rPr>
        <w:t xml:space="preserve">) of annual HFC and HCFC refrigerant bulk imports, the majority is used </w:t>
      </w:r>
      <w:r w:rsidR="002267F3">
        <w:rPr>
          <w:szCs w:val="22"/>
        </w:rPr>
        <w:t xml:space="preserve">for </w:t>
      </w:r>
      <w:r w:rsidRPr="00090CEC">
        <w:rPr>
          <w:szCs w:val="22"/>
        </w:rPr>
        <w:t>servicing systems</w:t>
      </w:r>
      <w:r w:rsidRPr="00504BCC">
        <w:rPr>
          <w:szCs w:val="22"/>
        </w:rPr>
        <w:t xml:space="preserve"> and </w:t>
      </w:r>
      <w:r>
        <w:rPr>
          <w:szCs w:val="22"/>
        </w:rPr>
        <w:t xml:space="preserve">for </w:t>
      </w:r>
      <w:r w:rsidRPr="00504BCC">
        <w:rPr>
          <w:szCs w:val="22"/>
        </w:rPr>
        <w:t>replenish</w:t>
      </w:r>
      <w:r>
        <w:rPr>
          <w:szCs w:val="22"/>
        </w:rPr>
        <w:t>ment following system failures. Some is also used charging new equipment manufactured in Australia, or that is imported without a refrigerant charge.</w:t>
      </w:r>
    </w:p>
    <w:p w14:paraId="7E955BB5" w14:textId="77777777" w:rsidR="00851ED3" w:rsidRPr="00504BCC" w:rsidRDefault="00851ED3" w:rsidP="009A23AA">
      <w:pPr>
        <w:rPr>
          <w:szCs w:val="22"/>
        </w:rPr>
      </w:pPr>
      <w:r w:rsidRPr="00504BCC">
        <w:rPr>
          <w:szCs w:val="22"/>
        </w:rPr>
        <w:t>Transport refrigeration technology is made up of:</w:t>
      </w:r>
    </w:p>
    <w:p w14:paraId="42EC3074" w14:textId="77777777" w:rsidR="00851ED3" w:rsidRPr="00E47AD7"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sidRPr="00E47AD7">
        <w:rPr>
          <w:rFonts w:ascii="Times New Roman" w:hAnsi="Times New Roman"/>
        </w:rPr>
        <w:t xml:space="preserve">The transport refrigeration units (TRUs) used on articulated trucks and trailers or intermodal (road or rail) containers described as the trailer/intermodal segment; </w:t>
      </w:r>
    </w:p>
    <w:p w14:paraId="7A0BBC29" w14:textId="77777777" w:rsidR="00851ED3" w:rsidRPr="00E47AD7"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sidRPr="00E47AD7">
        <w:rPr>
          <w:rFonts w:ascii="Times New Roman" w:hAnsi="Times New Roman"/>
        </w:rPr>
        <w:t>The diesel drive segment largely comprising rigid trucks with a gross vehicle mass of 3 to 8 tonnes; and,</w:t>
      </w:r>
    </w:p>
    <w:p w14:paraId="2F3E71EC" w14:textId="77777777" w:rsidR="00851ED3" w:rsidRPr="00E47AD7" w:rsidRDefault="00851ED3" w:rsidP="009A23AA">
      <w:pPr>
        <w:pStyle w:val="ListParagraph"/>
        <w:numPr>
          <w:ilvl w:val="0"/>
          <w:numId w:val="25"/>
        </w:numPr>
        <w:spacing w:before="120" w:after="0" w:line="240" w:lineRule="auto"/>
        <w:ind w:left="357" w:hanging="357"/>
        <w:contextualSpacing w:val="0"/>
        <w:jc w:val="both"/>
        <w:rPr>
          <w:rFonts w:ascii="Times New Roman" w:hAnsi="Times New Roman"/>
        </w:rPr>
      </w:pPr>
      <w:r w:rsidRPr="00E47AD7">
        <w:rPr>
          <w:rFonts w:ascii="Times New Roman" w:hAnsi="Times New Roman"/>
        </w:rPr>
        <w:t xml:space="preserve">Off-engine vehicle powered refrigeration units used on small trucks and vans. </w:t>
      </w:r>
    </w:p>
    <w:p w14:paraId="09A53C7C" w14:textId="77777777" w:rsidR="00851ED3" w:rsidRDefault="00851ED3" w:rsidP="009A23AA">
      <w:pPr>
        <w:rPr>
          <w:szCs w:val="22"/>
        </w:rPr>
      </w:pPr>
      <w:r w:rsidRPr="00504BCC">
        <w:rPr>
          <w:szCs w:val="22"/>
        </w:rPr>
        <w:t xml:space="preserve">The trailer/intermodal and diesel drive units are imported fully charged, tested and ready to be fitted. Off-engine units are imported with a nitrogen holding charge to keep the system pressurised and clean as they have to be ‘plumbed’ up with piping and a compressor by the installer. </w:t>
      </w:r>
    </w:p>
    <w:p w14:paraId="230E1B0B" w14:textId="77777777" w:rsidR="00851ED3" w:rsidRPr="00504BCC" w:rsidRDefault="00851ED3" w:rsidP="009A23AA">
      <w:pPr>
        <w:rPr>
          <w:szCs w:val="22"/>
        </w:rPr>
      </w:pPr>
      <w:r w:rsidRPr="00504BCC">
        <w:rPr>
          <w:szCs w:val="22"/>
        </w:rPr>
        <w:t>The existing stock is prone to high leak rates estimated at around 20</w:t>
      </w:r>
      <w:r>
        <w:rPr>
          <w:szCs w:val="22"/>
        </w:rPr>
        <w:t>% per annum, however attention in new</w:t>
      </w:r>
      <w:r w:rsidRPr="00504BCC">
        <w:rPr>
          <w:szCs w:val="22"/>
        </w:rPr>
        <w:t xml:space="preserve"> designs has been focused on the elimination of as many joints as possible. As a result</w:t>
      </w:r>
      <w:r>
        <w:rPr>
          <w:szCs w:val="22"/>
        </w:rPr>
        <w:t>,</w:t>
      </w:r>
      <w:r w:rsidRPr="00504BCC">
        <w:rPr>
          <w:szCs w:val="22"/>
        </w:rPr>
        <w:t xml:space="preserve"> fully sealed systems without shaft seals or flexible hoses are now available.</w:t>
      </w:r>
    </w:p>
    <w:p w14:paraId="6F303F19" w14:textId="1F3E3301" w:rsidR="00851ED3" w:rsidRDefault="00851ED3" w:rsidP="009A23AA">
      <w:pPr>
        <w:rPr>
          <w:szCs w:val="22"/>
        </w:rPr>
      </w:pPr>
      <w:r w:rsidRPr="003A6F90">
        <w:rPr>
          <w:szCs w:val="22"/>
        </w:rPr>
        <w:t xml:space="preserve">Refrigeration systems for trucks, trailers and intermodal refrigerated containers are predominantly charged with HFC-404A. In 2012 the typical charges were reported to be between 7 and 10 kilograms. The charges of new systems are now typically 4 to 6.5 kg of HFC-404A, and some brands are starting to migrate to </w:t>
      </w:r>
      <w:r w:rsidR="00C400C7">
        <w:rPr>
          <w:szCs w:val="22"/>
        </w:rPr>
        <w:t>HFO/HFC</w:t>
      </w:r>
      <w:r w:rsidRPr="003A6F90">
        <w:rPr>
          <w:szCs w:val="22"/>
        </w:rPr>
        <w:t xml:space="preserve"> blend R452A (GWP of 2141). The </w:t>
      </w:r>
      <w:r w:rsidR="005A57F4">
        <w:rPr>
          <w:szCs w:val="22"/>
        </w:rPr>
        <w:t xml:space="preserve">HFC </w:t>
      </w:r>
      <w:r w:rsidRPr="003A6F90">
        <w:rPr>
          <w:szCs w:val="22"/>
        </w:rPr>
        <w:t xml:space="preserve">phase down in the EU is the main driver of this trend to a lower GWP refrigerant. </w:t>
      </w:r>
    </w:p>
    <w:p w14:paraId="28F19493" w14:textId="77777777" w:rsidR="00851ED3" w:rsidRDefault="00851ED3" w:rsidP="009A23AA">
      <w:pPr>
        <w:rPr>
          <w:szCs w:val="22"/>
        </w:rPr>
      </w:pPr>
      <w:r>
        <w:rPr>
          <w:szCs w:val="22"/>
        </w:rPr>
        <w:t>Significant growth in the refrigerated transport fleet across all categories RCFC4-1, 4-2 and 4-3 has been reported. Almost certainly some of the growth is directly tied to increased exports of fresh food flowing from new investment in horticulture and agriculture. However, there are also major increases in the fleet as a result of changes in the domestic market.</w:t>
      </w:r>
    </w:p>
    <w:p w14:paraId="56DD93DB" w14:textId="460B5BD3" w:rsidR="00851ED3" w:rsidRDefault="00851ED3" w:rsidP="009A23AA">
      <w:pPr>
        <w:rPr>
          <w:szCs w:val="22"/>
        </w:rPr>
      </w:pPr>
      <w:r>
        <w:rPr>
          <w:szCs w:val="22"/>
        </w:rPr>
        <w:t xml:space="preserve">Woolworths and Coles now provide home delivered groceries that can be ordered on line and scheduled for delivery to your door. </w:t>
      </w:r>
      <w:r w:rsidR="005A57F4">
        <w:rPr>
          <w:szCs w:val="22"/>
        </w:rPr>
        <w:t>T</w:t>
      </w:r>
      <w:r>
        <w:rPr>
          <w:szCs w:val="22"/>
        </w:rPr>
        <w:t xml:space="preserve">hese grocery market majors now have fleets of more than 500 home delivery trucks and vans each. </w:t>
      </w:r>
    </w:p>
    <w:p w14:paraId="0D7E2B34" w14:textId="77777777" w:rsidR="00851ED3" w:rsidRDefault="00851ED3" w:rsidP="009A23AA">
      <w:pPr>
        <w:rPr>
          <w:szCs w:val="22"/>
        </w:rPr>
      </w:pPr>
      <w:r>
        <w:rPr>
          <w:szCs w:val="22"/>
        </w:rPr>
        <w:t>At the same time there has been strong growth in sales of smaller off-engine-devices that are suitable for small delivery vans. These sales are thought to be tied to the growth of ‘food services’ businesses that are delivering increasing volumes of pre-made meals for either sale through other retail outlets, such as cafés and corner stores, or for quick home cooking.</w:t>
      </w:r>
    </w:p>
    <w:p w14:paraId="3C4C19EC" w14:textId="77777777" w:rsidR="00851ED3" w:rsidRDefault="00851ED3" w:rsidP="009A23AA">
      <w:pPr>
        <w:rPr>
          <w:szCs w:val="22"/>
        </w:rPr>
      </w:pPr>
      <w:r>
        <w:rPr>
          <w:szCs w:val="22"/>
        </w:rPr>
        <w:t>The next generation of road transport equipment is expected to have HFC-452A (includes 30% HFO-1234yf) as the refrigerant of choice and the older refrigerants as an option. Whilst CO</w:t>
      </w:r>
      <w:r w:rsidRPr="003A6F90">
        <w:rPr>
          <w:szCs w:val="22"/>
          <w:vertAlign w:val="subscript"/>
        </w:rPr>
        <w:t>2</w:t>
      </w:r>
      <w:r>
        <w:rPr>
          <w:szCs w:val="22"/>
        </w:rPr>
        <w:t xml:space="preserve"> refrigerant closed cycle models are available, Australian suppliers are not promoting this option due </w:t>
      </w:r>
      <w:r w:rsidRPr="003A6F90">
        <w:rPr>
          <w:szCs w:val="22"/>
        </w:rPr>
        <w:t xml:space="preserve">to </w:t>
      </w:r>
      <w:r>
        <w:rPr>
          <w:szCs w:val="22"/>
        </w:rPr>
        <w:t xml:space="preserve">the </w:t>
      </w:r>
      <w:r w:rsidRPr="003A6F90">
        <w:rPr>
          <w:szCs w:val="22"/>
        </w:rPr>
        <w:t xml:space="preserve">extreme </w:t>
      </w:r>
      <w:r>
        <w:rPr>
          <w:szCs w:val="22"/>
        </w:rPr>
        <w:t xml:space="preserve">operating </w:t>
      </w:r>
      <w:r w:rsidRPr="003A6F90">
        <w:rPr>
          <w:szCs w:val="22"/>
        </w:rPr>
        <w:t>pressure</w:t>
      </w:r>
      <w:r>
        <w:rPr>
          <w:szCs w:val="22"/>
        </w:rPr>
        <w:t>s</w:t>
      </w:r>
      <w:r w:rsidRPr="003A6F90">
        <w:rPr>
          <w:szCs w:val="22"/>
        </w:rPr>
        <w:t xml:space="preserve"> and poor energy efficiency when used outside of very moderate climates</w:t>
      </w:r>
      <w:r>
        <w:rPr>
          <w:szCs w:val="22"/>
        </w:rPr>
        <w:t>.</w:t>
      </w:r>
    </w:p>
    <w:p w14:paraId="4E8B36C5" w14:textId="77777777" w:rsidR="00851ED3" w:rsidRDefault="00851ED3" w:rsidP="009A23AA">
      <w:pPr>
        <w:rPr>
          <w:szCs w:val="22"/>
        </w:rPr>
      </w:pPr>
      <w:r w:rsidRPr="00504BCC">
        <w:rPr>
          <w:szCs w:val="22"/>
        </w:rPr>
        <w:t>An unknown number (certainly in the tens of thousands) of refrigerated shipping containers commonly known as “</w:t>
      </w:r>
      <w:r>
        <w:rPr>
          <w:szCs w:val="22"/>
        </w:rPr>
        <w:t>r</w:t>
      </w:r>
      <w:r w:rsidRPr="00504BCC">
        <w:rPr>
          <w:szCs w:val="22"/>
        </w:rPr>
        <w:t xml:space="preserve">eefers” enter and leave Australian ports every year, primarily carrying perishable foods. Most of the refrigerant </w:t>
      </w:r>
      <w:r>
        <w:rPr>
          <w:szCs w:val="22"/>
        </w:rPr>
        <w:t>use</w:t>
      </w:r>
      <w:r w:rsidRPr="00504BCC">
        <w:rPr>
          <w:szCs w:val="22"/>
        </w:rPr>
        <w:t xml:space="preserve"> in manufacturing and service of </w:t>
      </w:r>
      <w:r>
        <w:rPr>
          <w:szCs w:val="22"/>
        </w:rPr>
        <w:t>r</w:t>
      </w:r>
      <w:r w:rsidRPr="00504BCC">
        <w:rPr>
          <w:szCs w:val="22"/>
        </w:rPr>
        <w:t>eefers occurs overseas.</w:t>
      </w:r>
    </w:p>
    <w:p w14:paraId="4DC0FAB5" w14:textId="77777777" w:rsidR="00851ED3" w:rsidRDefault="00851ED3" w:rsidP="009A23AA">
      <w:pPr>
        <w:rPr>
          <w:szCs w:val="22"/>
        </w:rPr>
      </w:pPr>
    </w:p>
    <w:p w14:paraId="7F5ED51B" w14:textId="77777777" w:rsidR="00851ED3" w:rsidRPr="00276817" w:rsidRDefault="00851ED3" w:rsidP="009A23AA">
      <w:pPr>
        <w:spacing w:before="240"/>
        <w:rPr>
          <w:b/>
          <w:szCs w:val="22"/>
        </w:rPr>
      </w:pPr>
      <w:r w:rsidRPr="00276817">
        <w:rPr>
          <w:b/>
          <w:szCs w:val="22"/>
        </w:rPr>
        <w:t xml:space="preserve">Mobile </w:t>
      </w:r>
      <w:r>
        <w:rPr>
          <w:b/>
          <w:szCs w:val="22"/>
        </w:rPr>
        <w:t>r</w:t>
      </w:r>
      <w:r w:rsidRPr="00276817">
        <w:rPr>
          <w:b/>
          <w:szCs w:val="22"/>
        </w:rPr>
        <w:t>efrigeration: Marine</w:t>
      </w:r>
    </w:p>
    <w:p w14:paraId="74226777" w14:textId="77777777" w:rsidR="00851ED3" w:rsidRDefault="00851ED3" w:rsidP="009A23AA">
      <w:pPr>
        <w:rPr>
          <w:szCs w:val="22"/>
        </w:rPr>
      </w:pPr>
      <w:r>
        <w:rPr>
          <w:szCs w:val="22"/>
        </w:rPr>
        <w:t>RCFC 4-4 (</w:t>
      </w:r>
      <w:r w:rsidRPr="009C5DA3">
        <w:rPr>
          <w:i/>
          <w:szCs w:val="22"/>
        </w:rPr>
        <w:t>CHF2 RCFC 2-4</w:t>
      </w:r>
      <w:r>
        <w:rPr>
          <w:szCs w:val="22"/>
        </w:rPr>
        <w:t>) is a category that essentially captures refrigeration systems used in the commercial fishing fleet and are simply called ‘marine’ in the trade. While there are a small number of Australian registered coastal shipping vessels that have galley kitchens and on-board refrigeration, the majority of the engineering and investment is in the very large refrigerating capacity on commercial fishing vessels.</w:t>
      </w:r>
    </w:p>
    <w:p w14:paraId="66E82768" w14:textId="77777777" w:rsidR="00851ED3" w:rsidRPr="00FE2681" w:rsidRDefault="00851ED3" w:rsidP="009A23AA">
      <w:pPr>
        <w:rPr>
          <w:szCs w:val="22"/>
        </w:rPr>
      </w:pPr>
      <w:r>
        <w:rPr>
          <w:szCs w:val="22"/>
        </w:rPr>
        <w:t>Generally, only registered commercial fishing vessels of</w:t>
      </w:r>
      <w:r w:rsidRPr="00FE2681">
        <w:rPr>
          <w:szCs w:val="22"/>
        </w:rPr>
        <w:t xml:space="preserve"> g</w:t>
      </w:r>
      <w:r>
        <w:rPr>
          <w:szCs w:val="22"/>
        </w:rPr>
        <w:t>reater than 15 meters in length are likely to have a substantial refrigeration system</w:t>
      </w:r>
      <w:r w:rsidRPr="00504BCC">
        <w:rPr>
          <w:szCs w:val="22"/>
        </w:rPr>
        <w:t>.</w:t>
      </w:r>
    </w:p>
    <w:p w14:paraId="733C9F43" w14:textId="77777777" w:rsidR="00851ED3" w:rsidRDefault="00851ED3" w:rsidP="009A23AA">
      <w:pPr>
        <w:rPr>
          <w:szCs w:val="22"/>
        </w:rPr>
      </w:pPr>
      <w:r>
        <w:rPr>
          <w:szCs w:val="22"/>
        </w:rPr>
        <w:t xml:space="preserve">These larger fishing vessels can stay at sea for two weeks or more before returning to dock or offloading to a ‘mother ship’. </w:t>
      </w:r>
    </w:p>
    <w:p w14:paraId="77B6CF6A" w14:textId="77777777" w:rsidR="00851ED3" w:rsidRDefault="00851ED3" w:rsidP="009A23AA">
      <w:pPr>
        <w:rPr>
          <w:szCs w:val="22"/>
        </w:rPr>
      </w:pPr>
      <w:r>
        <w:rPr>
          <w:szCs w:val="22"/>
        </w:rPr>
        <w:t>Smaller vessels, which might only spend a few days at sea, are more likely</w:t>
      </w:r>
      <w:r w:rsidRPr="00FE2681">
        <w:rPr>
          <w:szCs w:val="22"/>
        </w:rPr>
        <w:t xml:space="preserve"> </w:t>
      </w:r>
      <w:r>
        <w:rPr>
          <w:szCs w:val="22"/>
        </w:rPr>
        <w:t xml:space="preserve">to </w:t>
      </w:r>
      <w:r w:rsidRPr="00FE2681">
        <w:rPr>
          <w:szCs w:val="22"/>
        </w:rPr>
        <w:t xml:space="preserve">either collect </w:t>
      </w:r>
      <w:r>
        <w:rPr>
          <w:szCs w:val="22"/>
        </w:rPr>
        <w:t xml:space="preserve">bulk </w:t>
      </w:r>
      <w:r w:rsidRPr="00FE2681">
        <w:rPr>
          <w:szCs w:val="22"/>
        </w:rPr>
        <w:t>ice at the wharf, and/or have portable refrigeration systems.</w:t>
      </w:r>
    </w:p>
    <w:p w14:paraId="3B3FFBEF" w14:textId="77777777" w:rsidR="00851ED3" w:rsidRDefault="00851ED3" w:rsidP="009A23AA">
      <w:pPr>
        <w:rPr>
          <w:szCs w:val="22"/>
        </w:rPr>
      </w:pPr>
      <w:r>
        <w:rPr>
          <w:szCs w:val="22"/>
        </w:rPr>
        <w:t xml:space="preserve">The average refrigerant charge used in the CHF data base for these marine systems is 130 kg. However, at the larger end of the fleet refrigerant charges can be much greater. </w:t>
      </w:r>
    </w:p>
    <w:p w14:paraId="20B0E55B" w14:textId="77777777" w:rsidR="00851ED3" w:rsidRDefault="00851ED3" w:rsidP="009A23AA">
      <w:r>
        <w:rPr>
          <w:szCs w:val="22"/>
        </w:rPr>
        <w:t xml:space="preserve">For instance, </w:t>
      </w:r>
      <w:r>
        <w:t>the handful of the largest vessels in the fleet that sail to Antarctic waters for Patagonian tooth fish can have charges of up to 500 kg of refrigerant for snap freezing.</w:t>
      </w:r>
    </w:p>
    <w:p w14:paraId="3D5B8C41" w14:textId="4147FD3A" w:rsidR="00851ED3" w:rsidRDefault="00851ED3" w:rsidP="009A23AA">
      <w:pPr>
        <w:rPr>
          <w:szCs w:val="22"/>
        </w:rPr>
      </w:pPr>
      <w:r>
        <w:t>In aggregate m</w:t>
      </w:r>
      <w:r w:rsidRPr="00504BCC">
        <w:rPr>
          <w:szCs w:val="22"/>
        </w:rPr>
        <w:t xml:space="preserve">arine refrigeration is </w:t>
      </w:r>
      <w:r>
        <w:rPr>
          <w:szCs w:val="22"/>
        </w:rPr>
        <w:t xml:space="preserve">estimated to comprise </w:t>
      </w:r>
      <w:r w:rsidRPr="00AD5EC0">
        <w:rPr>
          <w:szCs w:val="22"/>
        </w:rPr>
        <w:t xml:space="preserve">around </w:t>
      </w:r>
      <w:r w:rsidRPr="00F25F38">
        <w:rPr>
          <w:szCs w:val="22"/>
        </w:rPr>
        <w:t>0.1% (~55 tonnes) (</w:t>
      </w:r>
      <w:r w:rsidRPr="00F25F38">
        <w:rPr>
          <w:i/>
          <w:szCs w:val="22"/>
        </w:rPr>
        <w:t>CHF</w:t>
      </w:r>
      <w:r w:rsidR="005D76FC" w:rsidRPr="00F25F38">
        <w:rPr>
          <w:i/>
          <w:szCs w:val="22"/>
        </w:rPr>
        <w:t>3</w:t>
      </w:r>
      <w:r w:rsidRPr="00F25F38">
        <w:rPr>
          <w:i/>
          <w:szCs w:val="22"/>
        </w:rPr>
        <w:t xml:space="preserve"> </w:t>
      </w:r>
      <w:r w:rsidR="00F25F38">
        <w:rPr>
          <w:i/>
          <w:szCs w:val="22"/>
        </w:rPr>
        <w:t xml:space="preserve">2016, </w:t>
      </w:r>
      <w:r w:rsidRPr="00F25F38">
        <w:rPr>
          <w:i/>
          <w:szCs w:val="22"/>
        </w:rPr>
        <w:t>0.1%, also 55 tonnes</w:t>
      </w:r>
      <w:r w:rsidRPr="00F25F38">
        <w:rPr>
          <w:szCs w:val="22"/>
        </w:rPr>
        <w:t>) of the refrigerant bank. The leak rates have reduced from between 25% and 30% per annum</w:t>
      </w:r>
      <w:r w:rsidRPr="00F25F38">
        <w:rPr>
          <w:rStyle w:val="FootnoteReference"/>
          <w:szCs w:val="22"/>
        </w:rPr>
        <w:footnoteReference w:id="19"/>
      </w:r>
      <w:r w:rsidRPr="00F25F38">
        <w:rPr>
          <w:szCs w:val="22"/>
        </w:rPr>
        <w:t xml:space="preserve"> in 2012 to around 15% per annum in 201</w:t>
      </w:r>
      <w:r w:rsidR="00AD5EC0" w:rsidRPr="00F25F38">
        <w:rPr>
          <w:szCs w:val="22"/>
        </w:rPr>
        <w:t>8</w:t>
      </w:r>
      <w:r w:rsidR="002267F3">
        <w:rPr>
          <w:szCs w:val="22"/>
        </w:rPr>
        <w:t>, the main driver being price.</w:t>
      </w:r>
    </w:p>
    <w:p w14:paraId="2790ECCF" w14:textId="77777777" w:rsidR="007A1E7E" w:rsidRDefault="00851ED3" w:rsidP="009A23AA">
      <w:pPr>
        <w:rPr>
          <w:szCs w:val="22"/>
        </w:rPr>
      </w:pPr>
      <w:r>
        <w:rPr>
          <w:szCs w:val="22"/>
        </w:rPr>
        <w:t xml:space="preserve">Leak rates of this magnitude are, to some extent, the result of the operating environment for these generally low temperature refrigeration systems. </w:t>
      </w:r>
      <w:r w:rsidRPr="00504BCC">
        <w:rPr>
          <w:szCs w:val="22"/>
        </w:rPr>
        <w:t>Fishing vessel systems are ve</w:t>
      </w:r>
      <w:r>
        <w:rPr>
          <w:szCs w:val="22"/>
        </w:rPr>
        <w:t xml:space="preserve">ry hard working systems in </w:t>
      </w:r>
      <w:r w:rsidRPr="00504BCC">
        <w:rPr>
          <w:szCs w:val="22"/>
        </w:rPr>
        <w:t>difficult environments</w:t>
      </w:r>
      <w:r>
        <w:rPr>
          <w:szCs w:val="22"/>
        </w:rPr>
        <w:t xml:space="preserve">, often installed in very limited space with poor access for maintenance and repairs, operating in common plant rooms with the main engine, and under heavy load due to the need to rapidly chill or freeze tonnes of temperature sensitive product at a time. </w:t>
      </w:r>
    </w:p>
    <w:p w14:paraId="7C207C4A" w14:textId="38CCE599" w:rsidR="00851ED3" w:rsidRDefault="00851ED3" w:rsidP="009A23AA">
      <w:pPr>
        <w:rPr>
          <w:szCs w:val="22"/>
        </w:rPr>
      </w:pPr>
      <w:r>
        <w:rPr>
          <w:szCs w:val="22"/>
        </w:rPr>
        <w:t>The</w:t>
      </w:r>
      <w:r w:rsidRPr="00504BCC">
        <w:rPr>
          <w:szCs w:val="22"/>
        </w:rPr>
        <w:t xml:space="preserve"> normal machine vibration</w:t>
      </w:r>
      <w:r>
        <w:rPr>
          <w:szCs w:val="22"/>
        </w:rPr>
        <w:t xml:space="preserve"> is greatly</w:t>
      </w:r>
      <w:r w:rsidRPr="00504BCC">
        <w:rPr>
          <w:szCs w:val="22"/>
        </w:rPr>
        <w:t xml:space="preserve"> exacerbated by the high vibration and sometimes relatively</w:t>
      </w:r>
      <w:r>
        <w:rPr>
          <w:szCs w:val="22"/>
        </w:rPr>
        <w:t xml:space="preserve"> violent movement of the vessel itself. C</w:t>
      </w:r>
      <w:r w:rsidRPr="00504BCC">
        <w:rPr>
          <w:szCs w:val="22"/>
        </w:rPr>
        <w:t xml:space="preserve">ombined with </w:t>
      </w:r>
      <w:r>
        <w:rPr>
          <w:szCs w:val="22"/>
        </w:rPr>
        <w:t xml:space="preserve">operating in very </w:t>
      </w:r>
      <w:r w:rsidRPr="00504BCC">
        <w:rPr>
          <w:szCs w:val="22"/>
        </w:rPr>
        <w:t xml:space="preserve">high humidity plus </w:t>
      </w:r>
      <w:r>
        <w:rPr>
          <w:szCs w:val="22"/>
        </w:rPr>
        <w:t xml:space="preserve">dealing with </w:t>
      </w:r>
      <w:r w:rsidRPr="00504BCC">
        <w:rPr>
          <w:szCs w:val="22"/>
        </w:rPr>
        <w:t>the corrosive effects of salt</w:t>
      </w:r>
      <w:r>
        <w:rPr>
          <w:szCs w:val="22"/>
        </w:rPr>
        <w:t xml:space="preserve"> from sea spray and sea water, these conditions would be demanding for most electro-mechanical systems</w:t>
      </w:r>
      <w:r w:rsidRPr="00504BCC">
        <w:rPr>
          <w:szCs w:val="22"/>
        </w:rPr>
        <w:t>.</w:t>
      </w:r>
    </w:p>
    <w:p w14:paraId="054D2B8E" w14:textId="77777777" w:rsidR="00851ED3" w:rsidRDefault="00851ED3" w:rsidP="009A23AA">
      <w:pPr>
        <w:rPr>
          <w:szCs w:val="22"/>
        </w:rPr>
      </w:pPr>
    </w:p>
    <w:p w14:paraId="7C8CA60C" w14:textId="3006DD73" w:rsidR="00851ED3" w:rsidRDefault="00851ED3" w:rsidP="009A23AA">
      <w:pPr>
        <w:pStyle w:val="Heading3"/>
        <w:jc w:val="both"/>
      </w:pPr>
      <w:bookmarkStart w:id="69" w:name="_Toc525141269"/>
      <w:bookmarkStart w:id="70" w:name="_Toc19601303"/>
      <w:bookmarkStart w:id="71" w:name="_Toc494661743"/>
      <w:r>
        <w:t>Cold storage, distribution, i</w:t>
      </w:r>
      <w:r w:rsidRPr="004728E2">
        <w:t>ndustrial refrigeration</w:t>
      </w:r>
      <w:r>
        <w:t xml:space="preserve"> and large process chilling</w:t>
      </w:r>
      <w:bookmarkEnd w:id="69"/>
      <w:bookmarkEnd w:id="70"/>
      <w:r w:rsidRPr="004728E2">
        <w:t xml:space="preserve"> </w:t>
      </w:r>
      <w:bookmarkEnd w:id="71"/>
    </w:p>
    <w:p w14:paraId="3ACB14CB" w14:textId="77777777" w:rsidR="00851ED3" w:rsidRPr="00504BCC" w:rsidRDefault="00851ED3" w:rsidP="009A23AA">
      <w:pPr>
        <w:rPr>
          <w:szCs w:val="22"/>
        </w:rPr>
      </w:pPr>
      <w:r w:rsidRPr="00504BCC">
        <w:rPr>
          <w:szCs w:val="22"/>
        </w:rPr>
        <w:t xml:space="preserve">Industrial refrigeration (RCFC5), or process refrigeration, are terms commonly used to describe refrigeration applications in </w:t>
      </w:r>
      <w:r>
        <w:rPr>
          <w:szCs w:val="22"/>
        </w:rPr>
        <w:t xml:space="preserve">large </w:t>
      </w:r>
      <w:r w:rsidRPr="00504BCC">
        <w:rPr>
          <w:szCs w:val="22"/>
        </w:rPr>
        <w:t>manufacturing processes</w:t>
      </w:r>
      <w:r>
        <w:rPr>
          <w:szCs w:val="22"/>
        </w:rPr>
        <w:t>,</w:t>
      </w:r>
      <w:r w:rsidRPr="00504BCC">
        <w:rPr>
          <w:szCs w:val="22"/>
        </w:rPr>
        <w:t xml:space="preserve"> and those using a heat exchanger and secondary refrigerant </w:t>
      </w:r>
      <w:r>
        <w:rPr>
          <w:szCs w:val="22"/>
        </w:rPr>
        <w:t>such as water, brine or glycol</w:t>
      </w:r>
      <w:r w:rsidRPr="00504BCC">
        <w:rPr>
          <w:szCs w:val="22"/>
        </w:rPr>
        <w:t xml:space="preserve"> to create the refrigerating effect.</w:t>
      </w:r>
    </w:p>
    <w:p w14:paraId="1BE98218" w14:textId="2A23EC0E" w:rsidR="00851ED3" w:rsidRPr="00504BCC" w:rsidRDefault="00851ED3" w:rsidP="009A23AA">
      <w:pPr>
        <w:rPr>
          <w:szCs w:val="22"/>
        </w:rPr>
      </w:pPr>
      <w:r w:rsidRPr="00504BCC">
        <w:rPr>
          <w:szCs w:val="22"/>
        </w:rPr>
        <w:t xml:space="preserve">Cold storage facilities and food manufacturers with in-house engineering expertise generally use industrial refrigeration systems with screw compressors </w:t>
      </w:r>
      <w:r>
        <w:rPr>
          <w:szCs w:val="22"/>
        </w:rPr>
        <w:t>or</w:t>
      </w:r>
      <w:r w:rsidRPr="00504BCC">
        <w:rPr>
          <w:szCs w:val="22"/>
        </w:rPr>
        <w:t xml:space="preserve"> large reciprocating compressors operating on </w:t>
      </w:r>
      <w:r>
        <w:rPr>
          <w:szCs w:val="22"/>
        </w:rPr>
        <w:t xml:space="preserve">anhydrous </w:t>
      </w:r>
      <w:r w:rsidRPr="00504BCC">
        <w:rPr>
          <w:szCs w:val="22"/>
        </w:rPr>
        <w:t xml:space="preserve">ammonia (R717). There are a few </w:t>
      </w:r>
      <w:r>
        <w:rPr>
          <w:szCs w:val="22"/>
        </w:rPr>
        <w:t xml:space="preserve">industrial systems </w:t>
      </w:r>
      <w:r w:rsidRPr="00504BCC">
        <w:rPr>
          <w:szCs w:val="22"/>
        </w:rPr>
        <w:t>charged with HFC-404A</w:t>
      </w:r>
      <w:r>
        <w:rPr>
          <w:szCs w:val="22"/>
        </w:rPr>
        <w:t>,</w:t>
      </w:r>
      <w:r w:rsidRPr="00504BCC">
        <w:rPr>
          <w:szCs w:val="22"/>
        </w:rPr>
        <w:t xml:space="preserve"> and some older HCFC-22 charged systems in operation, however the</w:t>
      </w:r>
      <w:r>
        <w:rPr>
          <w:szCs w:val="22"/>
        </w:rPr>
        <w:t>se</w:t>
      </w:r>
      <w:r w:rsidRPr="00504BCC">
        <w:rPr>
          <w:szCs w:val="22"/>
        </w:rPr>
        <w:t xml:space="preserve"> are </w:t>
      </w:r>
      <w:r>
        <w:rPr>
          <w:szCs w:val="22"/>
        </w:rPr>
        <w:t xml:space="preserve">now </w:t>
      </w:r>
      <w:r w:rsidRPr="00504BCC">
        <w:rPr>
          <w:szCs w:val="22"/>
        </w:rPr>
        <w:t>rare</w:t>
      </w:r>
      <w:r>
        <w:rPr>
          <w:szCs w:val="22"/>
        </w:rPr>
        <w:t>. A</w:t>
      </w:r>
      <w:r w:rsidRPr="00504BCC">
        <w:rPr>
          <w:szCs w:val="22"/>
        </w:rPr>
        <w:t xml:space="preserve">mmonia </w:t>
      </w:r>
      <w:r>
        <w:rPr>
          <w:szCs w:val="22"/>
        </w:rPr>
        <w:t xml:space="preserve">charged </w:t>
      </w:r>
      <w:r w:rsidRPr="00504BCC">
        <w:rPr>
          <w:szCs w:val="22"/>
        </w:rPr>
        <w:t xml:space="preserve">systems dominate this equipment category with </w:t>
      </w:r>
      <w:r w:rsidR="002267F3">
        <w:rPr>
          <w:szCs w:val="22"/>
        </w:rPr>
        <w:t xml:space="preserve">more than </w:t>
      </w:r>
      <w:r>
        <w:rPr>
          <w:szCs w:val="22"/>
        </w:rPr>
        <w:t>9</w:t>
      </w:r>
      <w:r w:rsidR="002267F3">
        <w:rPr>
          <w:szCs w:val="22"/>
        </w:rPr>
        <w:t>5</w:t>
      </w:r>
      <w:r>
        <w:rPr>
          <w:szCs w:val="22"/>
        </w:rPr>
        <w:t>%</w:t>
      </w:r>
      <w:r w:rsidRPr="00504BCC">
        <w:rPr>
          <w:szCs w:val="22"/>
        </w:rPr>
        <w:t xml:space="preserve"> of applications</w:t>
      </w:r>
      <w:r>
        <w:rPr>
          <w:szCs w:val="22"/>
        </w:rPr>
        <w:t>,</w:t>
      </w:r>
      <w:r w:rsidRPr="00504BCC">
        <w:rPr>
          <w:szCs w:val="22"/>
        </w:rPr>
        <w:t xml:space="preserve"> based on </w:t>
      </w:r>
      <w:r>
        <w:rPr>
          <w:szCs w:val="22"/>
        </w:rPr>
        <w:t>total refrigerant bank in the category,</w:t>
      </w:r>
      <w:r w:rsidRPr="00504BCC">
        <w:rPr>
          <w:szCs w:val="22"/>
        </w:rPr>
        <w:t xml:space="preserve"> using ammonia.</w:t>
      </w:r>
      <w:r>
        <w:rPr>
          <w:szCs w:val="22"/>
        </w:rPr>
        <w:t xml:space="preserve"> </w:t>
      </w:r>
      <w:r w:rsidR="00AA5C8E">
        <w:rPr>
          <w:szCs w:val="22"/>
        </w:rPr>
        <w:t>There are some instances where ammonia refrigeration systems have been installed in cold storage facilities using the existing steel pipes from the previous HCFC-22 system. Some facilities with large HCFC-22 refrigerant charges (~6 tonnes) have been re-configured to cascade systems with ammonia as the primary refrigerant.</w:t>
      </w:r>
    </w:p>
    <w:p w14:paraId="68309E18" w14:textId="77777777" w:rsidR="00851ED3" w:rsidRDefault="00851ED3" w:rsidP="009A23AA">
      <w:pPr>
        <w:rPr>
          <w:rFonts w:cs="Times New Roman"/>
          <w:b/>
          <w:sz w:val="24"/>
        </w:rPr>
      </w:pPr>
      <w:r w:rsidRPr="00504BCC">
        <w:rPr>
          <w:szCs w:val="22"/>
        </w:rPr>
        <w:t xml:space="preserve">Small packaged liquid chillers (RCFC1-10) are used in process applications in laboratories, </w:t>
      </w:r>
      <w:r>
        <w:rPr>
          <w:szCs w:val="22"/>
        </w:rPr>
        <w:t xml:space="preserve">some </w:t>
      </w:r>
      <w:r w:rsidRPr="00504BCC">
        <w:rPr>
          <w:szCs w:val="22"/>
        </w:rPr>
        <w:t>food and drinks processing</w:t>
      </w:r>
      <w:r>
        <w:rPr>
          <w:szCs w:val="22"/>
        </w:rPr>
        <w:t>,</w:t>
      </w:r>
      <w:r w:rsidRPr="00504BCC">
        <w:rPr>
          <w:szCs w:val="22"/>
        </w:rPr>
        <w:t xml:space="preserve"> and in other </w:t>
      </w:r>
      <w:r>
        <w:rPr>
          <w:szCs w:val="22"/>
        </w:rPr>
        <w:t xml:space="preserve">applications in </w:t>
      </w:r>
      <w:r w:rsidRPr="00504BCC">
        <w:rPr>
          <w:szCs w:val="22"/>
        </w:rPr>
        <w:t xml:space="preserve">manufacturing and research </w:t>
      </w:r>
      <w:r>
        <w:rPr>
          <w:szCs w:val="22"/>
        </w:rPr>
        <w:t xml:space="preserve">laboratories </w:t>
      </w:r>
      <w:r w:rsidRPr="00504BCC">
        <w:rPr>
          <w:szCs w:val="22"/>
        </w:rPr>
        <w:t xml:space="preserve">in a variety of industry sectors. They </w:t>
      </w:r>
      <w:r>
        <w:rPr>
          <w:szCs w:val="22"/>
        </w:rPr>
        <w:t>can</w:t>
      </w:r>
      <w:r w:rsidRPr="00504BCC">
        <w:rPr>
          <w:szCs w:val="22"/>
        </w:rPr>
        <w:t xml:space="preserve"> have refrigerating capacities ranging from 10 </w:t>
      </w:r>
      <w:proofErr w:type="spellStart"/>
      <w:r w:rsidRPr="00504BCC">
        <w:rPr>
          <w:szCs w:val="22"/>
        </w:rPr>
        <w:t>kWr</w:t>
      </w:r>
      <w:proofErr w:type="spellEnd"/>
      <w:r w:rsidRPr="00504BCC">
        <w:rPr>
          <w:szCs w:val="22"/>
        </w:rPr>
        <w:t xml:space="preserve"> to more than 1,000 </w:t>
      </w:r>
      <w:proofErr w:type="spellStart"/>
      <w:r w:rsidRPr="00504BCC">
        <w:rPr>
          <w:szCs w:val="22"/>
        </w:rPr>
        <w:t>kWr</w:t>
      </w:r>
      <w:proofErr w:type="spellEnd"/>
      <w:r w:rsidRPr="00504BCC">
        <w:rPr>
          <w:szCs w:val="22"/>
        </w:rPr>
        <w:t xml:space="preserve">. Refrigerant types used in </w:t>
      </w:r>
      <w:r>
        <w:rPr>
          <w:szCs w:val="22"/>
        </w:rPr>
        <w:t xml:space="preserve">these rare and specialised </w:t>
      </w:r>
      <w:r w:rsidRPr="00504BCC">
        <w:rPr>
          <w:szCs w:val="22"/>
        </w:rPr>
        <w:t xml:space="preserve">packaged liquid chillers vary significantly depending on the temperature range, size, application and design. Refrigerants used include HFC-134a, HFC-404A, </w:t>
      </w:r>
      <w:r>
        <w:rPr>
          <w:szCs w:val="22"/>
        </w:rPr>
        <w:t>HFC-407C, HFC-410A and HCFC-22.</w:t>
      </w:r>
    </w:p>
    <w:p w14:paraId="2C2DF495" w14:textId="77777777" w:rsidR="00851ED3" w:rsidRPr="007D3141" w:rsidRDefault="00851ED3" w:rsidP="009A23AA">
      <w:pPr>
        <w:spacing w:before="240"/>
        <w:outlineLvl w:val="0"/>
        <w:rPr>
          <w:rFonts w:cs="Times New Roman"/>
          <w:b/>
          <w:sz w:val="24"/>
        </w:rPr>
      </w:pPr>
      <w:r w:rsidRPr="007D3141">
        <w:rPr>
          <w:rFonts w:cs="Times New Roman"/>
          <w:b/>
          <w:sz w:val="24"/>
        </w:rPr>
        <w:t>Ammonia</w:t>
      </w:r>
    </w:p>
    <w:p w14:paraId="7A0CC740" w14:textId="77777777" w:rsidR="00851ED3" w:rsidRDefault="00851ED3" w:rsidP="009A23AA">
      <w:pPr>
        <w:rPr>
          <w:szCs w:val="22"/>
        </w:rPr>
      </w:pPr>
      <w:r>
        <w:rPr>
          <w:szCs w:val="22"/>
        </w:rPr>
        <w:t>The main applications where ammonia</w:t>
      </w:r>
      <w:r>
        <w:rPr>
          <w:rStyle w:val="FootnoteReference"/>
          <w:szCs w:val="22"/>
        </w:rPr>
        <w:footnoteReference w:id="20"/>
      </w:r>
      <w:r>
        <w:rPr>
          <w:szCs w:val="22"/>
        </w:rPr>
        <w:t xml:space="preserve"> systems are found include cold storage facilities (typically 5,000 to 250,000 m</w:t>
      </w:r>
      <w:r>
        <w:rPr>
          <w:szCs w:val="22"/>
          <w:vertAlign w:val="superscript"/>
        </w:rPr>
        <w:t>3</w:t>
      </w:r>
      <w:r>
        <w:rPr>
          <w:szCs w:val="22"/>
        </w:rPr>
        <w:t xml:space="preserve">), </w:t>
      </w:r>
      <w:r w:rsidRPr="009B2352">
        <w:rPr>
          <w:szCs w:val="22"/>
        </w:rPr>
        <w:t>large</w:t>
      </w:r>
      <w:r>
        <w:rPr>
          <w:szCs w:val="22"/>
        </w:rPr>
        <w:t xml:space="preserve"> </w:t>
      </w:r>
      <w:r w:rsidRPr="009B2352">
        <w:rPr>
          <w:szCs w:val="22"/>
        </w:rPr>
        <w:t xml:space="preserve">chilling, freezing and ice making systems in the primary and secondary stages of the </w:t>
      </w:r>
      <w:r>
        <w:rPr>
          <w:szCs w:val="22"/>
        </w:rPr>
        <w:t>co</w:t>
      </w:r>
      <w:r w:rsidRPr="009B2352">
        <w:rPr>
          <w:szCs w:val="22"/>
        </w:rPr>
        <w:t xml:space="preserve">ld </w:t>
      </w:r>
      <w:r>
        <w:rPr>
          <w:szCs w:val="22"/>
        </w:rPr>
        <w:t>f</w:t>
      </w:r>
      <w:r w:rsidRPr="009B2352">
        <w:rPr>
          <w:szCs w:val="22"/>
        </w:rPr>
        <w:t xml:space="preserve">ood </w:t>
      </w:r>
      <w:r>
        <w:rPr>
          <w:szCs w:val="22"/>
        </w:rPr>
        <w:t>c</w:t>
      </w:r>
      <w:r w:rsidRPr="009B2352">
        <w:rPr>
          <w:szCs w:val="22"/>
        </w:rPr>
        <w:t>hain</w:t>
      </w:r>
      <w:r>
        <w:rPr>
          <w:szCs w:val="22"/>
        </w:rPr>
        <w:t xml:space="preserve">, and some chemical processes and mining air conditioning applications. </w:t>
      </w:r>
    </w:p>
    <w:p w14:paraId="5744DB42" w14:textId="12190A6F" w:rsidR="00851ED3" w:rsidRDefault="00851ED3" w:rsidP="009A23AA">
      <w:pPr>
        <w:rPr>
          <w:szCs w:val="22"/>
        </w:rPr>
      </w:pPr>
      <w:r>
        <w:rPr>
          <w:szCs w:val="22"/>
        </w:rPr>
        <w:t>In 2018 there was</w:t>
      </w:r>
      <w:r w:rsidRPr="000310F6">
        <w:rPr>
          <w:szCs w:val="22"/>
        </w:rPr>
        <w:t xml:space="preserve"> an estimated </w:t>
      </w:r>
      <w:r>
        <w:rPr>
          <w:szCs w:val="22"/>
        </w:rPr>
        <w:t>15.5</w:t>
      </w:r>
      <w:r w:rsidRPr="000310F6">
        <w:rPr>
          <w:szCs w:val="22"/>
        </w:rPr>
        <w:t xml:space="preserve"> million m</w:t>
      </w:r>
      <w:r w:rsidRPr="000310F6">
        <w:rPr>
          <w:szCs w:val="22"/>
          <w:vertAlign w:val="superscript"/>
        </w:rPr>
        <w:t>3</w:t>
      </w:r>
      <w:r w:rsidRPr="000310F6">
        <w:rPr>
          <w:szCs w:val="22"/>
        </w:rPr>
        <w:t xml:space="preserve"> of cold storage space</w:t>
      </w:r>
      <w:r>
        <w:rPr>
          <w:szCs w:val="22"/>
        </w:rPr>
        <w:t xml:space="preserve"> operating in Australia and the very large majority of these facilities (&gt;9</w:t>
      </w:r>
      <w:r w:rsidR="002267F3">
        <w:rPr>
          <w:szCs w:val="22"/>
        </w:rPr>
        <w:t>5</w:t>
      </w:r>
      <w:r>
        <w:rPr>
          <w:szCs w:val="22"/>
        </w:rPr>
        <w:t xml:space="preserve">%) </w:t>
      </w:r>
      <w:r w:rsidRPr="000310F6">
        <w:rPr>
          <w:szCs w:val="22"/>
        </w:rPr>
        <w:t>operat</w:t>
      </w:r>
      <w:r>
        <w:rPr>
          <w:szCs w:val="22"/>
        </w:rPr>
        <w:t xml:space="preserve">e on </w:t>
      </w:r>
      <w:r w:rsidRPr="000310F6">
        <w:rPr>
          <w:szCs w:val="22"/>
        </w:rPr>
        <w:t xml:space="preserve">ammonia systems. Assuming a benchmark obtained from industry sources of </w:t>
      </w:r>
      <w:r>
        <w:rPr>
          <w:szCs w:val="22"/>
        </w:rPr>
        <w:t>29</w:t>
      </w:r>
      <w:r w:rsidRPr="000310F6">
        <w:rPr>
          <w:szCs w:val="22"/>
        </w:rPr>
        <w:t xml:space="preserve"> kg per 1,000 m</w:t>
      </w:r>
      <w:r w:rsidRPr="000310F6">
        <w:rPr>
          <w:szCs w:val="22"/>
          <w:vertAlign w:val="superscript"/>
        </w:rPr>
        <w:t>3</w:t>
      </w:r>
      <w:r w:rsidRPr="000310F6">
        <w:rPr>
          <w:szCs w:val="22"/>
        </w:rPr>
        <w:t xml:space="preserve"> of storage space, this equates </w:t>
      </w:r>
      <w:r w:rsidRPr="000425DE">
        <w:rPr>
          <w:szCs w:val="22"/>
        </w:rPr>
        <w:t>to around 4</w:t>
      </w:r>
      <w:r w:rsidR="000425DE" w:rsidRPr="000425DE">
        <w:rPr>
          <w:szCs w:val="22"/>
        </w:rPr>
        <w:t>45</w:t>
      </w:r>
      <w:r w:rsidRPr="000425DE">
        <w:rPr>
          <w:szCs w:val="22"/>
        </w:rPr>
        <w:t xml:space="preserve"> tonnes of ammonia</w:t>
      </w:r>
      <w:r w:rsidRPr="000310F6">
        <w:rPr>
          <w:szCs w:val="22"/>
        </w:rPr>
        <w:t xml:space="preserve"> in cold stores.</w:t>
      </w:r>
      <w:r>
        <w:rPr>
          <w:rStyle w:val="FootnoteReference"/>
          <w:szCs w:val="22"/>
        </w:rPr>
        <w:footnoteReference w:id="21"/>
      </w:r>
    </w:p>
    <w:p w14:paraId="079C5A4E" w14:textId="10934D98" w:rsidR="00851ED3" w:rsidRPr="009A4B2F" w:rsidRDefault="00851ED3" w:rsidP="009A23AA">
      <w:pPr>
        <w:rPr>
          <w:szCs w:val="22"/>
        </w:rPr>
      </w:pPr>
      <w:r w:rsidRPr="009A4B2F">
        <w:rPr>
          <w:szCs w:val="22"/>
        </w:rPr>
        <w:t xml:space="preserve">Some examples of construction activity </w:t>
      </w:r>
      <w:r w:rsidR="002267F3">
        <w:rPr>
          <w:szCs w:val="22"/>
        </w:rPr>
        <w:t xml:space="preserve">of ammonia systems </w:t>
      </w:r>
      <w:r w:rsidRPr="009A4B2F">
        <w:rPr>
          <w:szCs w:val="22"/>
        </w:rPr>
        <w:t xml:space="preserve">in </w:t>
      </w:r>
      <w:r>
        <w:rPr>
          <w:szCs w:val="22"/>
        </w:rPr>
        <w:t xml:space="preserve">the </w:t>
      </w:r>
      <w:r w:rsidRPr="009A4B2F">
        <w:rPr>
          <w:szCs w:val="22"/>
        </w:rPr>
        <w:t>cold storage industry since 2016 include:</w:t>
      </w:r>
    </w:p>
    <w:p w14:paraId="14412852" w14:textId="77777777" w:rsidR="00851ED3" w:rsidRPr="009A4B2F" w:rsidRDefault="00851ED3" w:rsidP="009A23AA">
      <w:pPr>
        <w:pStyle w:val="ListParagraph"/>
        <w:numPr>
          <w:ilvl w:val="0"/>
          <w:numId w:val="32"/>
        </w:numPr>
        <w:spacing w:before="120" w:after="0" w:line="240" w:lineRule="auto"/>
        <w:ind w:left="357" w:hanging="357"/>
        <w:contextualSpacing w:val="0"/>
        <w:jc w:val="both"/>
        <w:rPr>
          <w:rFonts w:ascii="Times New Roman" w:hAnsi="Times New Roman"/>
        </w:rPr>
      </w:pPr>
      <w:r w:rsidRPr="009A4B2F">
        <w:rPr>
          <w:rFonts w:ascii="Times New Roman" w:hAnsi="Times New Roman"/>
        </w:rPr>
        <w:t xml:space="preserve">A consolidation and expansion of the </w:t>
      </w:r>
      <w:proofErr w:type="spellStart"/>
      <w:r w:rsidRPr="009A4B2F">
        <w:rPr>
          <w:rFonts w:ascii="Times New Roman" w:hAnsi="Times New Roman"/>
        </w:rPr>
        <w:t>Ingham’s</w:t>
      </w:r>
      <w:proofErr w:type="spellEnd"/>
      <w:r w:rsidRPr="009A4B2F">
        <w:rPr>
          <w:rFonts w:ascii="Times New Roman" w:hAnsi="Times New Roman"/>
        </w:rPr>
        <w:t xml:space="preserve"> Food Processing and Cold Storage Facility in Lytton to around 114,000 m</w:t>
      </w:r>
      <w:r w:rsidRPr="00013771">
        <w:rPr>
          <w:rFonts w:ascii="Times New Roman" w:hAnsi="Times New Roman"/>
          <w:vertAlign w:val="superscript"/>
        </w:rPr>
        <w:t>3</w:t>
      </w:r>
      <w:r w:rsidRPr="009A4B2F">
        <w:rPr>
          <w:rFonts w:ascii="Times New Roman" w:hAnsi="Times New Roman"/>
        </w:rPr>
        <w:t xml:space="preserve"> in 2017.</w:t>
      </w:r>
    </w:p>
    <w:p w14:paraId="22B49E4B" w14:textId="77777777" w:rsidR="00851ED3" w:rsidRPr="009A4B2F" w:rsidRDefault="00851ED3" w:rsidP="009A23AA">
      <w:pPr>
        <w:pStyle w:val="ListParagraph"/>
        <w:numPr>
          <w:ilvl w:val="0"/>
          <w:numId w:val="32"/>
        </w:numPr>
        <w:spacing w:before="120" w:after="0" w:line="240" w:lineRule="auto"/>
        <w:ind w:left="357" w:hanging="357"/>
        <w:contextualSpacing w:val="0"/>
        <w:jc w:val="both"/>
        <w:rPr>
          <w:rFonts w:ascii="Times New Roman" w:hAnsi="Times New Roman"/>
        </w:rPr>
      </w:pPr>
      <w:r w:rsidRPr="009A4B2F">
        <w:rPr>
          <w:rFonts w:ascii="Times New Roman" w:hAnsi="Times New Roman"/>
        </w:rPr>
        <w:t>PFD Food Services constructed a new facility with 8,500 m</w:t>
      </w:r>
      <w:r w:rsidRPr="009A4B2F">
        <w:rPr>
          <w:rFonts w:ascii="Times New Roman" w:hAnsi="Times New Roman"/>
          <w:vertAlign w:val="superscript"/>
        </w:rPr>
        <w:t>2</w:t>
      </w:r>
      <w:r w:rsidRPr="009A4B2F">
        <w:rPr>
          <w:rFonts w:ascii="Times New Roman" w:hAnsi="Times New Roman"/>
        </w:rPr>
        <w:t xml:space="preserve"> of freezer and 5,500 m</w:t>
      </w:r>
      <w:r w:rsidRPr="009A4B2F">
        <w:rPr>
          <w:rFonts w:ascii="Times New Roman" w:hAnsi="Times New Roman"/>
          <w:vertAlign w:val="superscript"/>
        </w:rPr>
        <w:t>2</w:t>
      </w:r>
      <w:r w:rsidRPr="009A4B2F">
        <w:rPr>
          <w:rFonts w:ascii="Times New Roman" w:hAnsi="Times New Roman"/>
        </w:rPr>
        <w:t xml:space="preserve"> of chiller capacity in 2018.</w:t>
      </w:r>
    </w:p>
    <w:p w14:paraId="0629682F" w14:textId="77777777" w:rsidR="00851ED3" w:rsidRPr="009A4B2F" w:rsidRDefault="00851ED3" w:rsidP="009A23AA">
      <w:pPr>
        <w:pStyle w:val="ListParagraph"/>
        <w:numPr>
          <w:ilvl w:val="0"/>
          <w:numId w:val="32"/>
        </w:numPr>
        <w:spacing w:before="120" w:after="0" w:line="240" w:lineRule="auto"/>
        <w:ind w:left="357" w:hanging="357"/>
        <w:contextualSpacing w:val="0"/>
        <w:jc w:val="both"/>
        <w:rPr>
          <w:rFonts w:ascii="Times New Roman" w:hAnsi="Times New Roman"/>
        </w:rPr>
      </w:pPr>
      <w:r w:rsidRPr="009A4B2F">
        <w:rPr>
          <w:rFonts w:ascii="Times New Roman" w:hAnsi="Times New Roman"/>
        </w:rPr>
        <w:t>In late 2018 Link Logistics opened a new facility with 1,000 m</w:t>
      </w:r>
      <w:r w:rsidRPr="009A4B2F">
        <w:rPr>
          <w:rFonts w:ascii="Times New Roman" w:hAnsi="Times New Roman"/>
          <w:vertAlign w:val="superscript"/>
        </w:rPr>
        <w:t>2</w:t>
      </w:r>
      <w:r w:rsidRPr="009A4B2F">
        <w:rPr>
          <w:rFonts w:ascii="Times New Roman" w:hAnsi="Times New Roman"/>
        </w:rPr>
        <w:t xml:space="preserve"> of freezer and 900 m</w:t>
      </w:r>
      <w:r w:rsidRPr="009A4B2F">
        <w:rPr>
          <w:rFonts w:ascii="Times New Roman" w:hAnsi="Times New Roman"/>
          <w:vertAlign w:val="superscript"/>
        </w:rPr>
        <w:t>2</w:t>
      </w:r>
      <w:r w:rsidRPr="009A4B2F">
        <w:rPr>
          <w:rFonts w:ascii="Times New Roman" w:hAnsi="Times New Roman"/>
        </w:rPr>
        <w:t xml:space="preserve"> of chiller capacity in the commercial precinct of Hobart Airport to allow local producers to transport their fresh produce directly to export destinations.</w:t>
      </w:r>
      <w:r>
        <w:rPr>
          <w:rFonts w:ascii="Times New Roman" w:hAnsi="Times New Roman"/>
        </w:rPr>
        <w:t xml:space="preserve"> This system was a CO</w:t>
      </w:r>
      <w:r w:rsidRPr="00013771">
        <w:rPr>
          <w:rFonts w:ascii="Times New Roman" w:hAnsi="Times New Roman"/>
          <w:vertAlign w:val="subscript"/>
        </w:rPr>
        <w:t>2</w:t>
      </w:r>
      <w:r>
        <w:rPr>
          <w:rFonts w:ascii="Times New Roman" w:hAnsi="Times New Roman"/>
        </w:rPr>
        <w:t xml:space="preserve"> only trans-critical system due to location and the requirement for </w:t>
      </w:r>
      <w:r w:rsidRPr="00013771">
        <w:rPr>
          <w:rFonts w:ascii="Times New Roman" w:hAnsi="Times New Roman"/>
        </w:rPr>
        <w:t>low toxicity</w:t>
      </w:r>
      <w:r>
        <w:rPr>
          <w:rFonts w:ascii="Times New Roman" w:hAnsi="Times New Roman"/>
        </w:rPr>
        <w:t xml:space="preserve">, </w:t>
      </w:r>
      <w:r w:rsidRPr="00013771">
        <w:rPr>
          <w:rFonts w:ascii="Times New Roman" w:hAnsi="Times New Roman"/>
        </w:rPr>
        <w:t>non-flammability</w:t>
      </w:r>
      <w:r>
        <w:rPr>
          <w:rFonts w:ascii="Times New Roman" w:hAnsi="Times New Roman"/>
        </w:rPr>
        <w:t xml:space="preserve"> and energy savings.</w:t>
      </w:r>
    </w:p>
    <w:p w14:paraId="7D8E8ABE" w14:textId="77777777" w:rsidR="00851ED3" w:rsidRPr="009A4B2F" w:rsidRDefault="00851ED3" w:rsidP="009A23AA">
      <w:pPr>
        <w:pStyle w:val="ListParagraph"/>
        <w:numPr>
          <w:ilvl w:val="0"/>
          <w:numId w:val="32"/>
        </w:numPr>
        <w:spacing w:before="120" w:after="0" w:line="240" w:lineRule="auto"/>
        <w:ind w:left="357" w:hanging="357"/>
        <w:contextualSpacing w:val="0"/>
        <w:jc w:val="both"/>
        <w:rPr>
          <w:rFonts w:ascii="Times New Roman" w:hAnsi="Times New Roman"/>
        </w:rPr>
      </w:pPr>
      <w:r w:rsidRPr="009A4B2F">
        <w:rPr>
          <w:rFonts w:ascii="Times New Roman" w:hAnsi="Times New Roman"/>
        </w:rPr>
        <w:t>Costco Australia constructed a new distribution centre with capacity to service up to 30 stores nationally plus online. Costco propose to close the existing distribution centre in Wetherill Park when the new warehouse comes on line in 2019.</w:t>
      </w:r>
    </w:p>
    <w:p w14:paraId="606D99A7" w14:textId="77777777" w:rsidR="00851ED3" w:rsidRPr="009A4B2F" w:rsidRDefault="00851ED3" w:rsidP="009A23AA">
      <w:pPr>
        <w:pStyle w:val="ListParagraph"/>
        <w:numPr>
          <w:ilvl w:val="0"/>
          <w:numId w:val="32"/>
        </w:numPr>
        <w:spacing w:before="120" w:after="0" w:line="240" w:lineRule="auto"/>
        <w:ind w:left="357" w:hanging="357"/>
        <w:contextualSpacing w:val="0"/>
        <w:jc w:val="both"/>
        <w:rPr>
          <w:rFonts w:ascii="Times New Roman" w:hAnsi="Times New Roman"/>
        </w:rPr>
      </w:pPr>
      <w:r w:rsidRPr="009A4B2F">
        <w:rPr>
          <w:rFonts w:ascii="Times New Roman" w:hAnsi="Times New Roman"/>
        </w:rPr>
        <w:t>Expansion of the Woolworths, Adelaide Regional Distribution Centre on the Gepps Cross site by 94,000 m</w:t>
      </w:r>
      <w:r w:rsidRPr="009A4B2F">
        <w:rPr>
          <w:rFonts w:ascii="Times New Roman" w:hAnsi="Times New Roman"/>
          <w:vertAlign w:val="superscript"/>
        </w:rPr>
        <w:t>2</w:t>
      </w:r>
      <w:r w:rsidRPr="009A4B2F">
        <w:rPr>
          <w:rFonts w:ascii="Times New Roman" w:hAnsi="Times New Roman"/>
        </w:rPr>
        <w:t xml:space="preserve"> planned to be complete by mid-2020.</w:t>
      </w:r>
    </w:p>
    <w:p w14:paraId="67AC749B" w14:textId="77777777" w:rsidR="00851ED3" w:rsidRPr="009A4B2F" w:rsidRDefault="00851ED3" w:rsidP="009A23AA">
      <w:pPr>
        <w:pStyle w:val="ListParagraph"/>
        <w:numPr>
          <w:ilvl w:val="0"/>
          <w:numId w:val="32"/>
        </w:numPr>
        <w:spacing w:before="120" w:after="0" w:line="240" w:lineRule="auto"/>
        <w:ind w:left="357" w:hanging="357"/>
        <w:contextualSpacing w:val="0"/>
        <w:jc w:val="both"/>
        <w:rPr>
          <w:rFonts w:ascii="Times New Roman" w:hAnsi="Times New Roman"/>
        </w:rPr>
      </w:pPr>
      <w:r w:rsidRPr="009A4B2F">
        <w:rPr>
          <w:rFonts w:ascii="Times New Roman" w:hAnsi="Times New Roman"/>
        </w:rPr>
        <w:t xml:space="preserve">In May 2018 Woolworths announced the construction of a new dedicated Melbourne Fresh Distribution Centre to be located in </w:t>
      </w:r>
      <w:proofErr w:type="spellStart"/>
      <w:r w:rsidRPr="009A4B2F">
        <w:rPr>
          <w:rFonts w:ascii="Times New Roman" w:hAnsi="Times New Roman"/>
        </w:rPr>
        <w:t>Truganina</w:t>
      </w:r>
      <w:proofErr w:type="spellEnd"/>
      <w:r w:rsidRPr="009A4B2F">
        <w:rPr>
          <w:rFonts w:ascii="Times New Roman" w:hAnsi="Times New Roman"/>
        </w:rPr>
        <w:t>, Victoria designed to replace current operations at Mulgrave in late 2020.</w:t>
      </w:r>
    </w:p>
    <w:p w14:paraId="5E024F73" w14:textId="77777777" w:rsidR="00851ED3" w:rsidRPr="009A4B2F" w:rsidRDefault="00851ED3" w:rsidP="009A23AA">
      <w:pPr>
        <w:pStyle w:val="ListParagraph"/>
        <w:numPr>
          <w:ilvl w:val="0"/>
          <w:numId w:val="32"/>
        </w:numPr>
        <w:spacing w:before="120" w:after="0" w:line="240" w:lineRule="auto"/>
        <w:ind w:left="357" w:hanging="357"/>
        <w:contextualSpacing w:val="0"/>
        <w:jc w:val="both"/>
        <w:rPr>
          <w:rFonts w:ascii="Times New Roman" w:hAnsi="Times New Roman"/>
        </w:rPr>
      </w:pPr>
      <w:r w:rsidRPr="009A4B2F">
        <w:rPr>
          <w:rFonts w:ascii="Times New Roman" w:hAnsi="Times New Roman"/>
        </w:rPr>
        <w:t xml:space="preserve">Numerous </w:t>
      </w:r>
      <w:proofErr w:type="spellStart"/>
      <w:r w:rsidRPr="009A4B2F">
        <w:rPr>
          <w:rFonts w:ascii="Times New Roman" w:hAnsi="Times New Roman"/>
        </w:rPr>
        <w:t>Bidfoods</w:t>
      </w:r>
      <w:proofErr w:type="spellEnd"/>
      <w:r w:rsidRPr="009A4B2F">
        <w:rPr>
          <w:rFonts w:ascii="Times New Roman" w:hAnsi="Times New Roman"/>
        </w:rPr>
        <w:t xml:space="preserve"> sites have been upgraded or are under construction including a new 7,500 m</w:t>
      </w:r>
      <w:r w:rsidRPr="00013771">
        <w:rPr>
          <w:rFonts w:ascii="Times New Roman" w:hAnsi="Times New Roman"/>
          <w:vertAlign w:val="superscript"/>
        </w:rPr>
        <w:t>2</w:t>
      </w:r>
      <w:r w:rsidRPr="009A4B2F">
        <w:rPr>
          <w:rFonts w:ascii="Times New Roman" w:hAnsi="Times New Roman"/>
        </w:rPr>
        <w:t xml:space="preserve"> Cold Storage and Distribution Centre in Cairns.</w:t>
      </w:r>
      <w:r>
        <w:rPr>
          <w:rFonts w:ascii="Times New Roman" w:hAnsi="Times New Roman"/>
        </w:rPr>
        <w:t xml:space="preserve"> These are low charge ammonia systems.</w:t>
      </w:r>
    </w:p>
    <w:p w14:paraId="19AED342" w14:textId="77777777" w:rsidR="00851ED3" w:rsidRPr="009A4B2F" w:rsidRDefault="00851ED3" w:rsidP="009A23AA">
      <w:pPr>
        <w:pStyle w:val="ListParagraph"/>
        <w:numPr>
          <w:ilvl w:val="0"/>
          <w:numId w:val="32"/>
        </w:numPr>
        <w:spacing w:before="120" w:after="0" w:line="240" w:lineRule="auto"/>
        <w:ind w:left="357" w:hanging="357"/>
        <w:contextualSpacing w:val="0"/>
        <w:jc w:val="both"/>
        <w:rPr>
          <w:rFonts w:ascii="Times New Roman" w:hAnsi="Times New Roman"/>
        </w:rPr>
      </w:pPr>
      <w:r w:rsidRPr="009A4B2F">
        <w:rPr>
          <w:rFonts w:ascii="Times New Roman" w:hAnsi="Times New Roman"/>
        </w:rPr>
        <w:t>Hilton Food Group is constructing a 45,000 m</w:t>
      </w:r>
      <w:r w:rsidRPr="009A4B2F">
        <w:rPr>
          <w:rFonts w:ascii="Times New Roman" w:hAnsi="Times New Roman"/>
          <w:vertAlign w:val="superscript"/>
        </w:rPr>
        <w:t>2</w:t>
      </w:r>
      <w:r w:rsidRPr="009A4B2F">
        <w:rPr>
          <w:rFonts w:ascii="Times New Roman" w:hAnsi="Times New Roman"/>
        </w:rPr>
        <w:t xml:space="preserve"> meat processing and distribution facility that is anticipated to be fully operational in 2020.</w:t>
      </w:r>
    </w:p>
    <w:p w14:paraId="62EB54B4" w14:textId="77777777" w:rsidR="00851ED3" w:rsidRPr="000310F6" w:rsidRDefault="00851ED3" w:rsidP="009A23AA">
      <w:pPr>
        <w:rPr>
          <w:szCs w:val="22"/>
        </w:rPr>
      </w:pPr>
      <w:r>
        <w:rPr>
          <w:szCs w:val="22"/>
        </w:rPr>
        <w:t>Other a</w:t>
      </w:r>
      <w:r w:rsidRPr="000310F6">
        <w:rPr>
          <w:szCs w:val="22"/>
        </w:rPr>
        <w:t xml:space="preserve">pplications where large charges of ammonia can be found in single installations are in high volume blast freezing applications that are extremely refrigeration intensive, requiring </w:t>
      </w:r>
      <w:r>
        <w:rPr>
          <w:szCs w:val="22"/>
        </w:rPr>
        <w:t xml:space="preserve">snap freezing of </w:t>
      </w:r>
      <w:r w:rsidRPr="000310F6">
        <w:rPr>
          <w:szCs w:val="22"/>
        </w:rPr>
        <w:t xml:space="preserve">large masses of perishable goods such as </w:t>
      </w:r>
      <w:r>
        <w:rPr>
          <w:szCs w:val="22"/>
        </w:rPr>
        <w:t xml:space="preserve">in </w:t>
      </w:r>
      <w:r w:rsidRPr="000310F6">
        <w:rPr>
          <w:szCs w:val="22"/>
        </w:rPr>
        <w:t xml:space="preserve">meat processing, poultry processing and other primary and secondary processes in the </w:t>
      </w:r>
      <w:r>
        <w:rPr>
          <w:szCs w:val="22"/>
        </w:rPr>
        <w:t>r</w:t>
      </w:r>
      <w:r w:rsidRPr="000310F6">
        <w:rPr>
          <w:szCs w:val="22"/>
        </w:rPr>
        <w:t xml:space="preserve">efrigerated </w:t>
      </w:r>
      <w:r>
        <w:rPr>
          <w:szCs w:val="22"/>
        </w:rPr>
        <w:t>c</w:t>
      </w:r>
      <w:r w:rsidRPr="000310F6">
        <w:rPr>
          <w:szCs w:val="22"/>
        </w:rPr>
        <w:t xml:space="preserve">old </w:t>
      </w:r>
      <w:r>
        <w:rPr>
          <w:szCs w:val="22"/>
        </w:rPr>
        <w:t>f</w:t>
      </w:r>
      <w:r w:rsidRPr="000310F6">
        <w:rPr>
          <w:szCs w:val="22"/>
        </w:rPr>
        <w:t xml:space="preserve">ood </w:t>
      </w:r>
      <w:r>
        <w:rPr>
          <w:szCs w:val="22"/>
        </w:rPr>
        <w:t>c</w:t>
      </w:r>
      <w:r w:rsidRPr="000310F6">
        <w:rPr>
          <w:szCs w:val="22"/>
        </w:rPr>
        <w:t>hain (i.e.</w:t>
      </w:r>
      <w:r>
        <w:rPr>
          <w:szCs w:val="22"/>
        </w:rPr>
        <w:t xml:space="preserve"> snap frozen</w:t>
      </w:r>
      <w:r w:rsidRPr="000310F6">
        <w:rPr>
          <w:szCs w:val="22"/>
        </w:rPr>
        <w:t xml:space="preserve"> </w:t>
      </w:r>
      <w:r>
        <w:rPr>
          <w:szCs w:val="22"/>
        </w:rPr>
        <w:t>vegetables</w:t>
      </w:r>
      <w:r w:rsidRPr="000310F6">
        <w:rPr>
          <w:szCs w:val="22"/>
        </w:rPr>
        <w:t xml:space="preserve">). </w:t>
      </w:r>
    </w:p>
    <w:p w14:paraId="791D7366" w14:textId="01B1FDC7" w:rsidR="00851ED3" w:rsidRDefault="00851ED3" w:rsidP="009A23AA">
      <w:pPr>
        <w:rPr>
          <w:szCs w:val="22"/>
        </w:rPr>
      </w:pPr>
      <w:r w:rsidRPr="008E2AD9">
        <w:rPr>
          <w:szCs w:val="22"/>
        </w:rPr>
        <w:t xml:space="preserve">Some individual meat processing facilities are known to contain up to 150 tonnes of ammonia. </w:t>
      </w:r>
      <w:r w:rsidRPr="00B6466F">
        <w:rPr>
          <w:szCs w:val="22"/>
        </w:rPr>
        <w:t xml:space="preserve">There are almost </w:t>
      </w:r>
      <w:r w:rsidR="00B6466F" w:rsidRPr="00B6466F">
        <w:rPr>
          <w:szCs w:val="22"/>
        </w:rPr>
        <w:t>150</w:t>
      </w:r>
      <w:r w:rsidRPr="00B6466F">
        <w:rPr>
          <w:szCs w:val="22"/>
        </w:rPr>
        <w:t xml:space="preserve"> meat/poultry processing facilities in Australia that employ more than 20 people.</w:t>
      </w:r>
      <w:r w:rsidRPr="00B6466F">
        <w:rPr>
          <w:rStyle w:val="FootnoteReference"/>
          <w:szCs w:val="22"/>
        </w:rPr>
        <w:footnoteReference w:id="22"/>
      </w:r>
      <w:r w:rsidRPr="000310F6">
        <w:rPr>
          <w:szCs w:val="22"/>
        </w:rPr>
        <w:t xml:space="preserve"> </w:t>
      </w:r>
    </w:p>
    <w:p w14:paraId="79E1137A" w14:textId="14E25D22" w:rsidR="00851ED3" w:rsidRDefault="00851ED3" w:rsidP="009A23AA">
      <w:pPr>
        <w:rPr>
          <w:szCs w:val="22"/>
        </w:rPr>
      </w:pPr>
      <w:r w:rsidRPr="000310F6">
        <w:rPr>
          <w:szCs w:val="22"/>
        </w:rPr>
        <w:t xml:space="preserve">A survey of suppliers of bulk ammonia estimated </w:t>
      </w:r>
      <w:r w:rsidR="00AD5EC0">
        <w:rPr>
          <w:szCs w:val="22"/>
        </w:rPr>
        <w:t>643</w:t>
      </w:r>
      <w:r w:rsidRPr="000310F6">
        <w:rPr>
          <w:szCs w:val="22"/>
        </w:rPr>
        <w:t xml:space="preserve"> tonnes w</w:t>
      </w:r>
      <w:r>
        <w:rPr>
          <w:szCs w:val="22"/>
        </w:rPr>
        <w:t>ere delivered to customers in 201</w:t>
      </w:r>
      <w:r w:rsidR="00AD5EC0">
        <w:rPr>
          <w:szCs w:val="22"/>
        </w:rPr>
        <w:t>8</w:t>
      </w:r>
      <w:r>
        <w:rPr>
          <w:szCs w:val="22"/>
        </w:rPr>
        <w:t xml:space="preserve">. </w:t>
      </w:r>
      <w:r w:rsidR="00B6466F">
        <w:rPr>
          <w:szCs w:val="22"/>
        </w:rPr>
        <w:t xml:space="preserve">The </w:t>
      </w:r>
      <w:r>
        <w:rPr>
          <w:szCs w:val="22"/>
        </w:rPr>
        <w:t>recent survey confirms a</w:t>
      </w:r>
      <w:r w:rsidR="00B6466F">
        <w:rPr>
          <w:szCs w:val="22"/>
        </w:rPr>
        <w:t xml:space="preserve"> five-year </w:t>
      </w:r>
      <w:r>
        <w:rPr>
          <w:szCs w:val="22"/>
        </w:rPr>
        <w:t xml:space="preserve">average of </w:t>
      </w:r>
      <w:r w:rsidR="00AD5EC0">
        <w:rPr>
          <w:szCs w:val="22"/>
        </w:rPr>
        <w:t>6</w:t>
      </w:r>
      <w:r w:rsidR="00B6466F">
        <w:rPr>
          <w:szCs w:val="22"/>
        </w:rPr>
        <w:t>98</w:t>
      </w:r>
      <w:r>
        <w:rPr>
          <w:szCs w:val="22"/>
        </w:rPr>
        <w:t xml:space="preserve"> tonnes </w:t>
      </w:r>
      <w:r w:rsidR="00AD5EC0">
        <w:rPr>
          <w:szCs w:val="22"/>
        </w:rPr>
        <w:t xml:space="preserve">supplied </w:t>
      </w:r>
      <w:r>
        <w:rPr>
          <w:szCs w:val="22"/>
        </w:rPr>
        <w:t>per annum from 201</w:t>
      </w:r>
      <w:r w:rsidR="00B6466F">
        <w:rPr>
          <w:szCs w:val="22"/>
        </w:rPr>
        <w:t>4</w:t>
      </w:r>
      <w:r>
        <w:rPr>
          <w:szCs w:val="22"/>
        </w:rPr>
        <w:t xml:space="preserve"> to 201</w:t>
      </w:r>
      <w:r w:rsidR="00AD5EC0">
        <w:rPr>
          <w:szCs w:val="22"/>
        </w:rPr>
        <w:t>8</w:t>
      </w:r>
      <w:r>
        <w:rPr>
          <w:szCs w:val="22"/>
        </w:rPr>
        <w:t xml:space="preserve">. The supply of ammonia can vary depending on capital equipment works in that year, for example a new </w:t>
      </w:r>
      <w:r w:rsidRPr="00856765">
        <w:rPr>
          <w:szCs w:val="22"/>
        </w:rPr>
        <w:t>abattoir</w:t>
      </w:r>
      <w:r>
        <w:rPr>
          <w:szCs w:val="22"/>
        </w:rPr>
        <w:t xml:space="preserve"> and </w:t>
      </w:r>
      <w:r w:rsidRPr="00856765">
        <w:rPr>
          <w:szCs w:val="22"/>
        </w:rPr>
        <w:t>meat processing</w:t>
      </w:r>
      <w:r>
        <w:rPr>
          <w:szCs w:val="22"/>
        </w:rPr>
        <w:t xml:space="preserve"> plant may require between 10 and 20 tonnes of ammonia as a first fill.</w:t>
      </w:r>
    </w:p>
    <w:p w14:paraId="4AB5203D" w14:textId="6FDA1A04" w:rsidR="00851ED3" w:rsidRDefault="00851ED3" w:rsidP="009A23AA">
      <w:pPr>
        <w:rPr>
          <w:szCs w:val="22"/>
        </w:rPr>
      </w:pPr>
      <w:r>
        <w:rPr>
          <w:szCs w:val="22"/>
        </w:rPr>
        <w:t xml:space="preserve">Based on the research undertaken on existing facilities the present estimate of the ammonia bank is </w:t>
      </w:r>
      <w:r w:rsidR="000425DE">
        <w:rPr>
          <w:szCs w:val="22"/>
        </w:rPr>
        <w:t xml:space="preserve">5,000 </w:t>
      </w:r>
      <w:r w:rsidRPr="000310F6">
        <w:rPr>
          <w:szCs w:val="22"/>
        </w:rPr>
        <w:t>tonnes in total</w:t>
      </w:r>
      <w:r>
        <w:rPr>
          <w:szCs w:val="22"/>
        </w:rPr>
        <w:t xml:space="preserve">, however the proportion of ammonia used on new plant, versus servicing and optimising existing plant is still largely unknown but is estimated to be around 50% new equipment and 50% existing equipment. </w:t>
      </w:r>
    </w:p>
    <w:p w14:paraId="21A293D0" w14:textId="77777777" w:rsidR="00851ED3" w:rsidRDefault="00851ED3" w:rsidP="009A23AA">
      <w:pPr>
        <w:spacing w:before="0"/>
        <w:rPr>
          <w:rFonts w:cs="Times New Roman"/>
          <w:szCs w:val="22"/>
        </w:rPr>
      </w:pPr>
    </w:p>
    <w:p w14:paraId="750D4942" w14:textId="77777777" w:rsidR="00851ED3" w:rsidRPr="001438BF" w:rsidRDefault="00851ED3" w:rsidP="009A23AA">
      <w:pPr>
        <w:pStyle w:val="Heading3"/>
        <w:jc w:val="both"/>
      </w:pPr>
      <w:bookmarkStart w:id="72" w:name="_Toc507507794"/>
      <w:bookmarkStart w:id="73" w:name="_Toc525141287"/>
      <w:bookmarkStart w:id="74" w:name="_Toc19601304"/>
      <w:r w:rsidRPr="001438BF">
        <w:t xml:space="preserve">The </w:t>
      </w:r>
      <w:r>
        <w:t>r</w:t>
      </w:r>
      <w:r w:rsidRPr="001438BF">
        <w:t xml:space="preserve">efrigerated </w:t>
      </w:r>
      <w:r>
        <w:t>c</w:t>
      </w:r>
      <w:r w:rsidRPr="001438BF">
        <w:t xml:space="preserve">old </w:t>
      </w:r>
      <w:r>
        <w:t>food c</w:t>
      </w:r>
      <w:r w:rsidRPr="001438BF">
        <w:t>hain</w:t>
      </w:r>
      <w:bookmarkEnd w:id="72"/>
      <w:bookmarkEnd w:id="73"/>
      <w:r w:rsidRPr="001438BF">
        <w:t xml:space="preserve"> </w:t>
      </w:r>
      <w:r>
        <w:t>bank and projections</w:t>
      </w:r>
      <w:bookmarkEnd w:id="74"/>
    </w:p>
    <w:p w14:paraId="19C059BF" w14:textId="77777777" w:rsidR="00851ED3" w:rsidRPr="00A949CD" w:rsidRDefault="00851ED3" w:rsidP="009A23AA">
      <w:pPr>
        <w:snapToGrid w:val="0"/>
        <w:rPr>
          <w:rFonts w:cs="Times New Roman"/>
          <w:szCs w:val="22"/>
        </w:rPr>
      </w:pPr>
      <w:r w:rsidRPr="00A949CD">
        <w:rPr>
          <w:rFonts w:cs="Times New Roman"/>
          <w:szCs w:val="22"/>
        </w:rPr>
        <w:t xml:space="preserve">The refrigerated cold food chain employs a diverse bank to suit the wide range of temperature conditions </w:t>
      </w:r>
      <w:r>
        <w:rPr>
          <w:rFonts w:cs="Times New Roman"/>
          <w:szCs w:val="22"/>
        </w:rPr>
        <w:t>(typically from -25</w:t>
      </w:r>
      <w:r w:rsidRPr="00683832">
        <w:rPr>
          <w:rFonts w:cs="Times New Roman"/>
          <w:szCs w:val="22"/>
          <w:vertAlign w:val="superscript"/>
        </w:rPr>
        <w:t>o</w:t>
      </w:r>
      <w:r>
        <w:rPr>
          <w:rFonts w:cs="Times New Roman"/>
          <w:szCs w:val="22"/>
        </w:rPr>
        <w:t>C to +7</w:t>
      </w:r>
      <w:r w:rsidRPr="00683832">
        <w:rPr>
          <w:rFonts w:cs="Times New Roman"/>
          <w:szCs w:val="22"/>
          <w:vertAlign w:val="superscript"/>
        </w:rPr>
        <w:t>o</w:t>
      </w:r>
      <w:r>
        <w:rPr>
          <w:rFonts w:cs="Times New Roman"/>
          <w:szCs w:val="22"/>
        </w:rPr>
        <w:t xml:space="preserve">C) </w:t>
      </w:r>
      <w:r w:rsidRPr="00A949CD">
        <w:rPr>
          <w:rFonts w:cs="Times New Roman"/>
          <w:szCs w:val="22"/>
        </w:rPr>
        <w:t>and outputs required.</w:t>
      </w:r>
    </w:p>
    <w:p w14:paraId="033FB61A" w14:textId="50A84A3C" w:rsidR="00851ED3" w:rsidRDefault="00851ED3" w:rsidP="009A23AA">
      <w:pPr>
        <w:snapToGrid w:val="0"/>
        <w:rPr>
          <w:rFonts w:cs="Times New Roman"/>
          <w:szCs w:val="22"/>
        </w:rPr>
      </w:pPr>
      <w:r w:rsidRPr="00B6466F">
        <w:rPr>
          <w:rFonts w:cs="Times New Roman"/>
          <w:szCs w:val="22"/>
        </w:rPr>
        <w:t>Employing about 1</w:t>
      </w:r>
      <w:r w:rsidR="00AD5EC0" w:rsidRPr="00B6466F">
        <w:rPr>
          <w:rFonts w:cs="Times New Roman"/>
          <w:szCs w:val="22"/>
        </w:rPr>
        <w:t>3</w:t>
      </w:r>
      <w:r w:rsidRPr="00B6466F">
        <w:rPr>
          <w:rFonts w:cs="Times New Roman"/>
          <w:szCs w:val="22"/>
        </w:rPr>
        <w:t xml:space="preserve">% of the total bank, or about </w:t>
      </w:r>
      <w:r w:rsidR="00AD5EC0" w:rsidRPr="00B6466F">
        <w:rPr>
          <w:rFonts w:cs="Times New Roman"/>
          <w:szCs w:val="22"/>
        </w:rPr>
        <w:t>7,100</w:t>
      </w:r>
      <w:r w:rsidRPr="00B6466F">
        <w:rPr>
          <w:rFonts w:cs="Times New Roman"/>
          <w:szCs w:val="22"/>
        </w:rPr>
        <w:t xml:space="preserve"> tonnes of refrigerant in 201</w:t>
      </w:r>
      <w:r w:rsidR="00AD5EC0" w:rsidRPr="00B6466F">
        <w:rPr>
          <w:rFonts w:cs="Times New Roman"/>
          <w:szCs w:val="22"/>
        </w:rPr>
        <w:t>8</w:t>
      </w:r>
      <w:r w:rsidRPr="00B6466F">
        <w:rPr>
          <w:rFonts w:cs="Times New Roman"/>
          <w:szCs w:val="22"/>
        </w:rPr>
        <w:t>,</w:t>
      </w:r>
      <w:r w:rsidRPr="00A949CD">
        <w:rPr>
          <w:rFonts w:cs="Times New Roman"/>
          <w:szCs w:val="22"/>
        </w:rPr>
        <w:t xml:space="preserve"> the bank in this relatively small but critical </w:t>
      </w:r>
      <w:r>
        <w:rPr>
          <w:rFonts w:cs="Times New Roman"/>
          <w:szCs w:val="22"/>
        </w:rPr>
        <w:t>c</w:t>
      </w:r>
      <w:r w:rsidRPr="00A949CD">
        <w:rPr>
          <w:rFonts w:cs="Times New Roman"/>
          <w:szCs w:val="22"/>
        </w:rPr>
        <w:t xml:space="preserve">lass of equipment </w:t>
      </w:r>
      <w:r>
        <w:rPr>
          <w:rFonts w:cs="Times New Roman"/>
          <w:szCs w:val="22"/>
        </w:rPr>
        <w:t xml:space="preserve">is </w:t>
      </w:r>
      <w:r w:rsidRPr="00A949CD">
        <w:rPr>
          <w:rFonts w:cs="Times New Roman"/>
          <w:szCs w:val="22"/>
        </w:rPr>
        <w:t>analysed in great detail in four broad segments</w:t>
      </w:r>
      <w:r>
        <w:rPr>
          <w:rFonts w:cs="Times New Roman"/>
          <w:szCs w:val="22"/>
        </w:rPr>
        <w:t xml:space="preserve"> including s</w:t>
      </w:r>
      <w:r w:rsidRPr="00A949CD">
        <w:rPr>
          <w:rFonts w:cs="Times New Roman"/>
          <w:szCs w:val="22"/>
        </w:rPr>
        <w:t>elf</w:t>
      </w:r>
      <w:r>
        <w:rPr>
          <w:rFonts w:cs="Times New Roman"/>
          <w:szCs w:val="22"/>
        </w:rPr>
        <w:t>-c</w:t>
      </w:r>
      <w:r w:rsidRPr="00A949CD">
        <w:rPr>
          <w:rFonts w:cs="Times New Roman"/>
          <w:szCs w:val="22"/>
        </w:rPr>
        <w:t xml:space="preserve">ontained equipment, </w:t>
      </w:r>
      <w:r>
        <w:rPr>
          <w:rFonts w:cs="Times New Roman"/>
          <w:szCs w:val="22"/>
        </w:rPr>
        <w:t>r</w:t>
      </w:r>
      <w:r w:rsidRPr="00A949CD">
        <w:rPr>
          <w:rFonts w:cs="Times New Roman"/>
          <w:szCs w:val="22"/>
        </w:rPr>
        <w:t>emote</w:t>
      </w:r>
      <w:r>
        <w:rPr>
          <w:rFonts w:cs="Times New Roman"/>
          <w:szCs w:val="22"/>
        </w:rPr>
        <w:t xml:space="preserve"> equipment</w:t>
      </w:r>
      <w:r w:rsidRPr="00A949CD">
        <w:rPr>
          <w:rFonts w:cs="Times New Roman"/>
          <w:szCs w:val="22"/>
        </w:rPr>
        <w:t xml:space="preserve">, </w:t>
      </w:r>
      <w:r>
        <w:rPr>
          <w:rFonts w:cs="Times New Roman"/>
          <w:szCs w:val="22"/>
        </w:rPr>
        <w:t>s</w:t>
      </w:r>
      <w:r w:rsidRPr="00A949CD">
        <w:rPr>
          <w:rFonts w:cs="Times New Roman"/>
          <w:szCs w:val="22"/>
        </w:rPr>
        <w:t xml:space="preserve">upermarket </w:t>
      </w:r>
      <w:r>
        <w:rPr>
          <w:rFonts w:cs="Times New Roman"/>
          <w:szCs w:val="22"/>
        </w:rPr>
        <w:t xml:space="preserve">systems </w:t>
      </w:r>
      <w:r w:rsidRPr="00A949CD">
        <w:rPr>
          <w:rFonts w:cs="Times New Roman"/>
          <w:szCs w:val="22"/>
        </w:rPr>
        <w:t xml:space="preserve">and </w:t>
      </w:r>
      <w:r>
        <w:rPr>
          <w:rFonts w:cs="Times New Roman"/>
          <w:szCs w:val="22"/>
        </w:rPr>
        <w:t>t</w:t>
      </w:r>
      <w:r w:rsidRPr="00A949CD">
        <w:rPr>
          <w:rFonts w:cs="Times New Roman"/>
          <w:szCs w:val="22"/>
        </w:rPr>
        <w:t>ransport</w:t>
      </w:r>
      <w:r>
        <w:rPr>
          <w:rFonts w:cs="Times New Roman"/>
          <w:szCs w:val="22"/>
        </w:rPr>
        <w:t xml:space="preserve"> refrigeration</w:t>
      </w:r>
      <w:r w:rsidRPr="00A949CD">
        <w:rPr>
          <w:rFonts w:cs="Times New Roman"/>
          <w:szCs w:val="22"/>
        </w:rPr>
        <w:t>.</w:t>
      </w:r>
    </w:p>
    <w:p w14:paraId="3E39C263" w14:textId="77777777" w:rsidR="00851ED3" w:rsidRDefault="00851ED3" w:rsidP="009A23AA">
      <w:pPr>
        <w:spacing w:before="0" w:after="120"/>
        <w:rPr>
          <w:rFonts w:cs="Times New Roman"/>
          <w:b/>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851ED3" w:rsidRPr="00613398" w14:paraId="4B5AC872" w14:textId="77777777" w:rsidTr="00ED641C">
        <w:tc>
          <w:tcPr>
            <w:tcW w:w="9759" w:type="dxa"/>
            <w:vAlign w:val="center"/>
          </w:tcPr>
          <w:p w14:paraId="48E3199F" w14:textId="77777777" w:rsidR="00851ED3" w:rsidRPr="000A23F9" w:rsidRDefault="00851ED3" w:rsidP="00D66D96">
            <w:pPr>
              <w:spacing w:after="120"/>
              <w:jc w:val="center"/>
              <w:rPr>
                <w:rFonts w:cs="Times New Roman"/>
                <w:b/>
              </w:rPr>
            </w:pPr>
            <w:r w:rsidRPr="000A23F9">
              <w:rPr>
                <w:rFonts w:cs="Times New Roman"/>
                <w:b/>
              </w:rPr>
              <w:br w:type="page"/>
            </w:r>
            <w:r>
              <w:rPr>
                <w:rFonts w:cs="Times New Roman"/>
                <w:b/>
              </w:rPr>
              <w:t xml:space="preserve">RCFC bank by species from </w:t>
            </w:r>
            <w:r w:rsidRPr="000A23F9">
              <w:rPr>
                <w:rFonts w:cs="Times New Roman"/>
                <w:b/>
              </w:rPr>
              <w:t>201</w:t>
            </w:r>
            <w:r>
              <w:rPr>
                <w:rFonts w:cs="Times New Roman"/>
                <w:b/>
              </w:rPr>
              <w:t>8</w:t>
            </w:r>
            <w:r w:rsidRPr="000A23F9">
              <w:rPr>
                <w:rFonts w:cs="Times New Roman"/>
                <w:b/>
              </w:rPr>
              <w:t xml:space="preserve"> to 20</w:t>
            </w:r>
            <w:r>
              <w:rPr>
                <w:rFonts w:cs="Times New Roman"/>
                <w:b/>
              </w:rPr>
              <w:t>30 (t</w:t>
            </w:r>
            <w:r w:rsidRPr="000A23F9">
              <w:rPr>
                <w:rFonts w:cs="Times New Roman"/>
                <w:b/>
              </w:rPr>
              <w:t>onnes)</w:t>
            </w:r>
          </w:p>
        </w:tc>
      </w:tr>
      <w:tr w:rsidR="00851ED3" w:rsidRPr="000A23F9" w14:paraId="3EFDA314" w14:textId="77777777" w:rsidTr="006379FE">
        <w:tc>
          <w:tcPr>
            <w:tcW w:w="9759" w:type="dxa"/>
            <w:vAlign w:val="center"/>
          </w:tcPr>
          <w:p w14:paraId="74C89587" w14:textId="77777777" w:rsidR="00851ED3" w:rsidRPr="000A23F9" w:rsidRDefault="00851ED3" w:rsidP="006379FE">
            <w:pPr>
              <w:spacing w:before="60" w:after="60"/>
              <w:jc w:val="center"/>
              <w:rPr>
                <w:rFonts w:cs="Times New Roman"/>
                <w:sz w:val="16"/>
                <w:szCs w:val="16"/>
              </w:rPr>
            </w:pPr>
          </w:p>
          <w:p w14:paraId="4E1D4D42" w14:textId="4C3BBCA0" w:rsidR="00851ED3" w:rsidRPr="000A23F9" w:rsidRDefault="006379FE" w:rsidP="006379FE">
            <w:pPr>
              <w:spacing w:before="60" w:after="60"/>
              <w:jc w:val="center"/>
              <w:rPr>
                <w:rFonts w:cs="Times New Roman"/>
                <w:sz w:val="16"/>
                <w:szCs w:val="16"/>
              </w:rPr>
            </w:pPr>
            <w:r>
              <w:rPr>
                <w:noProof/>
                <w:lang w:val="en-AU" w:eastAsia="en-AU"/>
              </w:rPr>
              <w:drawing>
                <wp:inline distT="0" distB="0" distL="0" distR="0" wp14:anchorId="2AC03193" wp14:editId="2A3A9A03">
                  <wp:extent cx="6030595" cy="2232025"/>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0595" cy="2232025"/>
                          </a:xfrm>
                          <a:prstGeom prst="rect">
                            <a:avLst/>
                          </a:prstGeom>
                        </pic:spPr>
                      </pic:pic>
                    </a:graphicData>
                  </a:graphic>
                </wp:inline>
              </w:drawing>
            </w:r>
          </w:p>
          <w:p w14:paraId="5529C87F" w14:textId="77777777" w:rsidR="00851ED3" w:rsidRPr="000A23F9" w:rsidRDefault="00851ED3" w:rsidP="006379FE">
            <w:pPr>
              <w:spacing w:before="60" w:after="60"/>
              <w:jc w:val="center"/>
              <w:rPr>
                <w:rFonts w:cs="Times New Roman"/>
                <w:sz w:val="16"/>
                <w:szCs w:val="16"/>
              </w:rPr>
            </w:pPr>
          </w:p>
        </w:tc>
      </w:tr>
      <w:tr w:rsidR="00851ED3" w:rsidRPr="000A23F9" w14:paraId="1B6E058A" w14:textId="77777777" w:rsidTr="00ED641C">
        <w:tc>
          <w:tcPr>
            <w:tcW w:w="9759" w:type="dxa"/>
            <w:vAlign w:val="center"/>
          </w:tcPr>
          <w:p w14:paraId="2366022C" w14:textId="277DFD01" w:rsidR="00851ED3" w:rsidRPr="00290841" w:rsidRDefault="00851ED3" w:rsidP="009A23AA">
            <w:pPr>
              <w:pStyle w:val="Caption"/>
            </w:pPr>
            <w:bookmarkStart w:id="75" w:name="_Toc19601331"/>
            <w:r w:rsidRPr="00290841">
              <w:t xml:space="preserve">Figure </w:t>
            </w:r>
            <w:r>
              <w:rPr>
                <w:noProof/>
              </w:rPr>
              <w:fldChar w:fldCharType="begin"/>
            </w:r>
            <w:r>
              <w:rPr>
                <w:noProof/>
              </w:rPr>
              <w:instrText xml:space="preserve"> SEQ Figure \* ARABIC </w:instrText>
            </w:r>
            <w:r>
              <w:rPr>
                <w:noProof/>
              </w:rPr>
              <w:fldChar w:fldCharType="separate"/>
            </w:r>
            <w:r w:rsidR="001D0DA3">
              <w:rPr>
                <w:noProof/>
              </w:rPr>
              <w:t>9</w:t>
            </w:r>
            <w:r>
              <w:rPr>
                <w:noProof/>
              </w:rPr>
              <w:fldChar w:fldCharType="end"/>
            </w:r>
            <w:r w:rsidRPr="00290841">
              <w:t xml:space="preserve">: </w:t>
            </w:r>
            <w:r>
              <w:t>R</w:t>
            </w:r>
            <w:r w:rsidRPr="00FE5ECF">
              <w:t xml:space="preserve">efrigerated cold food chain </w:t>
            </w:r>
            <w:r w:rsidRPr="00290841">
              <w:rPr>
                <w:bCs w:val="0"/>
              </w:rPr>
              <w:t>bank by species from 201</w:t>
            </w:r>
            <w:r>
              <w:rPr>
                <w:bCs w:val="0"/>
              </w:rPr>
              <w:t>8</w:t>
            </w:r>
            <w:r w:rsidRPr="00290841">
              <w:rPr>
                <w:bCs w:val="0"/>
              </w:rPr>
              <w:t xml:space="preserve"> to 2030 in </w:t>
            </w:r>
            <w:proofErr w:type="spellStart"/>
            <w:r w:rsidRPr="00290841">
              <w:rPr>
                <w:bCs w:val="0"/>
              </w:rPr>
              <w:t>tonnes</w:t>
            </w:r>
            <w:proofErr w:type="spellEnd"/>
            <w:r w:rsidRPr="00290841">
              <w:rPr>
                <w:bCs w:val="0"/>
              </w:rPr>
              <w:t>.</w:t>
            </w:r>
            <w:bookmarkEnd w:id="75"/>
          </w:p>
        </w:tc>
      </w:tr>
    </w:tbl>
    <w:p w14:paraId="66D73168" w14:textId="77777777" w:rsidR="00851ED3" w:rsidRPr="00573A8B" w:rsidRDefault="00851ED3" w:rsidP="009A23AA">
      <w:pPr>
        <w:spacing w:before="0"/>
        <w:rPr>
          <w:rFonts w:cs="Times New Roman"/>
          <w:sz w:val="20"/>
          <w:szCs w:val="20"/>
          <w:lang w:val="en-US"/>
        </w:rPr>
      </w:pPr>
      <w:r w:rsidRPr="00573A8B">
        <w:rPr>
          <w:rFonts w:cs="Times New Roman"/>
          <w:sz w:val="20"/>
          <w:szCs w:val="20"/>
          <w:lang w:val="en-US"/>
        </w:rPr>
        <w:t xml:space="preserve">(Source: </w:t>
      </w:r>
      <w:r>
        <w:rPr>
          <w:rFonts w:cs="Times New Roman"/>
          <w:sz w:val="20"/>
          <w:szCs w:val="20"/>
        </w:rPr>
        <w:t>CHF 2019 RAC Stock model</w:t>
      </w:r>
      <w:r w:rsidRPr="00573A8B">
        <w:rPr>
          <w:rFonts w:cs="Times New Roman"/>
          <w:sz w:val="20"/>
          <w:szCs w:val="20"/>
          <w:lang w:val="en-US"/>
        </w:rPr>
        <w:t>)</w:t>
      </w:r>
    </w:p>
    <w:p w14:paraId="688F5E69" w14:textId="77777777" w:rsidR="00851ED3" w:rsidRDefault="00851ED3" w:rsidP="009A23AA">
      <w:pPr>
        <w:snapToGrid w:val="0"/>
        <w:rPr>
          <w:rFonts w:cs="Times New Roman"/>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851ED3" w:rsidRPr="001B0989" w14:paraId="02D3EE28" w14:textId="77777777" w:rsidTr="00ED641C">
        <w:tc>
          <w:tcPr>
            <w:tcW w:w="9759" w:type="dxa"/>
            <w:vAlign w:val="center"/>
          </w:tcPr>
          <w:p w14:paraId="49BA1567" w14:textId="77777777" w:rsidR="00851ED3" w:rsidRPr="001B0989" w:rsidRDefault="00851ED3" w:rsidP="00090466">
            <w:pPr>
              <w:spacing w:after="120"/>
              <w:jc w:val="center"/>
              <w:rPr>
                <w:rFonts w:cs="Times New Roman"/>
                <w:b/>
                <w:color w:val="00B0F0"/>
              </w:rPr>
            </w:pPr>
            <w:r w:rsidRPr="001B0989">
              <w:rPr>
                <w:rFonts w:cs="Times New Roman"/>
                <w:b/>
                <w:color w:val="00B0F0"/>
              </w:rPr>
              <w:br w:type="page"/>
            </w:r>
            <w:r>
              <w:rPr>
                <w:rFonts w:cs="Times New Roman"/>
                <w:b/>
              </w:rPr>
              <w:t>RCFC bank b</w:t>
            </w:r>
            <w:r w:rsidRPr="0049761B">
              <w:rPr>
                <w:rFonts w:cs="Times New Roman"/>
                <w:b/>
                <w:color w:val="000000" w:themeColor="text1"/>
              </w:rPr>
              <w:t>y species from 2018 to 2030 (Mt CO</w:t>
            </w:r>
            <w:r w:rsidRPr="0049761B">
              <w:rPr>
                <w:rFonts w:cs="Times New Roman"/>
                <w:b/>
                <w:color w:val="000000" w:themeColor="text1"/>
                <w:vertAlign w:val="subscript"/>
              </w:rPr>
              <w:t>2</w:t>
            </w:r>
            <w:r w:rsidRPr="0049761B">
              <w:rPr>
                <w:rFonts w:cs="Times New Roman"/>
                <w:b/>
                <w:color w:val="000000" w:themeColor="text1"/>
              </w:rPr>
              <w:t>e)</w:t>
            </w:r>
          </w:p>
        </w:tc>
      </w:tr>
      <w:tr w:rsidR="00851ED3" w:rsidRPr="001B0989" w14:paraId="27F55424" w14:textId="77777777" w:rsidTr="006379FE">
        <w:tc>
          <w:tcPr>
            <w:tcW w:w="9759" w:type="dxa"/>
            <w:vAlign w:val="center"/>
          </w:tcPr>
          <w:p w14:paraId="176430ED" w14:textId="77777777" w:rsidR="00851ED3" w:rsidRPr="001B0989" w:rsidRDefault="00851ED3" w:rsidP="006379FE">
            <w:pPr>
              <w:spacing w:before="60" w:after="60"/>
              <w:jc w:val="center"/>
              <w:rPr>
                <w:rFonts w:cs="Times New Roman"/>
                <w:color w:val="00B0F0"/>
                <w:sz w:val="16"/>
                <w:szCs w:val="16"/>
              </w:rPr>
            </w:pPr>
          </w:p>
          <w:p w14:paraId="79B5B702" w14:textId="3D811DB1" w:rsidR="00851ED3" w:rsidRPr="00FE5ECF" w:rsidRDefault="006379FE" w:rsidP="006379FE">
            <w:pPr>
              <w:spacing w:before="60" w:after="60"/>
              <w:jc w:val="center"/>
              <w:rPr>
                <w:rFonts w:cs="Times New Roman"/>
                <w:color w:val="000000" w:themeColor="text1"/>
                <w:sz w:val="16"/>
                <w:szCs w:val="16"/>
              </w:rPr>
            </w:pPr>
            <w:r>
              <w:rPr>
                <w:noProof/>
                <w:lang w:val="en-AU" w:eastAsia="en-AU"/>
              </w:rPr>
              <w:drawing>
                <wp:inline distT="0" distB="0" distL="0" distR="0" wp14:anchorId="1D5CF5BB" wp14:editId="124BC607">
                  <wp:extent cx="6030595" cy="216090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0595" cy="2160905"/>
                          </a:xfrm>
                          <a:prstGeom prst="rect">
                            <a:avLst/>
                          </a:prstGeom>
                        </pic:spPr>
                      </pic:pic>
                    </a:graphicData>
                  </a:graphic>
                </wp:inline>
              </w:drawing>
            </w:r>
          </w:p>
          <w:p w14:paraId="4B3AC070" w14:textId="77777777" w:rsidR="00851ED3" w:rsidRPr="001B0989" w:rsidRDefault="00851ED3" w:rsidP="006379FE">
            <w:pPr>
              <w:spacing w:before="60" w:after="60"/>
              <w:jc w:val="center"/>
              <w:rPr>
                <w:rFonts w:cs="Times New Roman"/>
                <w:color w:val="00B0F0"/>
                <w:sz w:val="16"/>
                <w:szCs w:val="16"/>
              </w:rPr>
            </w:pPr>
          </w:p>
        </w:tc>
      </w:tr>
      <w:tr w:rsidR="00851ED3" w:rsidRPr="0049761B" w14:paraId="502628DD" w14:textId="77777777" w:rsidTr="00ED641C">
        <w:tc>
          <w:tcPr>
            <w:tcW w:w="9759" w:type="dxa"/>
            <w:vAlign w:val="center"/>
          </w:tcPr>
          <w:p w14:paraId="09A9BF8D" w14:textId="3F21FB63" w:rsidR="00851ED3" w:rsidRPr="0049761B" w:rsidRDefault="00851ED3" w:rsidP="009A23AA">
            <w:pPr>
              <w:pStyle w:val="Caption"/>
              <w:rPr>
                <w:color w:val="000000" w:themeColor="text1"/>
              </w:rPr>
            </w:pPr>
            <w:bookmarkStart w:id="76" w:name="_Toc19601332"/>
            <w:r w:rsidRPr="0049761B">
              <w:rPr>
                <w:color w:val="000000" w:themeColor="text1"/>
              </w:rPr>
              <w:t xml:space="preserve">Figure </w:t>
            </w:r>
            <w:r w:rsidRPr="0049761B">
              <w:rPr>
                <w:noProof/>
                <w:color w:val="000000" w:themeColor="text1"/>
              </w:rPr>
              <w:fldChar w:fldCharType="begin"/>
            </w:r>
            <w:r w:rsidRPr="0049761B">
              <w:rPr>
                <w:noProof/>
                <w:color w:val="000000" w:themeColor="text1"/>
              </w:rPr>
              <w:instrText xml:space="preserve"> SEQ Figure \* ARABIC </w:instrText>
            </w:r>
            <w:r w:rsidRPr="0049761B">
              <w:rPr>
                <w:noProof/>
                <w:color w:val="000000" w:themeColor="text1"/>
              </w:rPr>
              <w:fldChar w:fldCharType="separate"/>
            </w:r>
            <w:r w:rsidR="001D0DA3">
              <w:rPr>
                <w:noProof/>
                <w:color w:val="000000" w:themeColor="text1"/>
              </w:rPr>
              <w:t>10</w:t>
            </w:r>
            <w:r w:rsidRPr="0049761B">
              <w:rPr>
                <w:noProof/>
                <w:color w:val="000000" w:themeColor="text1"/>
              </w:rPr>
              <w:fldChar w:fldCharType="end"/>
            </w:r>
            <w:r w:rsidRPr="0049761B">
              <w:rPr>
                <w:color w:val="000000" w:themeColor="text1"/>
              </w:rPr>
              <w:t>:</w:t>
            </w:r>
            <w:r w:rsidRPr="0049761B">
              <w:rPr>
                <w:bCs w:val="0"/>
                <w:color w:val="000000" w:themeColor="text1"/>
              </w:rPr>
              <w:t xml:space="preserve"> </w:t>
            </w:r>
            <w:r>
              <w:t>R</w:t>
            </w:r>
            <w:r w:rsidRPr="00FE5ECF">
              <w:t>efrigerated cold food chain</w:t>
            </w:r>
            <w:r>
              <w:t xml:space="preserve"> bank</w:t>
            </w:r>
            <w:r w:rsidRPr="0049761B">
              <w:rPr>
                <w:bCs w:val="0"/>
                <w:color w:val="000000" w:themeColor="text1"/>
              </w:rPr>
              <w:t xml:space="preserve"> by species from 2018 to 2030 in Mt CO</w:t>
            </w:r>
            <w:r w:rsidRPr="0049761B">
              <w:rPr>
                <w:bCs w:val="0"/>
                <w:color w:val="000000" w:themeColor="text1"/>
                <w:vertAlign w:val="subscript"/>
              </w:rPr>
              <w:t>2</w:t>
            </w:r>
            <w:r w:rsidRPr="0049761B">
              <w:rPr>
                <w:bCs w:val="0"/>
                <w:color w:val="000000" w:themeColor="text1"/>
              </w:rPr>
              <w:t>e.</w:t>
            </w:r>
            <w:bookmarkEnd w:id="76"/>
          </w:p>
        </w:tc>
      </w:tr>
    </w:tbl>
    <w:p w14:paraId="62FA794E" w14:textId="77777777" w:rsidR="00851ED3" w:rsidRPr="0049761B" w:rsidRDefault="00851ED3" w:rsidP="009A23AA">
      <w:pPr>
        <w:spacing w:before="0"/>
        <w:rPr>
          <w:rFonts w:cs="Times New Roman"/>
          <w:color w:val="000000" w:themeColor="text1"/>
          <w:sz w:val="20"/>
          <w:szCs w:val="20"/>
          <w:lang w:val="en-US"/>
        </w:rPr>
      </w:pPr>
      <w:r w:rsidRPr="0049761B">
        <w:rPr>
          <w:rFonts w:cs="Times New Roman"/>
          <w:color w:val="000000" w:themeColor="text1"/>
          <w:sz w:val="20"/>
          <w:szCs w:val="20"/>
          <w:lang w:val="en-US"/>
        </w:rPr>
        <w:t xml:space="preserve">(Source: </w:t>
      </w:r>
      <w:r w:rsidRPr="0049761B">
        <w:rPr>
          <w:rFonts w:cs="Times New Roman"/>
          <w:color w:val="000000" w:themeColor="text1"/>
          <w:sz w:val="20"/>
          <w:szCs w:val="20"/>
        </w:rPr>
        <w:t>CHF 2019 RAC Stock model</w:t>
      </w:r>
      <w:r w:rsidRPr="0049761B">
        <w:rPr>
          <w:rFonts w:cs="Times New Roman"/>
          <w:color w:val="000000" w:themeColor="text1"/>
          <w:sz w:val="20"/>
          <w:szCs w:val="20"/>
          <w:lang w:val="en-US"/>
        </w:rPr>
        <w:t>)</w:t>
      </w:r>
    </w:p>
    <w:p w14:paraId="3E0C8911" w14:textId="77777777" w:rsidR="00851ED3" w:rsidRDefault="00851ED3" w:rsidP="009A23AA">
      <w:pPr>
        <w:snapToGrid w:val="0"/>
        <w:rPr>
          <w:rFonts w:cs="Times New Roman"/>
          <w:szCs w:val="22"/>
        </w:rPr>
      </w:pPr>
    </w:p>
    <w:p w14:paraId="01F321F4" w14:textId="77777777" w:rsidR="00851ED3" w:rsidRPr="001C311E" w:rsidRDefault="00851ED3" w:rsidP="002E711D">
      <w:pPr>
        <w:snapToGrid w:val="0"/>
        <w:rPr>
          <w:rFonts w:cs="Times New Roman"/>
          <w:b/>
          <w:color w:val="000000" w:themeColor="text1"/>
        </w:rPr>
      </w:pPr>
      <w:r w:rsidRPr="001C311E">
        <w:rPr>
          <w:rFonts w:cs="Times New Roman"/>
          <w:b/>
          <w:color w:val="000000" w:themeColor="text1"/>
        </w:rPr>
        <w:t>Small commercial refrigeration</w:t>
      </w:r>
    </w:p>
    <w:p w14:paraId="676A39C5" w14:textId="01AB49A4" w:rsidR="00851ED3" w:rsidRPr="001C311E" w:rsidRDefault="00851ED3" w:rsidP="009A23AA">
      <w:pPr>
        <w:snapToGrid w:val="0"/>
        <w:rPr>
          <w:rFonts w:cs="Times New Roman"/>
          <w:color w:val="000000" w:themeColor="text1"/>
          <w:szCs w:val="22"/>
        </w:rPr>
      </w:pPr>
      <w:r w:rsidRPr="001C311E">
        <w:rPr>
          <w:rFonts w:cs="Times New Roman"/>
          <w:color w:val="000000" w:themeColor="text1"/>
          <w:szCs w:val="22"/>
        </w:rPr>
        <w:t>Small commercial refrigeration</w:t>
      </w:r>
      <w:r w:rsidR="00520CC4">
        <w:rPr>
          <w:rFonts w:cs="Times New Roman"/>
          <w:color w:val="000000" w:themeColor="text1"/>
          <w:szCs w:val="22"/>
        </w:rPr>
        <w:t>,</w:t>
      </w:r>
      <w:r w:rsidRPr="001C311E">
        <w:rPr>
          <w:rFonts w:cs="Times New Roman"/>
          <w:color w:val="000000" w:themeColor="text1"/>
          <w:szCs w:val="22"/>
        </w:rPr>
        <w:t xml:space="preserve"> predominately compris</w:t>
      </w:r>
      <w:r w:rsidR="000F5DAC">
        <w:rPr>
          <w:rFonts w:cs="Times New Roman"/>
          <w:color w:val="000000" w:themeColor="text1"/>
          <w:szCs w:val="22"/>
        </w:rPr>
        <w:t>ing</w:t>
      </w:r>
      <w:r w:rsidRPr="001C311E">
        <w:rPr>
          <w:rFonts w:cs="Times New Roman"/>
          <w:color w:val="000000" w:themeColor="text1"/>
          <w:szCs w:val="22"/>
        </w:rPr>
        <w:t xml:space="preserve"> self-contained equipment</w:t>
      </w:r>
      <w:r w:rsidR="00520CC4">
        <w:rPr>
          <w:rFonts w:cs="Times New Roman"/>
          <w:color w:val="000000" w:themeColor="text1"/>
          <w:szCs w:val="22"/>
        </w:rPr>
        <w:t>,</w:t>
      </w:r>
      <w:r w:rsidRPr="001C311E">
        <w:rPr>
          <w:rFonts w:cs="Times New Roman"/>
          <w:color w:val="000000" w:themeColor="text1"/>
          <w:szCs w:val="22"/>
        </w:rPr>
        <w:t xml:space="preserve"> is estimated to contain around 7% of the RCFC bank in 201</w:t>
      </w:r>
      <w:r w:rsidR="00AD5EC0">
        <w:rPr>
          <w:rFonts w:cs="Times New Roman"/>
          <w:color w:val="000000" w:themeColor="text1"/>
          <w:szCs w:val="22"/>
        </w:rPr>
        <w:t>8</w:t>
      </w:r>
      <w:r w:rsidRPr="001C311E">
        <w:rPr>
          <w:rFonts w:cs="Times New Roman"/>
          <w:color w:val="000000" w:themeColor="text1"/>
          <w:szCs w:val="22"/>
        </w:rPr>
        <w:t xml:space="preserve">, or around </w:t>
      </w:r>
      <w:r w:rsidR="0075545C">
        <w:rPr>
          <w:rFonts w:cs="Times New Roman"/>
          <w:color w:val="000000" w:themeColor="text1"/>
          <w:szCs w:val="22"/>
        </w:rPr>
        <w:t>490</w:t>
      </w:r>
      <w:r w:rsidRPr="001C311E">
        <w:rPr>
          <w:rFonts w:cs="Times New Roman"/>
          <w:color w:val="000000" w:themeColor="text1"/>
          <w:szCs w:val="22"/>
        </w:rPr>
        <w:t xml:space="preserve"> tonnes of </w:t>
      </w:r>
      <w:r w:rsidR="0075545C">
        <w:rPr>
          <w:rFonts w:cs="Times New Roman"/>
          <w:color w:val="000000" w:themeColor="text1"/>
          <w:szCs w:val="22"/>
        </w:rPr>
        <w:t xml:space="preserve">HCFCs and HFCs, and around 20 tonnes of </w:t>
      </w:r>
      <w:r w:rsidR="00520CC4">
        <w:rPr>
          <w:rFonts w:cs="Times New Roman"/>
          <w:color w:val="000000" w:themeColor="text1"/>
          <w:szCs w:val="22"/>
        </w:rPr>
        <w:t>HCs</w:t>
      </w:r>
      <w:r w:rsidRPr="001C311E">
        <w:rPr>
          <w:rFonts w:cs="Times New Roman"/>
          <w:color w:val="000000" w:themeColor="text1"/>
          <w:szCs w:val="22"/>
        </w:rPr>
        <w:t xml:space="preserve">. This bank is not a large segment; however, it highlights the extent of diversification of the bank that is expected to accelerate in the coming decade. </w:t>
      </w:r>
    </w:p>
    <w:p w14:paraId="71373A3E" w14:textId="58FC28E4" w:rsidR="00851ED3" w:rsidRPr="001C311E" w:rsidRDefault="00851ED3" w:rsidP="009A23AA">
      <w:pPr>
        <w:snapToGrid w:val="0"/>
        <w:rPr>
          <w:rFonts w:cs="Times New Roman"/>
          <w:color w:val="000000" w:themeColor="text1"/>
        </w:rPr>
      </w:pPr>
      <w:r w:rsidRPr="001C311E">
        <w:rPr>
          <w:rFonts w:cs="Times New Roman"/>
          <w:color w:val="000000" w:themeColor="text1"/>
          <w:szCs w:val="22"/>
        </w:rPr>
        <w:t>In 201</w:t>
      </w:r>
      <w:r w:rsidR="00AD5EC0">
        <w:rPr>
          <w:rFonts w:cs="Times New Roman"/>
          <w:color w:val="000000" w:themeColor="text1"/>
          <w:szCs w:val="22"/>
        </w:rPr>
        <w:t>8</w:t>
      </w:r>
      <w:r w:rsidRPr="001C311E">
        <w:rPr>
          <w:rFonts w:cs="Times New Roman"/>
          <w:color w:val="000000" w:themeColor="text1"/>
          <w:szCs w:val="22"/>
        </w:rPr>
        <w:t xml:space="preserve"> more than 9</w:t>
      </w:r>
      <w:r w:rsidR="0075545C">
        <w:rPr>
          <w:rFonts w:cs="Times New Roman"/>
          <w:color w:val="000000" w:themeColor="text1"/>
          <w:szCs w:val="22"/>
        </w:rPr>
        <w:t>0</w:t>
      </w:r>
      <w:r w:rsidRPr="001C311E">
        <w:rPr>
          <w:rFonts w:cs="Times New Roman"/>
          <w:color w:val="000000" w:themeColor="text1"/>
          <w:szCs w:val="22"/>
        </w:rPr>
        <w:t>% of this small segment was charged with either HFC-134a (</w:t>
      </w:r>
      <w:r w:rsidR="00AD5EC0">
        <w:rPr>
          <w:rFonts w:cs="Times New Roman"/>
          <w:color w:val="000000" w:themeColor="text1"/>
          <w:szCs w:val="22"/>
        </w:rPr>
        <w:t>221</w:t>
      </w:r>
      <w:r w:rsidRPr="001C311E">
        <w:rPr>
          <w:rFonts w:cs="Times New Roman"/>
          <w:color w:val="000000" w:themeColor="text1"/>
          <w:szCs w:val="22"/>
        </w:rPr>
        <w:t xml:space="preserve"> tonnes) or HFC-404A (2</w:t>
      </w:r>
      <w:r w:rsidR="00AD5EC0">
        <w:rPr>
          <w:rFonts w:cs="Times New Roman"/>
          <w:color w:val="000000" w:themeColor="text1"/>
          <w:szCs w:val="22"/>
        </w:rPr>
        <w:t>60</w:t>
      </w:r>
      <w:r w:rsidRPr="001C311E">
        <w:rPr>
          <w:rFonts w:cs="Times New Roman"/>
          <w:color w:val="000000" w:themeColor="text1"/>
          <w:szCs w:val="22"/>
        </w:rPr>
        <w:t xml:space="preserve"> tonnes). By the end of the projection period the bank of HFC-134a is expected to decline by more than 3</w:t>
      </w:r>
      <w:r w:rsidR="00AD5EC0">
        <w:rPr>
          <w:rFonts w:cs="Times New Roman"/>
          <w:color w:val="000000" w:themeColor="text1"/>
          <w:szCs w:val="22"/>
        </w:rPr>
        <w:t>0</w:t>
      </w:r>
      <w:r w:rsidRPr="001C311E">
        <w:rPr>
          <w:rFonts w:cs="Times New Roman"/>
          <w:color w:val="000000" w:themeColor="text1"/>
          <w:szCs w:val="22"/>
        </w:rPr>
        <w:t>% to just 1</w:t>
      </w:r>
      <w:r w:rsidR="00AD5EC0">
        <w:rPr>
          <w:rFonts w:cs="Times New Roman"/>
          <w:color w:val="000000" w:themeColor="text1"/>
          <w:szCs w:val="22"/>
        </w:rPr>
        <w:t>5</w:t>
      </w:r>
      <w:r w:rsidR="0075545C">
        <w:rPr>
          <w:rFonts w:cs="Times New Roman"/>
          <w:color w:val="000000" w:themeColor="text1"/>
          <w:szCs w:val="22"/>
        </w:rPr>
        <w:t>5</w:t>
      </w:r>
      <w:r w:rsidRPr="001C311E">
        <w:rPr>
          <w:rFonts w:cs="Times New Roman"/>
          <w:color w:val="000000" w:themeColor="text1"/>
          <w:szCs w:val="22"/>
        </w:rPr>
        <w:t xml:space="preserve"> tonnes and HFC-404A is expected to decline by nearly </w:t>
      </w:r>
      <w:r w:rsidR="00AD5EC0">
        <w:rPr>
          <w:rFonts w:cs="Times New Roman"/>
          <w:color w:val="000000" w:themeColor="text1"/>
          <w:szCs w:val="22"/>
        </w:rPr>
        <w:t>85</w:t>
      </w:r>
      <w:r w:rsidRPr="001C311E">
        <w:rPr>
          <w:rFonts w:cs="Times New Roman"/>
          <w:color w:val="000000" w:themeColor="text1"/>
          <w:szCs w:val="22"/>
        </w:rPr>
        <w:t xml:space="preserve">% to just </w:t>
      </w:r>
      <w:r w:rsidR="00AD5EC0">
        <w:rPr>
          <w:rFonts w:cs="Times New Roman"/>
          <w:color w:val="000000" w:themeColor="text1"/>
          <w:szCs w:val="22"/>
        </w:rPr>
        <w:t>45</w:t>
      </w:r>
      <w:r w:rsidRPr="001C311E">
        <w:rPr>
          <w:rFonts w:cs="Times New Roman"/>
          <w:color w:val="000000" w:themeColor="text1"/>
          <w:szCs w:val="22"/>
        </w:rPr>
        <w:t xml:space="preserve"> tonnes.</w:t>
      </w:r>
    </w:p>
    <w:p w14:paraId="6EC26125" w14:textId="77777777" w:rsidR="00851ED3" w:rsidRPr="00FE5ECF" w:rsidRDefault="00851ED3" w:rsidP="009A23AA">
      <w:pPr>
        <w:rPr>
          <w:rFonts w:cs="Times New Roman"/>
          <w:color w:val="00B0F0"/>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851ED3" w:rsidRPr="00FE5ECF" w14:paraId="05EAD448" w14:textId="77777777" w:rsidTr="00ED641C">
        <w:tc>
          <w:tcPr>
            <w:tcW w:w="9759" w:type="dxa"/>
            <w:vAlign w:val="center"/>
          </w:tcPr>
          <w:p w14:paraId="3215B5C3" w14:textId="77777777" w:rsidR="00851ED3" w:rsidRPr="00FE5ECF" w:rsidRDefault="00851ED3" w:rsidP="00090466">
            <w:pPr>
              <w:spacing w:after="120"/>
              <w:jc w:val="center"/>
              <w:rPr>
                <w:rFonts w:cs="Times New Roman"/>
                <w:b/>
                <w:color w:val="00B0F0"/>
              </w:rPr>
            </w:pPr>
            <w:r w:rsidRPr="00FE5ECF">
              <w:rPr>
                <w:rFonts w:cs="Times New Roman"/>
                <w:b/>
                <w:color w:val="00B0F0"/>
              </w:rPr>
              <w:br w:type="page"/>
            </w:r>
            <w:r w:rsidRPr="007E7CAC">
              <w:rPr>
                <w:rFonts w:cs="Times New Roman"/>
                <w:b/>
                <w:color w:val="000000" w:themeColor="text1"/>
              </w:rPr>
              <w:t>Bank by species from 201</w:t>
            </w:r>
            <w:r>
              <w:rPr>
                <w:rFonts w:cs="Times New Roman"/>
                <w:b/>
                <w:color w:val="000000" w:themeColor="text1"/>
              </w:rPr>
              <w:t>8</w:t>
            </w:r>
            <w:r w:rsidRPr="007E7CAC">
              <w:rPr>
                <w:rFonts w:cs="Times New Roman"/>
                <w:b/>
                <w:color w:val="000000" w:themeColor="text1"/>
              </w:rPr>
              <w:t xml:space="preserve"> to 2030 (tonnes)</w:t>
            </w:r>
          </w:p>
        </w:tc>
      </w:tr>
      <w:tr w:rsidR="00851ED3" w:rsidRPr="00FE5ECF" w14:paraId="41FCDCB4" w14:textId="77777777" w:rsidTr="006379FE">
        <w:tc>
          <w:tcPr>
            <w:tcW w:w="9759" w:type="dxa"/>
            <w:vAlign w:val="center"/>
          </w:tcPr>
          <w:p w14:paraId="1CDE8ADA" w14:textId="77777777" w:rsidR="00851ED3" w:rsidRDefault="00851ED3" w:rsidP="006379FE">
            <w:pPr>
              <w:spacing w:before="60" w:after="60"/>
              <w:jc w:val="center"/>
              <w:rPr>
                <w:rFonts w:cs="Times New Roman"/>
                <w:color w:val="00B0F0"/>
                <w:sz w:val="16"/>
                <w:szCs w:val="16"/>
              </w:rPr>
            </w:pPr>
          </w:p>
          <w:p w14:paraId="2081859E" w14:textId="1758E9E6" w:rsidR="00851ED3" w:rsidRPr="00FE5ECF" w:rsidRDefault="006379FE" w:rsidP="006379FE">
            <w:pPr>
              <w:spacing w:before="60" w:after="60"/>
              <w:jc w:val="center"/>
              <w:rPr>
                <w:rFonts w:cs="Times New Roman"/>
                <w:color w:val="00B0F0"/>
                <w:sz w:val="16"/>
                <w:szCs w:val="16"/>
              </w:rPr>
            </w:pPr>
            <w:r>
              <w:rPr>
                <w:noProof/>
                <w:lang w:val="en-AU" w:eastAsia="en-AU"/>
              </w:rPr>
              <w:drawing>
                <wp:inline distT="0" distB="0" distL="0" distR="0" wp14:anchorId="4911E037" wp14:editId="4DD378A5">
                  <wp:extent cx="6030595" cy="2232025"/>
                  <wp:effectExtent l="0" t="0" r="190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0595" cy="2232025"/>
                          </a:xfrm>
                          <a:prstGeom prst="rect">
                            <a:avLst/>
                          </a:prstGeom>
                        </pic:spPr>
                      </pic:pic>
                    </a:graphicData>
                  </a:graphic>
                </wp:inline>
              </w:drawing>
            </w:r>
          </w:p>
          <w:p w14:paraId="23EFCF9F" w14:textId="77777777" w:rsidR="00851ED3" w:rsidRPr="00FE5ECF" w:rsidRDefault="00851ED3" w:rsidP="006379FE">
            <w:pPr>
              <w:spacing w:before="60" w:after="60"/>
              <w:jc w:val="center"/>
              <w:rPr>
                <w:rFonts w:cs="Times New Roman"/>
                <w:color w:val="00B0F0"/>
                <w:sz w:val="16"/>
                <w:szCs w:val="16"/>
              </w:rPr>
            </w:pPr>
          </w:p>
        </w:tc>
      </w:tr>
      <w:tr w:rsidR="00851ED3" w:rsidRPr="00756EA7" w14:paraId="05CB157A" w14:textId="77777777" w:rsidTr="00ED641C">
        <w:tc>
          <w:tcPr>
            <w:tcW w:w="9759" w:type="dxa"/>
            <w:vAlign w:val="center"/>
          </w:tcPr>
          <w:p w14:paraId="1CABCC58" w14:textId="41CF5847" w:rsidR="00851ED3" w:rsidRPr="001C311E" w:rsidRDefault="00851ED3" w:rsidP="009A23AA">
            <w:pPr>
              <w:pStyle w:val="Caption"/>
              <w:rPr>
                <w:color w:val="000000" w:themeColor="text1"/>
              </w:rPr>
            </w:pPr>
            <w:bookmarkStart w:id="77" w:name="_Toc525141360"/>
            <w:bookmarkStart w:id="78" w:name="_Toc19601333"/>
            <w:r w:rsidRPr="001C311E">
              <w:rPr>
                <w:color w:val="000000" w:themeColor="text1"/>
              </w:rPr>
              <w:t xml:space="preserve">Figure </w:t>
            </w:r>
            <w:r w:rsidRPr="001C311E">
              <w:rPr>
                <w:noProof/>
                <w:color w:val="000000" w:themeColor="text1"/>
              </w:rPr>
              <w:fldChar w:fldCharType="begin"/>
            </w:r>
            <w:r w:rsidRPr="001C311E">
              <w:rPr>
                <w:noProof/>
                <w:color w:val="000000" w:themeColor="text1"/>
              </w:rPr>
              <w:instrText xml:space="preserve"> SEQ Figure \* ARABIC </w:instrText>
            </w:r>
            <w:r w:rsidRPr="001C311E">
              <w:rPr>
                <w:noProof/>
                <w:color w:val="000000" w:themeColor="text1"/>
              </w:rPr>
              <w:fldChar w:fldCharType="separate"/>
            </w:r>
            <w:r w:rsidR="001D0DA3">
              <w:rPr>
                <w:noProof/>
                <w:color w:val="000000" w:themeColor="text1"/>
              </w:rPr>
              <w:t>11</w:t>
            </w:r>
            <w:r w:rsidRPr="001C311E">
              <w:rPr>
                <w:noProof/>
                <w:color w:val="000000" w:themeColor="text1"/>
              </w:rPr>
              <w:fldChar w:fldCharType="end"/>
            </w:r>
            <w:r w:rsidRPr="001C311E">
              <w:rPr>
                <w:bCs w:val="0"/>
                <w:color w:val="000000" w:themeColor="text1"/>
              </w:rPr>
              <w:t>: Refrigerant bank (actual) by species from 201</w:t>
            </w:r>
            <w:r>
              <w:rPr>
                <w:bCs w:val="0"/>
                <w:color w:val="000000" w:themeColor="text1"/>
              </w:rPr>
              <w:t>8</w:t>
            </w:r>
            <w:r w:rsidRPr="001C311E">
              <w:rPr>
                <w:bCs w:val="0"/>
                <w:color w:val="000000" w:themeColor="text1"/>
              </w:rPr>
              <w:t xml:space="preserve"> to 2030 in </w:t>
            </w:r>
            <w:proofErr w:type="spellStart"/>
            <w:r w:rsidRPr="001C311E">
              <w:rPr>
                <w:bCs w:val="0"/>
                <w:color w:val="000000" w:themeColor="text1"/>
              </w:rPr>
              <w:t>tonnes</w:t>
            </w:r>
            <w:proofErr w:type="spellEnd"/>
            <w:r w:rsidRPr="001C311E">
              <w:rPr>
                <w:bCs w:val="0"/>
                <w:color w:val="000000" w:themeColor="text1"/>
              </w:rPr>
              <w:t>.</w:t>
            </w:r>
            <w:bookmarkEnd w:id="77"/>
            <w:bookmarkEnd w:id="78"/>
          </w:p>
        </w:tc>
      </w:tr>
    </w:tbl>
    <w:p w14:paraId="5B03A410" w14:textId="77777777" w:rsidR="00851ED3" w:rsidRPr="001C311E" w:rsidRDefault="00851ED3" w:rsidP="009A23AA">
      <w:pPr>
        <w:spacing w:before="0"/>
        <w:rPr>
          <w:rFonts w:cs="Times New Roman"/>
          <w:color w:val="000000" w:themeColor="text1"/>
          <w:sz w:val="20"/>
          <w:szCs w:val="20"/>
          <w:lang w:val="en-US"/>
        </w:rPr>
      </w:pPr>
      <w:r w:rsidRPr="0049761B">
        <w:rPr>
          <w:rFonts w:cs="Times New Roman"/>
          <w:color w:val="000000" w:themeColor="text1"/>
          <w:sz w:val="20"/>
          <w:szCs w:val="20"/>
          <w:lang w:val="en-US"/>
        </w:rPr>
        <w:t xml:space="preserve">(Source: </w:t>
      </w:r>
      <w:r w:rsidRPr="0049761B">
        <w:rPr>
          <w:rFonts w:cs="Times New Roman"/>
          <w:color w:val="000000" w:themeColor="text1"/>
          <w:sz w:val="20"/>
          <w:szCs w:val="20"/>
        </w:rPr>
        <w:t>CHF 2019 RAC Stock model</w:t>
      </w:r>
      <w:r w:rsidRPr="0049761B">
        <w:rPr>
          <w:rFonts w:cs="Times New Roman"/>
          <w:color w:val="000000" w:themeColor="text1"/>
          <w:sz w:val="20"/>
          <w:szCs w:val="20"/>
          <w:lang w:val="en-US"/>
        </w:rPr>
        <w:t>)</w:t>
      </w:r>
    </w:p>
    <w:p w14:paraId="374F6471" w14:textId="3A545478" w:rsidR="00851ED3" w:rsidRPr="001C311E" w:rsidRDefault="0075545C" w:rsidP="009A23AA">
      <w:pPr>
        <w:snapToGrid w:val="0"/>
        <w:rPr>
          <w:rFonts w:cs="Times New Roman"/>
          <w:color w:val="000000" w:themeColor="text1"/>
          <w:szCs w:val="22"/>
        </w:rPr>
      </w:pPr>
      <w:r>
        <w:rPr>
          <w:rFonts w:cs="Times New Roman"/>
          <w:color w:val="000000" w:themeColor="text1"/>
          <w:szCs w:val="22"/>
        </w:rPr>
        <w:t>HC</w:t>
      </w:r>
      <w:r w:rsidR="00520CC4">
        <w:rPr>
          <w:rFonts w:cs="Times New Roman"/>
          <w:color w:val="000000" w:themeColor="text1"/>
          <w:szCs w:val="22"/>
        </w:rPr>
        <w:t>s</w:t>
      </w:r>
      <w:r>
        <w:rPr>
          <w:rFonts w:cs="Times New Roman"/>
          <w:color w:val="000000" w:themeColor="text1"/>
          <w:szCs w:val="22"/>
        </w:rPr>
        <w:t xml:space="preserve"> </w:t>
      </w:r>
      <w:r w:rsidR="00520CC4">
        <w:rPr>
          <w:rFonts w:cs="Times New Roman"/>
          <w:color w:val="000000" w:themeColor="text1"/>
          <w:szCs w:val="22"/>
        </w:rPr>
        <w:t>are</w:t>
      </w:r>
      <w:r>
        <w:rPr>
          <w:rFonts w:cs="Times New Roman"/>
          <w:color w:val="000000" w:themeColor="text1"/>
          <w:szCs w:val="22"/>
        </w:rPr>
        <w:t xml:space="preserve"> expected to grow to around </w:t>
      </w:r>
      <w:r w:rsidR="00AD5EC0">
        <w:rPr>
          <w:rFonts w:cs="Times New Roman"/>
          <w:color w:val="000000" w:themeColor="text1"/>
          <w:szCs w:val="22"/>
        </w:rPr>
        <w:t>1</w:t>
      </w:r>
      <w:r>
        <w:rPr>
          <w:rFonts w:cs="Times New Roman"/>
          <w:color w:val="000000" w:themeColor="text1"/>
          <w:szCs w:val="22"/>
        </w:rPr>
        <w:t>20</w:t>
      </w:r>
      <w:r w:rsidR="00AD5EC0">
        <w:rPr>
          <w:rFonts w:cs="Times New Roman"/>
          <w:color w:val="000000" w:themeColor="text1"/>
          <w:szCs w:val="22"/>
        </w:rPr>
        <w:t xml:space="preserve"> tonnes in </w:t>
      </w:r>
      <w:r w:rsidR="00851ED3" w:rsidRPr="001C311E">
        <w:rPr>
          <w:rFonts w:cs="Times New Roman"/>
          <w:color w:val="000000" w:themeColor="text1"/>
          <w:szCs w:val="22"/>
        </w:rPr>
        <w:t xml:space="preserve">2030. Refrigeration display cases and storage cabinets have already experienced a rapid transition to HC with more </w:t>
      </w:r>
      <w:r w:rsidR="00851ED3" w:rsidRPr="00573EFC">
        <w:rPr>
          <w:rFonts w:cs="Times New Roman"/>
          <w:color w:val="000000" w:themeColor="text1"/>
          <w:szCs w:val="22"/>
        </w:rPr>
        <w:t>than 2</w:t>
      </w:r>
      <w:r w:rsidR="00573EFC" w:rsidRPr="00573EFC">
        <w:rPr>
          <w:rFonts w:cs="Times New Roman"/>
          <w:color w:val="000000" w:themeColor="text1"/>
          <w:szCs w:val="22"/>
        </w:rPr>
        <w:t>5</w:t>
      </w:r>
      <w:r w:rsidR="00851ED3" w:rsidRPr="00573EFC">
        <w:rPr>
          <w:rFonts w:cs="Times New Roman"/>
          <w:color w:val="000000" w:themeColor="text1"/>
          <w:szCs w:val="22"/>
        </w:rPr>
        <w:t>,000 devices imported in 201</w:t>
      </w:r>
      <w:r w:rsidR="00573EFC" w:rsidRPr="00573EFC">
        <w:rPr>
          <w:rFonts w:cs="Times New Roman"/>
          <w:color w:val="000000" w:themeColor="text1"/>
          <w:szCs w:val="22"/>
        </w:rPr>
        <w:t>8</w:t>
      </w:r>
      <w:r w:rsidR="00851ED3" w:rsidRPr="00573EFC">
        <w:rPr>
          <w:rFonts w:cs="Times New Roman"/>
          <w:color w:val="000000" w:themeColor="text1"/>
          <w:szCs w:val="22"/>
        </w:rPr>
        <w:t xml:space="preserve"> with</w:t>
      </w:r>
      <w:r w:rsidR="00851ED3" w:rsidRPr="001C311E">
        <w:rPr>
          <w:rFonts w:cs="Times New Roman"/>
          <w:color w:val="000000" w:themeColor="text1"/>
          <w:szCs w:val="22"/>
        </w:rPr>
        <w:t xml:space="preserve"> a charge less than or equal to 150 grams of HC per refrigeration circuit. </w:t>
      </w:r>
      <w:r w:rsidR="005C1961">
        <w:rPr>
          <w:rFonts w:cs="Times New Roman"/>
          <w:color w:val="000000" w:themeColor="text1"/>
          <w:szCs w:val="22"/>
        </w:rPr>
        <w:t xml:space="preserve">HCs </w:t>
      </w:r>
      <w:r w:rsidR="00851ED3" w:rsidRPr="001C311E">
        <w:rPr>
          <w:rFonts w:cs="Times New Roman"/>
          <w:color w:val="000000" w:themeColor="text1"/>
          <w:szCs w:val="22"/>
        </w:rPr>
        <w:t>(GWP&lt;10) will comprise more than 31% of the bank in this segment by the end of the projection period.</w:t>
      </w:r>
    </w:p>
    <w:p w14:paraId="7BCD0F40" w14:textId="145CE4D4" w:rsidR="00851ED3" w:rsidRPr="001C311E" w:rsidRDefault="00851ED3" w:rsidP="009A23AA">
      <w:pPr>
        <w:snapToGrid w:val="0"/>
        <w:rPr>
          <w:rFonts w:cs="Times New Roman"/>
          <w:color w:val="000000" w:themeColor="text1"/>
          <w:szCs w:val="22"/>
        </w:rPr>
      </w:pPr>
      <w:r w:rsidRPr="001C311E">
        <w:rPr>
          <w:rFonts w:cs="Times New Roman"/>
          <w:color w:val="000000" w:themeColor="text1"/>
          <w:szCs w:val="22"/>
        </w:rPr>
        <w:t xml:space="preserve">Additionally, roughly equal volumes of emerging medium GWP refrigerants in the GWP&lt;2150 bin, and the GWP&lt;1000 GWP bin, are expected to be employed with around 67 tonnes of refrigerant each </w:t>
      </w:r>
      <w:r>
        <w:rPr>
          <w:rFonts w:cs="Times New Roman"/>
          <w:color w:val="000000" w:themeColor="text1"/>
          <w:szCs w:val="22"/>
        </w:rPr>
        <w:t xml:space="preserve">expected to be employed in </w:t>
      </w:r>
      <w:r w:rsidRPr="001C311E">
        <w:rPr>
          <w:rFonts w:cs="Times New Roman"/>
          <w:color w:val="000000" w:themeColor="text1"/>
          <w:szCs w:val="22"/>
        </w:rPr>
        <w:t xml:space="preserve">small commercial refrigeration equipment by 2030. </w:t>
      </w:r>
    </w:p>
    <w:p w14:paraId="04CF000B" w14:textId="50395875" w:rsidR="00851ED3" w:rsidRPr="001C311E" w:rsidRDefault="00851ED3" w:rsidP="009A23AA">
      <w:pPr>
        <w:snapToGrid w:val="0"/>
        <w:rPr>
          <w:rFonts w:cs="Times New Roman"/>
          <w:color w:val="000000" w:themeColor="text1"/>
          <w:szCs w:val="22"/>
        </w:rPr>
      </w:pPr>
      <w:r w:rsidRPr="001C311E">
        <w:rPr>
          <w:rFonts w:cs="Times New Roman"/>
          <w:color w:val="000000" w:themeColor="text1"/>
          <w:szCs w:val="22"/>
        </w:rPr>
        <w:t xml:space="preserve">An insight into the diversification of the bank in this segment is instructive. What this projection suggests is that a refrigerant technician being called out to repair or maintain any one of the dozens of formats of self-contained refrigeration equipment in a commercial setting </w:t>
      </w:r>
      <w:r>
        <w:rPr>
          <w:rFonts w:cs="Times New Roman"/>
          <w:color w:val="000000" w:themeColor="text1"/>
          <w:szCs w:val="22"/>
        </w:rPr>
        <w:t xml:space="preserve">by 2025 </w:t>
      </w:r>
      <w:r w:rsidRPr="001C311E">
        <w:rPr>
          <w:rFonts w:cs="Times New Roman"/>
          <w:color w:val="000000" w:themeColor="text1"/>
          <w:szCs w:val="22"/>
        </w:rPr>
        <w:t xml:space="preserve">has to be prepared to deal with any one of seven </w:t>
      </w:r>
      <w:r>
        <w:rPr>
          <w:rFonts w:cs="Times New Roman"/>
          <w:color w:val="000000" w:themeColor="text1"/>
          <w:szCs w:val="22"/>
        </w:rPr>
        <w:t xml:space="preserve">possible </w:t>
      </w:r>
      <w:r w:rsidRPr="001C311E">
        <w:rPr>
          <w:rFonts w:cs="Times New Roman"/>
          <w:color w:val="000000" w:themeColor="text1"/>
          <w:szCs w:val="22"/>
        </w:rPr>
        <w:t>different refrigerants, including small charges of highly flammable HC, mildly flammable A2L refrigerants and high pressure CO</w:t>
      </w:r>
      <w:r w:rsidRPr="001C311E">
        <w:rPr>
          <w:rFonts w:cs="Times New Roman"/>
          <w:color w:val="000000" w:themeColor="text1"/>
          <w:szCs w:val="22"/>
          <w:vertAlign w:val="subscript"/>
        </w:rPr>
        <w:t>2</w:t>
      </w:r>
      <w:r w:rsidRPr="001C311E">
        <w:rPr>
          <w:rFonts w:cs="Times New Roman"/>
          <w:color w:val="000000" w:themeColor="text1"/>
          <w:szCs w:val="22"/>
        </w:rPr>
        <w:t xml:space="preserve"> equipment</w:t>
      </w:r>
      <w:r>
        <w:rPr>
          <w:rFonts w:cs="Times New Roman"/>
          <w:color w:val="000000" w:themeColor="text1"/>
          <w:szCs w:val="22"/>
        </w:rPr>
        <w:t>.</w:t>
      </w:r>
      <w:r w:rsidRPr="001C311E">
        <w:rPr>
          <w:rFonts w:cs="Times New Roman"/>
          <w:color w:val="000000" w:themeColor="text1"/>
          <w:szCs w:val="22"/>
        </w:rPr>
        <w:t xml:space="preserve"> </w:t>
      </w:r>
      <w:r>
        <w:rPr>
          <w:rFonts w:cs="Times New Roman"/>
          <w:color w:val="000000" w:themeColor="text1"/>
          <w:szCs w:val="22"/>
        </w:rPr>
        <w:t>Only a few years ago a technician would expect to</w:t>
      </w:r>
      <w:r w:rsidRPr="001C311E">
        <w:rPr>
          <w:rFonts w:cs="Times New Roman"/>
          <w:color w:val="000000" w:themeColor="text1"/>
          <w:szCs w:val="22"/>
        </w:rPr>
        <w:t xml:space="preserve"> work </w:t>
      </w:r>
      <w:r>
        <w:rPr>
          <w:rFonts w:cs="Times New Roman"/>
          <w:color w:val="000000" w:themeColor="text1"/>
          <w:szCs w:val="22"/>
        </w:rPr>
        <w:t xml:space="preserve">on a commercial refrigeration contract </w:t>
      </w:r>
      <w:r w:rsidRPr="001C311E">
        <w:rPr>
          <w:rFonts w:cs="Times New Roman"/>
          <w:color w:val="000000" w:themeColor="text1"/>
          <w:szCs w:val="22"/>
        </w:rPr>
        <w:t>with just two main Class A1 non-flammable refrigerants (HFC-134a and HFC-404A).</w:t>
      </w:r>
    </w:p>
    <w:p w14:paraId="144147CB" w14:textId="77777777" w:rsidR="00851ED3" w:rsidRPr="001C311E" w:rsidRDefault="00851ED3" w:rsidP="009A23AA">
      <w:pPr>
        <w:snapToGrid w:val="0"/>
        <w:spacing w:before="240"/>
        <w:rPr>
          <w:rFonts w:cs="Times New Roman"/>
          <w:b/>
          <w:color w:val="000000" w:themeColor="text1"/>
        </w:rPr>
      </w:pPr>
      <w:r w:rsidRPr="001C311E">
        <w:rPr>
          <w:rFonts w:cs="Times New Roman"/>
          <w:b/>
          <w:color w:val="000000" w:themeColor="text1"/>
        </w:rPr>
        <w:t>Medium commercial refrigeration</w:t>
      </w:r>
    </w:p>
    <w:p w14:paraId="276BE727" w14:textId="77777777" w:rsidR="00851ED3" w:rsidRPr="001C311E" w:rsidRDefault="00851ED3" w:rsidP="009A23AA">
      <w:pPr>
        <w:snapToGrid w:val="0"/>
        <w:rPr>
          <w:rFonts w:cs="Times New Roman"/>
          <w:color w:val="000000" w:themeColor="text1"/>
          <w:szCs w:val="22"/>
        </w:rPr>
      </w:pPr>
      <w:r w:rsidRPr="001C311E">
        <w:rPr>
          <w:rFonts w:cs="Times New Roman"/>
          <w:color w:val="000000" w:themeColor="text1"/>
          <w:szCs w:val="22"/>
        </w:rPr>
        <w:t xml:space="preserve">The developing diversity of the bank is even more acute in the broad segment of remote equipment, where there are already five different high GWP refrigerants in use, and at least six more refrigerant blends either starting to be employed now or on the near-term horizon. </w:t>
      </w:r>
    </w:p>
    <w:p w14:paraId="718F83AE" w14:textId="0FE72A59" w:rsidR="00851ED3" w:rsidRPr="001C311E" w:rsidRDefault="00851ED3" w:rsidP="009A23AA">
      <w:pPr>
        <w:snapToGrid w:val="0"/>
        <w:rPr>
          <w:rFonts w:cs="Times New Roman"/>
          <w:color w:val="000000" w:themeColor="text1"/>
          <w:szCs w:val="22"/>
        </w:rPr>
      </w:pPr>
      <w:r w:rsidRPr="001C311E">
        <w:rPr>
          <w:rFonts w:cs="Times New Roman"/>
          <w:color w:val="000000" w:themeColor="text1"/>
          <w:szCs w:val="22"/>
        </w:rPr>
        <w:t>Remote systems are very hard working, almost always have some ‘bespoke’/situational design consideration</w:t>
      </w:r>
      <w:r w:rsidR="001D23FC">
        <w:rPr>
          <w:rFonts w:cs="Times New Roman"/>
          <w:color w:val="000000" w:themeColor="text1"/>
          <w:szCs w:val="22"/>
        </w:rPr>
        <w:t>s</w:t>
      </w:r>
      <w:r w:rsidRPr="001C311E">
        <w:rPr>
          <w:rFonts w:cs="Times New Roman"/>
          <w:color w:val="000000" w:themeColor="text1"/>
          <w:szCs w:val="22"/>
        </w:rPr>
        <w:t xml:space="preserve">, and very often have exposed refrigerant lines connecting the external condenser and the refrigerated space. </w:t>
      </w:r>
    </w:p>
    <w:p w14:paraId="29BB931D" w14:textId="77777777" w:rsidR="00851ED3" w:rsidRPr="001C311E" w:rsidRDefault="00851ED3" w:rsidP="009A23AA">
      <w:pPr>
        <w:snapToGrid w:val="0"/>
        <w:rPr>
          <w:rFonts w:cs="Times New Roman"/>
          <w:color w:val="000000" w:themeColor="text1"/>
          <w:szCs w:val="22"/>
        </w:rPr>
      </w:pPr>
      <w:r w:rsidRPr="001C311E">
        <w:rPr>
          <w:rFonts w:cs="Times New Roman"/>
          <w:color w:val="000000" w:themeColor="text1"/>
          <w:szCs w:val="22"/>
        </w:rPr>
        <w:t>Importantly, remote condenser systems, as one of the backbone elements of the cold food chain, can be designed to provide very low temperatures down to -25</w:t>
      </w:r>
      <w:r w:rsidRPr="001C311E">
        <w:rPr>
          <w:rFonts w:cs="Times New Roman"/>
          <w:color w:val="000000" w:themeColor="text1"/>
          <w:szCs w:val="22"/>
          <w:vertAlign w:val="superscript"/>
        </w:rPr>
        <w:t>o</w:t>
      </w:r>
      <w:r w:rsidRPr="001C311E">
        <w:rPr>
          <w:rFonts w:cs="Times New Roman"/>
          <w:color w:val="000000" w:themeColor="text1"/>
          <w:szCs w:val="22"/>
        </w:rPr>
        <w:t>C and lower for blast freezing</w:t>
      </w:r>
      <w:r>
        <w:rPr>
          <w:rFonts w:cs="Times New Roman"/>
          <w:color w:val="000000" w:themeColor="text1"/>
          <w:szCs w:val="22"/>
        </w:rPr>
        <w:t>,</w:t>
      </w:r>
      <w:r w:rsidRPr="001C311E">
        <w:rPr>
          <w:rFonts w:cs="Times New Roman"/>
          <w:color w:val="000000" w:themeColor="text1"/>
          <w:szCs w:val="22"/>
        </w:rPr>
        <w:t xml:space="preserve"> or medium temperature refrigeration services (zero to +7</w:t>
      </w:r>
      <w:r w:rsidRPr="001C311E">
        <w:rPr>
          <w:rFonts w:cs="Times New Roman"/>
          <w:color w:val="000000" w:themeColor="text1"/>
          <w:szCs w:val="22"/>
          <w:vertAlign w:val="superscript"/>
        </w:rPr>
        <w:t>o</w:t>
      </w:r>
      <w:r w:rsidRPr="001C311E">
        <w:rPr>
          <w:rFonts w:cs="Times New Roman"/>
          <w:color w:val="000000" w:themeColor="text1"/>
          <w:szCs w:val="22"/>
        </w:rPr>
        <w:t>C).</w:t>
      </w:r>
    </w:p>
    <w:p w14:paraId="1C077E67" w14:textId="7E148047" w:rsidR="00851ED3" w:rsidRDefault="00851ED3" w:rsidP="009A23AA">
      <w:pPr>
        <w:snapToGrid w:val="0"/>
        <w:rPr>
          <w:rFonts w:cs="Times New Roman"/>
          <w:color w:val="000000" w:themeColor="text1"/>
        </w:rPr>
      </w:pPr>
      <w:r w:rsidRPr="008E7F4D">
        <w:rPr>
          <w:rFonts w:cs="Times New Roman"/>
          <w:color w:val="000000" w:themeColor="text1"/>
          <w:szCs w:val="22"/>
        </w:rPr>
        <w:t>Employing a total bank of more than 4,</w:t>
      </w:r>
      <w:r w:rsidR="00EF2296" w:rsidRPr="008E7F4D">
        <w:rPr>
          <w:rFonts w:cs="Times New Roman"/>
          <w:color w:val="000000" w:themeColor="text1"/>
          <w:szCs w:val="22"/>
        </w:rPr>
        <w:t>14</w:t>
      </w:r>
      <w:r w:rsidRPr="008E7F4D">
        <w:rPr>
          <w:rFonts w:cs="Times New Roman"/>
          <w:color w:val="000000" w:themeColor="text1"/>
          <w:szCs w:val="22"/>
        </w:rPr>
        <w:t>0 tonnes in 201</w:t>
      </w:r>
      <w:r w:rsidR="00EF2296" w:rsidRPr="008E7F4D">
        <w:rPr>
          <w:rFonts w:cs="Times New Roman"/>
          <w:color w:val="000000" w:themeColor="text1"/>
          <w:szCs w:val="22"/>
        </w:rPr>
        <w:t>8</w:t>
      </w:r>
      <w:r w:rsidRPr="008E7F4D">
        <w:rPr>
          <w:rFonts w:cs="Times New Roman"/>
          <w:color w:val="000000" w:themeColor="text1"/>
          <w:szCs w:val="22"/>
        </w:rPr>
        <w:t xml:space="preserve">, representing </w:t>
      </w:r>
      <w:r w:rsidR="008E7F4D" w:rsidRPr="008E7F4D">
        <w:rPr>
          <w:rFonts w:cs="Times New Roman"/>
          <w:color w:val="000000" w:themeColor="text1"/>
          <w:szCs w:val="22"/>
        </w:rPr>
        <w:t>58</w:t>
      </w:r>
      <w:r w:rsidRPr="008E7F4D">
        <w:rPr>
          <w:rFonts w:cs="Times New Roman"/>
          <w:color w:val="000000" w:themeColor="text1"/>
          <w:szCs w:val="22"/>
        </w:rPr>
        <w:t>% of the RCFC bank, remote systems can employ HFC-134a, HFC-404A, HFC-410A or HFC-407C. Overall the bank employed in remote</w:t>
      </w:r>
      <w:r w:rsidRPr="001C311E">
        <w:rPr>
          <w:rFonts w:cs="Times New Roman"/>
          <w:color w:val="000000" w:themeColor="text1"/>
          <w:szCs w:val="22"/>
        </w:rPr>
        <w:t xml:space="preserve"> condenser systems is expected to only grow modestly over the projection period, largely driven by a reduction in charges sizes over the period. By the end of the projection period this segment is predicted to contain more </w:t>
      </w:r>
      <w:r w:rsidRPr="008E7F4D">
        <w:rPr>
          <w:rFonts w:cs="Times New Roman"/>
          <w:color w:val="000000" w:themeColor="text1"/>
          <w:szCs w:val="22"/>
        </w:rPr>
        <w:t xml:space="preserve">than </w:t>
      </w:r>
      <w:r w:rsidR="00EF2296" w:rsidRPr="008E7F4D">
        <w:rPr>
          <w:rFonts w:cs="Times New Roman"/>
          <w:color w:val="000000" w:themeColor="text1"/>
          <w:szCs w:val="22"/>
        </w:rPr>
        <w:t>6</w:t>
      </w:r>
      <w:r w:rsidR="008E7F4D" w:rsidRPr="008E7F4D">
        <w:rPr>
          <w:rFonts w:cs="Times New Roman"/>
          <w:color w:val="000000" w:themeColor="text1"/>
          <w:szCs w:val="22"/>
        </w:rPr>
        <w:t>2</w:t>
      </w:r>
      <w:r w:rsidRPr="008E7F4D">
        <w:rPr>
          <w:rFonts w:cs="Times New Roman"/>
          <w:color w:val="000000" w:themeColor="text1"/>
          <w:szCs w:val="22"/>
        </w:rPr>
        <w:t xml:space="preserve">% </w:t>
      </w:r>
      <w:r w:rsidR="008E7F4D" w:rsidRPr="008E7F4D">
        <w:rPr>
          <w:rFonts w:cs="Times New Roman"/>
          <w:color w:val="000000" w:themeColor="text1"/>
          <w:szCs w:val="22"/>
        </w:rPr>
        <w:t xml:space="preserve">of the </w:t>
      </w:r>
      <w:r w:rsidRPr="008E7F4D">
        <w:rPr>
          <w:rFonts w:cs="Times New Roman"/>
          <w:color w:val="000000" w:themeColor="text1"/>
          <w:szCs w:val="22"/>
        </w:rPr>
        <w:t>high</w:t>
      </w:r>
      <w:r w:rsidR="008E7F4D" w:rsidRPr="008E7F4D">
        <w:rPr>
          <w:rFonts w:cs="Times New Roman"/>
          <w:color w:val="000000" w:themeColor="text1"/>
          <w:szCs w:val="22"/>
        </w:rPr>
        <w:t>est</w:t>
      </w:r>
      <w:r w:rsidRPr="008E7F4D">
        <w:rPr>
          <w:rFonts w:cs="Times New Roman"/>
          <w:color w:val="000000" w:themeColor="text1"/>
          <w:szCs w:val="22"/>
        </w:rPr>
        <w:t xml:space="preserve"> GWP </w:t>
      </w:r>
      <w:r w:rsidR="008E7F4D" w:rsidRPr="008E7F4D">
        <w:rPr>
          <w:rFonts w:cs="Times New Roman"/>
          <w:color w:val="000000" w:themeColor="text1"/>
          <w:szCs w:val="22"/>
        </w:rPr>
        <w:t>refrigerant</w:t>
      </w:r>
      <w:r w:rsidR="008E7F4D">
        <w:rPr>
          <w:rFonts w:cs="Times New Roman"/>
          <w:color w:val="000000" w:themeColor="text1"/>
          <w:szCs w:val="22"/>
        </w:rPr>
        <w:t xml:space="preserve"> in the bank, </w:t>
      </w:r>
      <w:r w:rsidRPr="001C311E">
        <w:rPr>
          <w:rFonts w:cs="Times New Roman"/>
          <w:color w:val="000000" w:themeColor="text1"/>
          <w:szCs w:val="22"/>
        </w:rPr>
        <w:t>HFC</w:t>
      </w:r>
      <w:r w:rsidR="008E7F4D">
        <w:rPr>
          <w:rFonts w:cs="Times New Roman"/>
          <w:color w:val="000000" w:themeColor="text1"/>
          <w:szCs w:val="22"/>
        </w:rPr>
        <w:t>-404A</w:t>
      </w:r>
      <w:r w:rsidR="002267F3">
        <w:rPr>
          <w:rFonts w:cs="Times New Roman"/>
          <w:color w:val="000000" w:themeColor="text1"/>
          <w:szCs w:val="22"/>
        </w:rPr>
        <w:t>,</w:t>
      </w:r>
      <w:r w:rsidRPr="001C311E">
        <w:rPr>
          <w:rFonts w:cs="Times New Roman"/>
          <w:color w:val="000000" w:themeColor="text1"/>
          <w:szCs w:val="22"/>
        </w:rPr>
        <w:t xml:space="preserve"> which </w:t>
      </w:r>
      <w:r w:rsidRPr="001C311E">
        <w:rPr>
          <w:rFonts w:cs="Times New Roman"/>
          <w:color w:val="000000" w:themeColor="text1"/>
        </w:rPr>
        <w:t>illustrates some of the technical challenges facing this sector during the HFC phase down.</w:t>
      </w:r>
    </w:p>
    <w:p w14:paraId="202E9727" w14:textId="738A2F9B" w:rsidR="002267F3" w:rsidRDefault="002267F3">
      <w:pPr>
        <w:spacing w:before="0"/>
        <w:jc w:val="left"/>
        <w:rPr>
          <w:rFonts w:cs="Times New Roman"/>
          <w:color w:val="000000" w:themeColor="text1"/>
          <w:szCs w:val="22"/>
        </w:rPr>
      </w:pPr>
      <w:r>
        <w:rPr>
          <w:rFonts w:cs="Times New Roman"/>
          <w:color w:val="000000" w:themeColor="text1"/>
          <w:szCs w:val="22"/>
        </w:rP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851ED3" w:rsidRPr="00FE5ECF" w14:paraId="18F5717B" w14:textId="77777777" w:rsidTr="00ED641C">
        <w:tc>
          <w:tcPr>
            <w:tcW w:w="9759" w:type="dxa"/>
            <w:vAlign w:val="center"/>
          </w:tcPr>
          <w:p w14:paraId="2FA2F09D" w14:textId="77777777" w:rsidR="00851ED3" w:rsidRPr="00FE5ECF" w:rsidRDefault="00851ED3" w:rsidP="008969AD">
            <w:pPr>
              <w:spacing w:after="120"/>
              <w:jc w:val="center"/>
              <w:rPr>
                <w:rFonts w:cs="Times New Roman"/>
                <w:b/>
                <w:color w:val="00B0F0"/>
              </w:rPr>
            </w:pPr>
            <w:r w:rsidRPr="00FE5ECF">
              <w:rPr>
                <w:rFonts w:cs="Times New Roman"/>
                <w:b/>
                <w:color w:val="00B0F0"/>
              </w:rPr>
              <w:br w:type="page"/>
            </w:r>
            <w:r w:rsidRPr="001C311E">
              <w:rPr>
                <w:rFonts w:cs="Times New Roman"/>
                <w:b/>
                <w:color w:val="000000" w:themeColor="text1"/>
              </w:rPr>
              <w:t>Medium commercial refrigeration bank by species from 201</w:t>
            </w:r>
            <w:r>
              <w:rPr>
                <w:rFonts w:cs="Times New Roman"/>
                <w:b/>
                <w:color w:val="000000" w:themeColor="text1"/>
              </w:rPr>
              <w:t>8</w:t>
            </w:r>
            <w:r w:rsidRPr="001C311E">
              <w:rPr>
                <w:rFonts w:cs="Times New Roman"/>
                <w:b/>
                <w:color w:val="000000" w:themeColor="text1"/>
              </w:rPr>
              <w:t xml:space="preserve"> to 2030 (tonnes)</w:t>
            </w:r>
          </w:p>
        </w:tc>
      </w:tr>
      <w:tr w:rsidR="00851ED3" w:rsidRPr="00FE5ECF" w14:paraId="00D935F8" w14:textId="77777777" w:rsidTr="008969AD">
        <w:tc>
          <w:tcPr>
            <w:tcW w:w="9759" w:type="dxa"/>
            <w:vAlign w:val="center"/>
          </w:tcPr>
          <w:p w14:paraId="1B0F493D" w14:textId="77777777" w:rsidR="00851ED3" w:rsidRPr="00FE5ECF" w:rsidRDefault="00851ED3" w:rsidP="008969AD">
            <w:pPr>
              <w:spacing w:before="60" w:after="60"/>
              <w:jc w:val="center"/>
              <w:rPr>
                <w:rFonts w:cs="Times New Roman"/>
                <w:color w:val="00B0F0"/>
                <w:sz w:val="16"/>
                <w:szCs w:val="16"/>
              </w:rPr>
            </w:pPr>
          </w:p>
          <w:p w14:paraId="34795C90" w14:textId="0F28935D" w:rsidR="00851ED3" w:rsidRPr="00FE5ECF" w:rsidRDefault="008969AD" w:rsidP="008969AD">
            <w:pPr>
              <w:spacing w:before="60" w:after="60"/>
              <w:jc w:val="center"/>
              <w:rPr>
                <w:rFonts w:cs="Times New Roman"/>
                <w:color w:val="00B0F0"/>
                <w:sz w:val="16"/>
                <w:szCs w:val="16"/>
              </w:rPr>
            </w:pPr>
            <w:r>
              <w:rPr>
                <w:noProof/>
                <w:lang w:val="en-AU" w:eastAsia="en-AU"/>
              </w:rPr>
              <w:drawing>
                <wp:inline distT="0" distB="0" distL="0" distR="0" wp14:anchorId="22AA0CBC" wp14:editId="70B759BE">
                  <wp:extent cx="6030595" cy="2232025"/>
                  <wp:effectExtent l="0" t="0" r="190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0595" cy="2232025"/>
                          </a:xfrm>
                          <a:prstGeom prst="rect">
                            <a:avLst/>
                          </a:prstGeom>
                        </pic:spPr>
                      </pic:pic>
                    </a:graphicData>
                  </a:graphic>
                </wp:inline>
              </w:drawing>
            </w:r>
          </w:p>
          <w:p w14:paraId="2EE0CB04" w14:textId="77777777" w:rsidR="00851ED3" w:rsidRPr="00FE5ECF" w:rsidRDefault="00851ED3" w:rsidP="008969AD">
            <w:pPr>
              <w:spacing w:before="60" w:after="60"/>
              <w:jc w:val="center"/>
              <w:rPr>
                <w:rFonts w:cs="Times New Roman"/>
                <w:color w:val="00B0F0"/>
                <w:sz w:val="16"/>
                <w:szCs w:val="16"/>
              </w:rPr>
            </w:pPr>
          </w:p>
        </w:tc>
      </w:tr>
      <w:tr w:rsidR="00851ED3" w:rsidRPr="00756EA7" w14:paraId="72EDAD67" w14:textId="77777777" w:rsidTr="00ED641C">
        <w:tc>
          <w:tcPr>
            <w:tcW w:w="9759" w:type="dxa"/>
            <w:vAlign w:val="center"/>
          </w:tcPr>
          <w:p w14:paraId="27F81295" w14:textId="02D2DF1B" w:rsidR="00851ED3" w:rsidRPr="001C311E" w:rsidRDefault="00851ED3" w:rsidP="009A23AA">
            <w:pPr>
              <w:pStyle w:val="Caption"/>
              <w:rPr>
                <w:color w:val="000000" w:themeColor="text1"/>
              </w:rPr>
            </w:pPr>
            <w:bookmarkStart w:id="79" w:name="_Toc525141361"/>
            <w:bookmarkStart w:id="80" w:name="_Toc19601334"/>
            <w:r w:rsidRPr="001C311E">
              <w:rPr>
                <w:color w:val="000000" w:themeColor="text1"/>
              </w:rPr>
              <w:t xml:space="preserve">Figure </w:t>
            </w:r>
            <w:r w:rsidRPr="001C311E">
              <w:rPr>
                <w:noProof/>
                <w:color w:val="000000" w:themeColor="text1"/>
              </w:rPr>
              <w:fldChar w:fldCharType="begin"/>
            </w:r>
            <w:r w:rsidRPr="001C311E">
              <w:rPr>
                <w:noProof/>
                <w:color w:val="000000" w:themeColor="text1"/>
              </w:rPr>
              <w:instrText xml:space="preserve"> SEQ Figure \* ARABIC </w:instrText>
            </w:r>
            <w:r w:rsidRPr="001C311E">
              <w:rPr>
                <w:noProof/>
                <w:color w:val="000000" w:themeColor="text1"/>
              </w:rPr>
              <w:fldChar w:fldCharType="separate"/>
            </w:r>
            <w:r w:rsidR="001D0DA3">
              <w:rPr>
                <w:noProof/>
                <w:color w:val="000000" w:themeColor="text1"/>
              </w:rPr>
              <w:t>12</w:t>
            </w:r>
            <w:r w:rsidRPr="001C311E">
              <w:rPr>
                <w:noProof/>
                <w:color w:val="000000" w:themeColor="text1"/>
              </w:rPr>
              <w:fldChar w:fldCharType="end"/>
            </w:r>
            <w:r w:rsidRPr="001C311E">
              <w:rPr>
                <w:bCs w:val="0"/>
                <w:color w:val="000000" w:themeColor="text1"/>
              </w:rPr>
              <w:t xml:space="preserve">: Medium commercial refrigeration refrigerant bank by species from 2016 to 2030 in </w:t>
            </w:r>
            <w:proofErr w:type="spellStart"/>
            <w:r w:rsidRPr="001C311E">
              <w:rPr>
                <w:bCs w:val="0"/>
                <w:color w:val="000000" w:themeColor="text1"/>
              </w:rPr>
              <w:t>tonnes</w:t>
            </w:r>
            <w:proofErr w:type="spellEnd"/>
            <w:r w:rsidRPr="001C311E">
              <w:rPr>
                <w:bCs w:val="0"/>
                <w:color w:val="000000" w:themeColor="text1"/>
              </w:rPr>
              <w:t>.</w:t>
            </w:r>
            <w:bookmarkEnd w:id="79"/>
            <w:bookmarkEnd w:id="80"/>
          </w:p>
        </w:tc>
      </w:tr>
    </w:tbl>
    <w:p w14:paraId="23223481" w14:textId="77777777" w:rsidR="00851ED3" w:rsidRPr="001C311E" w:rsidRDefault="00851ED3" w:rsidP="009A23AA">
      <w:pPr>
        <w:spacing w:before="0"/>
        <w:rPr>
          <w:rFonts w:cs="Times New Roman"/>
          <w:color w:val="000000" w:themeColor="text1"/>
          <w:sz w:val="20"/>
          <w:szCs w:val="20"/>
          <w:lang w:val="en-US"/>
        </w:rPr>
      </w:pPr>
      <w:r w:rsidRPr="0049761B">
        <w:rPr>
          <w:rFonts w:cs="Times New Roman"/>
          <w:color w:val="000000" w:themeColor="text1"/>
          <w:sz w:val="20"/>
          <w:szCs w:val="20"/>
          <w:lang w:val="en-US"/>
        </w:rPr>
        <w:t xml:space="preserve">(Source: </w:t>
      </w:r>
      <w:r w:rsidRPr="0049761B">
        <w:rPr>
          <w:rFonts w:cs="Times New Roman"/>
          <w:color w:val="000000" w:themeColor="text1"/>
          <w:sz w:val="20"/>
          <w:szCs w:val="20"/>
        </w:rPr>
        <w:t>CHF 2019 RAC Stock model</w:t>
      </w:r>
      <w:r w:rsidRPr="0049761B">
        <w:rPr>
          <w:rFonts w:cs="Times New Roman"/>
          <w:color w:val="000000" w:themeColor="text1"/>
          <w:sz w:val="20"/>
          <w:szCs w:val="20"/>
          <w:lang w:val="en-US"/>
        </w:rPr>
        <w:t>)</w:t>
      </w:r>
    </w:p>
    <w:p w14:paraId="72450044" w14:textId="77777777" w:rsidR="00851ED3" w:rsidRPr="001C311E" w:rsidRDefault="00851ED3" w:rsidP="009A23AA">
      <w:pPr>
        <w:rPr>
          <w:rFonts w:cs="Times New Roman"/>
          <w:color w:val="000000" w:themeColor="text1"/>
        </w:rPr>
      </w:pPr>
    </w:p>
    <w:p w14:paraId="5C2834E0" w14:textId="77777777" w:rsidR="00851ED3" w:rsidRPr="001C311E" w:rsidRDefault="00851ED3" w:rsidP="009A23AA">
      <w:pPr>
        <w:snapToGrid w:val="0"/>
        <w:rPr>
          <w:rFonts w:cs="Times New Roman"/>
          <w:color w:val="000000" w:themeColor="text1"/>
          <w:szCs w:val="22"/>
        </w:rPr>
      </w:pPr>
      <w:r w:rsidRPr="001C311E">
        <w:rPr>
          <w:rFonts w:cs="Times New Roman"/>
          <w:color w:val="000000" w:themeColor="text1"/>
          <w:szCs w:val="22"/>
        </w:rPr>
        <w:t>Banks of these high GWP refrigerants in this segment are estimated as follows:</w:t>
      </w:r>
    </w:p>
    <w:p w14:paraId="0D815F1A" w14:textId="036EF4D2" w:rsidR="00851ED3" w:rsidRPr="00112637" w:rsidRDefault="00851ED3"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112637">
        <w:rPr>
          <w:rFonts w:ascii="Times New Roman" w:hAnsi="Times New Roman"/>
          <w:color w:val="000000" w:themeColor="text1"/>
        </w:rPr>
        <w:t xml:space="preserve">HFC-134a of around </w:t>
      </w:r>
      <w:r w:rsidR="00EF2296" w:rsidRPr="00112637">
        <w:rPr>
          <w:rFonts w:ascii="Times New Roman" w:hAnsi="Times New Roman"/>
          <w:color w:val="000000" w:themeColor="text1"/>
        </w:rPr>
        <w:t>1,010</w:t>
      </w:r>
      <w:r w:rsidRPr="00112637">
        <w:rPr>
          <w:rFonts w:ascii="Times New Roman" w:hAnsi="Times New Roman"/>
          <w:color w:val="000000" w:themeColor="text1"/>
        </w:rPr>
        <w:t xml:space="preserve"> tonnes in 201</w:t>
      </w:r>
      <w:r w:rsidR="00EF2296" w:rsidRPr="00112637">
        <w:rPr>
          <w:rFonts w:ascii="Times New Roman" w:hAnsi="Times New Roman"/>
          <w:color w:val="000000" w:themeColor="text1"/>
        </w:rPr>
        <w:t>8</w:t>
      </w:r>
      <w:r w:rsidRPr="00112637">
        <w:rPr>
          <w:rFonts w:ascii="Times New Roman" w:hAnsi="Times New Roman"/>
          <w:color w:val="000000" w:themeColor="text1"/>
        </w:rPr>
        <w:t xml:space="preserve"> to grow steadily to </w:t>
      </w:r>
      <w:r w:rsidR="00EF2296" w:rsidRPr="00112637">
        <w:rPr>
          <w:rFonts w:ascii="Times New Roman" w:hAnsi="Times New Roman"/>
          <w:color w:val="000000" w:themeColor="text1"/>
        </w:rPr>
        <w:t>1,3</w:t>
      </w:r>
      <w:r w:rsidR="008E7F4D" w:rsidRPr="00112637">
        <w:rPr>
          <w:rFonts w:ascii="Times New Roman" w:hAnsi="Times New Roman"/>
          <w:color w:val="000000" w:themeColor="text1"/>
        </w:rPr>
        <w:t>3</w:t>
      </w:r>
      <w:r w:rsidR="00EF2296" w:rsidRPr="00112637">
        <w:rPr>
          <w:rFonts w:ascii="Times New Roman" w:hAnsi="Times New Roman"/>
          <w:color w:val="000000" w:themeColor="text1"/>
        </w:rPr>
        <w:t>0</w:t>
      </w:r>
      <w:r w:rsidRPr="00112637">
        <w:rPr>
          <w:rFonts w:ascii="Times New Roman" w:hAnsi="Times New Roman"/>
          <w:color w:val="000000" w:themeColor="text1"/>
        </w:rPr>
        <w:t xml:space="preserve"> tonnes in 2030;</w:t>
      </w:r>
    </w:p>
    <w:p w14:paraId="372A273C" w14:textId="7DD92406" w:rsidR="00851ED3" w:rsidRPr="00112637" w:rsidRDefault="00851ED3"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112637">
        <w:rPr>
          <w:rFonts w:ascii="Times New Roman" w:hAnsi="Times New Roman"/>
          <w:color w:val="000000" w:themeColor="text1"/>
        </w:rPr>
        <w:t>HFC-404A of more than 2,700 tonnes in 201</w:t>
      </w:r>
      <w:r w:rsidR="00EF2296" w:rsidRPr="00112637">
        <w:rPr>
          <w:rFonts w:ascii="Times New Roman" w:hAnsi="Times New Roman"/>
          <w:color w:val="000000" w:themeColor="text1"/>
        </w:rPr>
        <w:t>8</w:t>
      </w:r>
      <w:r w:rsidRPr="00112637">
        <w:rPr>
          <w:rFonts w:ascii="Times New Roman" w:hAnsi="Times New Roman"/>
          <w:color w:val="000000" w:themeColor="text1"/>
        </w:rPr>
        <w:t xml:space="preserve"> to fall steadily by more than 5</w:t>
      </w:r>
      <w:r w:rsidR="008E7F4D" w:rsidRPr="00112637">
        <w:rPr>
          <w:rFonts w:ascii="Times New Roman" w:hAnsi="Times New Roman"/>
          <w:color w:val="000000" w:themeColor="text1"/>
        </w:rPr>
        <w:t>4</w:t>
      </w:r>
      <w:r w:rsidRPr="00112637">
        <w:rPr>
          <w:rFonts w:ascii="Times New Roman" w:hAnsi="Times New Roman"/>
          <w:color w:val="000000" w:themeColor="text1"/>
        </w:rPr>
        <w:t xml:space="preserve">% to around </w:t>
      </w:r>
      <w:r w:rsidR="00EF2296" w:rsidRPr="00112637">
        <w:rPr>
          <w:rFonts w:ascii="Times New Roman" w:hAnsi="Times New Roman"/>
          <w:color w:val="000000" w:themeColor="text1"/>
        </w:rPr>
        <w:t>1,230</w:t>
      </w:r>
      <w:r w:rsidRPr="00112637">
        <w:rPr>
          <w:rFonts w:ascii="Times New Roman" w:hAnsi="Times New Roman"/>
          <w:color w:val="000000" w:themeColor="text1"/>
        </w:rPr>
        <w:t xml:space="preserve"> tonnes by 2030;</w:t>
      </w:r>
    </w:p>
    <w:p w14:paraId="67300AE0" w14:textId="59802829" w:rsidR="00851ED3" w:rsidRPr="00112637" w:rsidRDefault="00851ED3"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112637">
        <w:rPr>
          <w:rFonts w:ascii="Times New Roman" w:hAnsi="Times New Roman"/>
          <w:color w:val="000000" w:themeColor="text1"/>
        </w:rPr>
        <w:t xml:space="preserve">HFC-410A of around </w:t>
      </w:r>
      <w:r w:rsidR="00EF2296" w:rsidRPr="00112637">
        <w:rPr>
          <w:rFonts w:ascii="Times New Roman" w:hAnsi="Times New Roman"/>
          <w:color w:val="000000" w:themeColor="text1"/>
        </w:rPr>
        <w:t>43</w:t>
      </w:r>
      <w:r w:rsidRPr="00112637">
        <w:rPr>
          <w:rFonts w:ascii="Times New Roman" w:hAnsi="Times New Roman"/>
          <w:color w:val="000000" w:themeColor="text1"/>
        </w:rPr>
        <w:t xml:space="preserve"> tonnes in 201</w:t>
      </w:r>
      <w:r w:rsidR="00EF2296" w:rsidRPr="00112637">
        <w:rPr>
          <w:rFonts w:ascii="Times New Roman" w:hAnsi="Times New Roman"/>
          <w:color w:val="000000" w:themeColor="text1"/>
        </w:rPr>
        <w:t>8</w:t>
      </w:r>
      <w:r w:rsidRPr="00112637">
        <w:rPr>
          <w:rFonts w:ascii="Times New Roman" w:hAnsi="Times New Roman"/>
          <w:color w:val="000000" w:themeColor="text1"/>
        </w:rPr>
        <w:t xml:space="preserve"> </w:t>
      </w:r>
      <w:r w:rsidR="00EF2296" w:rsidRPr="00112637">
        <w:rPr>
          <w:rFonts w:ascii="Times New Roman" w:hAnsi="Times New Roman"/>
          <w:color w:val="000000" w:themeColor="text1"/>
        </w:rPr>
        <w:t xml:space="preserve">rising steadily to the </w:t>
      </w:r>
      <w:r w:rsidRPr="00112637">
        <w:rPr>
          <w:rFonts w:ascii="Times New Roman" w:hAnsi="Times New Roman"/>
          <w:color w:val="000000" w:themeColor="text1"/>
        </w:rPr>
        <w:t xml:space="preserve">end of the projection period at </w:t>
      </w:r>
      <w:r w:rsidR="00EF2296" w:rsidRPr="00112637">
        <w:rPr>
          <w:rFonts w:ascii="Times New Roman" w:hAnsi="Times New Roman"/>
          <w:color w:val="000000" w:themeColor="text1"/>
        </w:rPr>
        <w:t>116</w:t>
      </w:r>
      <w:r w:rsidRPr="00112637">
        <w:rPr>
          <w:rFonts w:ascii="Times New Roman" w:hAnsi="Times New Roman"/>
          <w:color w:val="000000" w:themeColor="text1"/>
        </w:rPr>
        <w:t xml:space="preserve"> tonnes;</w:t>
      </w:r>
    </w:p>
    <w:p w14:paraId="391E2AA9" w14:textId="01E57BF8" w:rsidR="00851ED3" w:rsidRPr="00112637" w:rsidRDefault="00851ED3"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112637">
        <w:rPr>
          <w:rFonts w:ascii="Times New Roman" w:hAnsi="Times New Roman"/>
          <w:color w:val="000000" w:themeColor="text1"/>
        </w:rPr>
        <w:t xml:space="preserve">HFC-407C to </w:t>
      </w:r>
      <w:r w:rsidR="00EF2296" w:rsidRPr="00112637">
        <w:rPr>
          <w:rFonts w:ascii="Times New Roman" w:hAnsi="Times New Roman"/>
          <w:color w:val="000000" w:themeColor="text1"/>
        </w:rPr>
        <w:t>rise slowly</w:t>
      </w:r>
      <w:r w:rsidRPr="00112637">
        <w:rPr>
          <w:rFonts w:ascii="Times New Roman" w:hAnsi="Times New Roman"/>
          <w:color w:val="000000" w:themeColor="text1"/>
        </w:rPr>
        <w:t xml:space="preserve"> from around 1</w:t>
      </w:r>
      <w:r w:rsidR="00EF2296" w:rsidRPr="00112637">
        <w:rPr>
          <w:rFonts w:ascii="Times New Roman" w:hAnsi="Times New Roman"/>
          <w:color w:val="000000" w:themeColor="text1"/>
        </w:rPr>
        <w:t>10</w:t>
      </w:r>
      <w:r w:rsidRPr="00112637">
        <w:rPr>
          <w:rFonts w:ascii="Times New Roman" w:hAnsi="Times New Roman"/>
          <w:color w:val="000000" w:themeColor="text1"/>
        </w:rPr>
        <w:t xml:space="preserve"> tonnes in 201</w:t>
      </w:r>
      <w:r w:rsidR="00EF2296" w:rsidRPr="00112637">
        <w:rPr>
          <w:rFonts w:ascii="Times New Roman" w:hAnsi="Times New Roman"/>
          <w:color w:val="000000" w:themeColor="text1"/>
        </w:rPr>
        <w:t>8</w:t>
      </w:r>
      <w:r w:rsidRPr="00112637">
        <w:rPr>
          <w:rFonts w:ascii="Times New Roman" w:hAnsi="Times New Roman"/>
          <w:color w:val="000000" w:themeColor="text1"/>
        </w:rPr>
        <w:t xml:space="preserve"> to </w:t>
      </w:r>
      <w:r w:rsidR="00EF2296" w:rsidRPr="00112637">
        <w:rPr>
          <w:rFonts w:ascii="Times New Roman" w:hAnsi="Times New Roman"/>
          <w:color w:val="000000" w:themeColor="text1"/>
        </w:rPr>
        <w:t>122</w:t>
      </w:r>
      <w:r w:rsidRPr="00112637">
        <w:rPr>
          <w:rFonts w:ascii="Times New Roman" w:hAnsi="Times New Roman"/>
          <w:color w:val="000000" w:themeColor="text1"/>
        </w:rPr>
        <w:t xml:space="preserve"> </w:t>
      </w:r>
      <w:r w:rsidR="00EF2296" w:rsidRPr="00112637">
        <w:rPr>
          <w:rFonts w:ascii="Times New Roman" w:hAnsi="Times New Roman"/>
          <w:color w:val="000000" w:themeColor="text1"/>
        </w:rPr>
        <w:t xml:space="preserve">at the end of </w:t>
      </w:r>
      <w:r w:rsidRPr="00112637">
        <w:rPr>
          <w:rFonts w:ascii="Times New Roman" w:hAnsi="Times New Roman"/>
          <w:color w:val="000000" w:themeColor="text1"/>
        </w:rPr>
        <w:t>the projection period;</w:t>
      </w:r>
    </w:p>
    <w:p w14:paraId="555775D4" w14:textId="1DCCE2FA" w:rsidR="00851ED3" w:rsidRPr="001C311E" w:rsidRDefault="00851ED3"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1C311E">
        <w:rPr>
          <w:rFonts w:ascii="Times New Roman" w:hAnsi="Times New Roman"/>
          <w:color w:val="000000" w:themeColor="text1"/>
        </w:rPr>
        <w:t xml:space="preserve">A small bank of emerging </w:t>
      </w:r>
      <w:r w:rsidR="00112637">
        <w:rPr>
          <w:rFonts w:ascii="Times New Roman" w:hAnsi="Times New Roman"/>
          <w:color w:val="000000" w:themeColor="text1"/>
        </w:rPr>
        <w:t xml:space="preserve">HFO/HFC </w:t>
      </w:r>
      <w:r w:rsidRPr="001C311E">
        <w:rPr>
          <w:rFonts w:ascii="Times New Roman" w:hAnsi="Times New Roman"/>
          <w:color w:val="000000" w:themeColor="text1"/>
        </w:rPr>
        <w:t xml:space="preserve">blends </w:t>
      </w:r>
      <w:r w:rsidR="00112637">
        <w:rPr>
          <w:rFonts w:ascii="Times New Roman" w:hAnsi="Times New Roman"/>
          <w:color w:val="000000" w:themeColor="text1"/>
        </w:rPr>
        <w:t>including R4</w:t>
      </w:r>
      <w:r w:rsidRPr="001C311E">
        <w:rPr>
          <w:rFonts w:ascii="Times New Roman" w:hAnsi="Times New Roman"/>
          <w:color w:val="000000" w:themeColor="text1"/>
        </w:rPr>
        <w:t>48a</w:t>
      </w:r>
      <w:r w:rsidR="006379FE">
        <w:rPr>
          <w:rFonts w:ascii="Times New Roman" w:hAnsi="Times New Roman"/>
          <w:color w:val="000000" w:themeColor="text1"/>
        </w:rPr>
        <w:t xml:space="preserve"> and </w:t>
      </w:r>
      <w:r w:rsidR="00112637">
        <w:rPr>
          <w:rFonts w:ascii="Times New Roman" w:hAnsi="Times New Roman"/>
          <w:color w:val="000000" w:themeColor="text1"/>
        </w:rPr>
        <w:t>R</w:t>
      </w:r>
      <w:r w:rsidRPr="001C311E">
        <w:rPr>
          <w:rFonts w:ascii="Times New Roman" w:hAnsi="Times New Roman"/>
          <w:color w:val="000000" w:themeColor="text1"/>
        </w:rPr>
        <w:t xml:space="preserve">449a in the &lt;2150 GWP bin is predicted to grow to </w:t>
      </w:r>
      <w:r w:rsidR="00EF2296">
        <w:rPr>
          <w:rFonts w:ascii="Times New Roman" w:hAnsi="Times New Roman"/>
          <w:color w:val="000000" w:themeColor="text1"/>
        </w:rPr>
        <w:t>more than</w:t>
      </w:r>
      <w:r w:rsidRPr="001C311E">
        <w:rPr>
          <w:rFonts w:ascii="Times New Roman" w:hAnsi="Times New Roman"/>
          <w:color w:val="000000" w:themeColor="text1"/>
        </w:rPr>
        <w:t xml:space="preserve"> </w:t>
      </w:r>
      <w:r w:rsidR="00EF2296">
        <w:rPr>
          <w:rFonts w:ascii="Times New Roman" w:hAnsi="Times New Roman"/>
          <w:color w:val="000000" w:themeColor="text1"/>
        </w:rPr>
        <w:t>720</w:t>
      </w:r>
      <w:r w:rsidRPr="001C311E">
        <w:rPr>
          <w:rFonts w:ascii="Times New Roman" w:hAnsi="Times New Roman"/>
          <w:color w:val="000000" w:themeColor="text1"/>
        </w:rPr>
        <w:t xml:space="preserve"> tonnes by 2030; and,</w:t>
      </w:r>
    </w:p>
    <w:p w14:paraId="17501717" w14:textId="328DDC66" w:rsidR="00851ED3" w:rsidRPr="001C311E" w:rsidRDefault="00851ED3"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1C311E">
        <w:rPr>
          <w:rFonts w:ascii="Times New Roman" w:hAnsi="Times New Roman"/>
          <w:color w:val="000000" w:themeColor="text1"/>
        </w:rPr>
        <w:t xml:space="preserve">New blends in the &lt;1000 GWP bin are expected to enter the market strongly in the early part of the projection period, growing from zero to around </w:t>
      </w:r>
      <w:r w:rsidR="00EF2296">
        <w:rPr>
          <w:rFonts w:ascii="Times New Roman" w:hAnsi="Times New Roman"/>
          <w:color w:val="000000" w:themeColor="text1"/>
        </w:rPr>
        <w:t>500</w:t>
      </w:r>
      <w:r w:rsidRPr="001C311E">
        <w:rPr>
          <w:rFonts w:ascii="Times New Roman" w:hAnsi="Times New Roman"/>
          <w:color w:val="000000" w:themeColor="text1"/>
        </w:rPr>
        <w:t xml:space="preserve"> tonnes by 2030.</w:t>
      </w:r>
    </w:p>
    <w:p w14:paraId="7692955C" w14:textId="789C5FD9" w:rsidR="00851ED3" w:rsidRPr="008969AD" w:rsidRDefault="008969AD" w:rsidP="009A23AA">
      <w:pPr>
        <w:snapToGrid w:val="0"/>
        <w:rPr>
          <w:rFonts w:cs="Times New Roman"/>
          <w:color w:val="000000" w:themeColor="text1"/>
          <w:szCs w:val="22"/>
        </w:rPr>
      </w:pPr>
      <w:r w:rsidRPr="008969AD">
        <w:rPr>
          <w:rFonts w:cs="Times New Roman"/>
          <w:color w:val="000000" w:themeColor="text1"/>
          <w:szCs w:val="22"/>
        </w:rPr>
        <w:t>L</w:t>
      </w:r>
      <w:r w:rsidR="00851ED3" w:rsidRPr="008969AD">
        <w:rPr>
          <w:rFonts w:cs="Times New Roman"/>
          <w:color w:val="000000" w:themeColor="text1"/>
          <w:szCs w:val="22"/>
        </w:rPr>
        <w:t>ow GWP refrigerants are also predicted to grow into a small portion of this complex bank with HC, CO</w:t>
      </w:r>
      <w:r w:rsidR="00851ED3" w:rsidRPr="008969AD">
        <w:rPr>
          <w:rFonts w:cs="Times New Roman"/>
          <w:color w:val="000000" w:themeColor="text1"/>
          <w:szCs w:val="22"/>
          <w:vertAlign w:val="subscript"/>
        </w:rPr>
        <w:t>2</w:t>
      </w:r>
      <w:r w:rsidR="00851ED3" w:rsidRPr="008969AD">
        <w:rPr>
          <w:rFonts w:cs="Times New Roman"/>
          <w:color w:val="000000" w:themeColor="text1"/>
          <w:szCs w:val="22"/>
        </w:rPr>
        <w:t xml:space="preserve"> and ammonia charged systems either already being deployed or expected to be so soon:</w:t>
      </w:r>
    </w:p>
    <w:p w14:paraId="7078D99D" w14:textId="79498811" w:rsidR="00851ED3" w:rsidRPr="008969AD" w:rsidRDefault="00851ED3"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8969AD">
        <w:rPr>
          <w:rFonts w:ascii="Times New Roman" w:hAnsi="Times New Roman"/>
          <w:color w:val="000000" w:themeColor="text1"/>
        </w:rPr>
        <w:t xml:space="preserve">A small bank of HC charged equipment was already in the market in 2018 and is expected to grow to some </w:t>
      </w:r>
      <w:r w:rsidR="008969AD" w:rsidRPr="008969AD">
        <w:rPr>
          <w:rFonts w:ascii="Times New Roman" w:hAnsi="Times New Roman"/>
          <w:color w:val="000000" w:themeColor="text1"/>
        </w:rPr>
        <w:t>12</w:t>
      </w:r>
      <w:r w:rsidRPr="008969AD">
        <w:rPr>
          <w:rFonts w:ascii="Times New Roman" w:hAnsi="Times New Roman"/>
          <w:color w:val="000000" w:themeColor="text1"/>
        </w:rPr>
        <w:t xml:space="preserve"> tonnes;</w:t>
      </w:r>
    </w:p>
    <w:p w14:paraId="4EECFF65" w14:textId="0FD7EBD8" w:rsidR="00851ED3" w:rsidRPr="008969AD" w:rsidRDefault="00851ED3"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8969AD">
        <w:rPr>
          <w:rFonts w:ascii="Times New Roman" w:hAnsi="Times New Roman"/>
          <w:color w:val="000000" w:themeColor="text1"/>
        </w:rPr>
        <w:t>CO</w:t>
      </w:r>
      <w:r w:rsidRPr="008969AD">
        <w:rPr>
          <w:rFonts w:ascii="Times New Roman" w:hAnsi="Times New Roman"/>
          <w:color w:val="000000" w:themeColor="text1"/>
          <w:vertAlign w:val="subscript"/>
        </w:rPr>
        <w:t>2</w:t>
      </w:r>
      <w:r w:rsidRPr="008969AD">
        <w:rPr>
          <w:rFonts w:ascii="Times New Roman" w:hAnsi="Times New Roman"/>
          <w:color w:val="000000" w:themeColor="text1"/>
        </w:rPr>
        <w:t xml:space="preserve"> systems are predicted to grow from zero at the start of the period to a bank of more than </w:t>
      </w:r>
      <w:r w:rsidR="008969AD" w:rsidRPr="008969AD">
        <w:rPr>
          <w:rFonts w:ascii="Times New Roman" w:hAnsi="Times New Roman"/>
          <w:color w:val="000000" w:themeColor="text1"/>
        </w:rPr>
        <w:t>115</w:t>
      </w:r>
      <w:r w:rsidRPr="008969AD">
        <w:rPr>
          <w:rFonts w:ascii="Times New Roman" w:hAnsi="Times New Roman"/>
          <w:color w:val="000000" w:themeColor="text1"/>
        </w:rPr>
        <w:t xml:space="preserve"> tonnes by 2030; and,</w:t>
      </w:r>
    </w:p>
    <w:p w14:paraId="750E9291" w14:textId="46430606" w:rsidR="00851ED3" w:rsidRPr="008969AD" w:rsidRDefault="00851ED3" w:rsidP="009A23AA">
      <w:pPr>
        <w:pStyle w:val="ListParagraph"/>
        <w:numPr>
          <w:ilvl w:val="0"/>
          <w:numId w:val="14"/>
        </w:numPr>
        <w:snapToGrid w:val="0"/>
        <w:spacing w:before="120" w:after="0" w:line="240" w:lineRule="auto"/>
        <w:contextualSpacing w:val="0"/>
        <w:jc w:val="both"/>
        <w:rPr>
          <w:rFonts w:ascii="Times New Roman" w:hAnsi="Times New Roman"/>
          <w:color w:val="000000" w:themeColor="text1"/>
        </w:rPr>
      </w:pPr>
      <w:r w:rsidRPr="008969AD">
        <w:rPr>
          <w:rFonts w:ascii="Times New Roman" w:hAnsi="Times New Roman"/>
          <w:color w:val="000000" w:themeColor="text1"/>
        </w:rPr>
        <w:t xml:space="preserve">Ammonia systems in low temperature remote applications of more than 40 </w:t>
      </w:r>
      <w:proofErr w:type="spellStart"/>
      <w:r w:rsidRPr="008969AD">
        <w:rPr>
          <w:rFonts w:ascii="Times New Roman" w:hAnsi="Times New Roman"/>
          <w:color w:val="000000" w:themeColor="text1"/>
        </w:rPr>
        <w:t>kWr</w:t>
      </w:r>
      <w:proofErr w:type="spellEnd"/>
      <w:r w:rsidRPr="008969AD">
        <w:rPr>
          <w:rFonts w:ascii="Times New Roman" w:hAnsi="Times New Roman"/>
          <w:color w:val="000000" w:themeColor="text1"/>
        </w:rPr>
        <w:t xml:space="preserve"> are expected to grow from zero to more than </w:t>
      </w:r>
      <w:r w:rsidR="008969AD" w:rsidRPr="008969AD">
        <w:rPr>
          <w:rFonts w:ascii="Times New Roman" w:hAnsi="Times New Roman"/>
          <w:color w:val="000000" w:themeColor="text1"/>
        </w:rPr>
        <w:t>22</w:t>
      </w:r>
      <w:r w:rsidRPr="008969AD">
        <w:rPr>
          <w:rFonts w:ascii="Times New Roman" w:hAnsi="Times New Roman"/>
          <w:color w:val="000000" w:themeColor="text1"/>
        </w:rPr>
        <w:t xml:space="preserve"> tonnes by 2030.</w:t>
      </w:r>
    </w:p>
    <w:p w14:paraId="4B19AC73" w14:textId="63790D97" w:rsidR="00851ED3" w:rsidRDefault="00851ED3" w:rsidP="009A23AA">
      <w:pPr>
        <w:snapToGrid w:val="0"/>
        <w:rPr>
          <w:rFonts w:cs="Times New Roman"/>
          <w:color w:val="000000" w:themeColor="text1"/>
          <w:szCs w:val="22"/>
        </w:rPr>
      </w:pPr>
      <w:r w:rsidRPr="00112637">
        <w:rPr>
          <w:rFonts w:cs="Times New Roman"/>
          <w:color w:val="000000" w:themeColor="text1"/>
          <w:szCs w:val="22"/>
        </w:rPr>
        <w:t xml:space="preserve">During the projection period most of the currently HCFC-22 charged remote condenser systems are expected to be retired or refitted. HCFC-22 in this segment is predicted to fall from around </w:t>
      </w:r>
      <w:r w:rsidR="00EF2296" w:rsidRPr="00112637">
        <w:rPr>
          <w:rFonts w:cs="Times New Roman"/>
          <w:color w:val="000000" w:themeColor="text1"/>
          <w:szCs w:val="22"/>
        </w:rPr>
        <w:t>165</w:t>
      </w:r>
      <w:r w:rsidRPr="00112637">
        <w:rPr>
          <w:rFonts w:cs="Times New Roman"/>
          <w:color w:val="000000" w:themeColor="text1"/>
          <w:szCs w:val="22"/>
        </w:rPr>
        <w:t xml:space="preserve"> tonnes presently in use to just </w:t>
      </w:r>
      <w:r w:rsidR="00EF2296" w:rsidRPr="00112637">
        <w:rPr>
          <w:rFonts w:cs="Times New Roman"/>
          <w:color w:val="000000" w:themeColor="text1"/>
          <w:szCs w:val="22"/>
        </w:rPr>
        <w:t>5</w:t>
      </w:r>
      <w:r w:rsidRPr="00112637">
        <w:rPr>
          <w:rFonts w:cs="Times New Roman"/>
          <w:color w:val="000000" w:themeColor="text1"/>
          <w:szCs w:val="22"/>
        </w:rPr>
        <w:t xml:space="preserve"> tonnes by 2030.</w:t>
      </w:r>
    </w:p>
    <w:p w14:paraId="360B5124" w14:textId="77777777" w:rsidR="002267F3" w:rsidRPr="001C311E" w:rsidRDefault="002267F3" w:rsidP="009A23AA">
      <w:pPr>
        <w:snapToGrid w:val="0"/>
        <w:rPr>
          <w:rFonts w:cs="Times New Roman"/>
          <w:color w:val="000000" w:themeColor="text1"/>
          <w:szCs w:val="22"/>
        </w:rPr>
      </w:pPr>
    </w:p>
    <w:p w14:paraId="44D1A562" w14:textId="77777777" w:rsidR="00AC09EC" w:rsidRDefault="00AC09EC">
      <w:pPr>
        <w:spacing w:before="0"/>
        <w:jc w:val="left"/>
        <w:rPr>
          <w:rFonts w:cs="Times New Roman"/>
          <w:b/>
          <w:color w:val="000000" w:themeColor="text1"/>
        </w:rPr>
      </w:pPr>
      <w:r>
        <w:rPr>
          <w:rFonts w:cs="Times New Roman"/>
          <w:b/>
          <w:color w:val="000000" w:themeColor="text1"/>
        </w:rPr>
        <w:br w:type="page"/>
      </w:r>
    </w:p>
    <w:p w14:paraId="70FB3736" w14:textId="7081F645" w:rsidR="00AC09EC" w:rsidRDefault="00851ED3" w:rsidP="002267F3">
      <w:pPr>
        <w:snapToGrid w:val="0"/>
        <w:spacing w:before="240"/>
        <w:rPr>
          <w:rFonts w:cs="Times New Roman"/>
          <w:b/>
          <w:color w:val="000000" w:themeColor="text1"/>
        </w:rPr>
      </w:pPr>
      <w:r w:rsidRPr="001C311E">
        <w:rPr>
          <w:rFonts w:cs="Times New Roman"/>
          <w:b/>
          <w:color w:val="000000" w:themeColor="text1"/>
        </w:rPr>
        <w:t>Supermarkets</w:t>
      </w:r>
    </w:p>
    <w:p w14:paraId="7C0923C8" w14:textId="588B3EF6" w:rsidR="00851ED3" w:rsidRPr="002267F3" w:rsidRDefault="00851ED3" w:rsidP="00AC09EC">
      <w:pPr>
        <w:snapToGrid w:val="0"/>
        <w:rPr>
          <w:rFonts w:cs="Times New Roman"/>
          <w:b/>
          <w:color w:val="000000" w:themeColor="text1"/>
        </w:rPr>
      </w:pPr>
      <w:r w:rsidRPr="00112637">
        <w:rPr>
          <w:rFonts w:cs="Times New Roman"/>
          <w:color w:val="000000" w:themeColor="text1"/>
          <w:szCs w:val="22"/>
        </w:rPr>
        <w:t>Supermarket refrigeration systems were estimated to employ around 2,</w:t>
      </w:r>
      <w:r w:rsidR="00EF2296" w:rsidRPr="00112637">
        <w:rPr>
          <w:rFonts w:cs="Times New Roman"/>
          <w:color w:val="000000" w:themeColor="text1"/>
          <w:szCs w:val="22"/>
        </w:rPr>
        <w:t>4</w:t>
      </w:r>
      <w:r w:rsidRPr="00112637">
        <w:rPr>
          <w:rFonts w:cs="Times New Roman"/>
          <w:color w:val="000000" w:themeColor="text1"/>
          <w:szCs w:val="22"/>
        </w:rPr>
        <w:t>00 tonnes of refrigerant in 201</w:t>
      </w:r>
      <w:r w:rsidR="00EF2296" w:rsidRPr="00112637">
        <w:rPr>
          <w:rFonts w:cs="Times New Roman"/>
          <w:color w:val="000000" w:themeColor="text1"/>
          <w:szCs w:val="22"/>
        </w:rPr>
        <w:t>8</w:t>
      </w:r>
      <w:r w:rsidRPr="00112637">
        <w:rPr>
          <w:rFonts w:cs="Times New Roman"/>
          <w:color w:val="000000" w:themeColor="text1"/>
          <w:szCs w:val="22"/>
        </w:rPr>
        <w:t xml:space="preserve">, at that time comprising </w:t>
      </w:r>
      <w:r w:rsidR="00112637" w:rsidRPr="00112637">
        <w:rPr>
          <w:rFonts w:cs="Times New Roman"/>
          <w:color w:val="000000" w:themeColor="text1"/>
          <w:szCs w:val="22"/>
        </w:rPr>
        <w:t xml:space="preserve">more than </w:t>
      </w:r>
      <w:r w:rsidRPr="00112637">
        <w:rPr>
          <w:rFonts w:cs="Times New Roman"/>
          <w:color w:val="000000" w:themeColor="text1"/>
          <w:szCs w:val="22"/>
        </w:rPr>
        <w:t>3</w:t>
      </w:r>
      <w:r w:rsidR="002A4DF3" w:rsidRPr="00112637">
        <w:rPr>
          <w:rFonts w:cs="Times New Roman"/>
          <w:color w:val="000000" w:themeColor="text1"/>
          <w:szCs w:val="22"/>
        </w:rPr>
        <w:t>3</w:t>
      </w:r>
      <w:r w:rsidRPr="00112637">
        <w:rPr>
          <w:rFonts w:cs="Times New Roman"/>
          <w:color w:val="000000" w:themeColor="text1"/>
          <w:szCs w:val="22"/>
        </w:rPr>
        <w:t>% of the RCFC bank. This is expected to expand modestly to some 3,200</w:t>
      </w:r>
      <w:r w:rsidRPr="001C311E">
        <w:rPr>
          <w:rFonts w:cs="Times New Roman"/>
          <w:color w:val="000000" w:themeColor="text1"/>
          <w:szCs w:val="22"/>
        </w:rPr>
        <w:t xml:space="preserve"> tonnes and around 40% of the RCFC bank in 2030.</w:t>
      </w:r>
    </w:p>
    <w:p w14:paraId="05AE9F4E" w14:textId="77777777" w:rsidR="00851ED3" w:rsidRPr="001C311E" w:rsidRDefault="00851ED3" w:rsidP="009A23AA">
      <w:pPr>
        <w:snapToGrid w:val="0"/>
        <w:rPr>
          <w:rFonts w:cs="Times New Roman"/>
          <w:color w:val="000000" w:themeColor="text1"/>
          <w:szCs w:val="22"/>
        </w:rPr>
      </w:pPr>
      <w:r w:rsidRPr="001C311E">
        <w:rPr>
          <w:rFonts w:cs="Times New Roman"/>
          <w:color w:val="000000" w:themeColor="text1"/>
          <w:szCs w:val="22"/>
        </w:rPr>
        <w:t xml:space="preserve">Supermarket systems are generally large centralised or remote systems, designed to the specific site but using well tested standard components which are generally well maintained. </w:t>
      </w:r>
    </w:p>
    <w:p w14:paraId="17221954" w14:textId="77777777" w:rsidR="00851ED3" w:rsidRPr="001C311E" w:rsidRDefault="00851ED3" w:rsidP="009A23AA">
      <w:pPr>
        <w:snapToGrid w:val="0"/>
        <w:rPr>
          <w:rFonts w:cs="Times New Roman"/>
          <w:color w:val="000000" w:themeColor="text1"/>
        </w:rPr>
      </w:pPr>
      <w:r w:rsidRPr="001C311E">
        <w:rPr>
          <w:rFonts w:cs="Times New Roman"/>
          <w:color w:val="000000" w:themeColor="text1"/>
          <w:szCs w:val="22"/>
        </w:rPr>
        <w:t>Due to the highly concentrated structure of the Australian supermarket industry, with the main players being well capitalised and highly performance focussed, the bank in supermarket systems has reflected these large corporations’ commitments to efficiency and environmental stewardship in the last decade, with a quite rapid and accelerating trend towards refrigerant leak reduction and transition to low GWP refrigerants.</w:t>
      </w:r>
    </w:p>
    <w:p w14:paraId="12326284" w14:textId="77777777" w:rsidR="00851ED3" w:rsidRPr="001C311E" w:rsidRDefault="00851ED3" w:rsidP="009A23AA">
      <w:pPr>
        <w:rPr>
          <w:rFonts w:cs="Times New Roman"/>
          <w:color w:val="000000" w:themeColor="text1"/>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851ED3" w:rsidRPr="00FE5ECF" w14:paraId="63F2192A" w14:textId="77777777" w:rsidTr="00ED641C">
        <w:tc>
          <w:tcPr>
            <w:tcW w:w="9759" w:type="dxa"/>
            <w:vAlign w:val="center"/>
          </w:tcPr>
          <w:p w14:paraId="31FA21DE" w14:textId="77777777" w:rsidR="00851ED3" w:rsidRPr="001C311E" w:rsidRDefault="00851ED3" w:rsidP="008969AD">
            <w:pPr>
              <w:spacing w:after="120"/>
              <w:jc w:val="center"/>
              <w:rPr>
                <w:rFonts w:cs="Times New Roman"/>
                <w:b/>
                <w:color w:val="000000" w:themeColor="text1"/>
              </w:rPr>
            </w:pPr>
            <w:r w:rsidRPr="001C311E">
              <w:rPr>
                <w:rFonts w:cs="Times New Roman"/>
                <w:b/>
                <w:color w:val="000000" w:themeColor="text1"/>
              </w:rPr>
              <w:br w:type="page"/>
              <w:t>Supermarket bank (actual) by species from 201</w:t>
            </w:r>
            <w:r>
              <w:rPr>
                <w:rFonts w:cs="Times New Roman"/>
                <w:b/>
                <w:color w:val="000000" w:themeColor="text1"/>
              </w:rPr>
              <w:t>8</w:t>
            </w:r>
            <w:r w:rsidRPr="001C311E">
              <w:rPr>
                <w:rFonts w:cs="Times New Roman"/>
                <w:b/>
                <w:color w:val="000000" w:themeColor="text1"/>
              </w:rPr>
              <w:t xml:space="preserve"> to 2030 (tonnes)</w:t>
            </w:r>
          </w:p>
        </w:tc>
      </w:tr>
      <w:tr w:rsidR="00851ED3" w:rsidRPr="00FE5ECF" w14:paraId="3AB1F64F" w14:textId="77777777" w:rsidTr="008969AD">
        <w:tc>
          <w:tcPr>
            <w:tcW w:w="9759" w:type="dxa"/>
            <w:vAlign w:val="center"/>
          </w:tcPr>
          <w:p w14:paraId="59BC4017" w14:textId="77777777" w:rsidR="00851ED3" w:rsidRPr="00FE5ECF" w:rsidRDefault="00851ED3" w:rsidP="008969AD">
            <w:pPr>
              <w:spacing w:before="60" w:after="60"/>
              <w:jc w:val="center"/>
              <w:rPr>
                <w:rFonts w:cs="Times New Roman"/>
                <w:color w:val="00B0F0"/>
                <w:sz w:val="16"/>
                <w:szCs w:val="16"/>
              </w:rPr>
            </w:pPr>
          </w:p>
          <w:p w14:paraId="25F39869" w14:textId="23A55244" w:rsidR="00851ED3" w:rsidRPr="00FE5ECF" w:rsidRDefault="008969AD" w:rsidP="008969AD">
            <w:pPr>
              <w:spacing w:before="60" w:after="60"/>
              <w:jc w:val="center"/>
              <w:rPr>
                <w:rFonts w:cs="Times New Roman"/>
                <w:color w:val="00B0F0"/>
                <w:sz w:val="16"/>
                <w:szCs w:val="16"/>
              </w:rPr>
            </w:pPr>
            <w:r>
              <w:rPr>
                <w:noProof/>
                <w:lang w:val="en-AU" w:eastAsia="en-AU"/>
              </w:rPr>
              <w:drawing>
                <wp:inline distT="0" distB="0" distL="0" distR="0" wp14:anchorId="1851BD2B" wp14:editId="12D2D285">
                  <wp:extent cx="6030595" cy="2232025"/>
                  <wp:effectExtent l="0" t="0" r="190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0595" cy="2232025"/>
                          </a:xfrm>
                          <a:prstGeom prst="rect">
                            <a:avLst/>
                          </a:prstGeom>
                        </pic:spPr>
                      </pic:pic>
                    </a:graphicData>
                  </a:graphic>
                </wp:inline>
              </w:drawing>
            </w:r>
          </w:p>
          <w:p w14:paraId="0D2AB6C2" w14:textId="77777777" w:rsidR="00851ED3" w:rsidRPr="00FE5ECF" w:rsidRDefault="00851ED3" w:rsidP="008969AD">
            <w:pPr>
              <w:spacing w:before="60" w:after="60"/>
              <w:jc w:val="center"/>
              <w:rPr>
                <w:rFonts w:cs="Times New Roman"/>
                <w:color w:val="00B0F0"/>
                <w:sz w:val="16"/>
                <w:szCs w:val="16"/>
              </w:rPr>
            </w:pPr>
          </w:p>
        </w:tc>
      </w:tr>
      <w:tr w:rsidR="00851ED3" w:rsidRPr="00756EA7" w14:paraId="213B02AB" w14:textId="77777777" w:rsidTr="00ED641C">
        <w:tc>
          <w:tcPr>
            <w:tcW w:w="9759" w:type="dxa"/>
            <w:vAlign w:val="center"/>
          </w:tcPr>
          <w:p w14:paraId="584319A0" w14:textId="689F34F1" w:rsidR="00851ED3" w:rsidRPr="001C311E" w:rsidRDefault="00851ED3" w:rsidP="009A23AA">
            <w:pPr>
              <w:pStyle w:val="Caption"/>
              <w:rPr>
                <w:color w:val="000000" w:themeColor="text1"/>
              </w:rPr>
            </w:pPr>
            <w:bookmarkStart w:id="81" w:name="_Toc525141362"/>
            <w:bookmarkStart w:id="82" w:name="_Toc19601335"/>
            <w:r w:rsidRPr="001C311E">
              <w:rPr>
                <w:color w:val="000000" w:themeColor="text1"/>
              </w:rPr>
              <w:t xml:space="preserve">Figure </w:t>
            </w:r>
            <w:r w:rsidRPr="001C311E">
              <w:rPr>
                <w:noProof/>
                <w:color w:val="000000" w:themeColor="text1"/>
              </w:rPr>
              <w:fldChar w:fldCharType="begin"/>
            </w:r>
            <w:r w:rsidRPr="001C311E">
              <w:rPr>
                <w:noProof/>
                <w:color w:val="000000" w:themeColor="text1"/>
              </w:rPr>
              <w:instrText xml:space="preserve"> SEQ Figure \* ARABIC </w:instrText>
            </w:r>
            <w:r w:rsidRPr="001C311E">
              <w:rPr>
                <w:noProof/>
                <w:color w:val="000000" w:themeColor="text1"/>
              </w:rPr>
              <w:fldChar w:fldCharType="separate"/>
            </w:r>
            <w:r w:rsidR="001D0DA3">
              <w:rPr>
                <w:noProof/>
                <w:color w:val="000000" w:themeColor="text1"/>
              </w:rPr>
              <w:t>13</w:t>
            </w:r>
            <w:r w:rsidRPr="001C311E">
              <w:rPr>
                <w:noProof/>
                <w:color w:val="000000" w:themeColor="text1"/>
              </w:rPr>
              <w:fldChar w:fldCharType="end"/>
            </w:r>
            <w:r w:rsidRPr="001C311E">
              <w:rPr>
                <w:bCs w:val="0"/>
                <w:color w:val="000000" w:themeColor="text1"/>
              </w:rPr>
              <w:t>: Supermarket refrigerant bank (actual) by species from 201</w:t>
            </w:r>
            <w:r>
              <w:rPr>
                <w:bCs w:val="0"/>
                <w:color w:val="000000" w:themeColor="text1"/>
              </w:rPr>
              <w:t>8</w:t>
            </w:r>
            <w:r w:rsidRPr="001C311E">
              <w:rPr>
                <w:bCs w:val="0"/>
                <w:color w:val="000000" w:themeColor="text1"/>
              </w:rPr>
              <w:t xml:space="preserve"> to 2030 in </w:t>
            </w:r>
            <w:proofErr w:type="spellStart"/>
            <w:r w:rsidRPr="001C311E">
              <w:rPr>
                <w:bCs w:val="0"/>
                <w:color w:val="000000" w:themeColor="text1"/>
              </w:rPr>
              <w:t>tonnes</w:t>
            </w:r>
            <w:proofErr w:type="spellEnd"/>
            <w:r w:rsidRPr="001C311E">
              <w:rPr>
                <w:bCs w:val="0"/>
                <w:color w:val="000000" w:themeColor="text1"/>
              </w:rPr>
              <w:t>.</w:t>
            </w:r>
            <w:bookmarkEnd w:id="81"/>
            <w:bookmarkEnd w:id="82"/>
          </w:p>
        </w:tc>
      </w:tr>
    </w:tbl>
    <w:p w14:paraId="6FE2110A" w14:textId="77777777" w:rsidR="00851ED3" w:rsidRPr="001C311E" w:rsidRDefault="00851ED3" w:rsidP="009A23AA">
      <w:pPr>
        <w:spacing w:before="0"/>
        <w:rPr>
          <w:rFonts w:cs="Times New Roman"/>
          <w:color w:val="000000" w:themeColor="text1"/>
          <w:sz w:val="20"/>
          <w:szCs w:val="20"/>
          <w:lang w:val="en-US"/>
        </w:rPr>
      </w:pPr>
      <w:r w:rsidRPr="0049761B">
        <w:rPr>
          <w:rFonts w:cs="Times New Roman"/>
          <w:color w:val="000000" w:themeColor="text1"/>
          <w:sz w:val="20"/>
          <w:szCs w:val="20"/>
          <w:lang w:val="en-US"/>
        </w:rPr>
        <w:t xml:space="preserve">(Source: </w:t>
      </w:r>
      <w:r w:rsidRPr="0049761B">
        <w:rPr>
          <w:rFonts w:cs="Times New Roman"/>
          <w:color w:val="000000" w:themeColor="text1"/>
          <w:sz w:val="20"/>
          <w:szCs w:val="20"/>
        </w:rPr>
        <w:t>CHF 2019 RAC Stock model</w:t>
      </w:r>
      <w:r w:rsidRPr="0049761B">
        <w:rPr>
          <w:rFonts w:cs="Times New Roman"/>
          <w:color w:val="000000" w:themeColor="text1"/>
          <w:sz w:val="20"/>
          <w:szCs w:val="20"/>
          <w:lang w:val="en-US"/>
        </w:rPr>
        <w:t>)</w:t>
      </w:r>
    </w:p>
    <w:p w14:paraId="4EB4B24E" w14:textId="77777777" w:rsidR="00851ED3" w:rsidRDefault="00851ED3" w:rsidP="009A23AA">
      <w:pPr>
        <w:snapToGrid w:val="0"/>
        <w:rPr>
          <w:rFonts w:cs="Times New Roman"/>
          <w:color w:val="000000" w:themeColor="text1"/>
          <w:szCs w:val="22"/>
        </w:rPr>
      </w:pPr>
    </w:p>
    <w:p w14:paraId="74662952" w14:textId="6079C0F5" w:rsidR="00B11DBA" w:rsidRDefault="00851ED3" w:rsidP="009A23AA">
      <w:pPr>
        <w:snapToGrid w:val="0"/>
        <w:rPr>
          <w:rFonts w:cs="Times New Roman"/>
          <w:color w:val="000000" w:themeColor="text1"/>
          <w:szCs w:val="22"/>
        </w:rPr>
      </w:pPr>
      <w:r w:rsidRPr="008A3FF3">
        <w:rPr>
          <w:rFonts w:cs="Times New Roman"/>
          <w:color w:val="000000" w:themeColor="text1"/>
          <w:szCs w:val="22"/>
        </w:rPr>
        <w:t>The mainstay high GWP HFC-404A is predicted to see a decrease of more than 55% in the projection period from a 201</w:t>
      </w:r>
      <w:r w:rsidR="002A4DF3" w:rsidRPr="008A3FF3">
        <w:rPr>
          <w:rFonts w:cs="Times New Roman"/>
          <w:color w:val="000000" w:themeColor="text1"/>
          <w:szCs w:val="22"/>
        </w:rPr>
        <w:t>8</w:t>
      </w:r>
      <w:r w:rsidRPr="008A3FF3">
        <w:rPr>
          <w:rFonts w:cs="Times New Roman"/>
          <w:color w:val="000000" w:themeColor="text1"/>
          <w:szCs w:val="22"/>
        </w:rPr>
        <w:t xml:space="preserve"> bank of around 1</w:t>
      </w:r>
      <w:r w:rsidR="002A4DF3" w:rsidRPr="008A3FF3">
        <w:rPr>
          <w:rFonts w:cs="Times New Roman"/>
          <w:color w:val="000000" w:themeColor="text1"/>
          <w:szCs w:val="22"/>
        </w:rPr>
        <w:t>,415</w:t>
      </w:r>
      <w:r w:rsidRPr="008A3FF3">
        <w:rPr>
          <w:rFonts w:cs="Times New Roman"/>
          <w:color w:val="000000" w:themeColor="text1"/>
          <w:szCs w:val="22"/>
        </w:rPr>
        <w:t xml:space="preserve"> tonnes, climbing to around 1,4</w:t>
      </w:r>
      <w:r w:rsidR="002A4DF3" w:rsidRPr="008A3FF3">
        <w:rPr>
          <w:rFonts w:cs="Times New Roman"/>
          <w:color w:val="000000" w:themeColor="text1"/>
          <w:szCs w:val="22"/>
        </w:rPr>
        <w:t>55</w:t>
      </w:r>
      <w:r w:rsidRPr="008A3FF3">
        <w:rPr>
          <w:rFonts w:cs="Times New Roman"/>
          <w:color w:val="000000" w:themeColor="text1"/>
          <w:szCs w:val="22"/>
        </w:rPr>
        <w:t xml:space="preserve"> tonnes in 2020 before falling steadily to less than 6</w:t>
      </w:r>
      <w:r w:rsidR="00112637" w:rsidRPr="008A3FF3">
        <w:rPr>
          <w:rFonts w:cs="Times New Roman"/>
          <w:color w:val="000000" w:themeColor="text1"/>
          <w:szCs w:val="22"/>
        </w:rPr>
        <w:t>1</w:t>
      </w:r>
      <w:r w:rsidRPr="008A3FF3">
        <w:rPr>
          <w:rFonts w:cs="Times New Roman"/>
          <w:color w:val="000000" w:themeColor="text1"/>
          <w:szCs w:val="22"/>
        </w:rPr>
        <w:t xml:space="preserve">0 tonnes by 2030. </w:t>
      </w:r>
    </w:p>
    <w:p w14:paraId="052935FA" w14:textId="14073AC4" w:rsidR="00851ED3" w:rsidRPr="001C311E" w:rsidRDefault="00851ED3" w:rsidP="009A23AA">
      <w:pPr>
        <w:snapToGrid w:val="0"/>
        <w:rPr>
          <w:rFonts w:cs="Times New Roman"/>
          <w:color w:val="000000" w:themeColor="text1"/>
          <w:szCs w:val="22"/>
        </w:rPr>
      </w:pPr>
      <w:r w:rsidRPr="008A3FF3">
        <w:rPr>
          <w:rFonts w:cs="Times New Roman"/>
          <w:color w:val="000000" w:themeColor="text1"/>
          <w:szCs w:val="22"/>
        </w:rPr>
        <w:t>HFC-134a, starting with a bank of around 5</w:t>
      </w:r>
      <w:r w:rsidR="002A4DF3" w:rsidRPr="008A3FF3">
        <w:rPr>
          <w:rFonts w:cs="Times New Roman"/>
          <w:color w:val="000000" w:themeColor="text1"/>
          <w:szCs w:val="22"/>
        </w:rPr>
        <w:t>8</w:t>
      </w:r>
      <w:r w:rsidRPr="008A3FF3">
        <w:rPr>
          <w:rFonts w:cs="Times New Roman"/>
          <w:color w:val="000000" w:themeColor="text1"/>
          <w:szCs w:val="22"/>
        </w:rPr>
        <w:t>0 tonnes in 201</w:t>
      </w:r>
      <w:r w:rsidR="002A4DF3" w:rsidRPr="008A3FF3">
        <w:rPr>
          <w:rFonts w:cs="Times New Roman"/>
          <w:color w:val="000000" w:themeColor="text1"/>
          <w:szCs w:val="22"/>
        </w:rPr>
        <w:t>8</w:t>
      </w:r>
      <w:r w:rsidRPr="008A3FF3">
        <w:rPr>
          <w:rFonts w:cs="Times New Roman"/>
          <w:color w:val="000000" w:themeColor="text1"/>
          <w:szCs w:val="22"/>
        </w:rPr>
        <w:t xml:space="preserve"> is expected to climb to around 8</w:t>
      </w:r>
      <w:r w:rsidR="002A4DF3" w:rsidRPr="008A3FF3">
        <w:rPr>
          <w:rFonts w:cs="Times New Roman"/>
          <w:color w:val="000000" w:themeColor="text1"/>
          <w:szCs w:val="22"/>
        </w:rPr>
        <w:t>7</w:t>
      </w:r>
      <w:r w:rsidRPr="008A3FF3">
        <w:rPr>
          <w:rFonts w:cs="Times New Roman"/>
          <w:color w:val="000000" w:themeColor="text1"/>
          <w:szCs w:val="22"/>
        </w:rPr>
        <w:t>0 tonnes in 2025 before declining steadily to around 4</w:t>
      </w:r>
      <w:r w:rsidR="002A4DF3" w:rsidRPr="008A3FF3">
        <w:rPr>
          <w:rFonts w:cs="Times New Roman"/>
          <w:color w:val="000000" w:themeColor="text1"/>
          <w:szCs w:val="22"/>
        </w:rPr>
        <w:t>8</w:t>
      </w:r>
      <w:r w:rsidRPr="008A3FF3">
        <w:rPr>
          <w:rFonts w:cs="Times New Roman"/>
          <w:color w:val="000000" w:themeColor="text1"/>
          <w:szCs w:val="22"/>
        </w:rPr>
        <w:t>0 tonnes in 2030, maintaining its role in two stage cascade refrigeration systems, at the same time as HCFCs are removed entirely from supermarket systems within just the next few years.</w:t>
      </w:r>
    </w:p>
    <w:p w14:paraId="190870EB" w14:textId="61D19DCF" w:rsidR="00851ED3" w:rsidRPr="001C311E" w:rsidRDefault="008A3FF3" w:rsidP="009A23AA">
      <w:pPr>
        <w:snapToGrid w:val="0"/>
        <w:rPr>
          <w:rFonts w:cs="Times New Roman"/>
          <w:color w:val="000000" w:themeColor="text1"/>
          <w:szCs w:val="22"/>
        </w:rPr>
      </w:pPr>
      <w:r w:rsidRPr="008A3FF3">
        <w:rPr>
          <w:rFonts w:cs="Times New Roman"/>
          <w:color w:val="000000" w:themeColor="text1"/>
          <w:szCs w:val="22"/>
        </w:rPr>
        <w:t xml:space="preserve">Refrigerants </w:t>
      </w:r>
      <w:r w:rsidR="00851ED3" w:rsidRPr="008A3FF3">
        <w:rPr>
          <w:rFonts w:cs="Times New Roman"/>
          <w:color w:val="000000" w:themeColor="text1"/>
          <w:szCs w:val="22"/>
        </w:rPr>
        <w:t xml:space="preserve">in the &lt;2150 GWP bin </w:t>
      </w:r>
      <w:r w:rsidRPr="008A3FF3">
        <w:rPr>
          <w:rFonts w:cs="Times New Roman"/>
          <w:color w:val="000000" w:themeColor="text1"/>
          <w:szCs w:val="22"/>
        </w:rPr>
        <w:t xml:space="preserve">including HFC-407F and emerging HFO/HFC blends R448a and R449a </w:t>
      </w:r>
      <w:r w:rsidR="00851ED3" w:rsidRPr="008A3FF3">
        <w:rPr>
          <w:rFonts w:cs="Times New Roman"/>
          <w:color w:val="000000" w:themeColor="text1"/>
          <w:szCs w:val="22"/>
        </w:rPr>
        <w:t>are predicted to grow steadily from a 201</w:t>
      </w:r>
      <w:r w:rsidRPr="008A3FF3">
        <w:rPr>
          <w:rFonts w:cs="Times New Roman"/>
          <w:color w:val="000000" w:themeColor="text1"/>
          <w:szCs w:val="22"/>
        </w:rPr>
        <w:t>8</w:t>
      </w:r>
      <w:r w:rsidR="00851ED3" w:rsidRPr="008A3FF3">
        <w:rPr>
          <w:rFonts w:cs="Times New Roman"/>
          <w:color w:val="000000" w:themeColor="text1"/>
          <w:szCs w:val="22"/>
        </w:rPr>
        <w:t xml:space="preserve"> estimate of some </w:t>
      </w:r>
      <w:r w:rsidR="002A4DF3" w:rsidRPr="008A3FF3">
        <w:rPr>
          <w:rFonts w:cs="Times New Roman"/>
          <w:color w:val="000000" w:themeColor="text1"/>
          <w:szCs w:val="22"/>
        </w:rPr>
        <w:t>70</w:t>
      </w:r>
      <w:r w:rsidR="00851ED3" w:rsidRPr="008A3FF3">
        <w:rPr>
          <w:rFonts w:cs="Times New Roman"/>
          <w:color w:val="000000" w:themeColor="text1"/>
          <w:szCs w:val="22"/>
        </w:rPr>
        <w:t xml:space="preserve"> tonnes to a bank of around 48</w:t>
      </w:r>
      <w:r w:rsidR="002A4DF3" w:rsidRPr="008A3FF3">
        <w:rPr>
          <w:rFonts w:cs="Times New Roman"/>
          <w:color w:val="000000" w:themeColor="text1"/>
          <w:szCs w:val="22"/>
        </w:rPr>
        <w:t>0</w:t>
      </w:r>
      <w:r w:rsidR="00851ED3" w:rsidRPr="008A3FF3">
        <w:rPr>
          <w:rFonts w:cs="Times New Roman"/>
          <w:color w:val="000000" w:themeColor="text1"/>
          <w:szCs w:val="22"/>
        </w:rPr>
        <w:t xml:space="preserve"> tonnes in 2030. New blends in the &lt;1000 GWP bin are predicted to enter the market in the early years of the period and increase to nearly 32</w:t>
      </w:r>
      <w:r w:rsidR="002A4DF3" w:rsidRPr="008A3FF3">
        <w:rPr>
          <w:rFonts w:cs="Times New Roman"/>
          <w:color w:val="000000" w:themeColor="text1"/>
          <w:szCs w:val="22"/>
        </w:rPr>
        <w:t>0</w:t>
      </w:r>
      <w:r w:rsidR="00851ED3" w:rsidRPr="008A3FF3">
        <w:rPr>
          <w:rFonts w:cs="Times New Roman"/>
          <w:color w:val="000000" w:themeColor="text1"/>
          <w:szCs w:val="22"/>
        </w:rPr>
        <w:t xml:space="preserve"> tonnes by 2030.</w:t>
      </w:r>
    </w:p>
    <w:p w14:paraId="73E0AA94" w14:textId="3030660B" w:rsidR="00851ED3" w:rsidRPr="001C311E" w:rsidRDefault="008A3FF3" w:rsidP="009A23AA">
      <w:pPr>
        <w:snapToGrid w:val="0"/>
        <w:rPr>
          <w:rFonts w:cs="Times New Roman"/>
          <w:color w:val="000000" w:themeColor="text1"/>
          <w:szCs w:val="22"/>
        </w:rPr>
      </w:pPr>
      <w:r>
        <w:rPr>
          <w:rFonts w:cs="Times New Roman"/>
          <w:color w:val="000000" w:themeColor="text1"/>
          <w:szCs w:val="22"/>
        </w:rPr>
        <w:t>T</w:t>
      </w:r>
      <w:r w:rsidR="00851ED3" w:rsidRPr="001C311E">
        <w:rPr>
          <w:rFonts w:cs="Times New Roman"/>
          <w:color w:val="000000" w:themeColor="text1"/>
          <w:szCs w:val="22"/>
        </w:rPr>
        <w:t>wo stage HFC-134a/CO</w:t>
      </w:r>
      <w:r w:rsidR="00851ED3" w:rsidRPr="001C311E">
        <w:rPr>
          <w:rFonts w:cs="Times New Roman"/>
          <w:color w:val="000000" w:themeColor="text1"/>
          <w:szCs w:val="22"/>
          <w:vertAlign w:val="subscript"/>
        </w:rPr>
        <w:t>2</w:t>
      </w:r>
      <w:r w:rsidR="00851ED3" w:rsidRPr="001C311E">
        <w:rPr>
          <w:rFonts w:cs="Times New Roman"/>
          <w:color w:val="000000" w:themeColor="text1"/>
          <w:szCs w:val="22"/>
        </w:rPr>
        <w:t xml:space="preserve"> cascade systems, and CO</w:t>
      </w:r>
      <w:r w:rsidR="00851ED3" w:rsidRPr="001C311E">
        <w:rPr>
          <w:rFonts w:cs="Times New Roman"/>
          <w:color w:val="000000" w:themeColor="text1"/>
          <w:szCs w:val="22"/>
          <w:vertAlign w:val="subscript"/>
        </w:rPr>
        <w:t>2</w:t>
      </w:r>
      <w:r w:rsidR="00851ED3" w:rsidRPr="001C311E">
        <w:rPr>
          <w:rFonts w:cs="Times New Roman"/>
          <w:color w:val="000000" w:themeColor="text1"/>
          <w:szCs w:val="22"/>
        </w:rPr>
        <w:t xml:space="preserve"> </w:t>
      </w:r>
      <w:r>
        <w:rPr>
          <w:rFonts w:cs="Times New Roman"/>
          <w:color w:val="000000" w:themeColor="text1"/>
          <w:szCs w:val="22"/>
        </w:rPr>
        <w:t xml:space="preserve">only trans-critical </w:t>
      </w:r>
      <w:r w:rsidR="00851ED3" w:rsidRPr="001C311E">
        <w:rPr>
          <w:rFonts w:cs="Times New Roman"/>
          <w:color w:val="000000" w:themeColor="text1"/>
          <w:szCs w:val="22"/>
        </w:rPr>
        <w:t>systems will see large CO</w:t>
      </w:r>
      <w:r w:rsidR="00851ED3" w:rsidRPr="001C311E">
        <w:rPr>
          <w:rFonts w:cs="Times New Roman"/>
          <w:color w:val="000000" w:themeColor="text1"/>
          <w:szCs w:val="22"/>
          <w:vertAlign w:val="subscript"/>
        </w:rPr>
        <w:t>2</w:t>
      </w:r>
      <w:r w:rsidR="00851ED3" w:rsidRPr="001C311E">
        <w:rPr>
          <w:rFonts w:cs="Times New Roman"/>
          <w:color w:val="000000" w:themeColor="text1"/>
          <w:szCs w:val="22"/>
        </w:rPr>
        <w:t xml:space="preserve"> charged centralised refrigeration systems build a bank of CO</w:t>
      </w:r>
      <w:r w:rsidR="00851ED3" w:rsidRPr="001C311E">
        <w:rPr>
          <w:rFonts w:cs="Times New Roman"/>
          <w:color w:val="000000" w:themeColor="text1"/>
          <w:szCs w:val="22"/>
          <w:vertAlign w:val="subscript"/>
        </w:rPr>
        <w:t>2</w:t>
      </w:r>
      <w:r w:rsidR="00851ED3" w:rsidRPr="001C311E">
        <w:rPr>
          <w:rFonts w:cs="Times New Roman"/>
          <w:color w:val="000000" w:themeColor="text1"/>
          <w:szCs w:val="22"/>
        </w:rPr>
        <w:t xml:space="preserve"> from around </w:t>
      </w:r>
      <w:r w:rsidR="002A4DF3">
        <w:rPr>
          <w:rFonts w:cs="Times New Roman"/>
          <w:color w:val="000000" w:themeColor="text1"/>
          <w:szCs w:val="22"/>
        </w:rPr>
        <w:t>210</w:t>
      </w:r>
      <w:r w:rsidR="00851ED3" w:rsidRPr="001C311E">
        <w:rPr>
          <w:rFonts w:cs="Times New Roman"/>
          <w:color w:val="000000" w:themeColor="text1"/>
          <w:szCs w:val="22"/>
        </w:rPr>
        <w:t xml:space="preserve"> tonnes in 201</w:t>
      </w:r>
      <w:r w:rsidR="002A4DF3">
        <w:rPr>
          <w:rFonts w:cs="Times New Roman"/>
          <w:color w:val="000000" w:themeColor="text1"/>
          <w:szCs w:val="22"/>
        </w:rPr>
        <w:t>8</w:t>
      </w:r>
      <w:r w:rsidR="00851ED3" w:rsidRPr="001C311E">
        <w:rPr>
          <w:rFonts w:cs="Times New Roman"/>
          <w:color w:val="000000" w:themeColor="text1"/>
          <w:szCs w:val="22"/>
        </w:rPr>
        <w:t xml:space="preserve"> to more than 1,130 tonnes by 2030. </w:t>
      </w:r>
    </w:p>
    <w:p w14:paraId="0CFCED59" w14:textId="77777777" w:rsidR="00851ED3" w:rsidRPr="001C311E" w:rsidRDefault="00851ED3" w:rsidP="009A23AA">
      <w:pPr>
        <w:snapToGrid w:val="0"/>
        <w:rPr>
          <w:rFonts w:cs="Times New Roman"/>
          <w:color w:val="000000" w:themeColor="text1"/>
          <w:szCs w:val="22"/>
        </w:rPr>
      </w:pPr>
      <w:r w:rsidRPr="001C311E">
        <w:rPr>
          <w:rFonts w:cs="Times New Roman"/>
          <w:color w:val="000000" w:themeColor="text1"/>
          <w:szCs w:val="22"/>
        </w:rPr>
        <w:t>HFOs, just starting to be employed at the start of the period, will add to the very low GWP bank in supermarkets, growing from zero to approximately 160 tonnes by 2030.</w:t>
      </w:r>
    </w:p>
    <w:p w14:paraId="5E2A334A" w14:textId="77777777" w:rsidR="00851ED3" w:rsidRPr="001C311E" w:rsidRDefault="00851ED3" w:rsidP="009A23AA">
      <w:pPr>
        <w:snapToGrid w:val="0"/>
        <w:rPr>
          <w:rFonts w:cs="Times New Roman"/>
          <w:color w:val="000000" w:themeColor="text1"/>
          <w:szCs w:val="22"/>
        </w:rPr>
      </w:pPr>
      <w:r w:rsidRPr="001C311E">
        <w:rPr>
          <w:rFonts w:cs="Times New Roman"/>
          <w:color w:val="000000" w:themeColor="text1"/>
          <w:szCs w:val="22"/>
        </w:rPr>
        <w:t>By the end of the period the low GWP portion of the supermarket bank is expected to make up more than 40% of the bank in this segment and is expected to be growing its share of this segment bank strongly at that time.</w:t>
      </w:r>
    </w:p>
    <w:p w14:paraId="13FE946C" w14:textId="77777777" w:rsidR="00851ED3" w:rsidRPr="001C311E" w:rsidRDefault="00851ED3" w:rsidP="009A23AA">
      <w:pPr>
        <w:snapToGrid w:val="0"/>
        <w:rPr>
          <w:rFonts w:cs="Times New Roman"/>
          <w:color w:val="000000" w:themeColor="text1"/>
          <w:szCs w:val="22"/>
        </w:rPr>
      </w:pPr>
      <w:r w:rsidRPr="001C311E">
        <w:rPr>
          <w:rFonts w:cs="Times New Roman"/>
          <w:color w:val="000000" w:themeColor="text1"/>
          <w:szCs w:val="22"/>
        </w:rPr>
        <w:t>During the projection period all of the currently HCFC-22 charged systems in supermarkets are expected to be retired or refitted. HCFC-22 in this segment is predicted to fall from around 160 tonnes presently in use to zero by 2023.</w:t>
      </w:r>
    </w:p>
    <w:p w14:paraId="2890B459" w14:textId="77777777" w:rsidR="00851ED3" w:rsidRPr="001C311E" w:rsidRDefault="00851ED3" w:rsidP="009A23AA">
      <w:pPr>
        <w:snapToGrid w:val="0"/>
        <w:spacing w:before="240"/>
        <w:rPr>
          <w:rFonts w:cs="Times New Roman"/>
          <w:b/>
          <w:color w:val="000000" w:themeColor="text1"/>
        </w:rPr>
      </w:pPr>
      <w:r w:rsidRPr="001C311E">
        <w:rPr>
          <w:rFonts w:cs="Times New Roman"/>
          <w:b/>
          <w:color w:val="000000" w:themeColor="text1"/>
        </w:rPr>
        <w:t>RCFC Transport</w:t>
      </w:r>
    </w:p>
    <w:p w14:paraId="52638E40" w14:textId="419FE8CA" w:rsidR="00851ED3" w:rsidRPr="001C311E" w:rsidRDefault="00851ED3" w:rsidP="009A23AA">
      <w:pPr>
        <w:rPr>
          <w:rFonts w:cs="Times New Roman"/>
          <w:color w:val="000000" w:themeColor="text1"/>
        </w:rPr>
      </w:pPr>
      <w:r w:rsidRPr="001C311E">
        <w:rPr>
          <w:rFonts w:cs="Times New Roman"/>
          <w:color w:val="000000" w:themeColor="text1"/>
        </w:rPr>
        <w:t>There is a small bank of high GWP refrigerants employed in transport refrigeration in the cold food chain. This involves refrigeration formats ranging from small refrigerated vans, refrigerated ‘</w:t>
      </w:r>
      <w:proofErr w:type="spellStart"/>
      <w:r w:rsidRPr="001C311E">
        <w:rPr>
          <w:rFonts w:cs="Times New Roman"/>
          <w:color w:val="000000" w:themeColor="text1"/>
        </w:rPr>
        <w:t>pantechs</w:t>
      </w:r>
      <w:proofErr w:type="spellEnd"/>
      <w:r w:rsidRPr="001C311E">
        <w:rPr>
          <w:rFonts w:cs="Times New Roman"/>
          <w:color w:val="000000" w:themeColor="text1"/>
        </w:rPr>
        <w:t xml:space="preserve">’ to semi-trailers and ‘reefers’ – the refrigerated multi-modal shipping containers used for the international shipping of frozen and chilled foodstuffs. </w:t>
      </w:r>
    </w:p>
    <w:p w14:paraId="505517DF" w14:textId="77777777" w:rsidR="00851ED3" w:rsidRPr="001C311E" w:rsidRDefault="00851ED3" w:rsidP="009A23AA">
      <w:pPr>
        <w:rPr>
          <w:rFonts w:cs="Times New Roman"/>
          <w:color w:val="000000" w:themeColor="text1"/>
        </w:rPr>
      </w:pPr>
      <w:r w:rsidRPr="001C311E">
        <w:rPr>
          <w:rFonts w:cs="Times New Roman"/>
          <w:color w:val="000000" w:themeColor="text1"/>
        </w:rPr>
        <w:t>The bank in RCFC Transport in 2016 is estimated to be around 245 tonnes, equal to a bit less than 3.5% of the complete RCFC bank and less than 0.5% of the total national bank of refrigerants.</w:t>
      </w:r>
    </w:p>
    <w:p w14:paraId="6B81B20E" w14:textId="2EB25803" w:rsidR="00851ED3" w:rsidRPr="001C311E" w:rsidRDefault="00851ED3" w:rsidP="009A23AA">
      <w:pPr>
        <w:rPr>
          <w:rFonts w:cs="Times New Roman"/>
          <w:color w:val="000000" w:themeColor="text1"/>
        </w:rPr>
      </w:pPr>
      <w:r w:rsidRPr="001C311E">
        <w:rPr>
          <w:rFonts w:cs="Times New Roman"/>
          <w:color w:val="000000" w:themeColor="text1"/>
        </w:rPr>
        <w:t>This bank is projected to grow steadily to around 290 tonnes by 2030, with limited options currently available to move to lower GWP refrigerants. The CO</w:t>
      </w:r>
      <w:r w:rsidRPr="001C311E">
        <w:rPr>
          <w:rFonts w:cs="Times New Roman"/>
          <w:color w:val="000000" w:themeColor="text1"/>
          <w:vertAlign w:val="subscript"/>
        </w:rPr>
        <w:t>2</w:t>
      </w:r>
      <w:r w:rsidRPr="001C311E">
        <w:rPr>
          <w:rFonts w:cs="Times New Roman"/>
          <w:color w:val="000000" w:themeColor="text1"/>
        </w:rPr>
        <w:t>e value of this small bank is expected to decline slightly from around 775,000 tonnes CO</w:t>
      </w:r>
      <w:r w:rsidRPr="001C311E">
        <w:rPr>
          <w:rFonts w:cs="Times New Roman"/>
          <w:color w:val="000000" w:themeColor="text1"/>
          <w:vertAlign w:val="subscript"/>
        </w:rPr>
        <w:t>2</w:t>
      </w:r>
      <w:r w:rsidRPr="001C311E">
        <w:rPr>
          <w:rFonts w:cs="Times New Roman"/>
          <w:color w:val="000000" w:themeColor="text1"/>
        </w:rPr>
        <w:t>e in 2016 to around 700,000 tonnes in 2030.</w:t>
      </w:r>
    </w:p>
    <w:p w14:paraId="6998C070" w14:textId="77777777" w:rsidR="00851ED3" w:rsidRPr="001C311E" w:rsidRDefault="00851ED3" w:rsidP="009A23AA">
      <w:pPr>
        <w:rPr>
          <w:rFonts w:cs="Times New Roman"/>
          <w:color w:val="000000" w:themeColor="text1"/>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851ED3" w:rsidRPr="00756EA7" w14:paraId="4EB8AC00" w14:textId="77777777" w:rsidTr="00ED641C">
        <w:tc>
          <w:tcPr>
            <w:tcW w:w="9759" w:type="dxa"/>
            <w:vAlign w:val="center"/>
          </w:tcPr>
          <w:p w14:paraId="241B848C" w14:textId="77777777" w:rsidR="00851ED3" w:rsidRPr="001C311E" w:rsidRDefault="00851ED3" w:rsidP="008969AD">
            <w:pPr>
              <w:spacing w:after="120"/>
              <w:jc w:val="center"/>
              <w:rPr>
                <w:rFonts w:cs="Times New Roman"/>
                <w:b/>
                <w:color w:val="000000" w:themeColor="text1"/>
              </w:rPr>
            </w:pPr>
            <w:r w:rsidRPr="001C311E">
              <w:rPr>
                <w:rFonts w:cs="Times New Roman"/>
                <w:b/>
                <w:color w:val="000000" w:themeColor="text1"/>
              </w:rPr>
              <w:br w:type="page"/>
              <w:t>Transport refrigeration bank (actual) by species from 201</w:t>
            </w:r>
            <w:r>
              <w:rPr>
                <w:rFonts w:cs="Times New Roman"/>
                <w:b/>
                <w:color w:val="000000" w:themeColor="text1"/>
              </w:rPr>
              <w:t>8</w:t>
            </w:r>
            <w:r w:rsidRPr="001C311E">
              <w:rPr>
                <w:rFonts w:cs="Times New Roman"/>
                <w:b/>
                <w:color w:val="000000" w:themeColor="text1"/>
              </w:rPr>
              <w:t xml:space="preserve"> to 2030 (tonnes)</w:t>
            </w:r>
          </w:p>
        </w:tc>
      </w:tr>
      <w:tr w:rsidR="00851ED3" w:rsidRPr="00FE5ECF" w14:paraId="0B2DF783" w14:textId="77777777" w:rsidTr="008969AD">
        <w:tc>
          <w:tcPr>
            <w:tcW w:w="9759" w:type="dxa"/>
            <w:vAlign w:val="center"/>
          </w:tcPr>
          <w:p w14:paraId="1DAB5E3C" w14:textId="77777777" w:rsidR="00851ED3" w:rsidRDefault="00851ED3" w:rsidP="008969AD">
            <w:pPr>
              <w:spacing w:before="60" w:after="60"/>
              <w:jc w:val="center"/>
              <w:rPr>
                <w:rFonts w:cs="Times New Roman"/>
                <w:color w:val="00B0F0"/>
                <w:sz w:val="16"/>
                <w:szCs w:val="16"/>
              </w:rPr>
            </w:pPr>
          </w:p>
          <w:p w14:paraId="524ADC4B" w14:textId="43736541" w:rsidR="00851ED3" w:rsidRPr="00FE5ECF" w:rsidRDefault="008969AD" w:rsidP="008969AD">
            <w:pPr>
              <w:spacing w:before="60" w:after="60"/>
              <w:jc w:val="center"/>
              <w:rPr>
                <w:rFonts w:cs="Times New Roman"/>
                <w:color w:val="00B0F0"/>
                <w:sz w:val="16"/>
                <w:szCs w:val="16"/>
              </w:rPr>
            </w:pPr>
            <w:r>
              <w:rPr>
                <w:noProof/>
                <w:lang w:val="en-AU" w:eastAsia="en-AU"/>
              </w:rPr>
              <w:drawing>
                <wp:inline distT="0" distB="0" distL="0" distR="0" wp14:anchorId="3D005364" wp14:editId="508C08EE">
                  <wp:extent cx="6030595" cy="2232025"/>
                  <wp:effectExtent l="0" t="0" r="190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0595" cy="2232025"/>
                          </a:xfrm>
                          <a:prstGeom prst="rect">
                            <a:avLst/>
                          </a:prstGeom>
                        </pic:spPr>
                      </pic:pic>
                    </a:graphicData>
                  </a:graphic>
                </wp:inline>
              </w:drawing>
            </w:r>
          </w:p>
          <w:p w14:paraId="1CF20170" w14:textId="77777777" w:rsidR="00851ED3" w:rsidRPr="00FE5ECF" w:rsidRDefault="00851ED3" w:rsidP="008969AD">
            <w:pPr>
              <w:spacing w:before="60" w:after="60"/>
              <w:jc w:val="center"/>
              <w:rPr>
                <w:rFonts w:cs="Times New Roman"/>
                <w:color w:val="00B0F0"/>
                <w:sz w:val="16"/>
                <w:szCs w:val="16"/>
              </w:rPr>
            </w:pPr>
          </w:p>
        </w:tc>
      </w:tr>
      <w:tr w:rsidR="00851ED3" w:rsidRPr="00756EA7" w14:paraId="43E39692" w14:textId="77777777" w:rsidTr="00ED641C">
        <w:tc>
          <w:tcPr>
            <w:tcW w:w="9759" w:type="dxa"/>
            <w:vAlign w:val="center"/>
          </w:tcPr>
          <w:p w14:paraId="7D7D1D8D" w14:textId="0ABBF8E8" w:rsidR="00851ED3" w:rsidRPr="001C311E" w:rsidRDefault="00851ED3" w:rsidP="009A23AA">
            <w:pPr>
              <w:pStyle w:val="Caption"/>
              <w:rPr>
                <w:color w:val="000000" w:themeColor="text1"/>
              </w:rPr>
            </w:pPr>
            <w:bookmarkStart w:id="83" w:name="_Toc525141363"/>
            <w:bookmarkStart w:id="84" w:name="_Toc19601336"/>
            <w:r w:rsidRPr="001C311E">
              <w:rPr>
                <w:color w:val="000000" w:themeColor="text1"/>
              </w:rPr>
              <w:t xml:space="preserve">Figure </w:t>
            </w:r>
            <w:r w:rsidRPr="001C311E">
              <w:rPr>
                <w:noProof/>
                <w:color w:val="000000" w:themeColor="text1"/>
              </w:rPr>
              <w:fldChar w:fldCharType="begin"/>
            </w:r>
            <w:r w:rsidRPr="001C311E">
              <w:rPr>
                <w:noProof/>
                <w:color w:val="000000" w:themeColor="text1"/>
              </w:rPr>
              <w:instrText xml:space="preserve"> SEQ Figure \* ARABIC </w:instrText>
            </w:r>
            <w:r w:rsidRPr="001C311E">
              <w:rPr>
                <w:noProof/>
                <w:color w:val="000000" w:themeColor="text1"/>
              </w:rPr>
              <w:fldChar w:fldCharType="separate"/>
            </w:r>
            <w:r w:rsidR="001D0DA3">
              <w:rPr>
                <w:noProof/>
                <w:color w:val="000000" w:themeColor="text1"/>
              </w:rPr>
              <w:t>14</w:t>
            </w:r>
            <w:r w:rsidRPr="001C311E">
              <w:rPr>
                <w:noProof/>
                <w:color w:val="000000" w:themeColor="text1"/>
              </w:rPr>
              <w:fldChar w:fldCharType="end"/>
            </w:r>
            <w:r w:rsidRPr="001C311E">
              <w:rPr>
                <w:bCs w:val="0"/>
                <w:color w:val="000000" w:themeColor="text1"/>
              </w:rPr>
              <w:t>: Transport Refrigeration refrigerant bank by Species from 201</w:t>
            </w:r>
            <w:r>
              <w:rPr>
                <w:bCs w:val="0"/>
                <w:color w:val="000000" w:themeColor="text1"/>
              </w:rPr>
              <w:t>8</w:t>
            </w:r>
            <w:r w:rsidRPr="001C311E">
              <w:rPr>
                <w:bCs w:val="0"/>
                <w:color w:val="000000" w:themeColor="text1"/>
              </w:rPr>
              <w:t xml:space="preserve"> to 2030 in </w:t>
            </w:r>
            <w:proofErr w:type="spellStart"/>
            <w:r w:rsidRPr="001C311E">
              <w:rPr>
                <w:bCs w:val="0"/>
                <w:color w:val="000000" w:themeColor="text1"/>
              </w:rPr>
              <w:t>tonnes</w:t>
            </w:r>
            <w:proofErr w:type="spellEnd"/>
            <w:r w:rsidRPr="001C311E">
              <w:rPr>
                <w:bCs w:val="0"/>
                <w:color w:val="000000" w:themeColor="text1"/>
              </w:rPr>
              <w:t>.</w:t>
            </w:r>
            <w:bookmarkEnd w:id="83"/>
            <w:bookmarkEnd w:id="84"/>
          </w:p>
        </w:tc>
      </w:tr>
    </w:tbl>
    <w:p w14:paraId="0D142BB2" w14:textId="77777777" w:rsidR="00851ED3" w:rsidRDefault="00851ED3" w:rsidP="009A23AA">
      <w:pPr>
        <w:spacing w:before="0"/>
        <w:rPr>
          <w:rFonts w:cs="Times New Roman"/>
          <w:color w:val="000000" w:themeColor="text1"/>
          <w:sz w:val="20"/>
          <w:szCs w:val="20"/>
          <w:lang w:val="en-US"/>
        </w:rPr>
      </w:pPr>
      <w:r w:rsidRPr="0049761B">
        <w:rPr>
          <w:rFonts w:cs="Times New Roman"/>
          <w:color w:val="000000" w:themeColor="text1"/>
          <w:sz w:val="20"/>
          <w:szCs w:val="20"/>
          <w:lang w:val="en-US"/>
        </w:rPr>
        <w:t xml:space="preserve">(Source: </w:t>
      </w:r>
      <w:r w:rsidRPr="0049761B">
        <w:rPr>
          <w:rFonts w:cs="Times New Roman"/>
          <w:color w:val="000000" w:themeColor="text1"/>
          <w:sz w:val="20"/>
          <w:szCs w:val="20"/>
        </w:rPr>
        <w:t>CHF 2019 RAC Stock model</w:t>
      </w:r>
      <w:r w:rsidRPr="0049761B">
        <w:rPr>
          <w:rFonts w:cs="Times New Roman"/>
          <w:color w:val="000000" w:themeColor="text1"/>
          <w:sz w:val="20"/>
          <w:szCs w:val="20"/>
          <w:lang w:val="en-US"/>
        </w:rPr>
        <w:t>)</w:t>
      </w:r>
    </w:p>
    <w:p w14:paraId="59DCF82C" w14:textId="77777777" w:rsidR="00851ED3" w:rsidRPr="001C311E" w:rsidRDefault="00851ED3" w:rsidP="009A23AA">
      <w:pPr>
        <w:spacing w:before="0"/>
        <w:rPr>
          <w:rFonts w:cs="Times New Roman"/>
          <w:color w:val="000000" w:themeColor="text1"/>
          <w:sz w:val="20"/>
          <w:szCs w:val="20"/>
          <w:lang w:val="en-US"/>
        </w:rPr>
      </w:pPr>
    </w:p>
    <w:p w14:paraId="0D2985C8" w14:textId="2197BB54" w:rsidR="00851ED3" w:rsidRPr="001C311E" w:rsidRDefault="00851ED3" w:rsidP="009A23AA">
      <w:pPr>
        <w:rPr>
          <w:rFonts w:cs="Times New Roman"/>
          <w:color w:val="000000" w:themeColor="text1"/>
        </w:rPr>
      </w:pPr>
      <w:r w:rsidRPr="001C311E">
        <w:rPr>
          <w:rFonts w:cs="Times New Roman"/>
          <w:color w:val="000000" w:themeColor="text1"/>
        </w:rPr>
        <w:t xml:space="preserve">The RCFC Transport bank, while small, illustrates some of the technical challenges facing the wider RAC industry in the HFC phase down. </w:t>
      </w:r>
      <w:r w:rsidR="0021420B">
        <w:rPr>
          <w:rFonts w:cs="Times New Roman"/>
          <w:color w:val="000000" w:themeColor="text1"/>
        </w:rPr>
        <w:t>T</w:t>
      </w:r>
      <w:r w:rsidR="0021420B" w:rsidRPr="001C311E">
        <w:rPr>
          <w:rFonts w:cs="Times New Roman"/>
          <w:color w:val="000000" w:themeColor="text1"/>
        </w:rPr>
        <w:t>here are currently limited lower GWP alternatives to the range of high GWP refrigerants that are able to deliver these services</w:t>
      </w:r>
      <w:r w:rsidR="0021420B">
        <w:rPr>
          <w:rFonts w:cs="Times New Roman"/>
          <w:color w:val="000000" w:themeColor="text1"/>
        </w:rPr>
        <w:t xml:space="preserve">. </w:t>
      </w:r>
    </w:p>
    <w:p w14:paraId="0CFDFC50" w14:textId="49353841" w:rsidR="00851ED3" w:rsidRPr="001C311E" w:rsidRDefault="00851ED3" w:rsidP="009A23AA">
      <w:pPr>
        <w:rPr>
          <w:rFonts w:cs="Times New Roman"/>
          <w:color w:val="000000" w:themeColor="text1"/>
        </w:rPr>
      </w:pPr>
      <w:r w:rsidRPr="001C311E">
        <w:rPr>
          <w:rFonts w:cs="Times New Roman"/>
          <w:color w:val="000000" w:themeColor="text1"/>
        </w:rPr>
        <w:t>There were trials undertaken with CO</w:t>
      </w:r>
      <w:r w:rsidRPr="001C311E">
        <w:rPr>
          <w:rFonts w:cs="Times New Roman"/>
          <w:color w:val="000000" w:themeColor="text1"/>
          <w:vertAlign w:val="subscript"/>
        </w:rPr>
        <w:t>2</w:t>
      </w:r>
      <w:r w:rsidRPr="001C311E">
        <w:rPr>
          <w:rFonts w:cs="Times New Roman"/>
          <w:color w:val="000000" w:themeColor="text1"/>
        </w:rPr>
        <w:t xml:space="preserve"> open loop systems that have not proven to be viable, and now the closed loop vector technology under review in Europe may provide an alternative in the next five to ten years. At present the refrigerant of choice </w:t>
      </w:r>
      <w:r w:rsidR="00BC7D86">
        <w:rPr>
          <w:rFonts w:cs="Times New Roman"/>
          <w:color w:val="000000" w:themeColor="text1"/>
        </w:rPr>
        <w:t xml:space="preserve">is </w:t>
      </w:r>
      <w:r w:rsidR="00BC7D86" w:rsidRPr="001C311E">
        <w:rPr>
          <w:rFonts w:cs="Times New Roman"/>
          <w:color w:val="000000" w:themeColor="text1"/>
        </w:rPr>
        <w:t xml:space="preserve">HFC-452A (GWP of 2141) </w:t>
      </w:r>
      <w:r w:rsidRPr="001C311E">
        <w:rPr>
          <w:rFonts w:cs="Times New Roman"/>
          <w:color w:val="000000" w:themeColor="text1"/>
        </w:rPr>
        <w:t>on larger systems and HFC-134a on smaller systems.</w:t>
      </w:r>
    </w:p>
    <w:p w14:paraId="1BA44B09" w14:textId="77777777" w:rsidR="00851ED3" w:rsidRDefault="00851ED3" w:rsidP="009A23AA">
      <w:pPr>
        <w:spacing w:before="0"/>
      </w:pPr>
    </w:p>
    <w:p w14:paraId="32789BEE" w14:textId="7B3F21B1" w:rsidR="00851ED3" w:rsidRPr="004F13EC" w:rsidRDefault="00851ED3" w:rsidP="009A23AA">
      <w:pPr>
        <w:pStyle w:val="Heading3"/>
        <w:jc w:val="both"/>
      </w:pPr>
      <w:bookmarkStart w:id="85" w:name="_Toc525141295"/>
      <w:bookmarkStart w:id="86" w:name="_Toc19601305"/>
      <w:r>
        <w:t>Service rates and emissions p</w:t>
      </w:r>
      <w:r w:rsidRPr="004F13EC">
        <w:t>rojections</w:t>
      </w:r>
      <w:bookmarkEnd w:id="85"/>
      <w:bookmarkEnd w:id="86"/>
    </w:p>
    <w:p w14:paraId="5802C9C9" w14:textId="77777777" w:rsidR="00851ED3" w:rsidRDefault="00851ED3" w:rsidP="009A23AA">
      <w:pPr>
        <w:rPr>
          <w:rFonts w:cs="Times New Roman"/>
          <w:szCs w:val="22"/>
        </w:rPr>
      </w:pPr>
      <w:r>
        <w:rPr>
          <w:rFonts w:cs="Times New Roman"/>
          <w:szCs w:val="22"/>
        </w:rPr>
        <w:t xml:space="preserve">The refrigerated cold food chain is the hardest working and traditionally the leakiest class of all RAC equipment. However, some segments show solid improvements over the period. </w:t>
      </w:r>
    </w:p>
    <w:p w14:paraId="298307F1" w14:textId="2B9F33F9" w:rsidR="002C2B8D" w:rsidRDefault="00851ED3" w:rsidP="009A23AA">
      <w:pPr>
        <w:rPr>
          <w:rFonts w:cs="Times New Roman"/>
          <w:szCs w:val="22"/>
        </w:rPr>
      </w:pPr>
      <w:r>
        <w:rPr>
          <w:rFonts w:cs="Times New Roman"/>
          <w:szCs w:val="22"/>
        </w:rPr>
        <w:t xml:space="preserve">Annual direct emissions of HCFCs and HFCs in the RCFC </w:t>
      </w:r>
      <w:r w:rsidR="005A19DD">
        <w:rPr>
          <w:rFonts w:cs="Times New Roman"/>
          <w:szCs w:val="22"/>
        </w:rPr>
        <w:t xml:space="preserve">class is predicted to remain steady </w:t>
      </w:r>
      <w:r w:rsidR="002C2B8D">
        <w:rPr>
          <w:rFonts w:cs="Times New Roman"/>
          <w:szCs w:val="22"/>
        </w:rPr>
        <w:t xml:space="preserve">in volume terms </w:t>
      </w:r>
      <w:r w:rsidR="005A19DD">
        <w:rPr>
          <w:rFonts w:cs="Times New Roman"/>
          <w:szCs w:val="22"/>
        </w:rPr>
        <w:t xml:space="preserve">at around 1,020 tonnes </w:t>
      </w:r>
      <w:r w:rsidR="002C2B8D">
        <w:rPr>
          <w:rFonts w:cs="Times New Roman"/>
          <w:szCs w:val="22"/>
        </w:rPr>
        <w:t xml:space="preserve">per annum </w:t>
      </w:r>
      <w:r w:rsidR="005A19DD">
        <w:rPr>
          <w:rFonts w:cs="Times New Roman"/>
          <w:szCs w:val="22"/>
        </w:rPr>
        <w:t>from 2018 to 2030.</w:t>
      </w:r>
      <w:r>
        <w:rPr>
          <w:rFonts w:cs="Times New Roman"/>
          <w:szCs w:val="22"/>
        </w:rPr>
        <w:t xml:space="preserve"> </w:t>
      </w:r>
    </w:p>
    <w:p w14:paraId="53FF459A" w14:textId="12503C08" w:rsidR="002C2B8D" w:rsidRDefault="002C2B8D" w:rsidP="009A23AA">
      <w:pPr>
        <w:rPr>
          <w:rFonts w:cs="Times New Roman"/>
          <w:szCs w:val="22"/>
        </w:rPr>
      </w:pPr>
      <w:r>
        <w:rPr>
          <w:rFonts w:cs="Times New Roman"/>
          <w:szCs w:val="22"/>
        </w:rPr>
        <w:t xml:space="preserve">Supermarkets are projected to cut their direct emissions by more </w:t>
      </w:r>
      <w:r w:rsidRPr="005A19DD">
        <w:rPr>
          <w:rFonts w:cs="Times New Roman"/>
          <w:szCs w:val="22"/>
        </w:rPr>
        <w:t>than half from a 2018 estimate of more than</w:t>
      </w:r>
      <w:r>
        <w:rPr>
          <w:rFonts w:cs="Times New Roman"/>
          <w:szCs w:val="22"/>
        </w:rPr>
        <w:t xml:space="preserve"> 750,000 tonnes CO</w:t>
      </w:r>
      <w:r w:rsidRPr="001B1563">
        <w:rPr>
          <w:rFonts w:cs="Times New Roman"/>
          <w:szCs w:val="22"/>
          <w:vertAlign w:val="subscript"/>
        </w:rPr>
        <w:t>2</w:t>
      </w:r>
      <w:r>
        <w:rPr>
          <w:rFonts w:cs="Times New Roman"/>
          <w:szCs w:val="22"/>
        </w:rPr>
        <w:t>e to around 360,000 tonnes CO</w:t>
      </w:r>
      <w:r w:rsidRPr="001B1563">
        <w:rPr>
          <w:rFonts w:cs="Times New Roman"/>
          <w:szCs w:val="22"/>
          <w:vertAlign w:val="subscript"/>
        </w:rPr>
        <w:t>2</w:t>
      </w:r>
      <w:r>
        <w:rPr>
          <w:rFonts w:cs="Times New Roman"/>
          <w:szCs w:val="22"/>
        </w:rPr>
        <w:t xml:space="preserve">e by 2030. </w:t>
      </w:r>
      <w:r w:rsidR="005A19DD">
        <w:rPr>
          <w:rFonts w:cs="Times New Roman"/>
          <w:szCs w:val="22"/>
        </w:rPr>
        <w:t>The a</w:t>
      </w:r>
      <w:r w:rsidR="00851ED3">
        <w:rPr>
          <w:rFonts w:cs="Times New Roman"/>
          <w:szCs w:val="22"/>
        </w:rPr>
        <w:t xml:space="preserve">doption of </w:t>
      </w:r>
      <w:r w:rsidR="00851ED3" w:rsidRPr="005A19DD">
        <w:rPr>
          <w:rFonts w:cs="Times New Roman"/>
          <w:szCs w:val="22"/>
        </w:rPr>
        <w:t>lower GWP refrigerants across the class helps lead the entire RCFC class to reduce the CO</w:t>
      </w:r>
      <w:r w:rsidR="00851ED3" w:rsidRPr="005A19DD">
        <w:rPr>
          <w:rFonts w:cs="Times New Roman"/>
          <w:szCs w:val="22"/>
          <w:vertAlign w:val="subscript"/>
        </w:rPr>
        <w:t>2</w:t>
      </w:r>
      <w:r w:rsidR="00851ED3" w:rsidRPr="005A19DD">
        <w:rPr>
          <w:rFonts w:cs="Times New Roman"/>
          <w:szCs w:val="22"/>
        </w:rPr>
        <w:t xml:space="preserve">e value of annual losses by </w:t>
      </w:r>
      <w:r w:rsidR="005A19DD" w:rsidRPr="005A19DD">
        <w:rPr>
          <w:rFonts w:cs="Times New Roman"/>
          <w:szCs w:val="22"/>
        </w:rPr>
        <w:t xml:space="preserve">almost </w:t>
      </w:r>
      <w:r w:rsidR="00851ED3" w:rsidRPr="005A19DD">
        <w:rPr>
          <w:rFonts w:cs="Times New Roman"/>
          <w:szCs w:val="22"/>
        </w:rPr>
        <w:t>4</w:t>
      </w:r>
      <w:r w:rsidR="005A19DD" w:rsidRPr="005A19DD">
        <w:rPr>
          <w:rFonts w:cs="Times New Roman"/>
          <w:szCs w:val="22"/>
        </w:rPr>
        <w:t>0</w:t>
      </w:r>
      <w:r w:rsidR="00851ED3" w:rsidRPr="005A19DD">
        <w:rPr>
          <w:rFonts w:cs="Times New Roman"/>
          <w:szCs w:val="22"/>
        </w:rPr>
        <w:t>% from a 201</w:t>
      </w:r>
      <w:r w:rsidR="005A19DD" w:rsidRPr="005A19DD">
        <w:rPr>
          <w:rFonts w:cs="Times New Roman"/>
          <w:szCs w:val="22"/>
        </w:rPr>
        <w:t>8</w:t>
      </w:r>
      <w:r w:rsidR="00851ED3" w:rsidRPr="005A19DD">
        <w:rPr>
          <w:rFonts w:cs="Times New Roman"/>
          <w:szCs w:val="22"/>
        </w:rPr>
        <w:t xml:space="preserve"> estimate of </w:t>
      </w:r>
      <w:r w:rsidR="005A19DD" w:rsidRPr="005A19DD">
        <w:rPr>
          <w:rFonts w:cs="Times New Roman"/>
          <w:szCs w:val="22"/>
        </w:rPr>
        <w:t>3.1</w:t>
      </w:r>
      <w:r w:rsidR="00851ED3" w:rsidRPr="005A19DD">
        <w:rPr>
          <w:rFonts w:cs="Times New Roman"/>
          <w:szCs w:val="22"/>
        </w:rPr>
        <w:t xml:space="preserve"> million tonnes CO</w:t>
      </w:r>
      <w:r w:rsidR="00851ED3" w:rsidRPr="005A19DD">
        <w:rPr>
          <w:rFonts w:cs="Times New Roman"/>
          <w:szCs w:val="22"/>
          <w:vertAlign w:val="subscript"/>
        </w:rPr>
        <w:t>2</w:t>
      </w:r>
      <w:r w:rsidR="00851ED3" w:rsidRPr="005A19DD">
        <w:rPr>
          <w:rFonts w:cs="Times New Roman"/>
          <w:szCs w:val="22"/>
        </w:rPr>
        <w:t>e to a 2030 estimate of around 1.</w:t>
      </w:r>
      <w:r w:rsidR="005A19DD" w:rsidRPr="005A19DD">
        <w:rPr>
          <w:rFonts w:cs="Times New Roman"/>
          <w:szCs w:val="22"/>
        </w:rPr>
        <w:t>9</w:t>
      </w:r>
      <w:r w:rsidR="00851ED3" w:rsidRPr="005A19DD">
        <w:rPr>
          <w:rFonts w:cs="Times New Roman"/>
          <w:szCs w:val="22"/>
        </w:rPr>
        <w:t xml:space="preserve"> million tonnes </w:t>
      </w:r>
      <w:r w:rsidR="00B11DBA" w:rsidRPr="005A19DD">
        <w:rPr>
          <w:rFonts w:cs="Times New Roman"/>
          <w:szCs w:val="22"/>
        </w:rPr>
        <w:t>CO</w:t>
      </w:r>
      <w:r w:rsidR="00B11DBA" w:rsidRPr="005A19DD">
        <w:rPr>
          <w:rFonts w:cs="Times New Roman"/>
          <w:szCs w:val="22"/>
          <w:vertAlign w:val="subscript"/>
        </w:rPr>
        <w:t>2</w:t>
      </w:r>
      <w:r w:rsidR="00B11DBA" w:rsidRPr="005A19DD">
        <w:rPr>
          <w:rFonts w:cs="Times New Roman"/>
          <w:szCs w:val="22"/>
        </w:rPr>
        <w:t>e</w:t>
      </w:r>
      <w:r w:rsidR="00851ED3" w:rsidRPr="005A19DD">
        <w:rPr>
          <w:rFonts w:cs="Times New Roman"/>
          <w:szCs w:val="22"/>
        </w:rPr>
        <w:t xml:space="preserve">. </w:t>
      </w:r>
    </w:p>
    <w:p w14:paraId="7C033D83" w14:textId="3FFFD0EF" w:rsidR="00851ED3" w:rsidRDefault="00851ED3" w:rsidP="009A23AA">
      <w:pPr>
        <w:rPr>
          <w:rFonts w:cs="Times New Roman"/>
          <w:szCs w:val="22"/>
        </w:rPr>
      </w:pPr>
      <w:r w:rsidRPr="005A19DD">
        <w:rPr>
          <w:rFonts w:cs="Times New Roman"/>
          <w:szCs w:val="22"/>
        </w:rPr>
        <w:t>While only comprising 1</w:t>
      </w:r>
      <w:r w:rsidR="005A19DD" w:rsidRPr="005A19DD">
        <w:rPr>
          <w:rFonts w:cs="Times New Roman"/>
          <w:szCs w:val="22"/>
        </w:rPr>
        <w:t>3</w:t>
      </w:r>
      <w:r w:rsidRPr="005A19DD">
        <w:rPr>
          <w:rFonts w:cs="Times New Roman"/>
          <w:szCs w:val="22"/>
        </w:rPr>
        <w:t>% of the total bank in 201</w:t>
      </w:r>
      <w:r w:rsidR="005A19DD" w:rsidRPr="005A19DD">
        <w:rPr>
          <w:rFonts w:cs="Times New Roman"/>
          <w:szCs w:val="22"/>
        </w:rPr>
        <w:t>8</w:t>
      </w:r>
      <w:r w:rsidRPr="005A19DD">
        <w:rPr>
          <w:rFonts w:cs="Times New Roman"/>
          <w:szCs w:val="22"/>
        </w:rPr>
        <w:t>, the RCFC class is the second highest contributor to direct emissions of all RAC equipment. The RCFC class is forecast to contribute 3</w:t>
      </w:r>
      <w:r w:rsidR="005A19DD" w:rsidRPr="005A19DD">
        <w:rPr>
          <w:rFonts w:cs="Times New Roman"/>
          <w:szCs w:val="22"/>
        </w:rPr>
        <w:t>7</w:t>
      </w:r>
      <w:r w:rsidRPr="005A19DD">
        <w:rPr>
          <w:rFonts w:cs="Times New Roman"/>
          <w:szCs w:val="22"/>
        </w:rPr>
        <w:t>% on a CO</w:t>
      </w:r>
      <w:r w:rsidRPr="005A19DD">
        <w:rPr>
          <w:rFonts w:cs="Times New Roman"/>
          <w:szCs w:val="22"/>
          <w:vertAlign w:val="subscript"/>
        </w:rPr>
        <w:t>2</w:t>
      </w:r>
      <w:r w:rsidRPr="005A19DD">
        <w:rPr>
          <w:rFonts w:cs="Times New Roman"/>
          <w:szCs w:val="22"/>
        </w:rPr>
        <w:t>e basis to total emissions in 2030 down from 4</w:t>
      </w:r>
      <w:r w:rsidR="005A19DD" w:rsidRPr="005A19DD">
        <w:rPr>
          <w:rFonts w:cs="Times New Roman"/>
          <w:szCs w:val="22"/>
        </w:rPr>
        <w:t>5</w:t>
      </w:r>
      <w:r w:rsidRPr="005A19DD">
        <w:rPr>
          <w:rFonts w:cs="Times New Roman"/>
          <w:szCs w:val="22"/>
        </w:rPr>
        <w:t>% of direct CO</w:t>
      </w:r>
      <w:r w:rsidRPr="005A19DD">
        <w:rPr>
          <w:rFonts w:cs="Times New Roman"/>
          <w:szCs w:val="22"/>
          <w:vertAlign w:val="subscript"/>
        </w:rPr>
        <w:t>2</w:t>
      </w:r>
      <w:r w:rsidRPr="005A19DD">
        <w:rPr>
          <w:rFonts w:cs="Times New Roman"/>
          <w:szCs w:val="22"/>
        </w:rPr>
        <w:t>e emissions in 201</w:t>
      </w:r>
      <w:r w:rsidR="005A19DD" w:rsidRPr="005A19DD">
        <w:rPr>
          <w:rFonts w:cs="Times New Roman"/>
          <w:szCs w:val="22"/>
        </w:rPr>
        <w:t>8</w:t>
      </w:r>
      <w:r w:rsidRPr="005A19DD">
        <w:rPr>
          <w:rFonts w:cs="Times New Roman"/>
          <w:szCs w:val="22"/>
        </w:rPr>
        <w:t>.</w:t>
      </w:r>
    </w:p>
    <w:p w14:paraId="108301E6" w14:textId="77777777" w:rsidR="00851ED3" w:rsidRDefault="00851ED3" w:rsidP="009A23AA">
      <w:pPr>
        <w:spacing w:before="0"/>
        <w:rPr>
          <w:rFonts w:cs="Times New Roman"/>
          <w:szCs w:val="22"/>
        </w:rPr>
      </w:pPr>
    </w:p>
    <w:p w14:paraId="0CEC7E38" w14:textId="77777777" w:rsidR="00851ED3" w:rsidRDefault="00851ED3" w:rsidP="009A23AA">
      <w:pPr>
        <w:spacing w:before="0"/>
        <w:rPr>
          <w:rFonts w:cs="Times New Roman"/>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851ED3" w:rsidRPr="00613398" w14:paraId="53E9137A" w14:textId="77777777" w:rsidTr="00ED641C">
        <w:tc>
          <w:tcPr>
            <w:tcW w:w="9759" w:type="dxa"/>
            <w:vAlign w:val="center"/>
          </w:tcPr>
          <w:p w14:paraId="67B2DD85" w14:textId="77777777" w:rsidR="00851ED3" w:rsidRPr="000A23F9" w:rsidRDefault="00851ED3" w:rsidP="00BC7D86">
            <w:pPr>
              <w:spacing w:after="120"/>
              <w:jc w:val="center"/>
              <w:rPr>
                <w:rFonts w:cs="Times New Roman"/>
                <w:b/>
              </w:rPr>
            </w:pPr>
            <w:r>
              <w:rPr>
                <w:rFonts w:cs="Times New Roman"/>
                <w:b/>
              </w:rPr>
              <w:t xml:space="preserve">RCFC: </w:t>
            </w:r>
            <w:r w:rsidRPr="000A23F9">
              <w:rPr>
                <w:rFonts w:cs="Times New Roman"/>
                <w:b/>
              </w:rPr>
              <w:br w:type="page"/>
            </w:r>
            <w:r>
              <w:rPr>
                <w:rFonts w:cs="Times New Roman"/>
                <w:b/>
              </w:rPr>
              <w:t xml:space="preserve">Direct emissions by species from </w:t>
            </w:r>
            <w:r w:rsidRPr="000A23F9">
              <w:rPr>
                <w:rFonts w:cs="Times New Roman"/>
                <w:b/>
              </w:rPr>
              <w:t>201</w:t>
            </w:r>
            <w:r>
              <w:rPr>
                <w:rFonts w:cs="Times New Roman"/>
                <w:b/>
              </w:rPr>
              <w:t>8</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t</w:t>
            </w:r>
            <w:r w:rsidRPr="000A23F9">
              <w:rPr>
                <w:rFonts w:cs="Times New Roman"/>
                <w:b/>
              </w:rPr>
              <w:t>onnes)</w:t>
            </w:r>
          </w:p>
        </w:tc>
      </w:tr>
      <w:tr w:rsidR="00851ED3" w:rsidRPr="000A23F9" w14:paraId="2DFC7CCB" w14:textId="77777777" w:rsidTr="002C2B8D">
        <w:tc>
          <w:tcPr>
            <w:tcW w:w="9759" w:type="dxa"/>
            <w:vAlign w:val="center"/>
          </w:tcPr>
          <w:p w14:paraId="2F9D1932" w14:textId="77777777" w:rsidR="00851ED3" w:rsidRPr="000A23F9" w:rsidRDefault="00851ED3" w:rsidP="002C2B8D">
            <w:pPr>
              <w:spacing w:before="60" w:after="60"/>
              <w:jc w:val="center"/>
              <w:rPr>
                <w:rFonts w:cs="Times New Roman"/>
                <w:sz w:val="16"/>
                <w:szCs w:val="16"/>
              </w:rPr>
            </w:pPr>
          </w:p>
          <w:p w14:paraId="38DC5FE4" w14:textId="57D56C51" w:rsidR="00851ED3" w:rsidRPr="000A23F9" w:rsidRDefault="002C2B8D" w:rsidP="002C2B8D">
            <w:pPr>
              <w:spacing w:before="60" w:after="60"/>
              <w:jc w:val="center"/>
              <w:rPr>
                <w:rFonts w:cs="Times New Roman"/>
                <w:sz w:val="16"/>
                <w:szCs w:val="16"/>
              </w:rPr>
            </w:pPr>
            <w:r>
              <w:rPr>
                <w:noProof/>
                <w:lang w:val="en-AU" w:eastAsia="en-AU"/>
              </w:rPr>
              <w:drawing>
                <wp:inline distT="0" distB="0" distL="0" distR="0" wp14:anchorId="31A95118" wp14:editId="4798CE40">
                  <wp:extent cx="6030595" cy="2145030"/>
                  <wp:effectExtent l="0" t="0" r="190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0595" cy="2145030"/>
                          </a:xfrm>
                          <a:prstGeom prst="rect">
                            <a:avLst/>
                          </a:prstGeom>
                        </pic:spPr>
                      </pic:pic>
                    </a:graphicData>
                  </a:graphic>
                </wp:inline>
              </w:drawing>
            </w:r>
          </w:p>
          <w:p w14:paraId="795787AA" w14:textId="77777777" w:rsidR="00851ED3" w:rsidRPr="000A23F9" w:rsidRDefault="00851ED3" w:rsidP="002C2B8D">
            <w:pPr>
              <w:spacing w:before="60" w:after="60"/>
              <w:jc w:val="center"/>
              <w:rPr>
                <w:rFonts w:cs="Times New Roman"/>
                <w:sz w:val="16"/>
                <w:szCs w:val="16"/>
              </w:rPr>
            </w:pPr>
          </w:p>
        </w:tc>
      </w:tr>
      <w:tr w:rsidR="00851ED3" w:rsidRPr="000A23F9" w14:paraId="6CD739AE" w14:textId="77777777" w:rsidTr="00ED641C">
        <w:tc>
          <w:tcPr>
            <w:tcW w:w="9759" w:type="dxa"/>
            <w:vAlign w:val="center"/>
          </w:tcPr>
          <w:p w14:paraId="4A4C5149" w14:textId="14C5089F" w:rsidR="00851ED3" w:rsidRPr="0023612A" w:rsidRDefault="00851ED3" w:rsidP="009A23AA">
            <w:pPr>
              <w:pStyle w:val="Caption"/>
            </w:pPr>
            <w:bookmarkStart w:id="87" w:name="_Toc525141377"/>
            <w:bookmarkStart w:id="88" w:name="_Toc19601337"/>
            <w:r w:rsidRPr="0023612A">
              <w:t xml:space="preserve">Figure </w:t>
            </w:r>
            <w:r>
              <w:rPr>
                <w:noProof/>
              </w:rPr>
              <w:fldChar w:fldCharType="begin"/>
            </w:r>
            <w:r>
              <w:rPr>
                <w:noProof/>
              </w:rPr>
              <w:instrText xml:space="preserve"> SEQ Figure \* ARABIC </w:instrText>
            </w:r>
            <w:r>
              <w:rPr>
                <w:noProof/>
              </w:rPr>
              <w:fldChar w:fldCharType="separate"/>
            </w:r>
            <w:r w:rsidR="001D0DA3">
              <w:rPr>
                <w:noProof/>
              </w:rPr>
              <w:t>15</w:t>
            </w:r>
            <w:r>
              <w:rPr>
                <w:noProof/>
              </w:rPr>
              <w:fldChar w:fldCharType="end"/>
            </w:r>
            <w:r w:rsidRPr="0023612A">
              <w:rPr>
                <w:bCs w:val="0"/>
              </w:rPr>
              <w:t>: RCFC: Direct emissions by species from 201</w:t>
            </w:r>
            <w:r>
              <w:rPr>
                <w:bCs w:val="0"/>
              </w:rPr>
              <w:t>8</w:t>
            </w:r>
            <w:r w:rsidRPr="0023612A">
              <w:rPr>
                <w:bCs w:val="0"/>
              </w:rPr>
              <w:t xml:space="preserve"> to 2030 in </w:t>
            </w:r>
            <w:proofErr w:type="spellStart"/>
            <w:r w:rsidRPr="0023612A">
              <w:rPr>
                <w:bCs w:val="0"/>
              </w:rPr>
              <w:t>tonnes</w:t>
            </w:r>
            <w:proofErr w:type="spellEnd"/>
            <w:r w:rsidRPr="0023612A">
              <w:rPr>
                <w:bCs w:val="0"/>
              </w:rPr>
              <w:t>.</w:t>
            </w:r>
            <w:bookmarkEnd w:id="87"/>
            <w:bookmarkEnd w:id="88"/>
          </w:p>
        </w:tc>
      </w:tr>
    </w:tbl>
    <w:p w14:paraId="17CCB216" w14:textId="77777777" w:rsidR="00851ED3" w:rsidRPr="00573A8B" w:rsidRDefault="00851ED3" w:rsidP="009A23AA">
      <w:pPr>
        <w:spacing w:before="0"/>
        <w:rPr>
          <w:rFonts w:cs="Times New Roman"/>
          <w:sz w:val="20"/>
          <w:szCs w:val="20"/>
          <w:lang w:val="en-US"/>
        </w:rPr>
      </w:pPr>
      <w:r w:rsidRPr="00573A8B">
        <w:rPr>
          <w:rFonts w:cs="Times New Roman"/>
          <w:sz w:val="20"/>
          <w:szCs w:val="20"/>
          <w:lang w:val="en-US"/>
        </w:rPr>
        <w:t xml:space="preserve">(Source: </w:t>
      </w:r>
      <w:r>
        <w:rPr>
          <w:rFonts w:cs="Times New Roman"/>
          <w:sz w:val="20"/>
          <w:szCs w:val="20"/>
        </w:rPr>
        <w:t>CHF 2019 RAC Stock model</w:t>
      </w:r>
      <w:r w:rsidRPr="00573A8B">
        <w:rPr>
          <w:rFonts w:cs="Times New Roman"/>
          <w:sz w:val="20"/>
          <w:szCs w:val="20"/>
          <w:lang w:val="en-US"/>
        </w:rPr>
        <w:t>)</w:t>
      </w:r>
    </w:p>
    <w:p w14:paraId="22D8C2CC" w14:textId="1599A34A" w:rsidR="00AC09EC" w:rsidRDefault="00AC09EC">
      <w:pPr>
        <w:spacing w:before="0"/>
        <w:jc w:val="left"/>
        <w:rPr>
          <w:rFonts w:cs="Times New Roman"/>
        </w:rPr>
      </w:pPr>
      <w:r>
        <w:rPr>
          <w:rFonts w:cs="Times New Roman"/>
        </w:rP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851ED3" w:rsidRPr="00613398" w14:paraId="088F0324" w14:textId="77777777" w:rsidTr="00ED641C">
        <w:tc>
          <w:tcPr>
            <w:tcW w:w="9759" w:type="dxa"/>
            <w:vAlign w:val="center"/>
          </w:tcPr>
          <w:p w14:paraId="70B5C68D" w14:textId="77777777" w:rsidR="00851ED3" w:rsidRPr="000A23F9" w:rsidRDefault="00851ED3" w:rsidP="00BC7D86">
            <w:pPr>
              <w:spacing w:after="120"/>
              <w:jc w:val="center"/>
              <w:rPr>
                <w:rFonts w:cs="Times New Roman"/>
                <w:b/>
              </w:rPr>
            </w:pPr>
            <w:r w:rsidRPr="000A23F9">
              <w:rPr>
                <w:rFonts w:cs="Times New Roman"/>
                <w:b/>
              </w:rPr>
              <w:br w:type="page"/>
            </w:r>
            <w:r>
              <w:rPr>
                <w:rFonts w:cs="Times New Roman"/>
                <w:b/>
              </w:rPr>
              <w:t xml:space="preserve">RCFC: Direct emissions by species from </w:t>
            </w:r>
            <w:r w:rsidRPr="000A23F9">
              <w:rPr>
                <w:rFonts w:cs="Times New Roman"/>
                <w:b/>
              </w:rPr>
              <w:t>201</w:t>
            </w:r>
            <w:r>
              <w:rPr>
                <w:rFonts w:cs="Times New Roman"/>
                <w:b/>
              </w:rPr>
              <w:t>8</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Mt CO</w:t>
            </w:r>
            <w:r w:rsidRPr="00B918A6">
              <w:rPr>
                <w:rFonts w:cs="Times New Roman"/>
                <w:b/>
                <w:vertAlign w:val="subscript"/>
              </w:rPr>
              <w:t>2</w:t>
            </w:r>
            <w:r>
              <w:rPr>
                <w:rFonts w:cs="Times New Roman"/>
                <w:b/>
              </w:rPr>
              <w:t>e</w:t>
            </w:r>
            <w:r w:rsidRPr="000A23F9">
              <w:rPr>
                <w:rFonts w:cs="Times New Roman"/>
                <w:b/>
              </w:rPr>
              <w:t>)</w:t>
            </w:r>
          </w:p>
        </w:tc>
      </w:tr>
      <w:tr w:rsidR="00851ED3" w:rsidRPr="000A23F9" w14:paraId="4CBCD91D" w14:textId="77777777" w:rsidTr="002C2B8D">
        <w:tc>
          <w:tcPr>
            <w:tcW w:w="9759" w:type="dxa"/>
            <w:vAlign w:val="center"/>
          </w:tcPr>
          <w:p w14:paraId="71782F8D" w14:textId="77777777" w:rsidR="00851ED3" w:rsidRPr="000A23F9" w:rsidRDefault="00851ED3" w:rsidP="002C2B8D">
            <w:pPr>
              <w:spacing w:before="60" w:after="60"/>
              <w:jc w:val="center"/>
              <w:rPr>
                <w:rFonts w:cs="Times New Roman"/>
                <w:sz w:val="16"/>
                <w:szCs w:val="16"/>
              </w:rPr>
            </w:pPr>
          </w:p>
          <w:p w14:paraId="2AC52C42" w14:textId="714141A1" w:rsidR="00851ED3" w:rsidRPr="000A23F9" w:rsidRDefault="002C2B8D" w:rsidP="002C2B8D">
            <w:pPr>
              <w:spacing w:before="60" w:after="60"/>
              <w:jc w:val="center"/>
              <w:rPr>
                <w:rFonts w:cs="Times New Roman"/>
                <w:sz w:val="16"/>
                <w:szCs w:val="16"/>
              </w:rPr>
            </w:pPr>
            <w:r>
              <w:rPr>
                <w:noProof/>
                <w:lang w:val="en-AU" w:eastAsia="en-AU"/>
              </w:rPr>
              <w:drawing>
                <wp:inline distT="0" distB="0" distL="0" distR="0" wp14:anchorId="6F7FAB08" wp14:editId="0FD14154">
                  <wp:extent cx="6030595" cy="207581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30595" cy="2075815"/>
                          </a:xfrm>
                          <a:prstGeom prst="rect">
                            <a:avLst/>
                          </a:prstGeom>
                        </pic:spPr>
                      </pic:pic>
                    </a:graphicData>
                  </a:graphic>
                </wp:inline>
              </w:drawing>
            </w:r>
          </w:p>
          <w:p w14:paraId="693FB984" w14:textId="77777777" w:rsidR="00851ED3" w:rsidRPr="000A23F9" w:rsidRDefault="00851ED3" w:rsidP="002C2B8D">
            <w:pPr>
              <w:spacing w:before="60" w:after="60"/>
              <w:jc w:val="center"/>
              <w:rPr>
                <w:rFonts w:cs="Times New Roman"/>
                <w:sz w:val="16"/>
                <w:szCs w:val="16"/>
              </w:rPr>
            </w:pPr>
          </w:p>
        </w:tc>
      </w:tr>
      <w:tr w:rsidR="00851ED3" w:rsidRPr="000A23F9" w14:paraId="13A8E3E0" w14:textId="77777777" w:rsidTr="00ED641C">
        <w:tc>
          <w:tcPr>
            <w:tcW w:w="9759" w:type="dxa"/>
            <w:vAlign w:val="center"/>
          </w:tcPr>
          <w:p w14:paraId="03E2176A" w14:textId="1936D8CA" w:rsidR="00851ED3" w:rsidRPr="0023612A" w:rsidRDefault="00851ED3" w:rsidP="009A23AA">
            <w:pPr>
              <w:pStyle w:val="Caption"/>
            </w:pPr>
            <w:bookmarkStart w:id="89" w:name="_Toc525141378"/>
            <w:bookmarkStart w:id="90" w:name="_Toc19601338"/>
            <w:r w:rsidRPr="0023612A">
              <w:t xml:space="preserve">Figure </w:t>
            </w:r>
            <w:r>
              <w:rPr>
                <w:noProof/>
              </w:rPr>
              <w:fldChar w:fldCharType="begin"/>
            </w:r>
            <w:r>
              <w:rPr>
                <w:noProof/>
              </w:rPr>
              <w:instrText xml:space="preserve"> SEQ Figure \* ARABIC </w:instrText>
            </w:r>
            <w:r>
              <w:rPr>
                <w:noProof/>
              </w:rPr>
              <w:fldChar w:fldCharType="separate"/>
            </w:r>
            <w:r w:rsidR="001D0DA3">
              <w:rPr>
                <w:noProof/>
              </w:rPr>
              <w:t>16</w:t>
            </w:r>
            <w:r>
              <w:rPr>
                <w:noProof/>
              </w:rPr>
              <w:fldChar w:fldCharType="end"/>
            </w:r>
            <w:r w:rsidRPr="0023612A">
              <w:t xml:space="preserve">: </w:t>
            </w:r>
            <w:r w:rsidRPr="0023612A">
              <w:rPr>
                <w:bCs w:val="0"/>
              </w:rPr>
              <w:t>RCFC: Direct emissions by species from 201</w:t>
            </w:r>
            <w:r>
              <w:rPr>
                <w:bCs w:val="0"/>
              </w:rPr>
              <w:t>8</w:t>
            </w:r>
            <w:r w:rsidRPr="0023612A">
              <w:rPr>
                <w:bCs w:val="0"/>
              </w:rPr>
              <w:t xml:space="preserve"> to 2030 in Mt CO</w:t>
            </w:r>
            <w:r w:rsidRPr="0023612A">
              <w:rPr>
                <w:bCs w:val="0"/>
                <w:vertAlign w:val="subscript"/>
              </w:rPr>
              <w:t>2</w:t>
            </w:r>
            <w:r w:rsidRPr="0023612A">
              <w:rPr>
                <w:bCs w:val="0"/>
              </w:rPr>
              <w:t>e.</w:t>
            </w:r>
            <w:bookmarkEnd w:id="89"/>
            <w:bookmarkEnd w:id="90"/>
          </w:p>
        </w:tc>
      </w:tr>
    </w:tbl>
    <w:p w14:paraId="513ABBDA" w14:textId="77777777" w:rsidR="00851ED3" w:rsidRDefault="00851ED3" w:rsidP="009A23AA">
      <w:pPr>
        <w:spacing w:before="0"/>
        <w:rPr>
          <w:rFonts w:cs="Times New Roman"/>
          <w:sz w:val="20"/>
          <w:szCs w:val="20"/>
          <w:lang w:val="en-US"/>
        </w:rPr>
      </w:pPr>
      <w:r w:rsidRPr="00573A8B">
        <w:rPr>
          <w:rFonts w:cs="Times New Roman"/>
          <w:sz w:val="20"/>
          <w:szCs w:val="20"/>
          <w:lang w:val="en-US"/>
        </w:rPr>
        <w:t xml:space="preserve">(Source: </w:t>
      </w:r>
      <w:r>
        <w:rPr>
          <w:rFonts w:cs="Times New Roman"/>
          <w:sz w:val="20"/>
          <w:szCs w:val="20"/>
        </w:rPr>
        <w:t>CHF 2019 RAC Stock model</w:t>
      </w:r>
      <w:r w:rsidRPr="00573A8B">
        <w:rPr>
          <w:rFonts w:cs="Times New Roman"/>
          <w:sz w:val="20"/>
          <w:szCs w:val="20"/>
          <w:lang w:val="en-US"/>
        </w:rPr>
        <w:t>)</w:t>
      </w:r>
    </w:p>
    <w:p w14:paraId="563C957B" w14:textId="5D3DCA4D" w:rsidR="00E0585B" w:rsidRDefault="00E0585B" w:rsidP="009A23AA"/>
    <w:p w14:paraId="70C61357" w14:textId="77777777" w:rsidR="002E711D" w:rsidRDefault="002E711D">
      <w:pPr>
        <w:spacing w:before="0"/>
        <w:jc w:val="left"/>
        <w:rPr>
          <w:rFonts w:ascii="Calibri" w:eastAsia="Times New Roman" w:hAnsi="Calibri" w:cs="Times New Roman"/>
          <w:b/>
          <w:bCs/>
          <w:i/>
          <w:iCs/>
          <w:sz w:val="28"/>
          <w:szCs w:val="28"/>
          <w:lang w:val="en-US"/>
        </w:rPr>
      </w:pPr>
      <w:bookmarkStart w:id="91" w:name="_Toc494190154"/>
      <w:r>
        <w:br w:type="page"/>
      </w:r>
    </w:p>
    <w:p w14:paraId="39D0B1C2" w14:textId="59962995" w:rsidR="00E42FBC" w:rsidRPr="00F82605" w:rsidRDefault="00E42FBC" w:rsidP="009A23AA">
      <w:pPr>
        <w:pStyle w:val="Heading2"/>
        <w:jc w:val="both"/>
      </w:pPr>
      <w:bookmarkStart w:id="92" w:name="_Toc19601306"/>
      <w:r>
        <w:t>Domestic r</w:t>
      </w:r>
      <w:r w:rsidRPr="00A85138">
        <w:t>efrigerat</w:t>
      </w:r>
      <w:r>
        <w:t>ion</w:t>
      </w:r>
      <w:bookmarkEnd w:id="91"/>
      <w:bookmarkEnd w:id="92"/>
    </w:p>
    <w:p w14:paraId="373A3D3D" w14:textId="77777777" w:rsidR="00E42FBC" w:rsidRPr="007B65E6" w:rsidRDefault="00E42FBC" w:rsidP="009A23AA">
      <w:pPr>
        <w:rPr>
          <w:color w:val="000000" w:themeColor="text1"/>
          <w:szCs w:val="22"/>
        </w:rPr>
      </w:pPr>
      <w:r w:rsidRPr="007B65E6">
        <w:rPr>
          <w:color w:val="000000" w:themeColor="text1"/>
          <w:szCs w:val="22"/>
        </w:rPr>
        <w:t>This class of equipment includes both larger refrigerators and freezers found in every kitchen, plus a growing number of portable and vehicle refrigeration systems that are used in caravans, trucks, and as camping systems that can run on low voltage automotive power feeds.</w:t>
      </w:r>
    </w:p>
    <w:p w14:paraId="504C22A7" w14:textId="2609FB7A" w:rsidR="00E42FBC" w:rsidRPr="007B65E6" w:rsidRDefault="00AC09EC" w:rsidP="009A23AA">
      <w:pPr>
        <w:rPr>
          <w:color w:val="000000" w:themeColor="text1"/>
          <w:szCs w:val="22"/>
        </w:rPr>
      </w:pPr>
      <w:r w:rsidRPr="007B65E6">
        <w:rPr>
          <w:color w:val="000000" w:themeColor="text1"/>
          <w:szCs w:val="22"/>
        </w:rPr>
        <w:t xml:space="preserve">Domestic refrigeration in Australia (including domestic freezers and small portable refrigerators) is estimated to contain approximately 1,700 tonnes of HFC-134a and </w:t>
      </w:r>
      <w:r>
        <w:rPr>
          <w:color w:val="000000" w:themeColor="text1"/>
          <w:szCs w:val="22"/>
        </w:rPr>
        <w:t>475</w:t>
      </w:r>
      <w:r w:rsidRPr="007B65E6">
        <w:rPr>
          <w:color w:val="000000" w:themeColor="text1"/>
          <w:szCs w:val="22"/>
        </w:rPr>
        <w:t xml:space="preserve"> tonnes of HC refrigerant</w:t>
      </w:r>
      <w:r w:rsidRPr="00DA5FD0">
        <w:rPr>
          <w:color w:val="000000" w:themeColor="text1"/>
          <w:szCs w:val="22"/>
        </w:rPr>
        <w:t xml:space="preserve"> </w:t>
      </w:r>
      <w:r w:rsidRPr="007B65E6">
        <w:rPr>
          <w:color w:val="000000" w:themeColor="text1"/>
          <w:szCs w:val="22"/>
        </w:rPr>
        <w:t>in a total stock of greater than 19.</w:t>
      </w:r>
      <w:r>
        <w:rPr>
          <w:color w:val="000000" w:themeColor="text1"/>
          <w:szCs w:val="22"/>
        </w:rPr>
        <w:t>7</w:t>
      </w:r>
      <w:r w:rsidRPr="007B65E6">
        <w:rPr>
          <w:color w:val="000000" w:themeColor="text1"/>
          <w:szCs w:val="22"/>
        </w:rPr>
        <w:t xml:space="preserve"> million devices</w:t>
      </w:r>
      <w:r w:rsidRPr="007B65E6">
        <w:rPr>
          <w:rStyle w:val="FootnoteReference"/>
          <w:color w:val="000000" w:themeColor="text1"/>
          <w:szCs w:val="22"/>
        </w:rPr>
        <w:footnoteReference w:id="23"/>
      </w:r>
      <w:r w:rsidRPr="007B65E6">
        <w:rPr>
          <w:color w:val="000000" w:themeColor="text1"/>
          <w:szCs w:val="22"/>
        </w:rPr>
        <w:t xml:space="preserve">, equal to approximately </w:t>
      </w:r>
      <w:r>
        <w:rPr>
          <w:color w:val="000000" w:themeColor="text1"/>
          <w:szCs w:val="22"/>
        </w:rPr>
        <w:t>3</w:t>
      </w:r>
      <w:r w:rsidRPr="007B65E6">
        <w:rPr>
          <w:color w:val="000000" w:themeColor="text1"/>
          <w:szCs w:val="22"/>
        </w:rPr>
        <w:t>% of the total refrigerant bank</w:t>
      </w:r>
      <w:r>
        <w:rPr>
          <w:color w:val="000000" w:themeColor="text1"/>
          <w:szCs w:val="22"/>
        </w:rPr>
        <w:t>.</w:t>
      </w:r>
      <w:r w:rsidR="00E42FBC" w:rsidRPr="007B65E6">
        <w:rPr>
          <w:color w:val="000000" w:themeColor="text1"/>
          <w:szCs w:val="22"/>
        </w:rPr>
        <w:t xml:space="preserve"> </w:t>
      </w:r>
    </w:p>
    <w:p w14:paraId="13DA442D" w14:textId="16875831" w:rsidR="00E42FBC" w:rsidRDefault="00E42FBC" w:rsidP="009A23AA">
      <w:pPr>
        <w:rPr>
          <w:szCs w:val="22"/>
        </w:rPr>
      </w:pPr>
      <w:r>
        <w:rPr>
          <w:szCs w:val="22"/>
        </w:rPr>
        <w:t xml:space="preserve">The main metrics of the stock of domestic equipment are provided </w:t>
      </w:r>
      <w:r w:rsidRPr="008E638B">
        <w:rPr>
          <w:szCs w:val="22"/>
        </w:rPr>
        <w:t xml:space="preserve">below in </w:t>
      </w:r>
      <w:r w:rsidRPr="008E638B">
        <w:rPr>
          <w:i/>
          <w:szCs w:val="22"/>
        </w:rPr>
        <w:t>Table 1</w:t>
      </w:r>
      <w:r w:rsidR="00DE7CE3">
        <w:rPr>
          <w:i/>
          <w:szCs w:val="22"/>
        </w:rPr>
        <w:t>2</w:t>
      </w:r>
      <w:r w:rsidRPr="008E638B">
        <w:rPr>
          <w:szCs w:val="22"/>
        </w:rPr>
        <w:t>.</w:t>
      </w:r>
      <w:r>
        <w:rPr>
          <w:szCs w:val="22"/>
        </w:rPr>
        <w:t xml:space="preserve"> </w:t>
      </w:r>
    </w:p>
    <w:p w14:paraId="37762E37" w14:textId="77777777" w:rsidR="00E42FBC" w:rsidRPr="00F44E47" w:rsidRDefault="00E42FBC" w:rsidP="009A23AA">
      <w:pPr>
        <w:rPr>
          <w:lang w:val="en-US"/>
        </w:rPr>
      </w:pPr>
    </w:p>
    <w:p w14:paraId="4BD7D2D7" w14:textId="0E7EE46F" w:rsidR="00E42FBC" w:rsidRPr="008E638B" w:rsidRDefault="00E42FBC" w:rsidP="009A23AA">
      <w:pPr>
        <w:pStyle w:val="Caption"/>
        <w:keepNext/>
        <w:rPr>
          <w:szCs w:val="22"/>
        </w:rPr>
      </w:pPr>
      <w:bookmarkStart w:id="93" w:name="_Toc19601364"/>
      <w:r w:rsidRPr="008E638B">
        <w:t xml:space="preserve">Table </w:t>
      </w:r>
      <w:r>
        <w:rPr>
          <w:noProof/>
        </w:rPr>
        <w:fldChar w:fldCharType="begin"/>
      </w:r>
      <w:r>
        <w:rPr>
          <w:noProof/>
        </w:rPr>
        <w:instrText xml:space="preserve"> SEQ Table \* ARABIC </w:instrText>
      </w:r>
      <w:r>
        <w:rPr>
          <w:noProof/>
        </w:rPr>
        <w:fldChar w:fldCharType="separate"/>
      </w:r>
      <w:r w:rsidR="00DE7CE3">
        <w:rPr>
          <w:noProof/>
        </w:rPr>
        <w:t>12</w:t>
      </w:r>
      <w:r>
        <w:rPr>
          <w:noProof/>
        </w:rPr>
        <w:fldChar w:fldCharType="end"/>
      </w:r>
      <w:r w:rsidRPr="008E638B">
        <w:t xml:space="preserve">: </w:t>
      </w:r>
      <w:r w:rsidRPr="008E638B">
        <w:rPr>
          <w:szCs w:val="22"/>
        </w:rPr>
        <w:t>Domestic refrigeration main metrics: 201</w:t>
      </w:r>
      <w:r>
        <w:rPr>
          <w:szCs w:val="22"/>
        </w:rPr>
        <w:t>8</w:t>
      </w:r>
      <w:r w:rsidRPr="008E638B">
        <w:rPr>
          <w:szCs w:val="22"/>
        </w:rPr>
        <w:t>.</w:t>
      </w:r>
      <w:bookmarkEnd w:id="93"/>
    </w:p>
    <w:tbl>
      <w:tblPr>
        <w:tblStyle w:val="TableGrid"/>
        <w:tblW w:w="9498" w:type="dxa"/>
        <w:tblInd w:w="-5" w:type="dxa"/>
        <w:tblLook w:val="04A0" w:firstRow="1" w:lastRow="0" w:firstColumn="1" w:lastColumn="0" w:noHBand="0" w:noVBand="1"/>
      </w:tblPr>
      <w:tblGrid>
        <w:gridCol w:w="5529"/>
        <w:gridCol w:w="3969"/>
      </w:tblGrid>
      <w:tr w:rsidR="00E42FBC" w14:paraId="433F4E4A" w14:textId="77777777" w:rsidTr="00E42FBC">
        <w:trPr>
          <w:trHeight w:val="567"/>
        </w:trPr>
        <w:tc>
          <w:tcPr>
            <w:tcW w:w="5529" w:type="dxa"/>
            <w:shd w:val="clear" w:color="auto" w:fill="B6DDE8" w:themeFill="accent5" w:themeFillTint="66"/>
          </w:tcPr>
          <w:p w14:paraId="31C05A4C" w14:textId="77777777" w:rsidR="00E42FBC" w:rsidRDefault="00E42FBC" w:rsidP="009A23AA">
            <w:pPr>
              <w:spacing w:after="120"/>
              <w:rPr>
                <w:szCs w:val="22"/>
              </w:rPr>
            </w:pPr>
            <w:r>
              <w:rPr>
                <w:szCs w:val="22"/>
              </w:rPr>
              <w:t>Metric</w:t>
            </w:r>
          </w:p>
        </w:tc>
        <w:tc>
          <w:tcPr>
            <w:tcW w:w="3969" w:type="dxa"/>
            <w:shd w:val="clear" w:color="auto" w:fill="B6DDE8" w:themeFill="accent5" w:themeFillTint="66"/>
            <w:vAlign w:val="center"/>
          </w:tcPr>
          <w:p w14:paraId="3B54E76F" w14:textId="77777777" w:rsidR="00E42FBC" w:rsidRDefault="00E42FBC" w:rsidP="00090466">
            <w:pPr>
              <w:spacing w:after="120"/>
              <w:jc w:val="center"/>
              <w:rPr>
                <w:szCs w:val="22"/>
              </w:rPr>
            </w:pPr>
            <w:r>
              <w:rPr>
                <w:szCs w:val="22"/>
              </w:rPr>
              <w:t>2018</w:t>
            </w:r>
          </w:p>
        </w:tc>
      </w:tr>
      <w:tr w:rsidR="00E42FBC" w14:paraId="67A90C2D" w14:textId="77777777" w:rsidTr="00E42FBC">
        <w:trPr>
          <w:trHeight w:val="567"/>
        </w:trPr>
        <w:tc>
          <w:tcPr>
            <w:tcW w:w="5529" w:type="dxa"/>
            <w:vAlign w:val="center"/>
          </w:tcPr>
          <w:p w14:paraId="6EAB32DD" w14:textId="77777777" w:rsidR="00E42FBC" w:rsidRPr="007B65E6" w:rsidRDefault="00E42FBC" w:rsidP="009A23AA">
            <w:pPr>
              <w:spacing w:before="60" w:after="60"/>
            </w:pPr>
            <w:r w:rsidRPr="007B65E6">
              <w:rPr>
                <w:color w:val="000000"/>
              </w:rPr>
              <w:t>Share of refrigerant bank</w:t>
            </w:r>
          </w:p>
        </w:tc>
        <w:tc>
          <w:tcPr>
            <w:tcW w:w="3969" w:type="dxa"/>
            <w:vAlign w:val="center"/>
          </w:tcPr>
          <w:p w14:paraId="38CB3B27" w14:textId="3DF33DD2" w:rsidR="00E42FBC" w:rsidRPr="00270882" w:rsidRDefault="0098546D" w:rsidP="00090466">
            <w:pPr>
              <w:spacing w:before="60" w:after="60"/>
              <w:jc w:val="center"/>
              <w:rPr>
                <w:highlight w:val="yellow"/>
              </w:rPr>
            </w:pPr>
            <w:r w:rsidRPr="0098546D">
              <w:t>3</w:t>
            </w:r>
            <w:r w:rsidR="00E42FBC" w:rsidRPr="0098546D">
              <w:t>%</w:t>
            </w:r>
          </w:p>
        </w:tc>
      </w:tr>
      <w:tr w:rsidR="00E42FBC" w14:paraId="360B5845" w14:textId="77777777" w:rsidTr="00E42FBC">
        <w:trPr>
          <w:trHeight w:val="567"/>
        </w:trPr>
        <w:tc>
          <w:tcPr>
            <w:tcW w:w="5529" w:type="dxa"/>
            <w:vAlign w:val="center"/>
          </w:tcPr>
          <w:p w14:paraId="5B44FF5A" w14:textId="77777777" w:rsidR="00E42FBC" w:rsidRPr="007B65E6" w:rsidRDefault="00E42FBC" w:rsidP="009A23AA">
            <w:pPr>
              <w:spacing w:before="60" w:after="60"/>
            </w:pPr>
            <w:r w:rsidRPr="007B65E6">
              <w:rPr>
                <w:color w:val="000000"/>
              </w:rPr>
              <w:t>Size of high GWP refrigerant bank</w:t>
            </w:r>
          </w:p>
        </w:tc>
        <w:tc>
          <w:tcPr>
            <w:tcW w:w="3969" w:type="dxa"/>
            <w:vAlign w:val="center"/>
          </w:tcPr>
          <w:p w14:paraId="0104F3D8" w14:textId="4695729B" w:rsidR="00E42FBC" w:rsidRPr="00270882" w:rsidRDefault="00E42FBC" w:rsidP="00090466">
            <w:pPr>
              <w:spacing w:before="60" w:after="60"/>
              <w:jc w:val="center"/>
              <w:rPr>
                <w:highlight w:val="yellow"/>
              </w:rPr>
            </w:pPr>
            <w:r w:rsidRPr="005E18D7">
              <w:rPr>
                <w:color w:val="000000"/>
              </w:rPr>
              <w:t>1,</w:t>
            </w:r>
            <w:r w:rsidR="0098546D">
              <w:rPr>
                <w:color w:val="000000"/>
              </w:rPr>
              <w:t>7</w:t>
            </w:r>
            <w:r w:rsidRPr="005E18D7">
              <w:rPr>
                <w:color w:val="000000"/>
              </w:rPr>
              <w:t>00 tonnes</w:t>
            </w:r>
          </w:p>
        </w:tc>
      </w:tr>
      <w:tr w:rsidR="00E42FBC" w14:paraId="4D6202CA" w14:textId="77777777" w:rsidTr="00E42FBC">
        <w:trPr>
          <w:trHeight w:val="567"/>
        </w:trPr>
        <w:tc>
          <w:tcPr>
            <w:tcW w:w="5529" w:type="dxa"/>
            <w:vAlign w:val="center"/>
          </w:tcPr>
          <w:p w14:paraId="6C462EC0" w14:textId="77777777" w:rsidR="00E42FBC" w:rsidRPr="007B65E6" w:rsidRDefault="00E42FBC" w:rsidP="009A23AA">
            <w:pPr>
              <w:spacing w:before="60" w:after="60"/>
            </w:pPr>
            <w:r w:rsidRPr="007B65E6">
              <w:rPr>
                <w:color w:val="000000"/>
              </w:rPr>
              <w:t>Annual service rate of high GWP refrigerants</w:t>
            </w:r>
          </w:p>
        </w:tc>
        <w:tc>
          <w:tcPr>
            <w:tcW w:w="3969" w:type="dxa"/>
            <w:vAlign w:val="center"/>
          </w:tcPr>
          <w:p w14:paraId="5B7C5F54" w14:textId="08A4B562" w:rsidR="00E42FBC" w:rsidRPr="00B14AE4" w:rsidRDefault="00E42FBC" w:rsidP="00090466">
            <w:pPr>
              <w:spacing w:before="60" w:after="60"/>
              <w:jc w:val="center"/>
            </w:pPr>
            <w:r w:rsidRPr="005E18D7">
              <w:rPr>
                <w:color w:val="000000"/>
              </w:rPr>
              <w:t>4.3 tonnes</w:t>
            </w:r>
          </w:p>
        </w:tc>
      </w:tr>
      <w:tr w:rsidR="00E42FBC" w14:paraId="5E9F9E25" w14:textId="77777777" w:rsidTr="00E42FBC">
        <w:trPr>
          <w:trHeight w:val="567"/>
        </w:trPr>
        <w:tc>
          <w:tcPr>
            <w:tcW w:w="5529" w:type="dxa"/>
            <w:vAlign w:val="center"/>
          </w:tcPr>
          <w:p w14:paraId="4411E117" w14:textId="77777777" w:rsidR="00E42FBC" w:rsidRPr="007B65E6" w:rsidRDefault="00E42FBC" w:rsidP="009A23AA">
            <w:pPr>
              <w:spacing w:before="60" w:after="60"/>
            </w:pPr>
            <w:r w:rsidRPr="007B65E6">
              <w:rPr>
                <w:color w:val="000000"/>
              </w:rPr>
              <w:t>High GWP refrigerants in pre-charged equipment imports</w:t>
            </w:r>
          </w:p>
        </w:tc>
        <w:tc>
          <w:tcPr>
            <w:tcW w:w="3969" w:type="dxa"/>
            <w:vAlign w:val="center"/>
          </w:tcPr>
          <w:p w14:paraId="7CF503CC" w14:textId="77777777" w:rsidR="00E42FBC" w:rsidRPr="00270882" w:rsidRDefault="00E42FBC" w:rsidP="00090466">
            <w:pPr>
              <w:spacing w:before="60" w:after="60"/>
              <w:jc w:val="center"/>
              <w:rPr>
                <w:highlight w:val="yellow"/>
              </w:rPr>
            </w:pPr>
            <w:r w:rsidRPr="00DE7CE3">
              <w:t>9.9 tonnes</w:t>
            </w:r>
          </w:p>
        </w:tc>
      </w:tr>
      <w:tr w:rsidR="00E42FBC" w14:paraId="29A42FBC" w14:textId="77777777" w:rsidTr="00E42FBC">
        <w:trPr>
          <w:trHeight w:val="567"/>
        </w:trPr>
        <w:tc>
          <w:tcPr>
            <w:tcW w:w="5529" w:type="dxa"/>
            <w:vAlign w:val="center"/>
          </w:tcPr>
          <w:p w14:paraId="2C82E728" w14:textId="77777777" w:rsidR="00E42FBC" w:rsidRPr="007B65E6" w:rsidRDefault="00E42FBC" w:rsidP="009A23AA">
            <w:pPr>
              <w:spacing w:before="60" w:after="60"/>
            </w:pPr>
            <w:r w:rsidRPr="007B65E6">
              <w:rPr>
                <w:color w:val="000000"/>
              </w:rPr>
              <w:t>Estimated stock of equipment</w:t>
            </w:r>
          </w:p>
        </w:tc>
        <w:tc>
          <w:tcPr>
            <w:tcW w:w="3969" w:type="dxa"/>
            <w:vAlign w:val="center"/>
          </w:tcPr>
          <w:p w14:paraId="34EAAAB8" w14:textId="77777777" w:rsidR="00E42FBC" w:rsidRPr="00270882" w:rsidRDefault="00E42FBC" w:rsidP="00090466">
            <w:pPr>
              <w:spacing w:before="60" w:after="60"/>
              <w:jc w:val="center"/>
              <w:rPr>
                <w:highlight w:val="yellow"/>
              </w:rPr>
            </w:pPr>
            <w:r w:rsidRPr="005E18D7">
              <w:rPr>
                <w:color w:val="000000"/>
              </w:rPr>
              <w:t xml:space="preserve">19.7 million appliances </w:t>
            </w:r>
            <w:r w:rsidRPr="005E18D7">
              <w:rPr>
                <w:color w:val="000000"/>
                <w:vertAlign w:val="superscript"/>
              </w:rPr>
              <w:t>(1)</w:t>
            </w:r>
          </w:p>
        </w:tc>
      </w:tr>
      <w:tr w:rsidR="00E42FBC" w14:paraId="47443FDB" w14:textId="77777777" w:rsidTr="00E42FBC">
        <w:trPr>
          <w:trHeight w:val="567"/>
        </w:trPr>
        <w:tc>
          <w:tcPr>
            <w:tcW w:w="5529" w:type="dxa"/>
            <w:vAlign w:val="center"/>
          </w:tcPr>
          <w:p w14:paraId="1AC7FF70" w14:textId="1A8A8D01" w:rsidR="00E42FBC" w:rsidRPr="007B65E6" w:rsidRDefault="00E42FBC" w:rsidP="009A23AA">
            <w:pPr>
              <w:spacing w:before="60" w:after="60"/>
            </w:pPr>
            <w:r w:rsidRPr="007B65E6">
              <w:rPr>
                <w:color w:val="000000"/>
              </w:rPr>
              <w:t>Proportion stock HFC charged</w:t>
            </w:r>
            <w:r>
              <w:rPr>
                <w:color w:val="000000"/>
              </w:rPr>
              <w:t xml:space="preserve"> (by </w:t>
            </w:r>
            <w:r w:rsidR="00DE7CE3">
              <w:rPr>
                <w:color w:val="000000"/>
              </w:rPr>
              <w:t>mass</w:t>
            </w:r>
            <w:r>
              <w:rPr>
                <w:color w:val="000000"/>
              </w:rPr>
              <w:t>)</w:t>
            </w:r>
          </w:p>
        </w:tc>
        <w:tc>
          <w:tcPr>
            <w:tcW w:w="3969" w:type="dxa"/>
            <w:vAlign w:val="center"/>
          </w:tcPr>
          <w:p w14:paraId="059F31C0" w14:textId="159719EA" w:rsidR="00E42FBC" w:rsidRPr="00270882" w:rsidRDefault="00DE7CE3" w:rsidP="00090466">
            <w:pPr>
              <w:spacing w:before="60" w:after="60"/>
              <w:jc w:val="center"/>
              <w:rPr>
                <w:highlight w:val="yellow"/>
              </w:rPr>
            </w:pPr>
            <w:r>
              <w:rPr>
                <w:color w:val="000000"/>
              </w:rPr>
              <w:t>78</w:t>
            </w:r>
            <w:r w:rsidR="00E42FBC" w:rsidRPr="005E18D7">
              <w:rPr>
                <w:color w:val="000000"/>
              </w:rPr>
              <w:t>%</w:t>
            </w:r>
          </w:p>
        </w:tc>
      </w:tr>
      <w:tr w:rsidR="00E42FBC" w14:paraId="12D74980" w14:textId="77777777" w:rsidTr="00E42FBC">
        <w:trPr>
          <w:trHeight w:val="567"/>
        </w:trPr>
        <w:tc>
          <w:tcPr>
            <w:tcW w:w="5529" w:type="dxa"/>
            <w:vAlign w:val="center"/>
          </w:tcPr>
          <w:p w14:paraId="20529BBD" w14:textId="5162C61D" w:rsidR="00E42FBC" w:rsidRPr="007B65E6" w:rsidRDefault="00E42FBC" w:rsidP="009A23AA">
            <w:pPr>
              <w:spacing w:before="60" w:after="60"/>
            </w:pPr>
            <w:r w:rsidRPr="007B65E6">
              <w:rPr>
                <w:color w:val="000000"/>
              </w:rPr>
              <w:t xml:space="preserve">Proportion stock </w:t>
            </w:r>
            <w:r w:rsidR="00DE7CE3">
              <w:rPr>
                <w:color w:val="000000"/>
              </w:rPr>
              <w:t>HFC</w:t>
            </w:r>
            <w:r w:rsidRPr="007B65E6">
              <w:rPr>
                <w:color w:val="000000"/>
              </w:rPr>
              <w:t xml:space="preserve"> charged</w:t>
            </w:r>
            <w:r>
              <w:rPr>
                <w:color w:val="000000"/>
              </w:rPr>
              <w:t xml:space="preserve"> (by units)</w:t>
            </w:r>
          </w:p>
        </w:tc>
        <w:tc>
          <w:tcPr>
            <w:tcW w:w="3969" w:type="dxa"/>
            <w:vAlign w:val="center"/>
          </w:tcPr>
          <w:p w14:paraId="1C2D59B6" w14:textId="770195D0" w:rsidR="00E42FBC" w:rsidRPr="00270882" w:rsidRDefault="00DE7CE3" w:rsidP="00090466">
            <w:pPr>
              <w:spacing w:before="60" w:after="60"/>
              <w:jc w:val="center"/>
              <w:rPr>
                <w:highlight w:val="yellow"/>
              </w:rPr>
            </w:pPr>
            <w:r>
              <w:rPr>
                <w:color w:val="000000"/>
              </w:rPr>
              <w:t>65</w:t>
            </w:r>
            <w:r w:rsidR="00E42FBC" w:rsidRPr="005E18D7">
              <w:rPr>
                <w:color w:val="000000"/>
              </w:rPr>
              <w:t>%</w:t>
            </w:r>
            <w:r>
              <w:rPr>
                <w:color w:val="000000"/>
              </w:rPr>
              <w:t xml:space="preserve"> </w:t>
            </w:r>
            <w:r w:rsidRPr="00DE7CE3">
              <w:rPr>
                <w:color w:val="000000"/>
                <w:vertAlign w:val="superscript"/>
              </w:rPr>
              <w:t>(2)</w:t>
            </w:r>
          </w:p>
        </w:tc>
      </w:tr>
      <w:tr w:rsidR="00E42FBC" w14:paraId="362D0A75" w14:textId="77777777" w:rsidTr="00E42FBC">
        <w:trPr>
          <w:trHeight w:val="567"/>
        </w:trPr>
        <w:tc>
          <w:tcPr>
            <w:tcW w:w="5529" w:type="dxa"/>
            <w:vAlign w:val="center"/>
          </w:tcPr>
          <w:p w14:paraId="3F016BB3" w14:textId="77777777" w:rsidR="00E42FBC" w:rsidRPr="00270882" w:rsidRDefault="00E42FBC" w:rsidP="009A23AA">
            <w:pPr>
              <w:spacing w:before="60" w:after="60"/>
              <w:rPr>
                <w:highlight w:val="yellow"/>
              </w:rPr>
            </w:pPr>
            <w:r w:rsidRPr="005E18D7">
              <w:rPr>
                <w:color w:val="000000"/>
              </w:rPr>
              <w:t>Annual electricity consumption</w:t>
            </w:r>
          </w:p>
        </w:tc>
        <w:tc>
          <w:tcPr>
            <w:tcW w:w="3969" w:type="dxa"/>
            <w:vAlign w:val="center"/>
          </w:tcPr>
          <w:p w14:paraId="348D9229" w14:textId="1908EE50" w:rsidR="00E42FBC" w:rsidRPr="00270882" w:rsidRDefault="00E42FBC" w:rsidP="00090466">
            <w:pPr>
              <w:spacing w:before="60" w:after="60"/>
              <w:jc w:val="center"/>
              <w:rPr>
                <w:highlight w:val="yellow"/>
              </w:rPr>
            </w:pPr>
            <w:r w:rsidRPr="0098546D">
              <w:rPr>
                <w:color w:val="000000"/>
              </w:rPr>
              <w:t>8,</w:t>
            </w:r>
            <w:r w:rsidR="0098546D" w:rsidRPr="0098546D">
              <w:rPr>
                <w:color w:val="000000"/>
              </w:rPr>
              <w:t>738</w:t>
            </w:r>
            <w:r w:rsidRPr="0098546D">
              <w:rPr>
                <w:color w:val="000000"/>
              </w:rPr>
              <w:t xml:space="preserve"> </w:t>
            </w:r>
            <w:proofErr w:type="spellStart"/>
            <w:r w:rsidRPr="0098546D">
              <w:rPr>
                <w:color w:val="000000"/>
              </w:rPr>
              <w:t>GWh</w:t>
            </w:r>
            <w:proofErr w:type="spellEnd"/>
          </w:p>
        </w:tc>
      </w:tr>
      <w:tr w:rsidR="00E42FBC" w14:paraId="62B07BEF" w14:textId="77777777" w:rsidTr="00E42FBC">
        <w:trPr>
          <w:trHeight w:val="567"/>
        </w:trPr>
        <w:tc>
          <w:tcPr>
            <w:tcW w:w="5529" w:type="dxa"/>
            <w:vAlign w:val="center"/>
          </w:tcPr>
          <w:p w14:paraId="78F702FE" w14:textId="354D9CC3" w:rsidR="00E42FBC" w:rsidRPr="00270882" w:rsidRDefault="00E42FBC" w:rsidP="009A23AA">
            <w:pPr>
              <w:spacing w:before="60" w:after="60"/>
              <w:rPr>
                <w:highlight w:val="yellow"/>
              </w:rPr>
            </w:pPr>
            <w:r w:rsidRPr="005E18D7">
              <w:rPr>
                <w:color w:val="000000" w:themeColor="text1"/>
              </w:rPr>
              <w:t>Share of HVAC&amp;R electric</w:t>
            </w:r>
            <w:r w:rsidR="00AC09EC">
              <w:rPr>
                <w:color w:val="000000" w:themeColor="text1"/>
              </w:rPr>
              <w:t>ity</w:t>
            </w:r>
            <w:r w:rsidRPr="005E18D7">
              <w:rPr>
                <w:color w:val="000000" w:themeColor="text1"/>
              </w:rPr>
              <w:t xml:space="preserve"> consumption</w:t>
            </w:r>
          </w:p>
        </w:tc>
        <w:tc>
          <w:tcPr>
            <w:tcW w:w="3969" w:type="dxa"/>
            <w:vAlign w:val="center"/>
          </w:tcPr>
          <w:p w14:paraId="373AB7F8" w14:textId="77777777" w:rsidR="00E42FBC" w:rsidRPr="00270882" w:rsidRDefault="00E42FBC" w:rsidP="00090466">
            <w:pPr>
              <w:spacing w:before="60" w:after="60"/>
              <w:jc w:val="center"/>
              <w:rPr>
                <w:highlight w:val="yellow"/>
              </w:rPr>
            </w:pPr>
            <w:r w:rsidRPr="0098546D">
              <w:t>14%</w:t>
            </w:r>
          </w:p>
        </w:tc>
      </w:tr>
      <w:tr w:rsidR="00E42FBC" w14:paraId="75DAE628" w14:textId="77777777" w:rsidTr="00E42FBC">
        <w:trPr>
          <w:trHeight w:val="567"/>
        </w:trPr>
        <w:tc>
          <w:tcPr>
            <w:tcW w:w="5529" w:type="dxa"/>
            <w:vAlign w:val="center"/>
          </w:tcPr>
          <w:p w14:paraId="278F6DAC" w14:textId="77777777" w:rsidR="00E42FBC" w:rsidRPr="00C13218" w:rsidRDefault="00E42FBC" w:rsidP="009A23AA">
            <w:pPr>
              <w:spacing w:before="60" w:after="60"/>
              <w:rPr>
                <w:color w:val="000000" w:themeColor="text1"/>
              </w:rPr>
            </w:pPr>
            <w:r w:rsidRPr="00C13218">
              <w:rPr>
                <w:color w:val="000000" w:themeColor="text1"/>
              </w:rPr>
              <w:t>Annual GHG indirect emissions</w:t>
            </w:r>
          </w:p>
        </w:tc>
        <w:tc>
          <w:tcPr>
            <w:tcW w:w="3969" w:type="dxa"/>
            <w:vAlign w:val="center"/>
          </w:tcPr>
          <w:p w14:paraId="446F1DE6" w14:textId="6EDFBD39" w:rsidR="00E42FBC" w:rsidRPr="00C13218" w:rsidRDefault="00DE7CE3" w:rsidP="00090466">
            <w:pPr>
              <w:spacing w:before="60" w:after="60"/>
              <w:jc w:val="center"/>
              <w:rPr>
                <w:color w:val="000000" w:themeColor="text1"/>
              </w:rPr>
            </w:pPr>
            <w:r>
              <w:rPr>
                <w:color w:val="000000" w:themeColor="text1"/>
              </w:rPr>
              <w:t>6.99</w:t>
            </w:r>
            <w:r w:rsidR="00E42FBC" w:rsidRPr="00C13218">
              <w:rPr>
                <w:color w:val="000000" w:themeColor="text1"/>
              </w:rPr>
              <w:t xml:space="preserve"> Mt CO</w:t>
            </w:r>
            <w:r w:rsidR="00E42FBC" w:rsidRPr="00C13218">
              <w:rPr>
                <w:color w:val="000000" w:themeColor="text1"/>
                <w:vertAlign w:val="subscript"/>
              </w:rPr>
              <w:t>2</w:t>
            </w:r>
            <w:r w:rsidR="00E42FBC" w:rsidRPr="00C13218">
              <w:rPr>
                <w:color w:val="000000" w:themeColor="text1"/>
              </w:rPr>
              <w:t>e</w:t>
            </w:r>
          </w:p>
        </w:tc>
      </w:tr>
      <w:tr w:rsidR="00E42FBC" w14:paraId="61217747" w14:textId="77777777" w:rsidTr="00E42FBC">
        <w:trPr>
          <w:trHeight w:val="567"/>
        </w:trPr>
        <w:tc>
          <w:tcPr>
            <w:tcW w:w="5529" w:type="dxa"/>
            <w:vAlign w:val="center"/>
          </w:tcPr>
          <w:p w14:paraId="69BC720F" w14:textId="77777777" w:rsidR="00E42FBC" w:rsidRPr="00C13218" w:rsidRDefault="00E42FBC" w:rsidP="009A23AA">
            <w:pPr>
              <w:spacing w:before="60" w:after="60"/>
              <w:rPr>
                <w:color w:val="000000" w:themeColor="text1"/>
              </w:rPr>
            </w:pPr>
            <w:r w:rsidRPr="00C13218">
              <w:rPr>
                <w:color w:val="000000" w:themeColor="text1"/>
              </w:rPr>
              <w:t>Annual GHG (SGG) direct emissions</w:t>
            </w:r>
          </w:p>
        </w:tc>
        <w:tc>
          <w:tcPr>
            <w:tcW w:w="3969" w:type="dxa"/>
            <w:vAlign w:val="center"/>
          </w:tcPr>
          <w:p w14:paraId="7D708815" w14:textId="77777777" w:rsidR="00E42FBC" w:rsidRPr="00C13218" w:rsidRDefault="00E42FBC" w:rsidP="00090466">
            <w:pPr>
              <w:spacing w:before="60" w:after="60"/>
              <w:jc w:val="center"/>
              <w:rPr>
                <w:color w:val="000000" w:themeColor="text1"/>
              </w:rPr>
            </w:pPr>
            <w:r w:rsidRPr="00C13218">
              <w:rPr>
                <w:color w:val="000000" w:themeColor="text1"/>
              </w:rPr>
              <w:t>0.05 Mt CO</w:t>
            </w:r>
            <w:r w:rsidRPr="00C13218">
              <w:rPr>
                <w:color w:val="000000" w:themeColor="text1"/>
                <w:vertAlign w:val="subscript"/>
              </w:rPr>
              <w:t>2</w:t>
            </w:r>
            <w:r w:rsidRPr="00C13218">
              <w:rPr>
                <w:color w:val="000000" w:themeColor="text1"/>
              </w:rPr>
              <w:t>e</w:t>
            </w:r>
          </w:p>
        </w:tc>
      </w:tr>
      <w:tr w:rsidR="00E42FBC" w14:paraId="5104EF82" w14:textId="77777777" w:rsidTr="00E42FBC">
        <w:trPr>
          <w:trHeight w:val="567"/>
        </w:trPr>
        <w:tc>
          <w:tcPr>
            <w:tcW w:w="5529" w:type="dxa"/>
            <w:vAlign w:val="center"/>
          </w:tcPr>
          <w:p w14:paraId="5BE9BD20" w14:textId="77777777" w:rsidR="00E42FBC" w:rsidRPr="00C13218" w:rsidRDefault="00E42FBC" w:rsidP="009A23AA">
            <w:pPr>
              <w:spacing w:before="60" w:after="60"/>
              <w:rPr>
                <w:color w:val="000000" w:themeColor="text1"/>
              </w:rPr>
            </w:pPr>
            <w:r w:rsidRPr="00C13218">
              <w:rPr>
                <w:color w:val="000000" w:themeColor="text1"/>
              </w:rPr>
              <w:t>Share of HVAC&amp;R direct emissions</w:t>
            </w:r>
          </w:p>
        </w:tc>
        <w:tc>
          <w:tcPr>
            <w:tcW w:w="3969" w:type="dxa"/>
            <w:vAlign w:val="center"/>
          </w:tcPr>
          <w:p w14:paraId="310968C4" w14:textId="77777777" w:rsidR="00E42FBC" w:rsidRPr="00C13218" w:rsidRDefault="00E42FBC" w:rsidP="00090466">
            <w:pPr>
              <w:spacing w:before="60" w:after="60"/>
              <w:jc w:val="center"/>
              <w:rPr>
                <w:color w:val="000000" w:themeColor="text1"/>
              </w:rPr>
            </w:pPr>
            <w:r w:rsidRPr="00C13218">
              <w:rPr>
                <w:color w:val="000000" w:themeColor="text1"/>
              </w:rPr>
              <w:t>0.8%</w:t>
            </w:r>
          </w:p>
        </w:tc>
      </w:tr>
      <w:tr w:rsidR="00E42FBC" w14:paraId="3066895E" w14:textId="77777777" w:rsidTr="00E42FBC">
        <w:trPr>
          <w:trHeight w:val="567"/>
        </w:trPr>
        <w:tc>
          <w:tcPr>
            <w:tcW w:w="5529" w:type="dxa"/>
            <w:vAlign w:val="center"/>
          </w:tcPr>
          <w:p w14:paraId="456532EE" w14:textId="77777777" w:rsidR="00E42FBC" w:rsidRPr="00C13218" w:rsidRDefault="00E42FBC" w:rsidP="009A23AA">
            <w:pPr>
              <w:spacing w:before="60" w:after="60"/>
              <w:rPr>
                <w:color w:val="000000" w:themeColor="text1"/>
              </w:rPr>
            </w:pPr>
            <w:r w:rsidRPr="00C13218">
              <w:rPr>
                <w:color w:val="000000" w:themeColor="text1"/>
              </w:rPr>
              <w:t>Share of HVAC&amp;R total emissions (direct and indirect, not incl. EOL)</w:t>
            </w:r>
          </w:p>
        </w:tc>
        <w:tc>
          <w:tcPr>
            <w:tcW w:w="3969" w:type="dxa"/>
            <w:vAlign w:val="center"/>
          </w:tcPr>
          <w:p w14:paraId="565FB318" w14:textId="408EE94C" w:rsidR="00E42FBC" w:rsidRPr="00C13218" w:rsidRDefault="00DE7CE3" w:rsidP="00090466">
            <w:pPr>
              <w:spacing w:before="60" w:after="60"/>
              <w:jc w:val="center"/>
              <w:rPr>
                <w:color w:val="000000" w:themeColor="text1"/>
              </w:rPr>
            </w:pPr>
            <w:r>
              <w:rPr>
                <w:color w:val="000000" w:themeColor="text1"/>
              </w:rPr>
              <w:t>7</w:t>
            </w:r>
            <w:r w:rsidR="00E42FBC" w:rsidRPr="00C13218">
              <w:rPr>
                <w:color w:val="000000" w:themeColor="text1"/>
              </w:rPr>
              <w:t>%</w:t>
            </w:r>
          </w:p>
        </w:tc>
      </w:tr>
    </w:tbl>
    <w:p w14:paraId="68B0B955" w14:textId="77777777" w:rsidR="00E42FBC" w:rsidRPr="00116557" w:rsidRDefault="00E42FBC" w:rsidP="009A23AA">
      <w:pPr>
        <w:spacing w:before="0"/>
        <w:rPr>
          <w:sz w:val="20"/>
          <w:szCs w:val="20"/>
        </w:rPr>
      </w:pPr>
      <w:r w:rsidRPr="00952379">
        <w:rPr>
          <w:sz w:val="20"/>
          <w:szCs w:val="20"/>
        </w:rPr>
        <w:t xml:space="preserve">(Sources: </w:t>
      </w:r>
      <w:proofErr w:type="spellStart"/>
      <w:r w:rsidRPr="00952379">
        <w:rPr>
          <w:sz w:val="20"/>
          <w:szCs w:val="20"/>
        </w:rPr>
        <w:t>DoEE</w:t>
      </w:r>
      <w:proofErr w:type="spellEnd"/>
      <w:r w:rsidRPr="00952379">
        <w:rPr>
          <w:sz w:val="20"/>
          <w:szCs w:val="20"/>
        </w:rPr>
        <w:t xml:space="preserve"> 201</w:t>
      </w:r>
      <w:r>
        <w:rPr>
          <w:sz w:val="20"/>
          <w:szCs w:val="20"/>
        </w:rPr>
        <w:t>9</w:t>
      </w:r>
      <w:r w:rsidRPr="00952379">
        <w:rPr>
          <w:sz w:val="20"/>
          <w:szCs w:val="20"/>
        </w:rPr>
        <w:t>a, E3 2015 and industry informants)</w:t>
      </w:r>
    </w:p>
    <w:p w14:paraId="5EC2D814" w14:textId="77777777" w:rsidR="00E42FBC" w:rsidRPr="007F3900" w:rsidRDefault="00E42FBC" w:rsidP="009A23AA">
      <w:pPr>
        <w:spacing w:before="60" w:after="60"/>
        <w:rPr>
          <w:rFonts w:cs="Times New Roman"/>
          <w:sz w:val="20"/>
          <w:szCs w:val="20"/>
          <w:lang w:val="en-AU"/>
        </w:rPr>
      </w:pPr>
      <w:r w:rsidRPr="007F3900">
        <w:rPr>
          <w:rFonts w:cs="Times New Roman"/>
          <w:sz w:val="20"/>
          <w:szCs w:val="20"/>
          <w:lang w:val="en-AU"/>
        </w:rPr>
        <w:t>Notes:</w:t>
      </w:r>
    </w:p>
    <w:p w14:paraId="73E86E2D" w14:textId="5713ED10" w:rsidR="00E42FBC" w:rsidRDefault="00E42FBC" w:rsidP="009A23AA">
      <w:pPr>
        <w:pStyle w:val="ListParagraph"/>
        <w:numPr>
          <w:ilvl w:val="0"/>
          <w:numId w:val="16"/>
        </w:numPr>
        <w:spacing w:before="60" w:after="60" w:line="240" w:lineRule="auto"/>
        <w:contextualSpacing w:val="0"/>
        <w:jc w:val="both"/>
        <w:rPr>
          <w:rFonts w:ascii="Times New Roman" w:hAnsi="Times New Roman"/>
          <w:color w:val="000000" w:themeColor="text1"/>
          <w:sz w:val="20"/>
          <w:szCs w:val="20"/>
          <w:lang w:val="en-AU"/>
        </w:rPr>
      </w:pPr>
      <w:r w:rsidRPr="007E4D96">
        <w:rPr>
          <w:rFonts w:ascii="Times New Roman" w:hAnsi="Times New Roman"/>
          <w:color w:val="000000" w:themeColor="text1"/>
          <w:sz w:val="20"/>
          <w:szCs w:val="20"/>
          <w:lang w:val="en-AU"/>
        </w:rPr>
        <w:t>Including portable and automotive refrigeration.</w:t>
      </w:r>
    </w:p>
    <w:p w14:paraId="327A6132" w14:textId="679C6CAA" w:rsidR="00DE7CE3" w:rsidRPr="007E4D96" w:rsidRDefault="00DE7CE3" w:rsidP="009A23AA">
      <w:pPr>
        <w:pStyle w:val="ListParagraph"/>
        <w:numPr>
          <w:ilvl w:val="0"/>
          <w:numId w:val="16"/>
        </w:numPr>
        <w:spacing w:before="60" w:after="60" w:line="240" w:lineRule="auto"/>
        <w:contextualSpacing w:val="0"/>
        <w:jc w:val="both"/>
        <w:rPr>
          <w:rFonts w:ascii="Times New Roman" w:hAnsi="Times New Roman"/>
          <w:color w:val="000000" w:themeColor="text1"/>
          <w:sz w:val="20"/>
          <w:szCs w:val="20"/>
          <w:lang w:val="en-AU"/>
        </w:rPr>
      </w:pPr>
      <w:r>
        <w:rPr>
          <w:rFonts w:ascii="Times New Roman" w:hAnsi="Times New Roman"/>
          <w:color w:val="000000" w:themeColor="text1"/>
          <w:sz w:val="20"/>
          <w:szCs w:val="20"/>
          <w:lang w:val="en-AU"/>
        </w:rPr>
        <w:t>An estimated 35% of domestic refrigerators are charged with HC based on units.</w:t>
      </w:r>
    </w:p>
    <w:p w14:paraId="36D7984E" w14:textId="77777777" w:rsidR="00E42FBC" w:rsidRDefault="00E42FBC" w:rsidP="009A23AA">
      <w:pPr>
        <w:rPr>
          <w:color w:val="4BACC6" w:themeColor="accent5"/>
          <w:szCs w:val="22"/>
        </w:rPr>
      </w:pPr>
    </w:p>
    <w:p w14:paraId="07FAA7CE" w14:textId="2235978D" w:rsidR="00E42FBC" w:rsidRPr="002936BE" w:rsidRDefault="00E42FBC" w:rsidP="009A23AA">
      <w:pPr>
        <w:rPr>
          <w:color w:val="000000" w:themeColor="text1"/>
          <w:szCs w:val="22"/>
        </w:rPr>
      </w:pPr>
      <w:r w:rsidRPr="002936BE">
        <w:rPr>
          <w:color w:val="000000" w:themeColor="text1"/>
          <w:szCs w:val="22"/>
        </w:rPr>
        <w:t>New sales of domestic refrigerators and freezers in 2015 (the latest year for which data is available) amounted to slightly more than 1.1 million devices</w:t>
      </w:r>
      <w:r>
        <w:rPr>
          <w:color w:val="000000" w:themeColor="text1"/>
          <w:szCs w:val="22"/>
        </w:rPr>
        <w:t xml:space="preserve"> (excluding portable and </w:t>
      </w:r>
      <w:r w:rsidRPr="00A43B2D">
        <w:rPr>
          <w:color w:val="000000" w:themeColor="text1"/>
          <w:szCs w:val="22"/>
        </w:rPr>
        <w:t>automotive refrigeration</w:t>
      </w:r>
      <w:r>
        <w:rPr>
          <w:color w:val="000000" w:themeColor="text1"/>
          <w:szCs w:val="22"/>
        </w:rPr>
        <w:t xml:space="preserve">). This is </w:t>
      </w:r>
      <w:r w:rsidR="001F10E5">
        <w:rPr>
          <w:color w:val="000000" w:themeColor="text1"/>
          <w:szCs w:val="22"/>
        </w:rPr>
        <w:t xml:space="preserve">very </w:t>
      </w:r>
      <w:r w:rsidR="001F10E5" w:rsidRPr="002936BE">
        <w:rPr>
          <w:color w:val="000000" w:themeColor="text1"/>
          <w:szCs w:val="22"/>
        </w:rPr>
        <w:t>consistent</w:t>
      </w:r>
      <w:r w:rsidRPr="002936BE">
        <w:rPr>
          <w:color w:val="000000" w:themeColor="text1"/>
          <w:szCs w:val="22"/>
        </w:rPr>
        <w:t xml:space="preserve"> with </w:t>
      </w:r>
      <w:r>
        <w:rPr>
          <w:color w:val="000000" w:themeColor="text1"/>
          <w:szCs w:val="22"/>
        </w:rPr>
        <w:t xml:space="preserve">the </w:t>
      </w:r>
      <w:r w:rsidRPr="002936BE">
        <w:rPr>
          <w:color w:val="000000" w:themeColor="text1"/>
          <w:szCs w:val="22"/>
        </w:rPr>
        <w:t xml:space="preserve">average new sales of 1.1 million devices that have been </w:t>
      </w:r>
      <w:r>
        <w:rPr>
          <w:color w:val="000000" w:themeColor="text1"/>
          <w:szCs w:val="22"/>
        </w:rPr>
        <w:t xml:space="preserve">reported </w:t>
      </w:r>
      <w:r w:rsidRPr="002936BE">
        <w:rPr>
          <w:color w:val="000000" w:themeColor="text1"/>
          <w:szCs w:val="22"/>
        </w:rPr>
        <w:t>every year for the decade</w:t>
      </w:r>
      <w:r>
        <w:rPr>
          <w:color w:val="000000" w:themeColor="text1"/>
          <w:szCs w:val="22"/>
        </w:rPr>
        <w:t xml:space="preserve"> prior to 2015</w:t>
      </w:r>
      <w:r w:rsidRPr="002936BE">
        <w:rPr>
          <w:color w:val="000000" w:themeColor="text1"/>
          <w:szCs w:val="22"/>
        </w:rPr>
        <w:t xml:space="preserve">. </w:t>
      </w:r>
    </w:p>
    <w:p w14:paraId="3604378B" w14:textId="592BC5BD" w:rsidR="00E42FBC" w:rsidRPr="002936BE" w:rsidRDefault="00E42FBC" w:rsidP="009A23AA">
      <w:pPr>
        <w:rPr>
          <w:color w:val="000000" w:themeColor="text1"/>
          <w:szCs w:val="22"/>
        </w:rPr>
      </w:pPr>
      <w:r w:rsidRPr="002936BE">
        <w:rPr>
          <w:color w:val="000000" w:themeColor="text1"/>
          <w:szCs w:val="22"/>
        </w:rPr>
        <w:t xml:space="preserve">All new domestic refrigerators and freezers are </w:t>
      </w:r>
      <w:r>
        <w:rPr>
          <w:color w:val="000000" w:themeColor="text1"/>
          <w:szCs w:val="22"/>
        </w:rPr>
        <w:t xml:space="preserve">now </w:t>
      </w:r>
      <w:r w:rsidRPr="002936BE">
        <w:rPr>
          <w:color w:val="000000" w:themeColor="text1"/>
          <w:szCs w:val="22"/>
        </w:rPr>
        <w:t xml:space="preserve">imported </w:t>
      </w:r>
      <w:r>
        <w:rPr>
          <w:color w:val="000000" w:themeColor="text1"/>
          <w:szCs w:val="22"/>
        </w:rPr>
        <w:t xml:space="preserve">to Australia </w:t>
      </w:r>
      <w:r w:rsidRPr="002936BE">
        <w:rPr>
          <w:color w:val="000000" w:themeColor="text1"/>
          <w:szCs w:val="22"/>
        </w:rPr>
        <w:t>as pre-charged equipment</w:t>
      </w:r>
      <w:r>
        <w:rPr>
          <w:color w:val="000000" w:themeColor="text1"/>
          <w:szCs w:val="22"/>
        </w:rPr>
        <w:t>. T</w:t>
      </w:r>
      <w:r w:rsidRPr="002936BE">
        <w:rPr>
          <w:color w:val="000000" w:themeColor="text1"/>
          <w:szCs w:val="22"/>
        </w:rPr>
        <w:t>here is no manufacturing of any equipment in this class remaining in Australi</w:t>
      </w:r>
      <w:r>
        <w:rPr>
          <w:color w:val="000000" w:themeColor="text1"/>
          <w:szCs w:val="22"/>
        </w:rPr>
        <w:t>a. Only</w:t>
      </w:r>
      <w:r w:rsidRPr="002936BE">
        <w:rPr>
          <w:color w:val="000000" w:themeColor="text1"/>
          <w:szCs w:val="22"/>
        </w:rPr>
        <w:t xml:space="preserve"> a decade ago the majority of domestic demand was supplied by domestic manufacturing.</w:t>
      </w:r>
    </w:p>
    <w:p w14:paraId="5AD3A1B1" w14:textId="77777777" w:rsidR="00E42FBC" w:rsidRPr="00405B1F" w:rsidRDefault="00E42FBC" w:rsidP="009A23AA">
      <w:pPr>
        <w:rPr>
          <w:color w:val="000000" w:themeColor="text1"/>
          <w:szCs w:val="22"/>
        </w:rPr>
      </w:pPr>
      <w:r w:rsidRPr="00405B1F">
        <w:rPr>
          <w:color w:val="000000" w:themeColor="text1"/>
          <w:szCs w:val="22"/>
        </w:rPr>
        <w:t xml:space="preserve">Typical storage volumes </w:t>
      </w:r>
      <w:r>
        <w:rPr>
          <w:color w:val="000000" w:themeColor="text1"/>
          <w:szCs w:val="22"/>
        </w:rPr>
        <w:t>of</w:t>
      </w:r>
      <w:r w:rsidRPr="00405B1F">
        <w:rPr>
          <w:color w:val="000000" w:themeColor="text1"/>
          <w:szCs w:val="22"/>
        </w:rPr>
        <w:t xml:space="preserve"> domestic equipment can range from 20 litre portable refrigerators, to large 850 litre units with ice and beverage dispensing features. The average size of the domestic fridge-freezer is increasing, as are the number of machines with</w:t>
      </w:r>
      <w:r>
        <w:rPr>
          <w:color w:val="000000" w:themeColor="text1"/>
          <w:szCs w:val="22"/>
        </w:rPr>
        <w:t xml:space="preserve"> an in-built</w:t>
      </w:r>
      <w:r w:rsidRPr="00405B1F">
        <w:rPr>
          <w:color w:val="000000" w:themeColor="text1"/>
          <w:szCs w:val="22"/>
        </w:rPr>
        <w:t xml:space="preserve"> beverage dispensing capability, although these more expensive devices still only represent a relatively small fraction of existing stock. </w:t>
      </w:r>
    </w:p>
    <w:p w14:paraId="03EEE71C" w14:textId="13442303" w:rsidR="00E42FBC" w:rsidRPr="00405B1F" w:rsidRDefault="00E42FBC" w:rsidP="009A23AA">
      <w:pPr>
        <w:rPr>
          <w:color w:val="000000" w:themeColor="text1"/>
          <w:szCs w:val="22"/>
        </w:rPr>
      </w:pPr>
      <w:r w:rsidRPr="00405B1F">
        <w:rPr>
          <w:color w:val="000000" w:themeColor="text1"/>
          <w:szCs w:val="22"/>
        </w:rPr>
        <w:t xml:space="preserve">A typical product contains a factory-assembled, hermetically sealed, vapour-compression refrigeration system with </w:t>
      </w:r>
      <w:r>
        <w:rPr>
          <w:color w:val="000000" w:themeColor="text1"/>
          <w:szCs w:val="22"/>
        </w:rPr>
        <w:t xml:space="preserve">hydrofluorocarbon </w:t>
      </w:r>
      <w:r w:rsidRPr="00405B1F">
        <w:rPr>
          <w:color w:val="000000" w:themeColor="text1"/>
          <w:szCs w:val="22"/>
        </w:rPr>
        <w:t>refrigerant charges ranging from less than 50 grams to more than 200 grams</w:t>
      </w:r>
      <w:r w:rsidRPr="00405B1F">
        <w:rPr>
          <w:rStyle w:val="FootnoteReference"/>
          <w:color w:val="000000" w:themeColor="text1"/>
          <w:szCs w:val="22"/>
        </w:rPr>
        <w:footnoteReference w:id="24"/>
      </w:r>
      <w:r w:rsidRPr="00405B1F">
        <w:rPr>
          <w:color w:val="000000" w:themeColor="text1"/>
          <w:szCs w:val="22"/>
        </w:rPr>
        <w:t xml:space="preserve">, </w:t>
      </w:r>
      <w:r>
        <w:rPr>
          <w:color w:val="000000" w:themeColor="text1"/>
          <w:szCs w:val="22"/>
        </w:rPr>
        <w:t>or with</w:t>
      </w:r>
      <w:r w:rsidRPr="00405B1F">
        <w:rPr>
          <w:color w:val="000000" w:themeColor="text1"/>
          <w:szCs w:val="22"/>
        </w:rPr>
        <w:t xml:space="preserve"> charges around </w:t>
      </w:r>
      <w:r w:rsidR="001F10E5">
        <w:rPr>
          <w:color w:val="000000" w:themeColor="text1"/>
          <w:szCs w:val="22"/>
        </w:rPr>
        <w:t>6</w:t>
      </w:r>
      <w:r w:rsidRPr="00405B1F">
        <w:rPr>
          <w:color w:val="000000" w:themeColor="text1"/>
          <w:szCs w:val="22"/>
        </w:rPr>
        <w:t xml:space="preserve">0% </w:t>
      </w:r>
      <w:r>
        <w:rPr>
          <w:color w:val="000000" w:themeColor="text1"/>
          <w:szCs w:val="22"/>
        </w:rPr>
        <w:t>smaller</w:t>
      </w:r>
      <w:r w:rsidRPr="00405B1F">
        <w:rPr>
          <w:color w:val="000000" w:themeColor="text1"/>
          <w:szCs w:val="22"/>
        </w:rPr>
        <w:t xml:space="preserve"> if charged with hydrocarbons.</w:t>
      </w:r>
    </w:p>
    <w:p w14:paraId="7F24CE8C" w14:textId="60E2535D" w:rsidR="00E42FBC" w:rsidRPr="00405B1F" w:rsidRDefault="00E42FBC" w:rsidP="009A23AA">
      <w:pPr>
        <w:rPr>
          <w:color w:val="000000" w:themeColor="text1"/>
          <w:szCs w:val="22"/>
        </w:rPr>
      </w:pPr>
      <w:r w:rsidRPr="00951CBE">
        <w:rPr>
          <w:color w:val="000000" w:themeColor="text1"/>
          <w:szCs w:val="22"/>
        </w:rPr>
        <w:t>With an estimated 9</w:t>
      </w:r>
      <w:r w:rsidR="00951CBE" w:rsidRPr="00951CBE">
        <w:rPr>
          <w:color w:val="000000" w:themeColor="text1"/>
          <w:szCs w:val="22"/>
        </w:rPr>
        <w:t>5</w:t>
      </w:r>
      <w:r w:rsidRPr="00951CBE">
        <w:rPr>
          <w:color w:val="000000" w:themeColor="text1"/>
          <w:szCs w:val="22"/>
        </w:rPr>
        <w:t xml:space="preserve">0,000 domestic devices reaching the end of their useful life every year this stock of equipment is expected to continue to grow at </w:t>
      </w:r>
      <w:r w:rsidR="00951CBE">
        <w:rPr>
          <w:color w:val="000000" w:themeColor="text1"/>
          <w:szCs w:val="22"/>
        </w:rPr>
        <w:t xml:space="preserve">just over </w:t>
      </w:r>
      <w:r w:rsidRPr="00951CBE">
        <w:rPr>
          <w:color w:val="000000" w:themeColor="text1"/>
          <w:szCs w:val="22"/>
        </w:rPr>
        <w:t>1% per annum.</w:t>
      </w:r>
      <w:r w:rsidRPr="00405B1F">
        <w:rPr>
          <w:color w:val="000000" w:themeColor="text1"/>
          <w:szCs w:val="22"/>
        </w:rPr>
        <w:t xml:space="preserve"> </w:t>
      </w:r>
    </w:p>
    <w:p w14:paraId="4214C599" w14:textId="77777777" w:rsidR="00E42FBC" w:rsidRPr="009D0BC5" w:rsidRDefault="00E42FBC" w:rsidP="009A23AA">
      <w:pPr>
        <w:rPr>
          <w:color w:val="4BACC6" w:themeColor="accent5"/>
          <w:szCs w:val="22"/>
        </w:rPr>
      </w:pPr>
      <w:r w:rsidRPr="00405B1F">
        <w:rPr>
          <w:color w:val="000000" w:themeColor="text1"/>
          <w:szCs w:val="22"/>
        </w:rPr>
        <w:t>Leak rates are very low for the majority of these tightly engineered and completely self-contained systems. The decades of product development and the huge volumes of these appliances that are manufactured have produced a class of equipment that is so reliable that most people never have to get one repaired</w:t>
      </w:r>
      <w:r w:rsidRPr="009D0BC5">
        <w:rPr>
          <w:color w:val="4BACC6" w:themeColor="accent5"/>
          <w:szCs w:val="22"/>
        </w:rPr>
        <w:t xml:space="preserve">. </w:t>
      </w:r>
    </w:p>
    <w:p w14:paraId="31ED586C" w14:textId="01E41722" w:rsidR="00E42FBC" w:rsidRPr="001248E9" w:rsidRDefault="00E42FBC" w:rsidP="009A23AA">
      <w:pPr>
        <w:rPr>
          <w:color w:val="000000" w:themeColor="text1"/>
          <w:szCs w:val="22"/>
        </w:rPr>
      </w:pPr>
      <w:r w:rsidRPr="001248E9">
        <w:rPr>
          <w:color w:val="000000" w:themeColor="text1"/>
          <w:szCs w:val="22"/>
        </w:rPr>
        <w:t>This vast population of equipment, each with an average charge of around 140 grams of HFC-134a refrigerant (</w:t>
      </w:r>
      <w:r>
        <w:rPr>
          <w:color w:val="000000" w:themeColor="text1"/>
          <w:szCs w:val="22"/>
        </w:rPr>
        <w:t xml:space="preserve">or </w:t>
      </w:r>
      <w:r w:rsidRPr="001248E9">
        <w:rPr>
          <w:color w:val="000000" w:themeColor="text1"/>
          <w:szCs w:val="22"/>
        </w:rPr>
        <w:t xml:space="preserve">55 grams of HC), is estimated to have lost slightly less than </w:t>
      </w:r>
      <w:r w:rsidR="00951CBE">
        <w:rPr>
          <w:color w:val="000000" w:themeColor="text1"/>
          <w:szCs w:val="22"/>
        </w:rPr>
        <w:t>18</w:t>
      </w:r>
      <w:r w:rsidRPr="001248E9">
        <w:rPr>
          <w:color w:val="000000" w:themeColor="text1"/>
          <w:szCs w:val="22"/>
        </w:rPr>
        <w:t xml:space="preserve"> tonnes of refrigerant </w:t>
      </w:r>
      <w:r w:rsidRPr="00951CBE">
        <w:rPr>
          <w:color w:val="000000" w:themeColor="text1"/>
          <w:szCs w:val="22"/>
        </w:rPr>
        <w:t>in 2018 from</w:t>
      </w:r>
      <w:r w:rsidRPr="001248E9">
        <w:rPr>
          <w:color w:val="000000" w:themeColor="text1"/>
          <w:szCs w:val="22"/>
        </w:rPr>
        <w:t xml:space="preserve"> leaks</w:t>
      </w:r>
      <w:r>
        <w:rPr>
          <w:color w:val="000000" w:themeColor="text1"/>
          <w:szCs w:val="22"/>
        </w:rPr>
        <w:t xml:space="preserve"> from operating equipment</w:t>
      </w:r>
      <w:r w:rsidRPr="001248E9">
        <w:rPr>
          <w:color w:val="000000" w:themeColor="text1"/>
          <w:szCs w:val="22"/>
        </w:rPr>
        <w:t xml:space="preserve">, or approximately </w:t>
      </w:r>
      <w:r w:rsidR="00951CBE">
        <w:rPr>
          <w:color w:val="000000" w:themeColor="text1"/>
          <w:szCs w:val="22"/>
        </w:rPr>
        <w:t>0.6</w:t>
      </w:r>
      <w:r w:rsidRPr="001248E9">
        <w:rPr>
          <w:color w:val="000000" w:themeColor="text1"/>
          <w:szCs w:val="22"/>
        </w:rPr>
        <w:t>% of all direct emissions of high GWP refrigerant in 201</w:t>
      </w:r>
      <w:r>
        <w:rPr>
          <w:color w:val="000000" w:themeColor="text1"/>
          <w:szCs w:val="22"/>
        </w:rPr>
        <w:t>8</w:t>
      </w:r>
      <w:r w:rsidRPr="001248E9">
        <w:rPr>
          <w:color w:val="000000" w:themeColor="text1"/>
          <w:szCs w:val="22"/>
        </w:rPr>
        <w:t>.</w:t>
      </w:r>
      <w:r>
        <w:rPr>
          <w:color w:val="000000" w:themeColor="text1"/>
          <w:szCs w:val="22"/>
        </w:rPr>
        <w:t xml:space="preserve"> These direct emissions are only from the operating stock, and do not include refrigerant lost from equipment that has reached the end of its useful life</w:t>
      </w:r>
      <w:r w:rsidR="00951CBE">
        <w:rPr>
          <w:color w:val="000000" w:themeColor="text1"/>
          <w:szCs w:val="22"/>
        </w:rPr>
        <w:t>.</w:t>
      </w:r>
    </w:p>
    <w:p w14:paraId="7965F8E7" w14:textId="06024605" w:rsidR="00E42FBC" w:rsidRDefault="00E42FBC" w:rsidP="009A23AA">
      <w:pPr>
        <w:rPr>
          <w:color w:val="000000" w:themeColor="text1"/>
          <w:szCs w:val="22"/>
        </w:rPr>
      </w:pPr>
      <w:r w:rsidRPr="00951CBE">
        <w:rPr>
          <w:color w:val="000000" w:themeColor="text1"/>
          <w:szCs w:val="22"/>
        </w:rPr>
        <w:t xml:space="preserve">The majority of the bank of refrigerant in the stock of domestic equipment is still HFC-134a, more than </w:t>
      </w:r>
      <w:r w:rsidR="00951CBE" w:rsidRPr="00951CBE">
        <w:rPr>
          <w:color w:val="000000" w:themeColor="text1"/>
          <w:szCs w:val="22"/>
        </w:rPr>
        <w:t>65</w:t>
      </w:r>
      <w:r w:rsidRPr="00951CBE">
        <w:rPr>
          <w:color w:val="000000" w:themeColor="text1"/>
          <w:szCs w:val="22"/>
        </w:rPr>
        <w:t xml:space="preserve">% based on units (and </w:t>
      </w:r>
      <w:r w:rsidR="00951CBE" w:rsidRPr="00951CBE">
        <w:rPr>
          <w:color w:val="000000" w:themeColor="text1"/>
          <w:szCs w:val="22"/>
        </w:rPr>
        <w:t>78</w:t>
      </w:r>
      <w:r w:rsidRPr="00951CBE">
        <w:rPr>
          <w:color w:val="000000" w:themeColor="text1"/>
          <w:szCs w:val="22"/>
        </w:rPr>
        <w:t>% based on volume), however this dominance</w:t>
      </w:r>
      <w:r w:rsidRPr="001248E9">
        <w:rPr>
          <w:color w:val="000000" w:themeColor="text1"/>
          <w:szCs w:val="22"/>
        </w:rPr>
        <w:t xml:space="preserve"> of HFC-134a in the bank of refrigerant in domestic devices is declining rapidly</w:t>
      </w:r>
      <w:r>
        <w:rPr>
          <w:color w:val="000000" w:themeColor="text1"/>
          <w:szCs w:val="22"/>
        </w:rPr>
        <w:t xml:space="preserve"> as the use of hydrocarbons for new domestic devices becomes effectively universal across all manufactures</w:t>
      </w:r>
      <w:r w:rsidRPr="001248E9">
        <w:rPr>
          <w:color w:val="000000" w:themeColor="text1"/>
          <w:szCs w:val="22"/>
        </w:rPr>
        <w:t xml:space="preserve">. </w:t>
      </w:r>
    </w:p>
    <w:p w14:paraId="580AB5AB" w14:textId="512D5F21" w:rsidR="00E42FBC" w:rsidRPr="001248E9" w:rsidRDefault="00E42FBC" w:rsidP="009A23AA">
      <w:pPr>
        <w:rPr>
          <w:color w:val="000000" w:themeColor="text1"/>
          <w:szCs w:val="22"/>
        </w:rPr>
      </w:pPr>
      <w:r w:rsidRPr="00951CBE">
        <w:rPr>
          <w:color w:val="000000" w:themeColor="text1"/>
          <w:szCs w:val="22"/>
        </w:rPr>
        <w:t>Some very old products manufactured prior to the mid-1990s contain CFC-12</w:t>
      </w:r>
      <w:r w:rsidRPr="00951CBE">
        <w:rPr>
          <w:rStyle w:val="FootnoteReference"/>
          <w:color w:val="000000" w:themeColor="text1"/>
          <w:szCs w:val="22"/>
        </w:rPr>
        <w:footnoteReference w:id="25"/>
      </w:r>
      <w:r w:rsidRPr="00951CBE">
        <w:rPr>
          <w:color w:val="000000" w:themeColor="text1"/>
          <w:szCs w:val="22"/>
        </w:rPr>
        <w:t xml:space="preserve">, and while these units are still occasionally found, it is expected that this small part of the stock is rapidly dwindling, containing less than </w:t>
      </w:r>
      <w:r w:rsidR="00AA2556" w:rsidRPr="00951CBE">
        <w:rPr>
          <w:color w:val="000000" w:themeColor="text1"/>
          <w:szCs w:val="22"/>
        </w:rPr>
        <w:t xml:space="preserve">a few </w:t>
      </w:r>
      <w:r w:rsidRPr="00951CBE">
        <w:rPr>
          <w:color w:val="000000" w:themeColor="text1"/>
          <w:szCs w:val="22"/>
        </w:rPr>
        <w:t>tens of tonnes of CFCs in aggregate.</w:t>
      </w:r>
    </w:p>
    <w:p w14:paraId="2DE855C9" w14:textId="54E94E0C" w:rsidR="00E42FBC" w:rsidRPr="001248E9" w:rsidRDefault="00E42FBC" w:rsidP="009A23AA">
      <w:pPr>
        <w:rPr>
          <w:color w:val="000000" w:themeColor="text1"/>
          <w:szCs w:val="22"/>
        </w:rPr>
      </w:pPr>
      <w:r w:rsidRPr="001248E9">
        <w:rPr>
          <w:color w:val="000000" w:themeColor="text1"/>
          <w:szCs w:val="22"/>
        </w:rPr>
        <w:t>There was around 10 tonnes of high GWP HFC refrigerant imported in pre-charged domestic refrigerators in 2018,</w:t>
      </w:r>
      <w:r>
        <w:rPr>
          <w:color w:val="000000" w:themeColor="text1"/>
          <w:szCs w:val="22"/>
        </w:rPr>
        <w:t xml:space="preserve"> most of which was</w:t>
      </w:r>
      <w:r w:rsidRPr="001248E9">
        <w:rPr>
          <w:color w:val="000000" w:themeColor="text1"/>
          <w:szCs w:val="22"/>
        </w:rPr>
        <w:t xml:space="preserve"> </w:t>
      </w:r>
      <w:r>
        <w:rPr>
          <w:color w:val="000000" w:themeColor="text1"/>
          <w:szCs w:val="22"/>
        </w:rPr>
        <w:t>employed in</w:t>
      </w:r>
      <w:r w:rsidRPr="001248E9">
        <w:rPr>
          <w:color w:val="000000" w:themeColor="text1"/>
          <w:szCs w:val="22"/>
        </w:rPr>
        <w:t xml:space="preserve"> </w:t>
      </w:r>
      <w:r>
        <w:rPr>
          <w:color w:val="000000" w:themeColor="text1"/>
          <w:szCs w:val="22"/>
        </w:rPr>
        <w:t xml:space="preserve">the smaller </w:t>
      </w:r>
      <w:r w:rsidRPr="001248E9">
        <w:rPr>
          <w:color w:val="000000" w:themeColor="text1"/>
          <w:szCs w:val="22"/>
        </w:rPr>
        <w:t>portable and automotive style refrigerators,</w:t>
      </w:r>
      <w:r>
        <w:rPr>
          <w:color w:val="000000" w:themeColor="text1"/>
          <w:szCs w:val="22"/>
        </w:rPr>
        <w:t xml:space="preserve"> all of which are still charged with a synthetic refrigerant. </w:t>
      </w:r>
      <w:r w:rsidR="001F10E5">
        <w:rPr>
          <w:color w:val="000000" w:themeColor="text1"/>
          <w:szCs w:val="22"/>
        </w:rPr>
        <w:t>However,</w:t>
      </w:r>
      <w:r>
        <w:rPr>
          <w:color w:val="000000" w:themeColor="text1"/>
          <w:szCs w:val="22"/>
        </w:rPr>
        <w:t xml:space="preserve"> this quite small addition to the bank of high GWP refrigerants from domestic refrigerator and freezer imports </w:t>
      </w:r>
      <w:r w:rsidRPr="001248E9">
        <w:rPr>
          <w:color w:val="000000" w:themeColor="text1"/>
          <w:szCs w:val="22"/>
        </w:rPr>
        <w:t>further underl</w:t>
      </w:r>
      <w:r>
        <w:rPr>
          <w:color w:val="000000" w:themeColor="text1"/>
          <w:szCs w:val="22"/>
        </w:rPr>
        <w:t>ines</w:t>
      </w:r>
      <w:r w:rsidRPr="001248E9">
        <w:rPr>
          <w:color w:val="000000" w:themeColor="text1"/>
          <w:szCs w:val="22"/>
        </w:rPr>
        <w:t xml:space="preserve"> the shift of the global manufacturing base of domestic equipment to the use of HCs. </w:t>
      </w:r>
    </w:p>
    <w:p w14:paraId="452FD2BE" w14:textId="77777777" w:rsidR="00E42FBC" w:rsidRPr="00405B1F" w:rsidRDefault="00E42FBC" w:rsidP="009A23AA">
      <w:pPr>
        <w:spacing w:before="240"/>
        <w:rPr>
          <w:b/>
          <w:color w:val="000000" w:themeColor="text1"/>
          <w:szCs w:val="22"/>
        </w:rPr>
      </w:pPr>
      <w:r w:rsidRPr="00405B1F">
        <w:rPr>
          <w:b/>
          <w:color w:val="000000" w:themeColor="text1"/>
          <w:szCs w:val="22"/>
        </w:rPr>
        <w:t>Growth of hydrocarbon charged domestic refrigerators</w:t>
      </w:r>
    </w:p>
    <w:p w14:paraId="56B48AE1" w14:textId="700E6D58" w:rsidR="00E42FBC" w:rsidRPr="00405B1F" w:rsidRDefault="00E42FBC" w:rsidP="009A23AA">
      <w:pPr>
        <w:rPr>
          <w:color w:val="000000" w:themeColor="text1"/>
          <w:szCs w:val="22"/>
        </w:rPr>
      </w:pPr>
      <w:r w:rsidRPr="00405B1F">
        <w:rPr>
          <w:color w:val="000000" w:themeColor="text1"/>
          <w:szCs w:val="22"/>
        </w:rPr>
        <w:t xml:space="preserve">The growth of hydrocarbon charged domestic refrigerators and freezers in the stock has accelerated dramatically since 2012, with </w:t>
      </w:r>
      <w:r w:rsidR="007E41D9">
        <w:rPr>
          <w:color w:val="000000" w:themeColor="text1"/>
          <w:szCs w:val="22"/>
        </w:rPr>
        <w:t>an estimated</w:t>
      </w:r>
      <w:r w:rsidRPr="00405B1F">
        <w:rPr>
          <w:color w:val="000000" w:themeColor="text1"/>
          <w:szCs w:val="22"/>
        </w:rPr>
        <w:t xml:space="preserve"> 6.</w:t>
      </w:r>
      <w:r w:rsidR="00951CBE">
        <w:rPr>
          <w:color w:val="000000" w:themeColor="text1"/>
          <w:szCs w:val="22"/>
        </w:rPr>
        <w:t>8</w:t>
      </w:r>
      <w:r w:rsidRPr="00405B1F">
        <w:rPr>
          <w:color w:val="000000" w:themeColor="text1"/>
          <w:szCs w:val="22"/>
        </w:rPr>
        <w:t xml:space="preserve"> million devices (~35% of the stock) containing hydrocarbon HC-600a in 2018. </w:t>
      </w:r>
    </w:p>
    <w:p w14:paraId="6740BAFE" w14:textId="77777777" w:rsidR="00E42FBC" w:rsidRDefault="00E42FBC" w:rsidP="009A23AA">
      <w:pPr>
        <w:rPr>
          <w:szCs w:val="22"/>
        </w:rPr>
      </w:pPr>
      <w:r>
        <w:rPr>
          <w:szCs w:val="22"/>
        </w:rPr>
        <w:t>A retail survey of domestic refrigeration and freezer stock on the floor of a leading retailer conducted in July 2017 found just 6 models out of 123 inspected</w:t>
      </w:r>
      <w:r w:rsidRPr="00621489">
        <w:rPr>
          <w:szCs w:val="22"/>
        </w:rPr>
        <w:t xml:space="preserve"> </w:t>
      </w:r>
      <w:r>
        <w:rPr>
          <w:szCs w:val="22"/>
        </w:rPr>
        <w:t>(&lt;5%) charged with HFC 134a</w:t>
      </w:r>
      <w:r w:rsidRPr="00621489">
        <w:rPr>
          <w:szCs w:val="22"/>
        </w:rPr>
        <w:t xml:space="preserve">. </w:t>
      </w:r>
      <w:r>
        <w:rPr>
          <w:szCs w:val="22"/>
        </w:rPr>
        <w:t>A similar survey was conducted in February 2019 found just one model out of 107 inspected (&lt;1%).</w:t>
      </w:r>
    </w:p>
    <w:p w14:paraId="395299A3" w14:textId="40B5D932" w:rsidR="00E42FBC" w:rsidRPr="001248E9" w:rsidRDefault="00E42FBC" w:rsidP="009A23AA">
      <w:pPr>
        <w:rPr>
          <w:color w:val="000000" w:themeColor="text1"/>
          <w:szCs w:val="22"/>
        </w:rPr>
      </w:pPr>
      <w:r w:rsidRPr="00E40622">
        <w:rPr>
          <w:color w:val="000000" w:themeColor="text1"/>
          <w:szCs w:val="22"/>
        </w:rPr>
        <w:t xml:space="preserve">The migration of large format domestic </w:t>
      </w:r>
      <w:r w:rsidR="00AC09EC">
        <w:rPr>
          <w:color w:val="000000" w:themeColor="text1"/>
          <w:szCs w:val="22"/>
        </w:rPr>
        <w:t>appliances</w:t>
      </w:r>
      <w:r w:rsidRPr="00E40622">
        <w:rPr>
          <w:color w:val="000000" w:themeColor="text1"/>
          <w:szCs w:val="22"/>
        </w:rPr>
        <w:t xml:space="preserve"> to hydrocarbon refrigerants has seen the number of domestic refrigerators and freezers imported that are pre-charged with HFCs fall from around 605,000 units in 2012 to just </w:t>
      </w:r>
      <w:r w:rsidR="0098073B" w:rsidRPr="00E40622">
        <w:rPr>
          <w:color w:val="000000" w:themeColor="text1"/>
          <w:szCs w:val="22"/>
        </w:rPr>
        <w:t>183,500</w:t>
      </w:r>
      <w:r w:rsidRPr="00E40622">
        <w:rPr>
          <w:color w:val="000000" w:themeColor="text1"/>
          <w:szCs w:val="22"/>
        </w:rPr>
        <w:t xml:space="preserve"> units in 2018 of which 1</w:t>
      </w:r>
      <w:r w:rsidR="0098073B" w:rsidRPr="00E40622">
        <w:rPr>
          <w:color w:val="000000" w:themeColor="text1"/>
          <w:szCs w:val="22"/>
        </w:rPr>
        <w:t>38</w:t>
      </w:r>
      <w:r w:rsidRPr="00E40622">
        <w:rPr>
          <w:color w:val="000000" w:themeColor="text1"/>
          <w:szCs w:val="22"/>
        </w:rPr>
        <w:t>,000 were portable refrigerators with a charge of less than or equal to 65 grams of HFC-134a (</w:t>
      </w:r>
      <w:proofErr w:type="spellStart"/>
      <w:r w:rsidRPr="00E40622">
        <w:rPr>
          <w:color w:val="000000" w:themeColor="text1"/>
          <w:szCs w:val="22"/>
        </w:rPr>
        <w:t>DoEE</w:t>
      </w:r>
      <w:proofErr w:type="spellEnd"/>
      <w:r w:rsidRPr="00E40622">
        <w:rPr>
          <w:color w:val="000000" w:themeColor="text1"/>
          <w:szCs w:val="22"/>
        </w:rPr>
        <w:t xml:space="preserve"> 2019).</w:t>
      </w:r>
      <w:r w:rsidR="00AC09EC">
        <w:rPr>
          <w:color w:val="000000" w:themeColor="text1"/>
          <w:szCs w:val="22"/>
        </w:rPr>
        <w:t xml:space="preserve"> The majority of portable refrigerators have not transitioned to HC.</w:t>
      </w:r>
    </w:p>
    <w:p w14:paraId="30DCC341" w14:textId="0187846F" w:rsidR="00E42FBC" w:rsidRDefault="00E42FBC" w:rsidP="009A23AA">
      <w:pPr>
        <w:rPr>
          <w:szCs w:val="22"/>
        </w:rPr>
      </w:pPr>
      <w:r w:rsidRPr="00EE7692">
        <w:rPr>
          <w:i/>
          <w:szCs w:val="22"/>
        </w:rPr>
        <w:t xml:space="preserve">Figure </w:t>
      </w:r>
      <w:r w:rsidR="00AF7F10">
        <w:rPr>
          <w:i/>
          <w:szCs w:val="22"/>
        </w:rPr>
        <w:t>17</w:t>
      </w:r>
      <w:r>
        <w:rPr>
          <w:szCs w:val="22"/>
        </w:rPr>
        <w:t xml:space="preserve"> below illustrates the dramatic decline in tonnes of HFCs contained in pre-charged domestic refrigerator imports over the course of the last decade. The growing market for smaller portable refrigerators is apparent in this chart.</w:t>
      </w:r>
    </w:p>
    <w:p w14:paraId="203B6191" w14:textId="3708B696" w:rsidR="00E42FBC" w:rsidRPr="005D41DA" w:rsidRDefault="00E42FBC" w:rsidP="009A23AA">
      <w:pPr>
        <w:rPr>
          <w:szCs w:val="22"/>
        </w:rPr>
      </w:pPr>
      <w:r w:rsidRPr="005D41DA">
        <w:rPr>
          <w:szCs w:val="22"/>
        </w:rPr>
        <w:t>Most suppliers and service agents no longer undertake on</w:t>
      </w:r>
      <w:r w:rsidR="001F10E5">
        <w:rPr>
          <w:szCs w:val="22"/>
        </w:rPr>
        <w:t>-</w:t>
      </w:r>
      <w:r w:rsidRPr="005D41DA">
        <w:rPr>
          <w:szCs w:val="22"/>
        </w:rPr>
        <w:t>site repairs of domestic refrigerators. Some suppliers have central repair centres to undertake major repairs, however this sector is largely now a replacement market.</w:t>
      </w:r>
    </w:p>
    <w:p w14:paraId="211AC00F" w14:textId="0B1E1138" w:rsidR="00E42FBC" w:rsidRPr="005D41DA" w:rsidRDefault="00E42FBC" w:rsidP="009A23AA">
      <w:pPr>
        <w:rPr>
          <w:szCs w:val="22"/>
        </w:rPr>
      </w:pPr>
      <w:r w:rsidRPr="00AF7F10">
        <w:rPr>
          <w:szCs w:val="22"/>
        </w:rPr>
        <w:t xml:space="preserve">The service rate of domestic refrigerators in the RAC stock model has been reduced to 0.25% per annum equating to around </w:t>
      </w:r>
      <w:r w:rsidR="00AF7F10" w:rsidRPr="00AF7F10">
        <w:rPr>
          <w:szCs w:val="22"/>
        </w:rPr>
        <w:t>4</w:t>
      </w:r>
      <w:r w:rsidRPr="00AF7F10">
        <w:rPr>
          <w:szCs w:val="22"/>
        </w:rPr>
        <w:t xml:space="preserve"> tonnes per annum.</w:t>
      </w:r>
    </w:p>
    <w:p w14:paraId="1A46C4C3" w14:textId="77777777" w:rsidR="00E42FBC" w:rsidRDefault="00E42FBC" w:rsidP="009A23AA">
      <w:pPr>
        <w:rPr>
          <w:szCs w:val="22"/>
        </w:rPr>
      </w:pP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E42FBC" w:rsidRPr="00613398" w14:paraId="3BA1727D" w14:textId="77777777" w:rsidTr="00D306E9">
        <w:tc>
          <w:tcPr>
            <w:tcW w:w="9757" w:type="dxa"/>
            <w:vAlign w:val="center"/>
          </w:tcPr>
          <w:p w14:paraId="4EB973EF" w14:textId="77777777" w:rsidR="00E42FBC" w:rsidRPr="00613398" w:rsidRDefault="00E42FBC" w:rsidP="00D306E9">
            <w:pPr>
              <w:spacing w:after="120"/>
              <w:jc w:val="center"/>
              <w:rPr>
                <w:rFonts w:cs="Times New Roman"/>
                <w:b/>
              </w:rPr>
            </w:pPr>
            <w:r w:rsidRPr="00613398">
              <w:rPr>
                <w:rFonts w:cs="Times New Roman"/>
                <w:b/>
              </w:rPr>
              <w:br w:type="page"/>
            </w:r>
            <w:r>
              <w:rPr>
                <w:rFonts w:cs="Times New Roman"/>
                <w:b/>
              </w:rPr>
              <w:t>PCE imports of HFCs in domestic refrigerators (tonnes)</w:t>
            </w:r>
          </w:p>
        </w:tc>
      </w:tr>
      <w:tr w:rsidR="00E42FBC" w:rsidRPr="000F7FAE" w14:paraId="0706C18D" w14:textId="77777777" w:rsidTr="00D306E9">
        <w:tc>
          <w:tcPr>
            <w:tcW w:w="9757" w:type="dxa"/>
            <w:vAlign w:val="center"/>
          </w:tcPr>
          <w:p w14:paraId="3BB1F702" w14:textId="77777777" w:rsidR="00E42FBC" w:rsidRPr="000F7FAE" w:rsidRDefault="00E42FBC" w:rsidP="00D306E9">
            <w:pPr>
              <w:spacing w:before="60" w:after="60"/>
              <w:jc w:val="center"/>
              <w:rPr>
                <w:sz w:val="16"/>
                <w:szCs w:val="16"/>
              </w:rPr>
            </w:pPr>
          </w:p>
          <w:p w14:paraId="355DDA26" w14:textId="77777777" w:rsidR="00E42FBC" w:rsidRPr="000F7FAE" w:rsidRDefault="00E42FBC" w:rsidP="00D306E9">
            <w:pPr>
              <w:spacing w:before="60" w:after="60"/>
              <w:jc w:val="center"/>
              <w:rPr>
                <w:sz w:val="16"/>
                <w:szCs w:val="16"/>
              </w:rPr>
            </w:pPr>
            <w:r>
              <w:rPr>
                <w:noProof/>
                <w:lang w:val="en-AU" w:eastAsia="en-AU"/>
              </w:rPr>
              <w:drawing>
                <wp:inline distT="0" distB="0" distL="0" distR="0" wp14:anchorId="5D26F9FD" wp14:editId="3B514543">
                  <wp:extent cx="6030595" cy="301180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30595" cy="3011805"/>
                          </a:xfrm>
                          <a:prstGeom prst="rect">
                            <a:avLst/>
                          </a:prstGeom>
                        </pic:spPr>
                      </pic:pic>
                    </a:graphicData>
                  </a:graphic>
                </wp:inline>
              </w:drawing>
            </w:r>
          </w:p>
          <w:p w14:paraId="6C86B626" w14:textId="77777777" w:rsidR="00E42FBC" w:rsidRPr="000F7FAE" w:rsidRDefault="00E42FBC" w:rsidP="00D306E9">
            <w:pPr>
              <w:spacing w:before="60" w:after="60"/>
              <w:jc w:val="center"/>
              <w:rPr>
                <w:sz w:val="16"/>
                <w:szCs w:val="16"/>
              </w:rPr>
            </w:pPr>
          </w:p>
        </w:tc>
      </w:tr>
      <w:tr w:rsidR="00E42FBC" w:rsidRPr="00923150" w14:paraId="7A2D4349" w14:textId="77777777" w:rsidTr="00D306E9">
        <w:tc>
          <w:tcPr>
            <w:tcW w:w="9757" w:type="dxa"/>
            <w:vAlign w:val="center"/>
          </w:tcPr>
          <w:p w14:paraId="293BE783" w14:textId="22F298FF" w:rsidR="00E42FBC" w:rsidRPr="00EE7692" w:rsidRDefault="00E42FBC" w:rsidP="009A23AA">
            <w:pPr>
              <w:pStyle w:val="Caption"/>
            </w:pPr>
            <w:bookmarkStart w:id="94" w:name="_Toc19601339"/>
            <w:r w:rsidRPr="00EE7692">
              <w:t xml:space="preserve">Figure </w:t>
            </w:r>
            <w:r>
              <w:rPr>
                <w:noProof/>
              </w:rPr>
              <w:fldChar w:fldCharType="begin"/>
            </w:r>
            <w:r>
              <w:rPr>
                <w:noProof/>
              </w:rPr>
              <w:instrText xml:space="preserve"> SEQ Figure \* ARABIC </w:instrText>
            </w:r>
            <w:r>
              <w:rPr>
                <w:noProof/>
              </w:rPr>
              <w:fldChar w:fldCharType="separate"/>
            </w:r>
            <w:r w:rsidR="00AF7F10">
              <w:rPr>
                <w:noProof/>
              </w:rPr>
              <w:t>17</w:t>
            </w:r>
            <w:r>
              <w:rPr>
                <w:noProof/>
              </w:rPr>
              <w:fldChar w:fldCharType="end"/>
            </w:r>
            <w:r w:rsidRPr="00EE7692">
              <w:rPr>
                <w:bCs w:val="0"/>
              </w:rPr>
              <w:t>:</w:t>
            </w:r>
            <w:r w:rsidRPr="00EE7692">
              <w:t xml:space="preserve"> </w:t>
            </w:r>
            <w:r w:rsidRPr="00EE7692">
              <w:rPr>
                <w:bCs w:val="0"/>
              </w:rPr>
              <w:t>HFC</w:t>
            </w:r>
            <w:r>
              <w:rPr>
                <w:bCs w:val="0"/>
              </w:rPr>
              <w:t>s</w:t>
            </w:r>
            <w:r w:rsidRPr="00EE7692">
              <w:rPr>
                <w:bCs w:val="0"/>
              </w:rPr>
              <w:t xml:space="preserve"> in </w:t>
            </w:r>
            <w:proofErr w:type="spellStart"/>
            <w:r w:rsidRPr="00EE7692">
              <w:rPr>
                <w:bCs w:val="0"/>
              </w:rPr>
              <w:t>tonnes</w:t>
            </w:r>
            <w:proofErr w:type="spellEnd"/>
            <w:r w:rsidRPr="00EE7692">
              <w:rPr>
                <w:bCs w:val="0"/>
              </w:rPr>
              <w:t xml:space="preserve"> contained in pre-charged domestic refrigeration imports 2006 to 201</w:t>
            </w:r>
            <w:r>
              <w:rPr>
                <w:bCs w:val="0"/>
              </w:rPr>
              <w:t>8</w:t>
            </w:r>
            <w:r w:rsidRPr="00EE7692">
              <w:rPr>
                <w:bCs w:val="0"/>
              </w:rPr>
              <w:t>.</w:t>
            </w:r>
            <w:bookmarkEnd w:id="94"/>
          </w:p>
        </w:tc>
      </w:tr>
    </w:tbl>
    <w:p w14:paraId="357B384A" w14:textId="77777777" w:rsidR="00E42FBC" w:rsidRDefault="00E42FBC" w:rsidP="009A23AA">
      <w:pPr>
        <w:spacing w:before="0"/>
        <w:rPr>
          <w:rFonts w:cs="Times New Roman"/>
          <w:szCs w:val="22"/>
          <w:lang w:val="en-US"/>
        </w:rPr>
      </w:pPr>
      <w:r>
        <w:rPr>
          <w:rFonts w:cs="Times New Roman"/>
          <w:szCs w:val="22"/>
          <w:lang w:val="en-US"/>
        </w:rPr>
        <w:t xml:space="preserve">(Sources: </w:t>
      </w:r>
      <w:proofErr w:type="spellStart"/>
      <w:r>
        <w:rPr>
          <w:rFonts w:cs="Times New Roman"/>
          <w:szCs w:val="22"/>
          <w:lang w:val="en-US"/>
        </w:rPr>
        <w:t>DoEE</w:t>
      </w:r>
      <w:proofErr w:type="spellEnd"/>
      <w:r>
        <w:rPr>
          <w:rFonts w:cs="Times New Roman"/>
          <w:szCs w:val="22"/>
          <w:lang w:val="en-US"/>
        </w:rPr>
        <w:t xml:space="preserve"> 2019a)</w:t>
      </w:r>
    </w:p>
    <w:p w14:paraId="532B3098" w14:textId="77777777" w:rsidR="00E42FBC" w:rsidRPr="001248E9" w:rsidRDefault="00E42FBC" w:rsidP="009A23AA">
      <w:pPr>
        <w:rPr>
          <w:color w:val="000000" w:themeColor="text1"/>
          <w:szCs w:val="22"/>
        </w:rPr>
      </w:pPr>
    </w:p>
    <w:p w14:paraId="3AF41C86" w14:textId="77777777" w:rsidR="00E42FBC" w:rsidRPr="001248E9" w:rsidRDefault="00E42FBC" w:rsidP="009A23AA">
      <w:pPr>
        <w:rPr>
          <w:color w:val="000000" w:themeColor="text1"/>
          <w:szCs w:val="22"/>
        </w:rPr>
      </w:pPr>
      <w:r w:rsidRPr="001248E9">
        <w:rPr>
          <w:color w:val="000000" w:themeColor="text1"/>
          <w:szCs w:val="22"/>
        </w:rPr>
        <w:t xml:space="preserve">As a result of the comprehensive shift of domestic refrigerators and freezers to HC refrigerant, the contained bank of high GWP refrigerants in the domestic stock is projected to decline steadily. </w:t>
      </w:r>
    </w:p>
    <w:p w14:paraId="41F70A56" w14:textId="0539D46B" w:rsidR="00E42FBC" w:rsidRPr="001248E9" w:rsidRDefault="00E42FBC" w:rsidP="009A23AA">
      <w:pPr>
        <w:rPr>
          <w:color w:val="000000" w:themeColor="text1"/>
          <w:szCs w:val="22"/>
        </w:rPr>
      </w:pPr>
      <w:r w:rsidRPr="001248E9">
        <w:rPr>
          <w:color w:val="000000" w:themeColor="text1"/>
          <w:szCs w:val="22"/>
        </w:rPr>
        <w:t xml:space="preserve">While the trend to HC charges in the larger formats is obvious, smaller portable and automotive devices are still universally being imported with HFC charges. These smaller format devices </w:t>
      </w:r>
      <w:r>
        <w:rPr>
          <w:color w:val="000000" w:themeColor="text1"/>
          <w:szCs w:val="22"/>
        </w:rPr>
        <w:t xml:space="preserve">require </w:t>
      </w:r>
      <w:r w:rsidRPr="001248E9">
        <w:rPr>
          <w:color w:val="000000" w:themeColor="text1"/>
          <w:szCs w:val="22"/>
        </w:rPr>
        <w:t xml:space="preserve">charges of less than </w:t>
      </w:r>
      <w:r w:rsidRPr="006B3E7F">
        <w:rPr>
          <w:color w:val="000000" w:themeColor="text1"/>
          <w:szCs w:val="22"/>
        </w:rPr>
        <w:t>65 grams of HFC-134a. Approximately 13</w:t>
      </w:r>
      <w:r w:rsidR="006B3E7F" w:rsidRPr="006B3E7F">
        <w:rPr>
          <w:color w:val="000000" w:themeColor="text1"/>
          <w:szCs w:val="22"/>
        </w:rPr>
        <w:t>2</w:t>
      </w:r>
      <w:r w:rsidRPr="006B3E7F">
        <w:rPr>
          <w:color w:val="000000" w:themeColor="text1"/>
          <w:szCs w:val="22"/>
        </w:rPr>
        <w:t xml:space="preserve">,000 portable and passenger vehicle refrigerators have been imported each year on average between 2012 and 2018; major suppliers include </w:t>
      </w:r>
      <w:proofErr w:type="spellStart"/>
      <w:r w:rsidRPr="006B3E7F">
        <w:rPr>
          <w:color w:val="000000" w:themeColor="text1"/>
          <w:szCs w:val="22"/>
        </w:rPr>
        <w:t>Dometic</w:t>
      </w:r>
      <w:proofErr w:type="spellEnd"/>
      <w:r w:rsidRPr="006B3E7F">
        <w:rPr>
          <w:color w:val="000000" w:themeColor="text1"/>
          <w:szCs w:val="22"/>
        </w:rPr>
        <w:t xml:space="preserve"> Group (</w:t>
      </w:r>
      <w:proofErr w:type="spellStart"/>
      <w:r w:rsidRPr="006B3E7F">
        <w:rPr>
          <w:color w:val="000000" w:themeColor="text1"/>
          <w:szCs w:val="22"/>
        </w:rPr>
        <w:t>Waeco</w:t>
      </w:r>
      <w:proofErr w:type="spellEnd"/>
      <w:r w:rsidRPr="006B3E7F">
        <w:rPr>
          <w:color w:val="000000" w:themeColor="text1"/>
          <w:szCs w:val="22"/>
        </w:rPr>
        <w:t xml:space="preserve"> brand) and Engel Australia. </w:t>
      </w:r>
      <w:proofErr w:type="spellStart"/>
      <w:r w:rsidRPr="006B3E7F">
        <w:rPr>
          <w:color w:val="000000" w:themeColor="text1"/>
          <w:szCs w:val="22"/>
        </w:rPr>
        <w:t>Evercool</w:t>
      </w:r>
      <w:proofErr w:type="spellEnd"/>
      <w:r w:rsidRPr="006B3E7F">
        <w:rPr>
          <w:color w:val="000000" w:themeColor="text1"/>
          <w:szCs w:val="22"/>
        </w:rPr>
        <w:t xml:space="preserve">, </w:t>
      </w:r>
      <w:proofErr w:type="spellStart"/>
      <w:r w:rsidRPr="006B3E7F">
        <w:rPr>
          <w:color w:val="000000" w:themeColor="text1"/>
          <w:szCs w:val="22"/>
        </w:rPr>
        <w:t>Norcoast</w:t>
      </w:r>
      <w:proofErr w:type="spellEnd"/>
      <w:r w:rsidRPr="006B3E7F">
        <w:rPr>
          <w:color w:val="000000" w:themeColor="text1"/>
          <w:szCs w:val="22"/>
        </w:rPr>
        <w:t xml:space="preserve"> and </w:t>
      </w:r>
      <w:proofErr w:type="spellStart"/>
      <w:r w:rsidRPr="006B3E7F">
        <w:rPr>
          <w:color w:val="000000" w:themeColor="text1"/>
          <w:szCs w:val="22"/>
        </w:rPr>
        <w:t>OzeFridge</w:t>
      </w:r>
      <w:proofErr w:type="spellEnd"/>
      <w:r w:rsidRPr="006B3E7F">
        <w:rPr>
          <w:color w:val="000000" w:themeColor="text1"/>
          <w:szCs w:val="22"/>
        </w:rPr>
        <w:t xml:space="preserve"> manufacture small quantities of portable 12V refrigerators in Australia.</w:t>
      </w:r>
    </w:p>
    <w:p w14:paraId="663E37EA" w14:textId="34E1774F" w:rsidR="00E42FBC" w:rsidRDefault="00E42FBC" w:rsidP="009A23AA">
      <w:pPr>
        <w:rPr>
          <w:rFonts w:cs="Times New Roman"/>
          <w:lang w:val="en-AU"/>
        </w:rPr>
      </w:pPr>
      <w:r w:rsidRPr="00103376">
        <w:rPr>
          <w:rFonts w:cs="Times New Roman"/>
          <w:lang w:val="en-AU"/>
        </w:rPr>
        <w:t xml:space="preserve">New sales mix projection for domestic refrigeration from 2018 to 2030 can be found in </w:t>
      </w:r>
      <w:r w:rsidRPr="00103376">
        <w:rPr>
          <w:rFonts w:cs="Times New Roman"/>
          <w:i/>
          <w:lang w:val="en-AU"/>
        </w:rPr>
        <w:t>Appendix B2</w:t>
      </w:r>
      <w:r w:rsidRPr="00103376">
        <w:rPr>
          <w:rFonts w:cs="Times New Roman"/>
          <w:lang w:val="en-AU"/>
        </w:rPr>
        <w:t>.</w:t>
      </w:r>
    </w:p>
    <w:p w14:paraId="7BF3FC66" w14:textId="77777777" w:rsidR="00E42FBC" w:rsidRDefault="00E42FBC" w:rsidP="009A23AA">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E42FBC" w:rsidRPr="00613398" w14:paraId="1BB6BA6B" w14:textId="77777777" w:rsidTr="00E42FBC">
        <w:tc>
          <w:tcPr>
            <w:tcW w:w="9759" w:type="dxa"/>
            <w:vAlign w:val="center"/>
          </w:tcPr>
          <w:p w14:paraId="5A26C093" w14:textId="71467BF4" w:rsidR="00E42FBC" w:rsidRPr="000A23F9" w:rsidRDefault="00E42FBC" w:rsidP="00103376">
            <w:pPr>
              <w:spacing w:after="120"/>
              <w:jc w:val="center"/>
              <w:rPr>
                <w:rFonts w:cs="Times New Roman"/>
                <w:b/>
              </w:rPr>
            </w:pPr>
            <w:r w:rsidRPr="000A23F9">
              <w:rPr>
                <w:rFonts w:cs="Times New Roman"/>
                <w:b/>
              </w:rPr>
              <w:br w:type="page"/>
            </w:r>
            <w:r>
              <w:rPr>
                <w:rFonts w:cs="Times New Roman"/>
                <w:b/>
              </w:rPr>
              <w:t xml:space="preserve">Domestic refrigeration bank by species from </w:t>
            </w:r>
            <w:r w:rsidRPr="000A23F9">
              <w:rPr>
                <w:rFonts w:cs="Times New Roman"/>
                <w:b/>
              </w:rPr>
              <w:t>201</w:t>
            </w:r>
            <w:r>
              <w:rPr>
                <w:rFonts w:cs="Times New Roman"/>
                <w:b/>
              </w:rPr>
              <w:t>8</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t</w:t>
            </w:r>
            <w:r w:rsidRPr="000A23F9">
              <w:rPr>
                <w:rFonts w:cs="Times New Roman"/>
                <w:b/>
              </w:rPr>
              <w:t>onnes)</w:t>
            </w:r>
          </w:p>
        </w:tc>
      </w:tr>
      <w:tr w:rsidR="00E42FBC" w:rsidRPr="000A23F9" w14:paraId="0528904D" w14:textId="77777777" w:rsidTr="00103376">
        <w:tc>
          <w:tcPr>
            <w:tcW w:w="9759" w:type="dxa"/>
            <w:vAlign w:val="center"/>
          </w:tcPr>
          <w:p w14:paraId="4C1A6DBE" w14:textId="77777777" w:rsidR="00E42FBC" w:rsidRPr="000A23F9" w:rsidRDefault="00E42FBC" w:rsidP="00103376">
            <w:pPr>
              <w:spacing w:before="60" w:after="60"/>
              <w:jc w:val="center"/>
              <w:rPr>
                <w:rFonts w:cs="Times New Roman"/>
                <w:sz w:val="16"/>
                <w:szCs w:val="16"/>
              </w:rPr>
            </w:pPr>
          </w:p>
          <w:p w14:paraId="2CF0E7D1" w14:textId="2F83D983" w:rsidR="00E42FBC" w:rsidRPr="000A23F9" w:rsidRDefault="00103376" w:rsidP="00103376">
            <w:pPr>
              <w:spacing w:before="60" w:after="60"/>
              <w:jc w:val="center"/>
              <w:rPr>
                <w:rFonts w:cs="Times New Roman"/>
                <w:sz w:val="16"/>
                <w:szCs w:val="16"/>
              </w:rPr>
            </w:pPr>
            <w:r>
              <w:rPr>
                <w:noProof/>
                <w:lang w:val="en-AU" w:eastAsia="en-AU"/>
              </w:rPr>
              <w:drawing>
                <wp:inline distT="0" distB="0" distL="0" distR="0" wp14:anchorId="703C306F" wp14:editId="501AF4DB">
                  <wp:extent cx="6030595" cy="2232025"/>
                  <wp:effectExtent l="0" t="0" r="190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0595" cy="2232025"/>
                          </a:xfrm>
                          <a:prstGeom prst="rect">
                            <a:avLst/>
                          </a:prstGeom>
                        </pic:spPr>
                      </pic:pic>
                    </a:graphicData>
                  </a:graphic>
                </wp:inline>
              </w:drawing>
            </w:r>
          </w:p>
          <w:p w14:paraId="30FA15F1" w14:textId="77777777" w:rsidR="00E42FBC" w:rsidRPr="000A23F9" w:rsidRDefault="00E42FBC" w:rsidP="00103376">
            <w:pPr>
              <w:spacing w:before="60" w:after="60"/>
              <w:jc w:val="center"/>
              <w:rPr>
                <w:rFonts w:cs="Times New Roman"/>
                <w:sz w:val="16"/>
                <w:szCs w:val="16"/>
              </w:rPr>
            </w:pPr>
          </w:p>
        </w:tc>
      </w:tr>
      <w:tr w:rsidR="00E42FBC" w:rsidRPr="000A23F9" w14:paraId="7C1D5B32" w14:textId="77777777" w:rsidTr="00E42FBC">
        <w:tc>
          <w:tcPr>
            <w:tcW w:w="9759" w:type="dxa"/>
            <w:vAlign w:val="center"/>
          </w:tcPr>
          <w:p w14:paraId="003493F9" w14:textId="08EB8838" w:rsidR="00E42FBC" w:rsidRPr="0023612A" w:rsidRDefault="00E42FBC" w:rsidP="009A23AA">
            <w:pPr>
              <w:pStyle w:val="Caption"/>
            </w:pPr>
            <w:bookmarkStart w:id="95" w:name="_Toc19601340"/>
            <w:r w:rsidRPr="0023612A">
              <w:t xml:space="preserve">Figure </w:t>
            </w:r>
            <w:r>
              <w:rPr>
                <w:noProof/>
              </w:rPr>
              <w:fldChar w:fldCharType="begin"/>
            </w:r>
            <w:r>
              <w:rPr>
                <w:noProof/>
              </w:rPr>
              <w:instrText xml:space="preserve"> SEQ Figure \* ARABIC </w:instrText>
            </w:r>
            <w:r>
              <w:rPr>
                <w:noProof/>
              </w:rPr>
              <w:fldChar w:fldCharType="separate"/>
            </w:r>
            <w:r w:rsidR="001D0DA3">
              <w:rPr>
                <w:noProof/>
              </w:rPr>
              <w:t>18</w:t>
            </w:r>
            <w:r>
              <w:rPr>
                <w:noProof/>
              </w:rPr>
              <w:fldChar w:fldCharType="end"/>
            </w:r>
            <w:r w:rsidRPr="0023612A">
              <w:rPr>
                <w:bCs w:val="0"/>
              </w:rPr>
              <w:t>: Domestic refrigeration refrigerant bank by species from 201</w:t>
            </w:r>
            <w:r>
              <w:rPr>
                <w:bCs w:val="0"/>
              </w:rPr>
              <w:t>8</w:t>
            </w:r>
            <w:r w:rsidRPr="0023612A">
              <w:rPr>
                <w:bCs w:val="0"/>
              </w:rPr>
              <w:t xml:space="preserve"> to 2030 in </w:t>
            </w:r>
            <w:proofErr w:type="spellStart"/>
            <w:r w:rsidRPr="0023612A">
              <w:rPr>
                <w:bCs w:val="0"/>
              </w:rPr>
              <w:t>tonnes</w:t>
            </w:r>
            <w:proofErr w:type="spellEnd"/>
            <w:r w:rsidRPr="0023612A">
              <w:rPr>
                <w:bCs w:val="0"/>
              </w:rPr>
              <w:t>.</w:t>
            </w:r>
            <w:bookmarkEnd w:id="95"/>
          </w:p>
        </w:tc>
      </w:tr>
    </w:tbl>
    <w:p w14:paraId="0D407FA9" w14:textId="52437066" w:rsidR="00E42FBC" w:rsidRPr="00573A8B" w:rsidRDefault="00E42FBC" w:rsidP="009A23AA">
      <w:pPr>
        <w:spacing w:before="0"/>
        <w:rPr>
          <w:rFonts w:cs="Times New Roman"/>
          <w:sz w:val="20"/>
          <w:szCs w:val="20"/>
          <w:lang w:val="en-US"/>
        </w:rPr>
      </w:pPr>
      <w:r w:rsidRPr="00573A8B">
        <w:rPr>
          <w:rFonts w:cs="Times New Roman"/>
          <w:sz w:val="20"/>
          <w:szCs w:val="20"/>
          <w:lang w:val="en-US"/>
        </w:rPr>
        <w:t xml:space="preserve">(Source: </w:t>
      </w:r>
      <w:r w:rsidR="00E81AAB">
        <w:rPr>
          <w:rFonts w:cs="Times New Roman"/>
          <w:sz w:val="20"/>
          <w:szCs w:val="20"/>
        </w:rPr>
        <w:t>CHF 2019</w:t>
      </w:r>
      <w:r>
        <w:rPr>
          <w:rFonts w:cs="Times New Roman"/>
          <w:sz w:val="20"/>
          <w:szCs w:val="20"/>
        </w:rPr>
        <w:t xml:space="preserve"> RAC Stock model</w:t>
      </w:r>
      <w:r w:rsidRPr="00573A8B">
        <w:rPr>
          <w:rFonts w:cs="Times New Roman"/>
          <w:sz w:val="20"/>
          <w:szCs w:val="20"/>
          <w:lang w:val="en-US"/>
        </w:rPr>
        <w:t>)</w:t>
      </w:r>
    </w:p>
    <w:p w14:paraId="7E6E26DF" w14:textId="77777777" w:rsidR="00E42FBC" w:rsidRDefault="00E42FBC" w:rsidP="009A23AA">
      <w:pPr>
        <w:rPr>
          <w:color w:val="4BACC6" w:themeColor="accent5"/>
          <w:szCs w:val="22"/>
        </w:rPr>
      </w:pPr>
    </w:p>
    <w:p w14:paraId="62D626DB" w14:textId="45A8C5F1" w:rsidR="00E42FBC" w:rsidRPr="00B73C6D" w:rsidRDefault="00E42FBC" w:rsidP="009A23AA">
      <w:pPr>
        <w:rPr>
          <w:color w:val="000000" w:themeColor="text1"/>
          <w:szCs w:val="22"/>
        </w:rPr>
      </w:pPr>
      <w:r w:rsidRPr="00B73C6D">
        <w:rPr>
          <w:color w:val="000000" w:themeColor="text1"/>
          <w:szCs w:val="22"/>
        </w:rPr>
        <w:t>The estimated 9</w:t>
      </w:r>
      <w:r w:rsidR="00103376" w:rsidRPr="00B73C6D">
        <w:rPr>
          <w:color w:val="000000" w:themeColor="text1"/>
          <w:szCs w:val="22"/>
        </w:rPr>
        <w:t>5</w:t>
      </w:r>
      <w:r w:rsidRPr="00B73C6D">
        <w:rPr>
          <w:color w:val="000000" w:themeColor="text1"/>
          <w:szCs w:val="22"/>
        </w:rPr>
        <w:t>0,000 domestic and portable devices that reached the end of their useful life during 201</w:t>
      </w:r>
      <w:r w:rsidR="00561446" w:rsidRPr="00B73C6D">
        <w:rPr>
          <w:color w:val="000000" w:themeColor="text1"/>
          <w:szCs w:val="22"/>
        </w:rPr>
        <w:t>8</w:t>
      </w:r>
      <w:r w:rsidRPr="00B73C6D">
        <w:rPr>
          <w:color w:val="000000" w:themeColor="text1"/>
          <w:szCs w:val="22"/>
        </w:rPr>
        <w:t xml:space="preserve"> are expected to contain as much as 1</w:t>
      </w:r>
      <w:r w:rsidR="00103376" w:rsidRPr="00B73C6D">
        <w:rPr>
          <w:color w:val="000000" w:themeColor="text1"/>
          <w:szCs w:val="22"/>
        </w:rPr>
        <w:t>30</w:t>
      </w:r>
      <w:r w:rsidRPr="00B73C6D">
        <w:rPr>
          <w:color w:val="000000" w:themeColor="text1"/>
          <w:szCs w:val="22"/>
        </w:rPr>
        <w:t xml:space="preserve"> tonnes </w:t>
      </w:r>
      <w:r w:rsidR="00103376" w:rsidRPr="00B73C6D">
        <w:rPr>
          <w:color w:val="000000" w:themeColor="text1"/>
          <w:szCs w:val="22"/>
        </w:rPr>
        <w:t>of residual charge</w:t>
      </w:r>
      <w:r w:rsidR="00012549">
        <w:rPr>
          <w:color w:val="000000" w:themeColor="text1"/>
          <w:szCs w:val="22"/>
        </w:rPr>
        <w:t xml:space="preserve"> </w:t>
      </w:r>
      <w:r w:rsidR="00012549" w:rsidRPr="00B73C6D">
        <w:rPr>
          <w:color w:val="000000" w:themeColor="text1"/>
          <w:szCs w:val="22"/>
        </w:rPr>
        <w:t>of HFC-134a</w:t>
      </w:r>
      <w:r w:rsidRPr="00B73C6D">
        <w:rPr>
          <w:color w:val="000000" w:themeColor="text1"/>
          <w:szCs w:val="22"/>
        </w:rPr>
        <w:t>. That quantity of HFCs is the equivalent of 178,750 tonnes of CO</w:t>
      </w:r>
      <w:r w:rsidRPr="00B73C6D">
        <w:rPr>
          <w:color w:val="000000" w:themeColor="text1"/>
          <w:szCs w:val="22"/>
          <w:vertAlign w:val="subscript"/>
        </w:rPr>
        <w:t>2</w:t>
      </w:r>
      <w:r w:rsidRPr="00B73C6D">
        <w:rPr>
          <w:color w:val="000000" w:themeColor="text1"/>
          <w:szCs w:val="22"/>
        </w:rPr>
        <w:t xml:space="preserve">e. Due to the small charge sizes, </w:t>
      </w:r>
      <w:r w:rsidR="007E41D9" w:rsidRPr="00B73C6D">
        <w:rPr>
          <w:color w:val="000000" w:themeColor="text1"/>
          <w:szCs w:val="22"/>
        </w:rPr>
        <w:t>despite</w:t>
      </w:r>
      <w:r w:rsidRPr="00B73C6D">
        <w:rPr>
          <w:color w:val="000000" w:themeColor="text1"/>
          <w:szCs w:val="22"/>
        </w:rPr>
        <w:t xml:space="preserve"> the rare subsidised recovery programs operating at some local government scrap metal collection points, it is expected </w:t>
      </w:r>
      <w:r w:rsidR="00012549">
        <w:rPr>
          <w:color w:val="000000" w:themeColor="text1"/>
          <w:szCs w:val="22"/>
        </w:rPr>
        <w:t xml:space="preserve">a significant portion </w:t>
      </w:r>
      <w:r w:rsidRPr="00B73C6D">
        <w:rPr>
          <w:color w:val="000000" w:themeColor="text1"/>
          <w:szCs w:val="22"/>
        </w:rPr>
        <w:t>of this refrigerant will be released to the atmosphere.</w:t>
      </w:r>
    </w:p>
    <w:p w14:paraId="4C9D847D" w14:textId="7A5C84F5" w:rsidR="00E42FBC" w:rsidRPr="001248E9" w:rsidRDefault="00E42FBC" w:rsidP="009A23AA">
      <w:pPr>
        <w:snapToGrid w:val="0"/>
        <w:rPr>
          <w:rFonts w:cs="Times New Roman"/>
          <w:color w:val="000000" w:themeColor="text1"/>
          <w:szCs w:val="22"/>
        </w:rPr>
      </w:pPr>
      <w:r w:rsidRPr="00B73C6D">
        <w:rPr>
          <w:rFonts w:cs="Times New Roman"/>
          <w:color w:val="000000" w:themeColor="text1"/>
          <w:szCs w:val="22"/>
        </w:rPr>
        <w:t>All domestic refrigeration and freezers in the economy are estimated to contain around 2,</w:t>
      </w:r>
      <w:r w:rsidR="00B73C6D" w:rsidRPr="00B73C6D">
        <w:rPr>
          <w:rFonts w:cs="Times New Roman"/>
          <w:color w:val="000000" w:themeColor="text1"/>
          <w:szCs w:val="22"/>
        </w:rPr>
        <w:t>150</w:t>
      </w:r>
      <w:r w:rsidRPr="00B73C6D">
        <w:rPr>
          <w:rFonts w:cs="Times New Roman"/>
          <w:color w:val="000000" w:themeColor="text1"/>
          <w:szCs w:val="22"/>
        </w:rPr>
        <w:t xml:space="preserve"> tonnes of refrigerants in 2018, or about </w:t>
      </w:r>
      <w:r w:rsidR="00103376" w:rsidRPr="00B73C6D">
        <w:rPr>
          <w:rFonts w:cs="Times New Roman"/>
          <w:color w:val="000000" w:themeColor="text1"/>
          <w:szCs w:val="22"/>
        </w:rPr>
        <w:t>3</w:t>
      </w:r>
      <w:r w:rsidRPr="00B73C6D">
        <w:rPr>
          <w:rFonts w:cs="Times New Roman"/>
          <w:color w:val="000000" w:themeColor="text1"/>
          <w:szCs w:val="22"/>
        </w:rPr>
        <w:t>% of the total bank</w:t>
      </w:r>
      <w:r w:rsidR="00B73C6D" w:rsidRPr="00B73C6D">
        <w:rPr>
          <w:rFonts w:cs="Times New Roman"/>
          <w:color w:val="000000" w:themeColor="text1"/>
          <w:szCs w:val="22"/>
        </w:rPr>
        <w:t xml:space="preserve"> of HCFCs and HFCs</w:t>
      </w:r>
      <w:r w:rsidRPr="00B73C6D">
        <w:rPr>
          <w:rFonts w:cs="Times New Roman"/>
          <w:color w:val="000000" w:themeColor="text1"/>
          <w:szCs w:val="22"/>
        </w:rPr>
        <w:t xml:space="preserve">, of which </w:t>
      </w:r>
      <w:r w:rsidR="00B73C6D" w:rsidRPr="00B73C6D">
        <w:rPr>
          <w:rFonts w:cs="Times New Roman"/>
          <w:color w:val="000000" w:themeColor="text1"/>
          <w:szCs w:val="22"/>
        </w:rPr>
        <w:t>78</w:t>
      </w:r>
      <w:r w:rsidRPr="00B73C6D">
        <w:rPr>
          <w:rFonts w:cs="Times New Roman"/>
          <w:color w:val="000000" w:themeColor="text1"/>
          <w:szCs w:val="22"/>
        </w:rPr>
        <w:t xml:space="preserve">% is HFC-134a, with the balance </w:t>
      </w:r>
      <w:r w:rsidR="00B73C6D" w:rsidRPr="00B73C6D">
        <w:rPr>
          <w:rFonts w:cs="Times New Roman"/>
          <w:color w:val="000000" w:themeColor="text1"/>
          <w:szCs w:val="22"/>
        </w:rPr>
        <w:t xml:space="preserve">22% </w:t>
      </w:r>
      <w:r w:rsidRPr="00B73C6D">
        <w:rPr>
          <w:rFonts w:cs="Times New Roman"/>
          <w:color w:val="000000" w:themeColor="text1"/>
          <w:szCs w:val="22"/>
        </w:rPr>
        <w:t>(</w:t>
      </w:r>
      <w:r w:rsidR="00B73C6D" w:rsidRPr="00B73C6D">
        <w:rPr>
          <w:rFonts w:cs="Times New Roman"/>
          <w:color w:val="000000" w:themeColor="text1"/>
          <w:szCs w:val="22"/>
        </w:rPr>
        <w:t>475</w:t>
      </w:r>
      <w:r w:rsidRPr="00B73C6D">
        <w:rPr>
          <w:rFonts w:cs="Times New Roman"/>
          <w:color w:val="000000" w:themeColor="text1"/>
          <w:szCs w:val="22"/>
        </w:rPr>
        <w:t xml:space="preserve"> tonnes) being hydrocarbons.</w:t>
      </w:r>
    </w:p>
    <w:p w14:paraId="51F07C96" w14:textId="36F4331E" w:rsidR="00E42FBC" w:rsidRPr="001248E9" w:rsidRDefault="00E42FBC" w:rsidP="009A23AA">
      <w:pPr>
        <w:snapToGrid w:val="0"/>
        <w:rPr>
          <w:rFonts w:cs="Times New Roman"/>
          <w:color w:val="000000" w:themeColor="text1"/>
          <w:szCs w:val="22"/>
        </w:rPr>
      </w:pPr>
      <w:r w:rsidRPr="001248E9">
        <w:rPr>
          <w:rFonts w:cs="Times New Roman"/>
          <w:color w:val="000000" w:themeColor="text1"/>
          <w:szCs w:val="22"/>
        </w:rPr>
        <w:t xml:space="preserve">This is projected to change relatively quickly by 2030 with a larger stock of domestic devices expected to be operating on a total bank more than </w:t>
      </w:r>
      <w:r w:rsidR="00776638">
        <w:rPr>
          <w:rFonts w:cs="Times New Roman"/>
          <w:color w:val="000000" w:themeColor="text1"/>
          <w:szCs w:val="22"/>
        </w:rPr>
        <w:t>40</w:t>
      </w:r>
      <w:r w:rsidRPr="001248E9">
        <w:rPr>
          <w:rFonts w:cs="Times New Roman"/>
          <w:color w:val="000000" w:themeColor="text1"/>
          <w:szCs w:val="22"/>
        </w:rPr>
        <w:t>% smaller at around 1,</w:t>
      </w:r>
      <w:r w:rsidR="00776638">
        <w:rPr>
          <w:rFonts w:cs="Times New Roman"/>
          <w:color w:val="000000" w:themeColor="text1"/>
          <w:szCs w:val="22"/>
        </w:rPr>
        <w:t>230</w:t>
      </w:r>
      <w:r w:rsidRPr="001248E9">
        <w:rPr>
          <w:rFonts w:cs="Times New Roman"/>
          <w:color w:val="000000" w:themeColor="text1"/>
          <w:szCs w:val="22"/>
        </w:rPr>
        <w:t xml:space="preserve"> tonnes, of which more than </w:t>
      </w:r>
      <w:r w:rsidR="00776638">
        <w:rPr>
          <w:rFonts w:cs="Times New Roman"/>
          <w:color w:val="000000" w:themeColor="text1"/>
          <w:szCs w:val="22"/>
        </w:rPr>
        <w:t>8</w:t>
      </w:r>
      <w:r w:rsidRPr="001248E9">
        <w:rPr>
          <w:rFonts w:cs="Times New Roman"/>
          <w:color w:val="000000" w:themeColor="text1"/>
          <w:szCs w:val="22"/>
        </w:rPr>
        <w:t>1% is hydrocarbons and the balance a rapidly declining bank of just 1</w:t>
      </w:r>
      <w:r w:rsidR="00776638">
        <w:rPr>
          <w:rFonts w:cs="Times New Roman"/>
          <w:color w:val="000000" w:themeColor="text1"/>
          <w:szCs w:val="22"/>
        </w:rPr>
        <w:t>84</w:t>
      </w:r>
      <w:r w:rsidRPr="001248E9">
        <w:rPr>
          <w:rFonts w:cs="Times New Roman"/>
          <w:color w:val="000000" w:themeColor="text1"/>
          <w:szCs w:val="22"/>
        </w:rPr>
        <w:t xml:space="preserve"> tonnes of HFC-134a. </w:t>
      </w:r>
    </w:p>
    <w:p w14:paraId="11E863C8" w14:textId="77777777" w:rsidR="00E42FBC" w:rsidRDefault="00E42FBC" w:rsidP="009A23AA">
      <w:pPr>
        <w:snapToGrid w:val="0"/>
        <w:rPr>
          <w:rFonts w:cs="Times New Roman"/>
          <w:color w:val="000000" w:themeColor="text1"/>
          <w:szCs w:val="22"/>
        </w:rPr>
      </w:pPr>
      <w:r w:rsidRPr="001248E9">
        <w:rPr>
          <w:rFonts w:cs="Times New Roman"/>
          <w:color w:val="000000" w:themeColor="text1"/>
          <w:szCs w:val="22"/>
        </w:rPr>
        <w:t xml:space="preserve">While domestic refrigeration has been a smaller and declining portion of the bank since the mid-90s, this class is a good example of how quickly the composition of the bank can change, when the technological and market circumstances align. </w:t>
      </w:r>
    </w:p>
    <w:p w14:paraId="1B48A89B" w14:textId="77777777" w:rsidR="00E42FBC" w:rsidRPr="001248E9" w:rsidRDefault="00E42FBC" w:rsidP="009A23AA">
      <w:pPr>
        <w:snapToGrid w:val="0"/>
        <w:rPr>
          <w:rFonts w:cs="Times New Roman"/>
          <w:color w:val="000000" w:themeColor="text1"/>
          <w:szCs w:val="22"/>
        </w:rPr>
      </w:pPr>
      <w:r w:rsidRPr="001248E9">
        <w:rPr>
          <w:rFonts w:cs="Times New Roman"/>
          <w:color w:val="000000" w:themeColor="text1"/>
          <w:szCs w:val="22"/>
        </w:rPr>
        <w:t>Domestic refrigeration and freezer manufacturers, who have been continuously improving designs and cutting production costs in a highly competitive market for more than 70 years, realised that energy efficiency gains and cost savings were available by moving to small hydrocarbon charges. This is a trend that has been underway for more than a decade and is now almost universal in this class.</w:t>
      </w:r>
    </w:p>
    <w:p w14:paraId="4D78F795" w14:textId="77777777" w:rsidR="00E42FBC" w:rsidRDefault="00E42FBC" w:rsidP="009A23AA">
      <w:r>
        <w:t xml:space="preserve">As a result, coupled with improved containment, the move to HCs means that the contribution of domestic refrigeration to annual direct emissions of SGGs is predicted to decline rapidly towards zero in the projection period. </w:t>
      </w:r>
    </w:p>
    <w:p w14:paraId="34BEEE97" w14:textId="77777777" w:rsidR="00E42FBC" w:rsidRDefault="00E42FBC" w:rsidP="009A23AA"/>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E42FBC" w:rsidRPr="00613398" w14:paraId="1FAD07A7" w14:textId="77777777" w:rsidTr="00E42FBC">
        <w:tc>
          <w:tcPr>
            <w:tcW w:w="9759" w:type="dxa"/>
            <w:vAlign w:val="center"/>
          </w:tcPr>
          <w:p w14:paraId="29619565" w14:textId="380E385A" w:rsidR="00E42FBC" w:rsidRPr="000A23F9" w:rsidRDefault="00E42FBC" w:rsidP="00776638">
            <w:pPr>
              <w:spacing w:after="120"/>
              <w:jc w:val="center"/>
              <w:rPr>
                <w:rFonts w:cs="Times New Roman"/>
                <w:b/>
              </w:rPr>
            </w:pPr>
            <w:r w:rsidRPr="000A23F9">
              <w:rPr>
                <w:rFonts w:cs="Times New Roman"/>
                <w:b/>
              </w:rPr>
              <w:br w:type="page"/>
            </w:r>
            <w:r>
              <w:rPr>
                <w:rFonts w:cs="Times New Roman"/>
                <w:b/>
              </w:rPr>
              <w:t xml:space="preserve">Domestic refrigeration: Direct emissions by species from </w:t>
            </w:r>
            <w:r w:rsidRPr="000A23F9">
              <w:rPr>
                <w:rFonts w:cs="Times New Roman"/>
                <w:b/>
              </w:rPr>
              <w:t>201</w:t>
            </w:r>
            <w:r>
              <w:rPr>
                <w:rFonts w:cs="Times New Roman"/>
                <w:b/>
              </w:rPr>
              <w:t>8</w:t>
            </w:r>
            <w:r w:rsidRPr="000A23F9">
              <w:rPr>
                <w:rFonts w:cs="Times New Roman"/>
                <w:b/>
              </w:rPr>
              <w:t xml:space="preserve"> to 20</w:t>
            </w:r>
            <w:r>
              <w:rPr>
                <w:rFonts w:cs="Times New Roman"/>
                <w:b/>
              </w:rPr>
              <w:t>30</w:t>
            </w:r>
            <w:r w:rsidRPr="000A23F9">
              <w:rPr>
                <w:rFonts w:cs="Times New Roman"/>
                <w:b/>
              </w:rPr>
              <w:t xml:space="preserve"> (</w:t>
            </w:r>
            <w:r>
              <w:rPr>
                <w:rFonts w:cs="Times New Roman"/>
                <w:b/>
              </w:rPr>
              <w:t>Mt CO</w:t>
            </w:r>
            <w:r w:rsidRPr="00B918A6">
              <w:rPr>
                <w:rFonts w:cs="Times New Roman"/>
                <w:b/>
                <w:vertAlign w:val="subscript"/>
              </w:rPr>
              <w:t>2</w:t>
            </w:r>
            <w:r>
              <w:rPr>
                <w:rFonts w:cs="Times New Roman"/>
                <w:b/>
              </w:rPr>
              <w:t>e</w:t>
            </w:r>
            <w:r w:rsidRPr="000A23F9">
              <w:rPr>
                <w:rFonts w:cs="Times New Roman"/>
                <w:b/>
              </w:rPr>
              <w:t>)</w:t>
            </w:r>
          </w:p>
        </w:tc>
      </w:tr>
      <w:tr w:rsidR="00E42FBC" w:rsidRPr="000A23F9" w14:paraId="49157AFB" w14:textId="77777777" w:rsidTr="00776638">
        <w:tc>
          <w:tcPr>
            <w:tcW w:w="9759" w:type="dxa"/>
            <w:vAlign w:val="center"/>
          </w:tcPr>
          <w:p w14:paraId="4C0B61D7" w14:textId="77777777" w:rsidR="00E42FBC" w:rsidRPr="000A23F9" w:rsidRDefault="00E42FBC" w:rsidP="00776638">
            <w:pPr>
              <w:spacing w:before="60" w:after="60"/>
              <w:jc w:val="center"/>
              <w:rPr>
                <w:rFonts w:cs="Times New Roman"/>
                <w:sz w:val="16"/>
                <w:szCs w:val="16"/>
              </w:rPr>
            </w:pPr>
          </w:p>
          <w:p w14:paraId="6BB55C94" w14:textId="0856F109" w:rsidR="00E42FBC" w:rsidRPr="000A23F9" w:rsidRDefault="00776638" w:rsidP="00776638">
            <w:pPr>
              <w:spacing w:before="60" w:after="60"/>
              <w:jc w:val="center"/>
              <w:rPr>
                <w:rFonts w:cs="Times New Roman"/>
                <w:sz w:val="16"/>
                <w:szCs w:val="16"/>
              </w:rPr>
            </w:pPr>
            <w:r>
              <w:rPr>
                <w:noProof/>
                <w:lang w:val="en-AU" w:eastAsia="en-AU"/>
              </w:rPr>
              <w:drawing>
                <wp:inline distT="0" distB="0" distL="0" distR="0" wp14:anchorId="0A699B3F" wp14:editId="1075837A">
                  <wp:extent cx="6030595" cy="207581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30595" cy="2075815"/>
                          </a:xfrm>
                          <a:prstGeom prst="rect">
                            <a:avLst/>
                          </a:prstGeom>
                        </pic:spPr>
                      </pic:pic>
                    </a:graphicData>
                  </a:graphic>
                </wp:inline>
              </w:drawing>
            </w:r>
          </w:p>
          <w:p w14:paraId="27AD940D" w14:textId="77777777" w:rsidR="00E42FBC" w:rsidRPr="000A23F9" w:rsidRDefault="00E42FBC" w:rsidP="00776638">
            <w:pPr>
              <w:spacing w:before="60" w:after="60"/>
              <w:jc w:val="center"/>
              <w:rPr>
                <w:rFonts w:cs="Times New Roman"/>
                <w:sz w:val="16"/>
                <w:szCs w:val="16"/>
              </w:rPr>
            </w:pPr>
          </w:p>
        </w:tc>
      </w:tr>
      <w:tr w:rsidR="00E42FBC" w:rsidRPr="000A23F9" w14:paraId="3FB63D6D" w14:textId="77777777" w:rsidTr="00E42FBC">
        <w:tc>
          <w:tcPr>
            <w:tcW w:w="9759" w:type="dxa"/>
            <w:vAlign w:val="center"/>
          </w:tcPr>
          <w:p w14:paraId="581BDB3B" w14:textId="1B891614" w:rsidR="00E42FBC" w:rsidRPr="0023612A" w:rsidRDefault="00E42FBC" w:rsidP="009A23AA">
            <w:pPr>
              <w:pStyle w:val="Caption"/>
            </w:pPr>
            <w:bookmarkStart w:id="96" w:name="_Toc19601341"/>
            <w:r w:rsidRPr="0023612A">
              <w:t xml:space="preserve">Figure </w:t>
            </w:r>
            <w:r>
              <w:rPr>
                <w:noProof/>
              </w:rPr>
              <w:fldChar w:fldCharType="begin"/>
            </w:r>
            <w:r>
              <w:rPr>
                <w:noProof/>
              </w:rPr>
              <w:instrText xml:space="preserve"> SEQ Figure \* ARABIC </w:instrText>
            </w:r>
            <w:r>
              <w:rPr>
                <w:noProof/>
              </w:rPr>
              <w:fldChar w:fldCharType="separate"/>
            </w:r>
            <w:r w:rsidR="001D0DA3">
              <w:rPr>
                <w:noProof/>
              </w:rPr>
              <w:t>19</w:t>
            </w:r>
            <w:r>
              <w:rPr>
                <w:noProof/>
              </w:rPr>
              <w:fldChar w:fldCharType="end"/>
            </w:r>
            <w:r w:rsidRPr="0023612A">
              <w:t xml:space="preserve">: </w:t>
            </w:r>
            <w:r w:rsidRPr="0023612A">
              <w:rPr>
                <w:bCs w:val="0"/>
              </w:rPr>
              <w:t>Domestic refrigeration: Direct emissions by species from 201</w:t>
            </w:r>
            <w:r w:rsidR="00E71FA2">
              <w:rPr>
                <w:bCs w:val="0"/>
              </w:rPr>
              <w:t>8</w:t>
            </w:r>
            <w:r w:rsidRPr="0023612A">
              <w:rPr>
                <w:bCs w:val="0"/>
              </w:rPr>
              <w:t xml:space="preserve"> to 2030 in Mt CO</w:t>
            </w:r>
            <w:r w:rsidRPr="0023612A">
              <w:rPr>
                <w:bCs w:val="0"/>
                <w:vertAlign w:val="subscript"/>
              </w:rPr>
              <w:t>2</w:t>
            </w:r>
            <w:r w:rsidRPr="0023612A">
              <w:rPr>
                <w:bCs w:val="0"/>
              </w:rPr>
              <w:t>e.</w:t>
            </w:r>
            <w:bookmarkEnd w:id="96"/>
          </w:p>
        </w:tc>
      </w:tr>
    </w:tbl>
    <w:p w14:paraId="4D5F5404" w14:textId="109DDDCF" w:rsidR="00E42FBC" w:rsidRPr="00573A8B" w:rsidRDefault="00E42FBC" w:rsidP="009A23AA">
      <w:pPr>
        <w:spacing w:before="0"/>
        <w:rPr>
          <w:rFonts w:cs="Times New Roman"/>
          <w:sz w:val="20"/>
          <w:szCs w:val="20"/>
          <w:lang w:val="en-US"/>
        </w:rPr>
      </w:pPr>
      <w:r w:rsidRPr="00573A8B">
        <w:rPr>
          <w:rFonts w:cs="Times New Roman"/>
          <w:sz w:val="20"/>
          <w:szCs w:val="20"/>
          <w:lang w:val="en-US"/>
        </w:rPr>
        <w:t xml:space="preserve">(Source: </w:t>
      </w:r>
      <w:r w:rsidR="00E81AAB">
        <w:rPr>
          <w:rFonts w:cs="Times New Roman"/>
          <w:sz w:val="20"/>
          <w:szCs w:val="20"/>
        </w:rPr>
        <w:t>CHF 2019</w:t>
      </w:r>
      <w:r>
        <w:rPr>
          <w:rFonts w:cs="Times New Roman"/>
          <w:sz w:val="20"/>
          <w:szCs w:val="20"/>
        </w:rPr>
        <w:t xml:space="preserve"> RAC Stock model</w:t>
      </w:r>
      <w:r w:rsidRPr="00573A8B">
        <w:rPr>
          <w:rFonts w:cs="Times New Roman"/>
          <w:sz w:val="20"/>
          <w:szCs w:val="20"/>
          <w:lang w:val="en-US"/>
        </w:rPr>
        <w:t>)</w:t>
      </w:r>
    </w:p>
    <w:p w14:paraId="74C5D98B" w14:textId="75802720" w:rsidR="00E42FBC" w:rsidRDefault="00E42FBC" w:rsidP="009A23AA"/>
    <w:p w14:paraId="692191BE" w14:textId="77777777" w:rsidR="009D7051" w:rsidRDefault="009D7051">
      <w:pPr>
        <w:spacing w:before="0"/>
        <w:jc w:val="left"/>
        <w:rPr>
          <w:rFonts w:ascii="Calibri" w:eastAsia="Times New Roman" w:hAnsi="Calibri" w:cs="Times New Roman"/>
          <w:b/>
          <w:bCs/>
          <w:kern w:val="32"/>
          <w:sz w:val="32"/>
          <w:szCs w:val="32"/>
          <w:lang w:val="en-US"/>
        </w:rPr>
      </w:pPr>
      <w:bookmarkStart w:id="97" w:name="_Toc494661746"/>
      <w:r>
        <w:br w:type="page"/>
      </w:r>
    </w:p>
    <w:p w14:paraId="4BF41FC3" w14:textId="24B25989" w:rsidR="00E42FBC" w:rsidRDefault="00E42FBC" w:rsidP="009A23AA">
      <w:pPr>
        <w:pStyle w:val="Heading1"/>
        <w:jc w:val="both"/>
      </w:pPr>
      <w:bookmarkStart w:id="98" w:name="_Toc19601307"/>
      <w:r w:rsidRPr="000226CB">
        <w:t xml:space="preserve">The </w:t>
      </w:r>
      <w:r>
        <w:t>refrigerant</w:t>
      </w:r>
      <w:bookmarkEnd w:id="97"/>
      <w:r>
        <w:t xml:space="preserve"> bank</w:t>
      </w:r>
      <w:bookmarkEnd w:id="98"/>
    </w:p>
    <w:p w14:paraId="66D708DA" w14:textId="255C2D8E" w:rsidR="00CA2289" w:rsidRPr="00FC6F65" w:rsidRDefault="00CA2289" w:rsidP="009A23AA">
      <w:pPr>
        <w:rPr>
          <w:szCs w:val="22"/>
        </w:rPr>
      </w:pPr>
      <w:r w:rsidRPr="00FC6F65">
        <w:rPr>
          <w:szCs w:val="22"/>
        </w:rPr>
        <w:t xml:space="preserve">The common denominator of all </w:t>
      </w:r>
      <w:r>
        <w:rPr>
          <w:szCs w:val="22"/>
        </w:rPr>
        <w:t xml:space="preserve">vapour compression </w:t>
      </w:r>
      <w:r w:rsidRPr="00FC6F65">
        <w:rPr>
          <w:szCs w:val="22"/>
        </w:rPr>
        <w:t>air conditioning and refrigeration</w:t>
      </w:r>
      <w:r>
        <w:rPr>
          <w:szCs w:val="22"/>
        </w:rPr>
        <w:t xml:space="preserve"> </w:t>
      </w:r>
      <w:r w:rsidRPr="00FC6F65">
        <w:rPr>
          <w:szCs w:val="22"/>
        </w:rPr>
        <w:t>is th</w:t>
      </w:r>
      <w:r>
        <w:rPr>
          <w:szCs w:val="22"/>
        </w:rPr>
        <w:t>at it employs a thermal media; the</w:t>
      </w:r>
      <w:r w:rsidRPr="00FC6F65">
        <w:rPr>
          <w:szCs w:val="22"/>
        </w:rPr>
        <w:t xml:space="preserve"> working </w:t>
      </w:r>
      <w:r>
        <w:rPr>
          <w:szCs w:val="22"/>
        </w:rPr>
        <w:t>refrigerants</w:t>
      </w:r>
      <w:r w:rsidRPr="00FC6F65">
        <w:rPr>
          <w:szCs w:val="22"/>
        </w:rPr>
        <w:t xml:space="preserve"> that are the medium for transferring heat. The sum of all </w:t>
      </w:r>
      <w:r>
        <w:rPr>
          <w:szCs w:val="22"/>
        </w:rPr>
        <w:t>refrigerant</w:t>
      </w:r>
      <w:r w:rsidRPr="00FC6F65">
        <w:rPr>
          <w:szCs w:val="22"/>
        </w:rPr>
        <w:t xml:space="preserve"> contained in RAC equipment </w:t>
      </w:r>
      <w:r>
        <w:rPr>
          <w:szCs w:val="22"/>
        </w:rPr>
        <w:t>is</w:t>
      </w:r>
      <w:r w:rsidRPr="00FC6F65">
        <w:rPr>
          <w:szCs w:val="22"/>
        </w:rPr>
        <w:t xml:space="preserve"> referred to as ‘the bank’ of </w:t>
      </w:r>
      <w:r>
        <w:rPr>
          <w:szCs w:val="22"/>
        </w:rPr>
        <w:t>working refrigerants</w:t>
      </w:r>
      <w:r w:rsidRPr="00FC6F65">
        <w:rPr>
          <w:szCs w:val="22"/>
        </w:rPr>
        <w:t>.</w:t>
      </w:r>
    </w:p>
    <w:p w14:paraId="627B73C7" w14:textId="77777777" w:rsidR="00CA2289" w:rsidRDefault="00CA2289" w:rsidP="009A23AA">
      <w:pPr>
        <w:rPr>
          <w:szCs w:val="22"/>
        </w:rPr>
      </w:pPr>
      <w:r>
        <w:rPr>
          <w:szCs w:val="22"/>
        </w:rPr>
        <w:t xml:space="preserve">Over the past century, as the RAC industry and technology has developed and expanded to become one of the cornerstone technologies of modern society, the nature of the bank has also changed and evolved, and grown significantly. Originally starting with common compounds such as ammonia, sulphur dioxide and methyl chloride, the bank today is populated by dozens of synthetic and natural refrigerants, all with varying properties and attributes suitable for different applications. </w:t>
      </w:r>
    </w:p>
    <w:p w14:paraId="3515784E" w14:textId="67A0E667" w:rsidR="00CA2289" w:rsidRDefault="00CA2289" w:rsidP="009A23AA">
      <w:pPr>
        <w:rPr>
          <w:szCs w:val="22"/>
        </w:rPr>
      </w:pPr>
      <w:r>
        <w:rPr>
          <w:szCs w:val="22"/>
        </w:rPr>
        <w:t xml:space="preserve">The stock of equipment is hugely varied as is the size of the refrigerant charges in </w:t>
      </w:r>
      <w:r w:rsidR="00012549">
        <w:rPr>
          <w:szCs w:val="22"/>
        </w:rPr>
        <w:t>it</w:t>
      </w:r>
      <w:r>
        <w:rPr>
          <w:szCs w:val="22"/>
        </w:rPr>
        <w:t xml:space="preserve">, from small benchtop drink merchandisers with less than 30 grams of HCs, to large chillers with 1,500 kilograms of HFCs cooling enormous structures like airport terminals. </w:t>
      </w:r>
    </w:p>
    <w:p w14:paraId="13B5081A" w14:textId="78D2FD1F" w:rsidR="00CA2289" w:rsidRDefault="00CA2289" w:rsidP="009A23AA">
      <w:pPr>
        <w:rPr>
          <w:szCs w:val="22"/>
        </w:rPr>
      </w:pPr>
      <w:r>
        <w:rPr>
          <w:szCs w:val="22"/>
        </w:rPr>
        <w:t xml:space="preserve">Having successfully </w:t>
      </w:r>
      <w:r w:rsidR="00012549">
        <w:rPr>
          <w:szCs w:val="22"/>
        </w:rPr>
        <w:t>implemented</w:t>
      </w:r>
      <w:r>
        <w:rPr>
          <w:szCs w:val="22"/>
        </w:rPr>
        <w:t xml:space="preserve"> an international phase out of ozone depleting refrigerants, a process that is now well advanced, international governments and the refrigerants industry have now </w:t>
      </w:r>
      <w:r w:rsidR="00F36A7D">
        <w:rPr>
          <w:szCs w:val="22"/>
        </w:rPr>
        <w:t>agreed to</w:t>
      </w:r>
      <w:r>
        <w:rPr>
          <w:szCs w:val="22"/>
        </w:rPr>
        <w:t xml:space="preserve"> a phase down of HFC refrigerant</w:t>
      </w:r>
      <w:r w:rsidR="00B518DB">
        <w:rPr>
          <w:szCs w:val="22"/>
        </w:rPr>
        <w:t xml:space="preserve"> production</w:t>
      </w:r>
      <w:r w:rsidR="00F36A7D">
        <w:rPr>
          <w:szCs w:val="22"/>
        </w:rPr>
        <w:t>,</w:t>
      </w:r>
      <w:r>
        <w:rPr>
          <w:szCs w:val="22"/>
        </w:rPr>
        <w:t xml:space="preserve"> to further minimise the impact of emissions of refrigerants on overall greenhouse emissions. This is resulting in increasing diversity in the types of refrigerants employed in equipment as a fourth generation of refrigerants is developed and tested, and existing natural refrigerants find wider applications.</w:t>
      </w:r>
    </w:p>
    <w:p w14:paraId="23049707" w14:textId="77777777" w:rsidR="00CA2289" w:rsidRDefault="00CA2289" w:rsidP="009A23AA">
      <w:pPr>
        <w:spacing w:before="0"/>
        <w:rPr>
          <w:szCs w:val="22"/>
        </w:rPr>
      </w:pP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0"/>
      </w:tblGrid>
      <w:tr w:rsidR="00CA2289" w:rsidRPr="005D159D" w14:paraId="06C407EC" w14:textId="77777777" w:rsidTr="00D306E9">
        <w:tc>
          <w:tcPr>
            <w:tcW w:w="9490" w:type="dxa"/>
            <w:vAlign w:val="center"/>
          </w:tcPr>
          <w:p w14:paraId="0222A942" w14:textId="1991CC1F" w:rsidR="00CA2289" w:rsidRPr="005D159D" w:rsidRDefault="00CA2289" w:rsidP="00D306E9">
            <w:pPr>
              <w:spacing w:after="120"/>
              <w:jc w:val="center"/>
              <w:rPr>
                <w:b/>
                <w:sz w:val="24"/>
              </w:rPr>
            </w:pPr>
            <w:r w:rsidRPr="005D159D">
              <w:rPr>
                <w:b/>
                <w:sz w:val="24"/>
              </w:rPr>
              <w:br w:type="page"/>
            </w:r>
            <w:r w:rsidR="007F3C9D">
              <w:rPr>
                <w:b/>
                <w:sz w:val="24"/>
              </w:rPr>
              <w:t>HCFC and HFC</w:t>
            </w:r>
            <w:r w:rsidR="00F36A7D">
              <w:rPr>
                <w:b/>
                <w:sz w:val="24"/>
              </w:rPr>
              <w:t xml:space="preserve"> </w:t>
            </w:r>
            <w:r>
              <w:rPr>
                <w:b/>
                <w:sz w:val="24"/>
              </w:rPr>
              <w:t xml:space="preserve">Refrigerant bank </w:t>
            </w:r>
            <w:r w:rsidR="00F36A7D">
              <w:rPr>
                <w:b/>
                <w:sz w:val="24"/>
              </w:rPr>
              <w:t xml:space="preserve">in Australia </w:t>
            </w:r>
            <w:r>
              <w:rPr>
                <w:b/>
                <w:sz w:val="24"/>
              </w:rPr>
              <w:t>from 2006 to 2018 (tonnes)</w:t>
            </w:r>
          </w:p>
        </w:tc>
      </w:tr>
      <w:tr w:rsidR="00CA2289" w:rsidRPr="00BD20BC" w14:paraId="50315813" w14:textId="77777777" w:rsidTr="00D306E9">
        <w:tc>
          <w:tcPr>
            <w:tcW w:w="9490" w:type="dxa"/>
            <w:vAlign w:val="center"/>
          </w:tcPr>
          <w:p w14:paraId="29708C08" w14:textId="77777777" w:rsidR="00CA2289" w:rsidRDefault="00CA2289" w:rsidP="00D306E9">
            <w:pPr>
              <w:spacing w:before="60" w:after="60"/>
              <w:jc w:val="center"/>
              <w:rPr>
                <w:sz w:val="16"/>
                <w:szCs w:val="16"/>
              </w:rPr>
            </w:pPr>
          </w:p>
          <w:p w14:paraId="5DB8C837" w14:textId="335C3ECC" w:rsidR="00CA2289" w:rsidRDefault="00316CE5" w:rsidP="00D306E9">
            <w:pPr>
              <w:spacing w:before="60" w:after="60"/>
              <w:jc w:val="center"/>
              <w:rPr>
                <w:sz w:val="16"/>
                <w:szCs w:val="16"/>
              </w:rPr>
            </w:pPr>
            <w:r>
              <w:rPr>
                <w:noProof/>
                <w:lang w:val="en-AU" w:eastAsia="en-AU"/>
              </w:rPr>
              <w:drawing>
                <wp:inline distT="0" distB="0" distL="0" distR="0" wp14:anchorId="74E1F731" wp14:editId="11535665">
                  <wp:extent cx="5760000" cy="3240000"/>
                  <wp:effectExtent l="0" t="0" r="635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00" cy="3240000"/>
                          </a:xfrm>
                          <a:prstGeom prst="rect">
                            <a:avLst/>
                          </a:prstGeom>
                        </pic:spPr>
                      </pic:pic>
                    </a:graphicData>
                  </a:graphic>
                </wp:inline>
              </w:drawing>
            </w:r>
          </w:p>
          <w:p w14:paraId="14E5D537" w14:textId="77777777" w:rsidR="00CA2289" w:rsidRPr="00BD20BC" w:rsidRDefault="00CA2289" w:rsidP="00D306E9">
            <w:pPr>
              <w:spacing w:before="60" w:after="60"/>
              <w:jc w:val="center"/>
              <w:rPr>
                <w:sz w:val="16"/>
                <w:szCs w:val="16"/>
              </w:rPr>
            </w:pPr>
          </w:p>
        </w:tc>
      </w:tr>
      <w:tr w:rsidR="00CA2289" w:rsidRPr="00573A8B" w14:paraId="535AB189" w14:textId="77777777" w:rsidTr="00D306E9">
        <w:tc>
          <w:tcPr>
            <w:tcW w:w="9490" w:type="dxa"/>
            <w:vAlign w:val="center"/>
          </w:tcPr>
          <w:p w14:paraId="100CBA7B" w14:textId="7753EAB9" w:rsidR="00CA2289" w:rsidRPr="00036F8F" w:rsidRDefault="00CA2289" w:rsidP="009A23AA">
            <w:pPr>
              <w:pStyle w:val="Caption"/>
              <w:rPr>
                <w:szCs w:val="22"/>
              </w:rPr>
            </w:pPr>
            <w:bookmarkStart w:id="99" w:name="_Toc525141336"/>
            <w:bookmarkStart w:id="100" w:name="_Toc19601342"/>
            <w:r w:rsidRPr="00036F8F">
              <w:t xml:space="preserve">Figure </w:t>
            </w:r>
            <w:r>
              <w:rPr>
                <w:noProof/>
              </w:rPr>
              <w:fldChar w:fldCharType="begin"/>
            </w:r>
            <w:r>
              <w:rPr>
                <w:noProof/>
              </w:rPr>
              <w:instrText xml:space="preserve"> SEQ Figure \* ARABIC </w:instrText>
            </w:r>
            <w:r>
              <w:rPr>
                <w:noProof/>
              </w:rPr>
              <w:fldChar w:fldCharType="separate"/>
            </w:r>
            <w:r w:rsidR="001D0DA3">
              <w:rPr>
                <w:noProof/>
              </w:rPr>
              <w:t>20</w:t>
            </w:r>
            <w:r>
              <w:rPr>
                <w:noProof/>
              </w:rPr>
              <w:fldChar w:fldCharType="end"/>
            </w:r>
            <w:r w:rsidRPr="00036F8F">
              <w:rPr>
                <w:szCs w:val="22"/>
              </w:rPr>
              <w:t xml:space="preserve">: The </w:t>
            </w:r>
            <w:r w:rsidR="007F3C9D">
              <w:rPr>
                <w:szCs w:val="22"/>
              </w:rPr>
              <w:t>HCFC and HFC R</w:t>
            </w:r>
            <w:r w:rsidRPr="00036F8F">
              <w:rPr>
                <w:szCs w:val="22"/>
              </w:rPr>
              <w:t>efrigerant bank from 2006 to 201</w:t>
            </w:r>
            <w:r>
              <w:rPr>
                <w:szCs w:val="22"/>
              </w:rPr>
              <w:t>8</w:t>
            </w:r>
            <w:r w:rsidRPr="00036F8F">
              <w:rPr>
                <w:szCs w:val="22"/>
              </w:rPr>
              <w:t xml:space="preserve">, and sensitivity analysis in </w:t>
            </w:r>
            <w:proofErr w:type="spellStart"/>
            <w:r w:rsidRPr="00036F8F">
              <w:rPr>
                <w:szCs w:val="22"/>
              </w:rPr>
              <w:t>tonnes</w:t>
            </w:r>
            <w:proofErr w:type="spellEnd"/>
            <w:r w:rsidRPr="00036F8F">
              <w:rPr>
                <w:szCs w:val="22"/>
              </w:rPr>
              <w:t>.</w:t>
            </w:r>
            <w:bookmarkEnd w:id="99"/>
            <w:bookmarkEnd w:id="100"/>
          </w:p>
        </w:tc>
      </w:tr>
    </w:tbl>
    <w:p w14:paraId="5959BF17" w14:textId="77777777" w:rsidR="00CA2289" w:rsidRDefault="00CA2289" w:rsidP="009A23AA">
      <w:pPr>
        <w:spacing w:before="0"/>
        <w:rPr>
          <w:sz w:val="20"/>
          <w:szCs w:val="20"/>
        </w:rPr>
      </w:pPr>
      <w:r w:rsidRPr="00116557">
        <w:rPr>
          <w:sz w:val="20"/>
          <w:szCs w:val="20"/>
        </w:rPr>
        <w:t>(Sources:</w:t>
      </w:r>
      <w:r>
        <w:rPr>
          <w:sz w:val="20"/>
          <w:szCs w:val="20"/>
        </w:rPr>
        <w:t xml:space="preserve"> CHF1, CHF2 and CHF3 RAC Stock models)</w:t>
      </w:r>
    </w:p>
    <w:p w14:paraId="6304CBE4" w14:textId="77777777" w:rsidR="00CA2289" w:rsidRDefault="00CA2289" w:rsidP="009A23AA">
      <w:pPr>
        <w:spacing w:before="0"/>
        <w:rPr>
          <w:sz w:val="20"/>
          <w:szCs w:val="20"/>
        </w:rPr>
      </w:pPr>
    </w:p>
    <w:p w14:paraId="4A0ED14E" w14:textId="77777777" w:rsidR="00CA2289" w:rsidRDefault="00CA2289" w:rsidP="009A23AA">
      <w:pPr>
        <w:spacing w:before="0"/>
        <w:rPr>
          <w:sz w:val="20"/>
          <w:szCs w:val="20"/>
        </w:rPr>
      </w:pPr>
      <w:r>
        <w:rPr>
          <w:sz w:val="20"/>
          <w:szCs w:val="20"/>
        </w:rPr>
        <w:t>Notes:</w:t>
      </w:r>
    </w:p>
    <w:p w14:paraId="35807142" w14:textId="77777777" w:rsidR="00CA2289" w:rsidRPr="00F76B96" w:rsidRDefault="00CA2289" w:rsidP="009A23AA">
      <w:pPr>
        <w:pStyle w:val="ListParagraph"/>
        <w:numPr>
          <w:ilvl w:val="0"/>
          <w:numId w:val="34"/>
        </w:numPr>
        <w:spacing w:before="60" w:after="60" w:line="240" w:lineRule="auto"/>
        <w:contextualSpacing w:val="0"/>
        <w:jc w:val="both"/>
        <w:rPr>
          <w:rFonts w:ascii="Times New Roman" w:hAnsi="Times New Roman"/>
          <w:sz w:val="20"/>
          <w:szCs w:val="20"/>
          <w:lang w:val="en-AU"/>
        </w:rPr>
      </w:pPr>
      <w:r w:rsidRPr="00F76B96">
        <w:rPr>
          <w:rFonts w:ascii="Times New Roman" w:hAnsi="Times New Roman"/>
          <w:sz w:val="20"/>
          <w:szCs w:val="20"/>
          <w:lang w:val="en-AU"/>
        </w:rPr>
        <w:t xml:space="preserve">The band </w:t>
      </w:r>
      <w:r>
        <w:rPr>
          <w:rFonts w:ascii="Times New Roman" w:hAnsi="Times New Roman"/>
          <w:sz w:val="20"/>
          <w:szCs w:val="20"/>
          <w:lang w:val="en-AU"/>
        </w:rPr>
        <w:t xml:space="preserve">provides </w:t>
      </w:r>
      <w:r w:rsidRPr="00F76B96">
        <w:rPr>
          <w:rFonts w:ascii="Times New Roman" w:hAnsi="Times New Roman"/>
          <w:sz w:val="20"/>
          <w:szCs w:val="20"/>
          <w:lang w:val="en-AU"/>
        </w:rPr>
        <w:t>sensitivity analysis with the 2006 value (+20%, -5%), 2012 plus (+10%, -5%)</w:t>
      </w:r>
      <w:r>
        <w:rPr>
          <w:rFonts w:ascii="Times New Roman" w:hAnsi="Times New Roman"/>
          <w:sz w:val="20"/>
          <w:szCs w:val="20"/>
          <w:lang w:val="en-AU"/>
        </w:rPr>
        <w:t>,</w:t>
      </w:r>
      <w:r w:rsidRPr="00F76B96">
        <w:rPr>
          <w:rFonts w:ascii="Times New Roman" w:hAnsi="Times New Roman"/>
          <w:sz w:val="20"/>
          <w:szCs w:val="20"/>
          <w:lang w:val="en-AU"/>
        </w:rPr>
        <w:t xml:space="preserve"> 2016 </w:t>
      </w:r>
      <w:r>
        <w:rPr>
          <w:rFonts w:ascii="Times New Roman" w:hAnsi="Times New Roman"/>
          <w:sz w:val="20"/>
          <w:szCs w:val="20"/>
          <w:lang w:val="en-AU"/>
        </w:rPr>
        <w:t xml:space="preserve">and 2018 </w:t>
      </w:r>
      <w:r w:rsidRPr="00F76B96">
        <w:rPr>
          <w:rFonts w:ascii="Times New Roman" w:hAnsi="Times New Roman"/>
          <w:sz w:val="20"/>
          <w:szCs w:val="20"/>
          <w:lang w:val="en-AU"/>
        </w:rPr>
        <w:t>value</w:t>
      </w:r>
      <w:r>
        <w:rPr>
          <w:rFonts w:ascii="Times New Roman" w:hAnsi="Times New Roman"/>
          <w:sz w:val="20"/>
          <w:szCs w:val="20"/>
          <w:lang w:val="en-AU"/>
        </w:rPr>
        <w:t>s</w:t>
      </w:r>
      <w:r w:rsidRPr="00F76B96">
        <w:rPr>
          <w:rFonts w:ascii="Times New Roman" w:hAnsi="Times New Roman"/>
          <w:sz w:val="20"/>
          <w:szCs w:val="20"/>
          <w:lang w:val="en-AU"/>
        </w:rPr>
        <w:t xml:space="preserve"> (+5%, -5%).</w:t>
      </w:r>
      <w:r>
        <w:rPr>
          <w:rFonts w:ascii="Times New Roman" w:hAnsi="Times New Roman"/>
          <w:sz w:val="20"/>
          <w:szCs w:val="20"/>
          <w:lang w:val="en-AU"/>
        </w:rPr>
        <w:t xml:space="preserve"> In CHF2 </w:t>
      </w:r>
      <w:r w:rsidRPr="00F76B96">
        <w:rPr>
          <w:rFonts w:ascii="Times New Roman" w:hAnsi="Times New Roman"/>
          <w:sz w:val="20"/>
          <w:szCs w:val="20"/>
          <w:lang w:val="en-AU"/>
        </w:rPr>
        <w:t>the authors concluded that the 2006 bank was likely to have been underestimated by no more than 10%</w:t>
      </w:r>
      <w:r>
        <w:rPr>
          <w:rFonts w:ascii="Times New Roman" w:hAnsi="Times New Roman"/>
          <w:sz w:val="20"/>
          <w:szCs w:val="20"/>
          <w:lang w:val="en-AU"/>
        </w:rPr>
        <w:t>, the value of 33,185 tonnes represents higher estimate.</w:t>
      </w:r>
    </w:p>
    <w:p w14:paraId="7386AAD7" w14:textId="3D22C3CD" w:rsidR="00CA2289" w:rsidRPr="00670A4E" w:rsidRDefault="00CA2289" w:rsidP="009A23AA">
      <w:pPr>
        <w:rPr>
          <w:szCs w:val="22"/>
        </w:rPr>
      </w:pPr>
      <w:r w:rsidRPr="00670A4E">
        <w:rPr>
          <w:szCs w:val="22"/>
        </w:rPr>
        <w:t>The total refrigerant bank</w:t>
      </w:r>
      <w:r w:rsidR="00F36A7D" w:rsidRPr="00F36A7D">
        <w:rPr>
          <w:szCs w:val="22"/>
        </w:rPr>
        <w:t xml:space="preserve"> </w:t>
      </w:r>
      <w:r w:rsidR="00F36A7D" w:rsidRPr="00670A4E">
        <w:rPr>
          <w:szCs w:val="22"/>
        </w:rPr>
        <w:t>of HCFCs and HFCs</w:t>
      </w:r>
      <w:r w:rsidRPr="00670A4E">
        <w:rPr>
          <w:szCs w:val="22"/>
        </w:rPr>
        <w:t xml:space="preserve"> in Australia in 201</w:t>
      </w:r>
      <w:r>
        <w:rPr>
          <w:szCs w:val="22"/>
        </w:rPr>
        <w:t>8</w:t>
      </w:r>
      <w:r w:rsidRPr="00670A4E">
        <w:rPr>
          <w:szCs w:val="22"/>
        </w:rPr>
        <w:t xml:space="preserve"> is estimated at approximately 5</w:t>
      </w:r>
      <w:r>
        <w:rPr>
          <w:szCs w:val="22"/>
        </w:rPr>
        <w:t>3</w:t>
      </w:r>
      <w:r w:rsidRPr="00670A4E">
        <w:rPr>
          <w:szCs w:val="22"/>
        </w:rPr>
        <w:t>,</w:t>
      </w:r>
      <w:r>
        <w:rPr>
          <w:szCs w:val="22"/>
        </w:rPr>
        <w:t>3</w:t>
      </w:r>
      <w:r w:rsidRPr="00670A4E">
        <w:rPr>
          <w:szCs w:val="22"/>
        </w:rPr>
        <w:t>00 tonnes (CHF</w:t>
      </w:r>
      <w:r>
        <w:rPr>
          <w:szCs w:val="22"/>
        </w:rPr>
        <w:t>3 2016</w:t>
      </w:r>
      <w:r w:rsidRPr="00670A4E">
        <w:rPr>
          <w:szCs w:val="22"/>
        </w:rPr>
        <w:t xml:space="preserve">, </w:t>
      </w:r>
      <w:r>
        <w:rPr>
          <w:szCs w:val="22"/>
        </w:rPr>
        <w:t>50,8</w:t>
      </w:r>
      <w:r w:rsidRPr="00670A4E">
        <w:rPr>
          <w:szCs w:val="22"/>
        </w:rPr>
        <w:t>00 tonnes). This is an increase of</w:t>
      </w:r>
      <w:r>
        <w:rPr>
          <w:szCs w:val="22"/>
        </w:rPr>
        <w:t xml:space="preserve"> 5</w:t>
      </w:r>
      <w:r w:rsidRPr="00670A4E">
        <w:rPr>
          <w:szCs w:val="22"/>
        </w:rPr>
        <w:t>% as compared to the bank in 201</w:t>
      </w:r>
      <w:r>
        <w:rPr>
          <w:szCs w:val="22"/>
        </w:rPr>
        <w:t>6</w:t>
      </w:r>
      <w:r w:rsidRPr="00670A4E">
        <w:rPr>
          <w:szCs w:val="22"/>
        </w:rPr>
        <w:t>.</w:t>
      </w:r>
    </w:p>
    <w:p w14:paraId="1054F777" w14:textId="632DCCC8" w:rsidR="00CA2289" w:rsidRDefault="00CA2289" w:rsidP="009A23AA">
      <w:pPr>
        <w:rPr>
          <w:szCs w:val="22"/>
        </w:rPr>
      </w:pPr>
      <w:r>
        <w:rPr>
          <w:szCs w:val="22"/>
        </w:rPr>
        <w:t xml:space="preserve">Australia has seen such strong overall growth in the refrigerant bank, largely, but not entirely, as a result of at least 15 years of strong sales of </w:t>
      </w:r>
      <w:r w:rsidRPr="002744A2">
        <w:rPr>
          <w:szCs w:val="22"/>
        </w:rPr>
        <w:t>small</w:t>
      </w:r>
      <w:r>
        <w:rPr>
          <w:szCs w:val="22"/>
        </w:rPr>
        <w:t xml:space="preserve"> and medium domestic and </w:t>
      </w:r>
      <w:r w:rsidRPr="002744A2">
        <w:rPr>
          <w:szCs w:val="22"/>
        </w:rPr>
        <w:t>commercial air conditioning systems</w:t>
      </w:r>
      <w:r>
        <w:rPr>
          <w:szCs w:val="22"/>
        </w:rPr>
        <w:t xml:space="preserve"> (&lt;25</w:t>
      </w:r>
      <w:r w:rsidR="00012549">
        <w:rPr>
          <w:szCs w:val="22"/>
        </w:rPr>
        <w:t xml:space="preserve"> </w:t>
      </w:r>
      <w:r>
        <w:rPr>
          <w:szCs w:val="22"/>
        </w:rPr>
        <w:t>kW). The near comprehensive adoption of mobile AC in all types of vehicles, and &gt;30% growth in the passenger and light commercial vehicle fleet over the last decade has also been a notable contributor to growth of the bank.</w:t>
      </w:r>
    </w:p>
    <w:p w14:paraId="26A63F5D" w14:textId="77777777" w:rsidR="00CA2289" w:rsidRDefault="00CA2289" w:rsidP="009A23AA">
      <w:pPr>
        <w:rPr>
          <w:szCs w:val="22"/>
        </w:rPr>
      </w:pPr>
      <w:r>
        <w:rPr>
          <w:szCs w:val="22"/>
        </w:rPr>
        <w:t xml:space="preserve">A growing community-wide dependency on AC is being reinforced by changing climatic conditions that have seen five of the hottest years ever recorded in the last seven. It is reasonable to expect that longer periods of hotter daytime and night time temperatures will continue to make air conditioning a desirable, and in many cases, an essential item in the majority of buildings. </w:t>
      </w:r>
    </w:p>
    <w:p w14:paraId="52D98FED" w14:textId="77777777" w:rsidR="00CA2289" w:rsidRDefault="00CA2289" w:rsidP="009A23AA">
      <w:pPr>
        <w:rPr>
          <w:szCs w:val="22"/>
        </w:rPr>
      </w:pPr>
      <w:r>
        <w:rPr>
          <w:szCs w:val="22"/>
        </w:rPr>
        <w:t>During the same period Australia’s increasing food exports have driven greater investments in refrigeration systems in agriculture and an expansion of the cold food chain in Australia. This is a sector that is also directly affected by hotter temperatures.</w:t>
      </w:r>
    </w:p>
    <w:p w14:paraId="7F735953" w14:textId="4CFC7743" w:rsidR="00CA2289" w:rsidRDefault="00CA2289" w:rsidP="009A23AA">
      <w:pPr>
        <w:rPr>
          <w:szCs w:val="22"/>
        </w:rPr>
      </w:pPr>
      <w:r w:rsidRPr="00014E05">
        <w:rPr>
          <w:szCs w:val="22"/>
        </w:rPr>
        <w:t>Setting aside the apparent softening in growth in the most recent period, using the starting point of 33,185 tonnes in 2006, the bank has grown in total by more than 60% in the 12 years from 2006 to 2018, equivalent to a compound annual growth rate of 3.9% over the period.</w:t>
      </w:r>
    </w:p>
    <w:p w14:paraId="0736CA61" w14:textId="77777777" w:rsidR="00CA2289" w:rsidRDefault="00CA2289" w:rsidP="009A23AA">
      <w:pPr>
        <w:rPr>
          <w:szCs w:val="22"/>
        </w:rPr>
      </w:pPr>
    </w:p>
    <w:p w14:paraId="5BFE9D37" w14:textId="77777777" w:rsidR="00CA2289" w:rsidRPr="00630668" w:rsidRDefault="00CA2289" w:rsidP="009A23AA">
      <w:pPr>
        <w:pStyle w:val="Heading2"/>
        <w:jc w:val="both"/>
      </w:pPr>
      <w:bookmarkStart w:id="101" w:name="_Toc525141272"/>
      <w:bookmarkStart w:id="102" w:name="_Toc19601308"/>
      <w:r>
        <w:t>Constituents of the b</w:t>
      </w:r>
      <w:r w:rsidRPr="00630668">
        <w:t>ank, GWP and CO</w:t>
      </w:r>
      <w:r w:rsidRPr="001C39FD">
        <w:rPr>
          <w:vertAlign w:val="subscript"/>
        </w:rPr>
        <w:t>2</w:t>
      </w:r>
      <w:r w:rsidRPr="00630668">
        <w:t>e</w:t>
      </w:r>
      <w:bookmarkEnd w:id="101"/>
      <w:bookmarkEnd w:id="102"/>
    </w:p>
    <w:p w14:paraId="51E226BD" w14:textId="77777777" w:rsidR="00CA2289" w:rsidRPr="005441AE" w:rsidRDefault="00CA2289" w:rsidP="009A23AA">
      <w:pPr>
        <w:rPr>
          <w:rFonts w:cs="Times New Roman"/>
          <w:szCs w:val="22"/>
        </w:rPr>
      </w:pPr>
      <w:r w:rsidRPr="005441AE">
        <w:rPr>
          <w:rFonts w:cs="Times New Roman"/>
          <w:szCs w:val="22"/>
        </w:rPr>
        <w:t xml:space="preserve">The main </w:t>
      </w:r>
      <w:r>
        <w:rPr>
          <w:rFonts w:cs="Times New Roman"/>
          <w:szCs w:val="22"/>
        </w:rPr>
        <w:t>species of refrigerants</w:t>
      </w:r>
      <w:r w:rsidRPr="005441AE">
        <w:rPr>
          <w:rFonts w:cs="Times New Roman"/>
          <w:szCs w:val="22"/>
        </w:rPr>
        <w:t xml:space="preserve"> in use today</w:t>
      </w:r>
      <w:r>
        <w:rPr>
          <w:rFonts w:cs="Times New Roman"/>
          <w:szCs w:val="22"/>
        </w:rPr>
        <w:t>, described below in order of proportion of the bank they comprise,</w:t>
      </w:r>
      <w:r w:rsidRPr="005441AE">
        <w:rPr>
          <w:rFonts w:cs="Times New Roman"/>
          <w:szCs w:val="22"/>
        </w:rPr>
        <w:t xml:space="preserve"> are:</w:t>
      </w:r>
    </w:p>
    <w:p w14:paraId="6BF4FFBE" w14:textId="31FC8ED0" w:rsidR="00CA2289" w:rsidRPr="00316CE5" w:rsidRDefault="00CA2289" w:rsidP="009A23AA">
      <w:pPr>
        <w:pStyle w:val="ListBullet"/>
        <w:numPr>
          <w:ilvl w:val="0"/>
          <w:numId w:val="9"/>
        </w:numPr>
        <w:ind w:left="357" w:hanging="357"/>
        <w:contextualSpacing w:val="0"/>
      </w:pPr>
      <w:r w:rsidRPr="00316CE5">
        <w:t>HFCs (hydrofluorocarbons) (47,500 tonnes or 8</w:t>
      </w:r>
      <w:r w:rsidR="00316CE5" w:rsidRPr="00316CE5">
        <w:t>8</w:t>
      </w:r>
      <w:r w:rsidRPr="00316CE5">
        <w:t xml:space="preserve">% of the bank) are now the most common refrigerants. HFCs were rolled out from the early 1990s to replace the earlier generation refrigerants, HCFCs and CFCs that had been discovered to be destroying the protective ozone layer, and that in many cases had extremely high GWPs. While having no effect on the ozone layer, most HFCs in common use have </w:t>
      </w:r>
      <w:r w:rsidR="00012549">
        <w:t xml:space="preserve">high </w:t>
      </w:r>
      <w:r w:rsidRPr="00316CE5">
        <w:t>GWP values</w:t>
      </w:r>
      <w:r w:rsidR="00F36A7D">
        <w:t>,</w:t>
      </w:r>
      <w:r w:rsidRPr="00316CE5">
        <w:t xml:space="preserve"> ranging from 675 for HFC-32</w:t>
      </w:r>
      <w:r w:rsidR="00F36A7D">
        <w:t>,</w:t>
      </w:r>
      <w:r w:rsidRPr="00316CE5">
        <w:t xml:space="preserve"> to 3922 for HFC-404A. HFCs are now subject to an international agreement to phase down their production gradually from 2019 towards a 2036 target of 15% of recent levels of </w:t>
      </w:r>
      <w:r w:rsidR="00B518DB" w:rsidRPr="00316CE5">
        <w:t>production</w:t>
      </w:r>
      <w:bookmarkStart w:id="103" w:name="_Hlk508554087"/>
      <w:r w:rsidRPr="00316CE5">
        <w:t>;</w:t>
      </w:r>
    </w:p>
    <w:bookmarkEnd w:id="103"/>
    <w:p w14:paraId="3104091F" w14:textId="2BD5FF31" w:rsidR="00CA2289" w:rsidRPr="005441AE" w:rsidRDefault="00CA2289" w:rsidP="009A23AA">
      <w:pPr>
        <w:pStyle w:val="ListBullet"/>
        <w:numPr>
          <w:ilvl w:val="0"/>
          <w:numId w:val="9"/>
        </w:numPr>
        <w:ind w:left="357" w:hanging="357"/>
        <w:contextualSpacing w:val="0"/>
      </w:pPr>
      <w:r w:rsidRPr="005441AE">
        <w:t>HCFCs (</w:t>
      </w:r>
      <w:proofErr w:type="spellStart"/>
      <w:r w:rsidRPr="005441AE">
        <w:t>hydrochlorofluorocarbons</w:t>
      </w:r>
      <w:proofErr w:type="spellEnd"/>
      <w:r w:rsidRPr="005441AE">
        <w:t>)</w:t>
      </w:r>
      <w:r>
        <w:t xml:space="preserve"> and CFC (chlorofluorocarbons)</w:t>
      </w:r>
      <w:r w:rsidRPr="005441AE">
        <w:t xml:space="preserve"> </w:t>
      </w:r>
      <w:r>
        <w:t>(5,</w:t>
      </w:r>
      <w:r w:rsidR="00316CE5">
        <w:t>8</w:t>
      </w:r>
      <w:r>
        <w:t>00</w:t>
      </w:r>
      <w:r w:rsidRPr="00630668">
        <w:t xml:space="preserve"> tonnes or 1</w:t>
      </w:r>
      <w:r>
        <w:t>1</w:t>
      </w:r>
      <w:r w:rsidRPr="00630668">
        <w:t>% of the bank</w:t>
      </w:r>
      <w:r>
        <w:t xml:space="preserve">) were </w:t>
      </w:r>
      <w:r w:rsidRPr="005441AE">
        <w:t>once the most common species of refrigerant</w:t>
      </w:r>
      <w:r>
        <w:t xml:space="preserve"> in use and</w:t>
      </w:r>
      <w:r w:rsidRPr="005441AE">
        <w:t xml:space="preserve"> </w:t>
      </w:r>
      <w:r>
        <w:t>are</w:t>
      </w:r>
      <w:r w:rsidRPr="005441AE">
        <w:t xml:space="preserve"> potent ozone depleting substance</w:t>
      </w:r>
      <w:r>
        <w:t xml:space="preserve">s. CFCs have been and </w:t>
      </w:r>
      <w:r w:rsidRPr="005441AE">
        <w:t>HCFCs are</w:t>
      </w:r>
      <w:r>
        <w:t xml:space="preserve"> being </w:t>
      </w:r>
      <w:r w:rsidRPr="005441AE">
        <w:t xml:space="preserve">phased out of </w:t>
      </w:r>
      <w:r w:rsidR="00B518DB">
        <w:t>production</w:t>
      </w:r>
      <w:r w:rsidRPr="005441AE">
        <w:t xml:space="preserve"> under </w:t>
      </w:r>
      <w:r>
        <w:t xml:space="preserve">the </w:t>
      </w:r>
      <w:r w:rsidRPr="005441AE">
        <w:t>Montreal Protocol</w:t>
      </w:r>
      <w:r>
        <w:t>, an agreement established in 1987. However significant volumes, particularly of HCFCs, are still employed in the stock of equipment and, due to the long life of some types of equipment, are expected to persist in the economy and the environment well towards the end of the projection period used in this study</w:t>
      </w:r>
      <w:r w:rsidRPr="005441AE">
        <w:t>;</w:t>
      </w:r>
    </w:p>
    <w:p w14:paraId="02DEAFB9" w14:textId="246A448A" w:rsidR="00CA2289" w:rsidRPr="00193B05" w:rsidRDefault="00CA2289" w:rsidP="009A23AA">
      <w:pPr>
        <w:pStyle w:val="ListBullet"/>
        <w:numPr>
          <w:ilvl w:val="0"/>
          <w:numId w:val="9"/>
        </w:numPr>
        <w:contextualSpacing w:val="0"/>
      </w:pPr>
      <w:r>
        <w:t>Natural refrigerants</w:t>
      </w:r>
      <w:r w:rsidRPr="00193B05">
        <w:t xml:space="preserve"> </w:t>
      </w:r>
      <w:r>
        <w:t xml:space="preserve">are </w:t>
      </w:r>
      <w:r w:rsidRPr="00193B05">
        <w:t>a group of refrigerants including ammonia, hydrocarbons and CO</w:t>
      </w:r>
      <w:r w:rsidRPr="00193B05">
        <w:rPr>
          <w:vertAlign w:val="subscript"/>
        </w:rPr>
        <w:t>2</w:t>
      </w:r>
      <w:r w:rsidRPr="00193B05">
        <w:t xml:space="preserve">, that have very low or zero GWP, but </w:t>
      </w:r>
      <w:r>
        <w:t xml:space="preserve">that may </w:t>
      </w:r>
      <w:r w:rsidRPr="00193B05">
        <w:t>have other properties, such as flammability, toxicity or requirements for high operating pressures</w:t>
      </w:r>
      <w:r>
        <w:t>,</w:t>
      </w:r>
      <w:r w:rsidRPr="00193B05">
        <w:t xml:space="preserve"> that limit their use in some applications</w:t>
      </w:r>
      <w:r w:rsidRPr="00193B05">
        <w:rPr>
          <w:rStyle w:val="FootnoteReference"/>
        </w:rPr>
        <w:footnoteReference w:id="26"/>
      </w:r>
      <w:r>
        <w:t>.</w:t>
      </w:r>
      <w:r w:rsidRPr="00193B05">
        <w:t xml:space="preserve"> The bank of natural refrigerants that ha</w:t>
      </w:r>
      <w:r w:rsidR="00F36A7D">
        <w:t>s</w:t>
      </w:r>
      <w:r w:rsidRPr="00193B05">
        <w:t xml:space="preserve"> displaced HFCs and HCFCs in commercial refrigeration and mobile applications</w:t>
      </w:r>
      <w:r>
        <w:t xml:space="preserve"> between 2012 and 2018</w:t>
      </w:r>
      <w:r w:rsidRPr="00193B05">
        <w:t xml:space="preserve"> is estimated at </w:t>
      </w:r>
      <w:r>
        <w:t>900</w:t>
      </w:r>
      <w:r w:rsidRPr="00193B05">
        <w:t xml:space="preserve"> tonnes. There is a further estimated </w:t>
      </w:r>
      <w:r w:rsidR="000425DE" w:rsidRPr="000425DE">
        <w:t>5,000</w:t>
      </w:r>
      <w:r w:rsidRPr="000425DE">
        <w:t xml:space="preserve"> tonnes</w:t>
      </w:r>
      <w:r w:rsidRPr="00193B05">
        <w:t xml:space="preserve"> of ammonia in use in the cold food chain, the vast majority of which is in large chilling, blast freezing and ice making systems in the primary and secondary stages of the cold food chain, and large cold storage distribution centres.</w:t>
      </w:r>
      <w:r w:rsidR="00F36A7D">
        <w:t xml:space="preserve"> These </w:t>
      </w:r>
      <w:r w:rsidR="00D812BC">
        <w:t xml:space="preserve">ammonia </w:t>
      </w:r>
      <w:r w:rsidR="00F36A7D">
        <w:t xml:space="preserve">refrigerants are not included in the estimate of the bank in 2018 as illustrated in </w:t>
      </w:r>
      <w:r w:rsidR="00F36A7D" w:rsidRPr="009D7051">
        <w:rPr>
          <w:i/>
          <w:iCs/>
        </w:rPr>
        <w:t>Figure 20</w:t>
      </w:r>
      <w:r w:rsidR="00F36A7D">
        <w:t xml:space="preserve"> above.</w:t>
      </w:r>
    </w:p>
    <w:p w14:paraId="34080E4B" w14:textId="40FFA18C" w:rsidR="00CA2289" w:rsidRPr="00630668" w:rsidRDefault="00CA2289" w:rsidP="009A23AA">
      <w:pPr>
        <w:pStyle w:val="ListBullet"/>
        <w:numPr>
          <w:ilvl w:val="0"/>
          <w:numId w:val="9"/>
        </w:numPr>
        <w:ind w:left="357" w:hanging="357"/>
        <w:contextualSpacing w:val="0"/>
        <w:rPr>
          <w:szCs w:val="22"/>
        </w:rPr>
      </w:pPr>
      <w:r>
        <w:t>HFOs (</w:t>
      </w:r>
      <w:proofErr w:type="spellStart"/>
      <w:r>
        <w:t>hydrofluoro</w:t>
      </w:r>
      <w:proofErr w:type="spellEnd"/>
      <w:r>
        <w:t xml:space="preserve">-olefins) are the newest generation of synthetic refrigerants that, in most cases, are mildly flammable, but exhibit many of the properties of thermal stability, non-toxicity and long life that HFCs provide, while also having very low GWPs (GWP of HFO-1234yf and HFO-1234ze is 5 </w:t>
      </w:r>
      <w:r w:rsidR="00B518DB">
        <w:t>and</w:t>
      </w:r>
      <w:r>
        <w:t xml:space="preserve"> </w:t>
      </w:r>
      <w:r w:rsidRPr="0048328C">
        <w:rPr>
          <w:rFonts w:cs="Times New Roman"/>
          <w:szCs w:val="22"/>
          <w:lang w:val="en-US"/>
        </w:rPr>
        <w:t>1</w:t>
      </w:r>
      <w:r w:rsidR="00B518DB">
        <w:rPr>
          <w:rFonts w:cs="Times New Roman"/>
          <w:szCs w:val="22"/>
          <w:lang w:val="en-US"/>
        </w:rPr>
        <w:t>, respectively – IPCC Assessment Report 5</w:t>
      </w:r>
      <w:r>
        <w:t>). HFOs are enter</w:t>
      </w:r>
      <w:r w:rsidR="00B518DB">
        <w:t>ing</w:t>
      </w:r>
      <w:r>
        <w:t xml:space="preserve"> into service internationally, initially in new motor vehicles, and chiller manufacturers are also offering some models that employ HFOs</w:t>
      </w:r>
      <w:r w:rsidR="00240D86">
        <w:t xml:space="preserve"> due in part to the </w:t>
      </w:r>
      <w:r w:rsidR="00D812BC">
        <w:t>energy efficiency gains they deliver</w:t>
      </w:r>
      <w:r>
        <w:t>. In 2018 there was no significant volume of HFOs</w:t>
      </w:r>
      <w:r>
        <w:rPr>
          <w:rStyle w:val="FootnoteReference"/>
        </w:rPr>
        <w:footnoteReference w:id="27"/>
      </w:r>
      <w:r>
        <w:t xml:space="preserve"> in use in equipment in Australia although they are expected to grow their share of the bank quite rapidly.</w:t>
      </w:r>
    </w:p>
    <w:p w14:paraId="34193508" w14:textId="77777777" w:rsidR="00CA2289" w:rsidRPr="003D2C52" w:rsidRDefault="00CA2289" w:rsidP="009A23AA">
      <w:pPr>
        <w:rPr>
          <w:szCs w:val="22"/>
        </w:rPr>
      </w:pPr>
      <w:r w:rsidRPr="003D2C52">
        <w:rPr>
          <w:szCs w:val="22"/>
        </w:rPr>
        <w:t xml:space="preserve">The effects of </w:t>
      </w:r>
      <w:r>
        <w:rPr>
          <w:szCs w:val="22"/>
        </w:rPr>
        <w:t>regulation, the introduction of new generations of gases,</w:t>
      </w:r>
      <w:r w:rsidRPr="003D2C52">
        <w:rPr>
          <w:szCs w:val="22"/>
        </w:rPr>
        <w:t xml:space="preserve"> </w:t>
      </w:r>
      <w:r>
        <w:rPr>
          <w:szCs w:val="22"/>
        </w:rPr>
        <w:t xml:space="preserve">changing </w:t>
      </w:r>
      <w:r w:rsidRPr="003D2C52">
        <w:rPr>
          <w:szCs w:val="22"/>
        </w:rPr>
        <w:t xml:space="preserve">consumer demand </w:t>
      </w:r>
      <w:r>
        <w:rPr>
          <w:szCs w:val="22"/>
        </w:rPr>
        <w:t>and industry trends have all contributed to the make-up of the refrigerant bank.</w:t>
      </w:r>
    </w:p>
    <w:p w14:paraId="46143FF5" w14:textId="77777777" w:rsidR="00CA2289" w:rsidRDefault="00CA2289" w:rsidP="009A23AA">
      <w:pPr>
        <w:rPr>
          <w:szCs w:val="22"/>
        </w:rPr>
      </w:pP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0"/>
      </w:tblGrid>
      <w:tr w:rsidR="00CA2289" w:rsidRPr="005D159D" w14:paraId="53107EF5" w14:textId="77777777" w:rsidTr="00D306E9">
        <w:tc>
          <w:tcPr>
            <w:tcW w:w="9490" w:type="dxa"/>
            <w:vAlign w:val="center"/>
          </w:tcPr>
          <w:p w14:paraId="11E681DC" w14:textId="77777777" w:rsidR="00CA2289" w:rsidRPr="005D159D" w:rsidRDefault="00CA2289" w:rsidP="00D306E9">
            <w:pPr>
              <w:spacing w:after="120"/>
              <w:jc w:val="center"/>
              <w:rPr>
                <w:b/>
                <w:sz w:val="24"/>
              </w:rPr>
            </w:pPr>
            <w:r w:rsidRPr="005D159D">
              <w:rPr>
                <w:b/>
                <w:sz w:val="24"/>
              </w:rPr>
              <w:br w:type="page"/>
            </w:r>
            <w:r>
              <w:rPr>
                <w:b/>
                <w:sz w:val="24"/>
              </w:rPr>
              <w:t>Bank by s</w:t>
            </w:r>
            <w:r w:rsidRPr="00573A8B">
              <w:rPr>
                <w:b/>
                <w:sz w:val="24"/>
              </w:rPr>
              <w:t>pecies 2006, 2012, 2016</w:t>
            </w:r>
            <w:r>
              <w:rPr>
                <w:b/>
                <w:sz w:val="24"/>
              </w:rPr>
              <w:t>, 2018</w:t>
            </w:r>
            <w:r w:rsidRPr="00573A8B">
              <w:rPr>
                <w:b/>
                <w:sz w:val="24"/>
              </w:rPr>
              <w:t xml:space="preserve"> </w:t>
            </w:r>
            <w:r>
              <w:rPr>
                <w:b/>
                <w:sz w:val="24"/>
              </w:rPr>
              <w:t>(tonnes)</w:t>
            </w:r>
          </w:p>
        </w:tc>
      </w:tr>
      <w:tr w:rsidR="00CA2289" w:rsidRPr="00BD20BC" w14:paraId="244AB37B" w14:textId="77777777" w:rsidTr="00D306E9">
        <w:tc>
          <w:tcPr>
            <w:tcW w:w="9490" w:type="dxa"/>
            <w:vAlign w:val="center"/>
          </w:tcPr>
          <w:p w14:paraId="3AE35306" w14:textId="77777777" w:rsidR="00CA2289" w:rsidRDefault="00CA2289" w:rsidP="00D306E9">
            <w:pPr>
              <w:spacing w:before="60" w:after="60"/>
              <w:jc w:val="center"/>
              <w:rPr>
                <w:sz w:val="16"/>
                <w:szCs w:val="16"/>
              </w:rPr>
            </w:pPr>
          </w:p>
          <w:p w14:paraId="3DF4D4BD" w14:textId="77777777" w:rsidR="00CA2289" w:rsidRDefault="00CA2289" w:rsidP="00D306E9">
            <w:pPr>
              <w:spacing w:before="60" w:after="60"/>
              <w:jc w:val="center"/>
              <w:rPr>
                <w:sz w:val="16"/>
                <w:szCs w:val="16"/>
              </w:rPr>
            </w:pPr>
            <w:r>
              <w:rPr>
                <w:noProof/>
                <w:lang w:val="en-AU" w:eastAsia="en-AU"/>
              </w:rPr>
              <w:drawing>
                <wp:inline distT="0" distB="0" distL="0" distR="0" wp14:anchorId="4C1AB712" wp14:editId="44B54C8D">
                  <wp:extent cx="5776175" cy="2534285"/>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78863" cy="2535464"/>
                          </a:xfrm>
                          <a:prstGeom prst="rect">
                            <a:avLst/>
                          </a:prstGeom>
                        </pic:spPr>
                      </pic:pic>
                    </a:graphicData>
                  </a:graphic>
                </wp:inline>
              </w:drawing>
            </w:r>
          </w:p>
          <w:p w14:paraId="74921C0A" w14:textId="77777777" w:rsidR="00CA2289" w:rsidRPr="00BD20BC" w:rsidRDefault="00CA2289" w:rsidP="00D306E9">
            <w:pPr>
              <w:spacing w:before="60" w:after="60"/>
              <w:jc w:val="center"/>
              <w:rPr>
                <w:sz w:val="16"/>
                <w:szCs w:val="16"/>
              </w:rPr>
            </w:pPr>
          </w:p>
        </w:tc>
      </w:tr>
      <w:tr w:rsidR="00CA2289" w:rsidRPr="00573A8B" w14:paraId="480D869E" w14:textId="77777777" w:rsidTr="00D306E9">
        <w:tc>
          <w:tcPr>
            <w:tcW w:w="9490" w:type="dxa"/>
            <w:vAlign w:val="center"/>
          </w:tcPr>
          <w:p w14:paraId="60D4354C" w14:textId="129857F6" w:rsidR="00CA2289" w:rsidRPr="00BB16C6" w:rsidRDefault="00CA2289" w:rsidP="009A23AA">
            <w:pPr>
              <w:pStyle w:val="Caption"/>
              <w:rPr>
                <w:szCs w:val="22"/>
              </w:rPr>
            </w:pPr>
            <w:bookmarkStart w:id="104" w:name="_Toc525141337"/>
            <w:bookmarkStart w:id="105" w:name="_Toc19601343"/>
            <w:r w:rsidRPr="00BB16C6">
              <w:t xml:space="preserve">Figure </w:t>
            </w:r>
            <w:r>
              <w:rPr>
                <w:noProof/>
              </w:rPr>
              <w:fldChar w:fldCharType="begin"/>
            </w:r>
            <w:r>
              <w:rPr>
                <w:noProof/>
              </w:rPr>
              <w:instrText xml:space="preserve"> SEQ Figure \* ARABIC </w:instrText>
            </w:r>
            <w:r>
              <w:rPr>
                <w:noProof/>
              </w:rPr>
              <w:fldChar w:fldCharType="separate"/>
            </w:r>
            <w:r w:rsidR="001D0DA3">
              <w:rPr>
                <w:noProof/>
              </w:rPr>
              <w:t>21</w:t>
            </w:r>
            <w:r>
              <w:rPr>
                <w:noProof/>
              </w:rPr>
              <w:fldChar w:fldCharType="end"/>
            </w:r>
            <w:r w:rsidRPr="00BB16C6">
              <w:t xml:space="preserve">: </w:t>
            </w:r>
            <w:r w:rsidRPr="00BB16C6">
              <w:rPr>
                <w:szCs w:val="22"/>
              </w:rPr>
              <w:t>Refrigerant bank by species 2006, 2012, 2016</w:t>
            </w:r>
            <w:r>
              <w:rPr>
                <w:szCs w:val="22"/>
              </w:rPr>
              <w:t xml:space="preserve">, </w:t>
            </w:r>
            <w:proofErr w:type="gramStart"/>
            <w:r>
              <w:rPr>
                <w:szCs w:val="22"/>
              </w:rPr>
              <w:t>2018</w:t>
            </w:r>
            <w:proofErr w:type="gramEnd"/>
            <w:r w:rsidRPr="00BB16C6">
              <w:rPr>
                <w:szCs w:val="22"/>
              </w:rPr>
              <w:t xml:space="preserve"> in </w:t>
            </w:r>
            <w:proofErr w:type="spellStart"/>
            <w:r w:rsidRPr="00BB16C6">
              <w:rPr>
                <w:szCs w:val="22"/>
              </w:rPr>
              <w:t>tonnes</w:t>
            </w:r>
            <w:proofErr w:type="spellEnd"/>
            <w:r w:rsidR="00D812BC">
              <w:rPr>
                <w:szCs w:val="22"/>
              </w:rPr>
              <w:t xml:space="preserve"> (excluding ammonia)</w:t>
            </w:r>
            <w:r w:rsidRPr="00BB16C6">
              <w:rPr>
                <w:szCs w:val="22"/>
              </w:rPr>
              <w:t>.</w:t>
            </w:r>
            <w:bookmarkEnd w:id="104"/>
            <w:bookmarkEnd w:id="105"/>
          </w:p>
        </w:tc>
      </w:tr>
    </w:tbl>
    <w:p w14:paraId="49F2255A" w14:textId="77777777" w:rsidR="00CA2289" w:rsidRDefault="00CA2289" w:rsidP="009A23AA">
      <w:pPr>
        <w:spacing w:before="0"/>
        <w:rPr>
          <w:sz w:val="20"/>
          <w:szCs w:val="20"/>
        </w:rPr>
      </w:pPr>
      <w:r w:rsidRPr="00116557">
        <w:rPr>
          <w:sz w:val="20"/>
          <w:szCs w:val="20"/>
        </w:rPr>
        <w:t>(Sources:</w:t>
      </w:r>
      <w:r>
        <w:rPr>
          <w:sz w:val="20"/>
          <w:szCs w:val="20"/>
        </w:rPr>
        <w:t xml:space="preserve"> CHF1, CHF2 and CHF3 RAC Stock models) </w:t>
      </w:r>
    </w:p>
    <w:p w14:paraId="698FD23F" w14:textId="77777777" w:rsidR="00CA2289" w:rsidRDefault="00CA2289" w:rsidP="009A23AA">
      <w:pPr>
        <w:rPr>
          <w:szCs w:val="22"/>
        </w:rPr>
      </w:pPr>
    </w:p>
    <w:p w14:paraId="4D81B1F3" w14:textId="17E21803" w:rsidR="00CA2289" w:rsidRPr="00EC56EB" w:rsidRDefault="00CA2289" w:rsidP="009A23AA">
      <w:pPr>
        <w:rPr>
          <w:szCs w:val="22"/>
        </w:rPr>
      </w:pPr>
      <w:r>
        <w:rPr>
          <w:szCs w:val="22"/>
        </w:rPr>
        <w:t>The effect of the boom in adoption of small and medium AC, and the shift away from HCFCs, can be seen the slow decline of HCFC-22, once the largest single component of the bank, and the rapid growth of HFC</w:t>
      </w:r>
      <w:r w:rsidR="00B518DB">
        <w:rPr>
          <w:szCs w:val="22"/>
        </w:rPr>
        <w:noBreakHyphen/>
      </w:r>
      <w:r>
        <w:rPr>
          <w:szCs w:val="22"/>
        </w:rPr>
        <w:t>410A between 2006 and 2018.</w:t>
      </w:r>
    </w:p>
    <w:p w14:paraId="039482CF" w14:textId="77777777" w:rsidR="00CA2289" w:rsidRDefault="00CA2289" w:rsidP="009A23AA">
      <w:pPr>
        <w:rPr>
          <w:szCs w:val="22"/>
        </w:rPr>
      </w:pPr>
      <w:r>
        <w:rPr>
          <w:szCs w:val="22"/>
        </w:rPr>
        <w:t xml:space="preserve">The move </w:t>
      </w:r>
      <w:r w:rsidRPr="001C4E28">
        <w:rPr>
          <w:szCs w:val="22"/>
        </w:rPr>
        <w:t xml:space="preserve">from HCFC-22 to HFC-410A, as the predominant refrigerant charge in small and medium stationary AC, started around 2005, at the time that small and medium AC sales first passed more than one million units a year in Australia, a figure that has continued to climb to top more than 1.3 million units in 2017. This has built a stock of more than </w:t>
      </w:r>
      <w:r>
        <w:rPr>
          <w:szCs w:val="22"/>
        </w:rPr>
        <w:t>10</w:t>
      </w:r>
      <w:r w:rsidRPr="001C4E28">
        <w:rPr>
          <w:szCs w:val="22"/>
        </w:rPr>
        <w:t xml:space="preserve"> million HFC-410A charged pieces of equipment in the course of</w:t>
      </w:r>
      <w:r>
        <w:rPr>
          <w:szCs w:val="22"/>
        </w:rPr>
        <w:t xml:space="preserve"> the last decade, containing a bank of 21,900 tonnes of HFC-410A, representing 41% of the entire bank.</w:t>
      </w:r>
    </w:p>
    <w:p w14:paraId="736AF645" w14:textId="57BFE0BD" w:rsidR="00CA2289" w:rsidRPr="002744A2" w:rsidRDefault="00CA2289" w:rsidP="009A23AA">
      <w:pPr>
        <w:rPr>
          <w:szCs w:val="22"/>
        </w:rPr>
      </w:pPr>
      <w:r>
        <w:rPr>
          <w:szCs w:val="22"/>
        </w:rPr>
        <w:t xml:space="preserve">This 780% growth in </w:t>
      </w:r>
      <w:r w:rsidRPr="002744A2">
        <w:rPr>
          <w:szCs w:val="22"/>
        </w:rPr>
        <w:t xml:space="preserve">HFC-410A from </w:t>
      </w:r>
      <w:r>
        <w:rPr>
          <w:szCs w:val="22"/>
        </w:rPr>
        <w:t xml:space="preserve">just </w:t>
      </w:r>
      <w:r w:rsidRPr="002744A2">
        <w:rPr>
          <w:szCs w:val="22"/>
        </w:rPr>
        <w:t>9</w:t>
      </w:r>
      <w:r>
        <w:rPr>
          <w:szCs w:val="22"/>
        </w:rPr>
        <w:t>%</w:t>
      </w:r>
      <w:r w:rsidRPr="002744A2">
        <w:rPr>
          <w:szCs w:val="22"/>
        </w:rPr>
        <w:t xml:space="preserve"> of the bank (2,</w:t>
      </w:r>
      <w:r>
        <w:rPr>
          <w:szCs w:val="22"/>
        </w:rPr>
        <w:t>800</w:t>
      </w:r>
      <w:r w:rsidRPr="002744A2">
        <w:rPr>
          <w:szCs w:val="22"/>
        </w:rPr>
        <w:t xml:space="preserve"> tonnes) in 2006 to</w:t>
      </w:r>
      <w:r>
        <w:rPr>
          <w:szCs w:val="22"/>
        </w:rPr>
        <w:t xml:space="preserve"> 41%</w:t>
      </w:r>
      <w:r w:rsidRPr="002744A2">
        <w:rPr>
          <w:szCs w:val="22"/>
        </w:rPr>
        <w:t xml:space="preserve"> </w:t>
      </w:r>
      <w:r>
        <w:rPr>
          <w:szCs w:val="22"/>
        </w:rPr>
        <w:t>of the bank</w:t>
      </w:r>
      <w:r w:rsidRPr="002744A2">
        <w:rPr>
          <w:szCs w:val="22"/>
        </w:rPr>
        <w:t xml:space="preserve"> in 201</w:t>
      </w:r>
      <w:r>
        <w:rPr>
          <w:szCs w:val="22"/>
        </w:rPr>
        <w:t xml:space="preserve">8 (21,900 tonnes) is the stand out trend. The result is </w:t>
      </w:r>
      <w:r w:rsidRPr="002744A2">
        <w:rPr>
          <w:szCs w:val="22"/>
        </w:rPr>
        <w:t xml:space="preserve">that HFC-410A is now the largest </w:t>
      </w:r>
      <w:r>
        <w:rPr>
          <w:szCs w:val="22"/>
        </w:rPr>
        <w:t xml:space="preserve">single </w:t>
      </w:r>
      <w:r w:rsidRPr="002744A2">
        <w:rPr>
          <w:szCs w:val="22"/>
        </w:rPr>
        <w:t xml:space="preserve">component of the bank, </w:t>
      </w:r>
      <w:r>
        <w:rPr>
          <w:szCs w:val="22"/>
        </w:rPr>
        <w:t>surpassing</w:t>
      </w:r>
      <w:r w:rsidRPr="002744A2">
        <w:rPr>
          <w:szCs w:val="22"/>
        </w:rPr>
        <w:t xml:space="preserve"> HFC-134a</w:t>
      </w:r>
      <w:r>
        <w:rPr>
          <w:szCs w:val="22"/>
        </w:rPr>
        <w:t>. HFC-410A volumes are now more than double the declining bank of HCFC</w:t>
      </w:r>
      <w:r w:rsidR="00B518DB">
        <w:rPr>
          <w:szCs w:val="22"/>
        </w:rPr>
        <w:noBreakHyphen/>
      </w:r>
      <w:r>
        <w:rPr>
          <w:szCs w:val="22"/>
        </w:rPr>
        <w:t>22 that it was introduced to replace in many applications</w:t>
      </w:r>
      <w:r w:rsidRPr="002744A2">
        <w:rPr>
          <w:szCs w:val="22"/>
        </w:rPr>
        <w:t xml:space="preserve">.  </w:t>
      </w:r>
    </w:p>
    <w:p w14:paraId="6976A24F" w14:textId="77777777" w:rsidR="00CA2289" w:rsidRDefault="00CA2289" w:rsidP="009A23AA">
      <w:pPr>
        <w:rPr>
          <w:szCs w:val="22"/>
        </w:rPr>
      </w:pPr>
      <w:r w:rsidRPr="002744A2">
        <w:rPr>
          <w:szCs w:val="22"/>
        </w:rPr>
        <w:t xml:space="preserve">HCFC-22 </w:t>
      </w:r>
      <w:r>
        <w:rPr>
          <w:szCs w:val="22"/>
        </w:rPr>
        <w:t xml:space="preserve">as a proportion of the total </w:t>
      </w:r>
      <w:r w:rsidRPr="002744A2">
        <w:rPr>
          <w:szCs w:val="22"/>
        </w:rPr>
        <w:t>bank</w:t>
      </w:r>
      <w:r>
        <w:rPr>
          <w:szCs w:val="22"/>
        </w:rPr>
        <w:t xml:space="preserve"> has declined</w:t>
      </w:r>
      <w:r w:rsidRPr="002744A2">
        <w:rPr>
          <w:szCs w:val="22"/>
        </w:rPr>
        <w:t xml:space="preserve"> from 3</w:t>
      </w:r>
      <w:r>
        <w:rPr>
          <w:szCs w:val="22"/>
        </w:rPr>
        <w:t xml:space="preserve">7% </w:t>
      </w:r>
      <w:r w:rsidRPr="002744A2">
        <w:rPr>
          <w:szCs w:val="22"/>
        </w:rPr>
        <w:t>in 2006</w:t>
      </w:r>
      <w:r>
        <w:rPr>
          <w:szCs w:val="22"/>
        </w:rPr>
        <w:t xml:space="preserve"> </w:t>
      </w:r>
      <w:r w:rsidRPr="002744A2">
        <w:rPr>
          <w:szCs w:val="22"/>
        </w:rPr>
        <w:t xml:space="preserve">to </w:t>
      </w:r>
      <w:r>
        <w:rPr>
          <w:szCs w:val="22"/>
        </w:rPr>
        <w:t>10.5%</w:t>
      </w:r>
      <w:r w:rsidRPr="002744A2">
        <w:rPr>
          <w:szCs w:val="22"/>
        </w:rPr>
        <w:t xml:space="preserve"> in 201</w:t>
      </w:r>
      <w:r>
        <w:rPr>
          <w:szCs w:val="22"/>
        </w:rPr>
        <w:t xml:space="preserve">8. </w:t>
      </w:r>
    </w:p>
    <w:p w14:paraId="073DAA9D" w14:textId="34F714B2" w:rsidR="00CA2289" w:rsidRDefault="00CA2289" w:rsidP="009A23AA">
      <w:pPr>
        <w:rPr>
          <w:szCs w:val="22"/>
        </w:rPr>
      </w:pPr>
      <w:r w:rsidRPr="002744A2">
        <w:rPr>
          <w:szCs w:val="22"/>
        </w:rPr>
        <w:t>Previously HCFC-22 was the refrigerant of choice in air conditioning applications. Its use peaked in 2010 when it was estimated that more than 12,800 tonnes of HCFCs made up just over 30</w:t>
      </w:r>
      <w:r>
        <w:rPr>
          <w:szCs w:val="22"/>
        </w:rPr>
        <w:t>%</w:t>
      </w:r>
      <w:r w:rsidRPr="002744A2">
        <w:rPr>
          <w:szCs w:val="22"/>
        </w:rPr>
        <w:t xml:space="preserve"> of the bank in that year. In what is quite a sharp fall, the bank of HCFCs </w:t>
      </w:r>
      <w:r>
        <w:rPr>
          <w:szCs w:val="22"/>
        </w:rPr>
        <w:t>has reduced by nearly 7,200</w:t>
      </w:r>
      <w:r w:rsidRPr="002744A2">
        <w:rPr>
          <w:szCs w:val="22"/>
        </w:rPr>
        <w:t xml:space="preserve"> tonnes from that high point</w:t>
      </w:r>
      <w:r>
        <w:rPr>
          <w:szCs w:val="22"/>
        </w:rPr>
        <w:t>, or more than 56%, in the last 8 years.</w:t>
      </w:r>
    </w:p>
    <w:p w14:paraId="63C6EA74" w14:textId="771D8E98" w:rsidR="00CA2289" w:rsidRDefault="00CA2289" w:rsidP="009A23AA">
      <w:pPr>
        <w:rPr>
          <w:szCs w:val="22"/>
        </w:rPr>
      </w:pPr>
      <w:r>
        <w:rPr>
          <w:szCs w:val="22"/>
        </w:rPr>
        <w:t xml:space="preserve">This was a predictable outcome of the age of the stock of HCFC-22 charged equipment employed in Australia, and the </w:t>
      </w:r>
      <w:r w:rsidRPr="002744A2">
        <w:rPr>
          <w:szCs w:val="22"/>
        </w:rPr>
        <w:t xml:space="preserve">accelerated phase out of HCFC-22 </w:t>
      </w:r>
      <w:r>
        <w:rPr>
          <w:szCs w:val="22"/>
        </w:rPr>
        <w:t xml:space="preserve">adopted by Australia in the mid-1990s </w:t>
      </w:r>
      <w:r w:rsidRPr="002744A2">
        <w:rPr>
          <w:szCs w:val="22"/>
        </w:rPr>
        <w:t>under</w:t>
      </w:r>
      <w:r>
        <w:rPr>
          <w:szCs w:val="22"/>
        </w:rPr>
        <w:t xml:space="preserve"> its commitment to</w:t>
      </w:r>
      <w:r w:rsidRPr="002744A2">
        <w:rPr>
          <w:szCs w:val="22"/>
        </w:rPr>
        <w:t xml:space="preserve"> the Montreal Protocol</w:t>
      </w:r>
      <w:r>
        <w:rPr>
          <w:szCs w:val="22"/>
        </w:rPr>
        <w:t>. In 2014 Australia’s import cap stepped down from 40 ODP tonnes to 10 ODP tonnes</w:t>
      </w:r>
      <w:r w:rsidRPr="00FE7030">
        <w:rPr>
          <w:szCs w:val="22"/>
        </w:rPr>
        <w:t xml:space="preserve">, </w:t>
      </w:r>
      <w:r>
        <w:rPr>
          <w:szCs w:val="22"/>
        </w:rPr>
        <w:t xml:space="preserve">and then to 2.5 ODP tonnes </w:t>
      </w:r>
      <w:r w:rsidRPr="00FE7030">
        <w:rPr>
          <w:szCs w:val="22"/>
        </w:rPr>
        <w:t>(</w:t>
      </w:r>
      <w:r>
        <w:rPr>
          <w:szCs w:val="22"/>
        </w:rPr>
        <w:t xml:space="preserve">equivalent to </w:t>
      </w:r>
      <w:r w:rsidRPr="00FE7030">
        <w:rPr>
          <w:szCs w:val="22"/>
        </w:rPr>
        <w:t xml:space="preserve">around 45 </w:t>
      </w:r>
      <w:r>
        <w:rPr>
          <w:szCs w:val="22"/>
        </w:rPr>
        <w:t xml:space="preserve">metric </w:t>
      </w:r>
      <w:r w:rsidRPr="00FE7030">
        <w:rPr>
          <w:szCs w:val="22"/>
        </w:rPr>
        <w:t xml:space="preserve">tonnes </w:t>
      </w:r>
      <w:r>
        <w:rPr>
          <w:szCs w:val="22"/>
        </w:rPr>
        <w:t xml:space="preserve">of HCFC-22 </w:t>
      </w:r>
      <w:r w:rsidRPr="00FE7030">
        <w:rPr>
          <w:szCs w:val="22"/>
        </w:rPr>
        <w:t>per annum)</w:t>
      </w:r>
      <w:r>
        <w:rPr>
          <w:szCs w:val="22"/>
        </w:rPr>
        <w:t xml:space="preserve"> from 2016 </w:t>
      </w:r>
      <w:r w:rsidRPr="00FE7030">
        <w:rPr>
          <w:szCs w:val="22"/>
        </w:rPr>
        <w:t>before the final phase out of HCFCs in 20</w:t>
      </w:r>
      <w:r>
        <w:rPr>
          <w:szCs w:val="22"/>
        </w:rPr>
        <w:t xml:space="preserve">30. This phase down of bulk imports was coupled with a ban on imports of HCFC-22 pre-charged equipment that commenced in July 2010. </w:t>
      </w:r>
    </w:p>
    <w:p w14:paraId="611D3E6D" w14:textId="77777777" w:rsidR="00CA2289" w:rsidRPr="00FE7030" w:rsidRDefault="00CA2289" w:rsidP="009A23AA">
      <w:pPr>
        <w:rPr>
          <w:szCs w:val="22"/>
        </w:rPr>
      </w:pPr>
      <w:r w:rsidRPr="00FE7030">
        <w:rPr>
          <w:szCs w:val="22"/>
        </w:rPr>
        <w:t xml:space="preserve">The sharp drop in the HCFC bank should continue as a result of </w:t>
      </w:r>
      <w:r>
        <w:rPr>
          <w:szCs w:val="22"/>
        </w:rPr>
        <w:t xml:space="preserve">the </w:t>
      </w:r>
      <w:r w:rsidRPr="00FE7030">
        <w:rPr>
          <w:szCs w:val="22"/>
        </w:rPr>
        <w:t>large numbers of HCFC charged air conditioning units that were installed between 10 and 2</w:t>
      </w:r>
      <w:r>
        <w:rPr>
          <w:szCs w:val="22"/>
        </w:rPr>
        <w:t>5</w:t>
      </w:r>
      <w:r w:rsidRPr="00FE7030">
        <w:rPr>
          <w:szCs w:val="22"/>
        </w:rPr>
        <w:t xml:space="preserve"> years ago, </w:t>
      </w:r>
      <w:r>
        <w:rPr>
          <w:szCs w:val="22"/>
        </w:rPr>
        <w:t>that are now r</w:t>
      </w:r>
      <w:r w:rsidRPr="00FE7030">
        <w:rPr>
          <w:szCs w:val="22"/>
        </w:rPr>
        <w:t xml:space="preserve">eaching the end of their useful life and being retired. </w:t>
      </w:r>
    </w:p>
    <w:p w14:paraId="39F0D715" w14:textId="20611FA2" w:rsidR="00CA2289" w:rsidRDefault="00CA2289" w:rsidP="009A23AA">
      <w:pPr>
        <w:rPr>
          <w:szCs w:val="22"/>
        </w:rPr>
      </w:pPr>
      <w:r w:rsidRPr="00D63E58">
        <w:rPr>
          <w:szCs w:val="22"/>
        </w:rPr>
        <w:t xml:space="preserve">Despite the ban on import and manufacture of HCFC </w:t>
      </w:r>
      <w:r w:rsidR="00503834">
        <w:rPr>
          <w:szCs w:val="22"/>
        </w:rPr>
        <w:t>charged</w:t>
      </w:r>
      <w:r w:rsidRPr="00D63E58">
        <w:rPr>
          <w:szCs w:val="22"/>
        </w:rPr>
        <w:t xml:space="preserve"> equipment, small quantities of HCFC pre-charged equipment are still being imported under special exemptions, mainly as replacement parts for condensing units to match evaporators of air conditioning units already installed. The import of space chillers charged with HCFC-123 continued until the end of 2015.</w:t>
      </w:r>
      <w:r>
        <w:rPr>
          <w:szCs w:val="22"/>
        </w:rPr>
        <w:t xml:space="preserve"> Expert Group data suggests </w:t>
      </w:r>
      <w:r w:rsidRPr="00FE7030">
        <w:rPr>
          <w:szCs w:val="22"/>
        </w:rPr>
        <w:t xml:space="preserve">that the long tail of HCFC-22 bulk imports </w:t>
      </w:r>
      <w:r w:rsidR="00012549">
        <w:rPr>
          <w:szCs w:val="22"/>
        </w:rPr>
        <w:t xml:space="preserve">until the end of 2029 </w:t>
      </w:r>
      <w:r>
        <w:rPr>
          <w:szCs w:val="22"/>
        </w:rPr>
        <w:t xml:space="preserve">will </w:t>
      </w:r>
      <w:r w:rsidRPr="00FE7030">
        <w:rPr>
          <w:szCs w:val="22"/>
        </w:rPr>
        <w:t>not be sufficient to meet the expected demand to service and repair the remaining in</w:t>
      </w:r>
      <w:r>
        <w:rPr>
          <w:szCs w:val="22"/>
        </w:rPr>
        <w:t xml:space="preserve">stalled HCFC charged equipment, requiring recycling of much of the remaining bank of HCFC-22 as older equipment is retired. </w:t>
      </w:r>
    </w:p>
    <w:p w14:paraId="6778014A" w14:textId="77777777" w:rsidR="00CA2289" w:rsidRPr="00FE7030" w:rsidRDefault="00CA2289" w:rsidP="009A23AA">
      <w:pPr>
        <w:rPr>
          <w:szCs w:val="22"/>
        </w:rPr>
      </w:pPr>
      <w:r w:rsidRPr="00FE7030">
        <w:rPr>
          <w:szCs w:val="22"/>
        </w:rPr>
        <w:t>Additional bulk HCFCs will be required for service and maintenance until at least 2025. In the case of HCFC</w:t>
      </w:r>
      <w:r>
        <w:rPr>
          <w:szCs w:val="22"/>
        </w:rPr>
        <w:noBreakHyphen/>
      </w:r>
      <w:r w:rsidRPr="00FE7030">
        <w:rPr>
          <w:szCs w:val="22"/>
        </w:rPr>
        <w:t>123</w:t>
      </w:r>
      <w:r>
        <w:rPr>
          <w:szCs w:val="22"/>
        </w:rPr>
        <w:t>,</w:t>
      </w:r>
      <w:r w:rsidRPr="00FE7030">
        <w:rPr>
          <w:szCs w:val="22"/>
        </w:rPr>
        <w:t xml:space="preserve"> which is employed in long lasting</w:t>
      </w:r>
      <w:r>
        <w:rPr>
          <w:szCs w:val="22"/>
        </w:rPr>
        <w:t>,</w:t>
      </w:r>
      <w:r w:rsidRPr="00FE7030">
        <w:rPr>
          <w:szCs w:val="22"/>
        </w:rPr>
        <w:t xml:space="preserve"> large</w:t>
      </w:r>
      <w:r>
        <w:rPr>
          <w:szCs w:val="22"/>
        </w:rPr>
        <w:t>,</w:t>
      </w:r>
      <w:r w:rsidRPr="00FE7030">
        <w:rPr>
          <w:szCs w:val="22"/>
        </w:rPr>
        <w:t xml:space="preserve"> and expensive chillers, the service </w:t>
      </w:r>
      <w:r>
        <w:rPr>
          <w:szCs w:val="22"/>
        </w:rPr>
        <w:t>requirement</w:t>
      </w:r>
      <w:r w:rsidRPr="00FE7030">
        <w:rPr>
          <w:szCs w:val="22"/>
        </w:rPr>
        <w:t xml:space="preserve"> is likely to continue until possibly 203</w:t>
      </w:r>
      <w:r>
        <w:rPr>
          <w:szCs w:val="22"/>
        </w:rPr>
        <w:t>6</w:t>
      </w:r>
      <w:r w:rsidRPr="00FE7030">
        <w:rPr>
          <w:szCs w:val="22"/>
        </w:rPr>
        <w:t xml:space="preserve">. </w:t>
      </w:r>
    </w:p>
    <w:p w14:paraId="01D66AB9" w14:textId="3961B28A" w:rsidR="00CA2289" w:rsidRDefault="00CA2289" w:rsidP="009A23AA">
      <w:pPr>
        <w:rPr>
          <w:szCs w:val="22"/>
        </w:rPr>
      </w:pPr>
      <w:r>
        <w:rPr>
          <w:szCs w:val="22"/>
        </w:rPr>
        <w:t>T</w:t>
      </w:r>
      <w:r w:rsidRPr="002744A2">
        <w:rPr>
          <w:szCs w:val="22"/>
        </w:rPr>
        <w:t>he</w:t>
      </w:r>
      <w:r>
        <w:rPr>
          <w:szCs w:val="22"/>
        </w:rPr>
        <w:t xml:space="preserve"> market reaction to the phase out and </w:t>
      </w:r>
      <w:r w:rsidR="0074042E">
        <w:rPr>
          <w:szCs w:val="22"/>
        </w:rPr>
        <w:t>limited supply</w:t>
      </w:r>
      <w:r>
        <w:rPr>
          <w:szCs w:val="22"/>
        </w:rPr>
        <w:t xml:space="preserve"> of HCFCs provides insight into the trends that should emerge with HFCs, as the timetable agreed for a phase down of HFCs under the Kigali Amendment to the Montreal Protocol progresses towards the 2036 end date</w:t>
      </w:r>
      <w:r w:rsidRPr="002744A2">
        <w:rPr>
          <w:szCs w:val="22"/>
        </w:rPr>
        <w:t>.</w:t>
      </w:r>
      <w:r>
        <w:rPr>
          <w:szCs w:val="22"/>
        </w:rPr>
        <w:t xml:space="preserve"> </w:t>
      </w:r>
    </w:p>
    <w:p w14:paraId="19C8F1D5" w14:textId="77777777" w:rsidR="00CA2289" w:rsidRPr="008C190F" w:rsidRDefault="00CA2289" w:rsidP="009A23AA">
      <w:pPr>
        <w:rPr>
          <w:i/>
          <w:szCs w:val="22"/>
        </w:rPr>
      </w:pPr>
      <w:r>
        <w:rPr>
          <w:szCs w:val="22"/>
        </w:rPr>
        <w:t>Where suitable technical alternatives to HCFCs were available and affordable, they were readily adopted. Where no suitable alternative was immediately available, decreasing supply and increasing prices have created an active recycling industry to supply reconditioned HCFC-22 and give equipment owners an option to get the longest possible operating life out of their equipment.</w:t>
      </w:r>
    </w:p>
    <w:p w14:paraId="4CF23BD1" w14:textId="77777777" w:rsidR="00CA2289" w:rsidRDefault="00CA2289" w:rsidP="009A23AA">
      <w:pPr>
        <w:rPr>
          <w:szCs w:val="22"/>
        </w:rPr>
      </w:pPr>
      <w:r>
        <w:rPr>
          <w:szCs w:val="22"/>
        </w:rPr>
        <w:t xml:space="preserve">Predicting the future rate of change in the bank of HCFCs is now becoming more complicated by the amount of unreported HCFC-22 reuse, the cost of maintaining older equipment and changing market prices for recycled HCFC-22. </w:t>
      </w:r>
    </w:p>
    <w:p w14:paraId="03ED9DB1" w14:textId="77777777" w:rsidR="00CA2289" w:rsidRPr="002744A2" w:rsidRDefault="00CA2289" w:rsidP="009A23AA">
      <w:pPr>
        <w:rPr>
          <w:szCs w:val="22"/>
        </w:rPr>
      </w:pPr>
      <w:r>
        <w:rPr>
          <w:szCs w:val="22"/>
        </w:rPr>
        <w:t xml:space="preserve">After HFC-410A, </w:t>
      </w:r>
      <w:r w:rsidRPr="002744A2">
        <w:rPr>
          <w:szCs w:val="22"/>
        </w:rPr>
        <w:t xml:space="preserve">HFC-134a is the second most abundant </w:t>
      </w:r>
      <w:r>
        <w:rPr>
          <w:szCs w:val="22"/>
        </w:rPr>
        <w:t xml:space="preserve">refrigerant in the 2018 bank, </w:t>
      </w:r>
      <w:r w:rsidRPr="002744A2">
        <w:rPr>
          <w:szCs w:val="22"/>
        </w:rPr>
        <w:t>growing steadily at around 3</w:t>
      </w:r>
      <w:r>
        <w:rPr>
          <w:szCs w:val="22"/>
        </w:rPr>
        <w:t>%</w:t>
      </w:r>
      <w:r w:rsidRPr="002744A2">
        <w:rPr>
          <w:szCs w:val="22"/>
        </w:rPr>
        <w:t xml:space="preserve"> per annum</w:t>
      </w:r>
      <w:r>
        <w:rPr>
          <w:szCs w:val="22"/>
        </w:rPr>
        <w:t xml:space="preserve"> up to 2016, at which point it constituted some 32% of the bank, a proportion it has maintained by 2018</w:t>
      </w:r>
      <w:r>
        <w:rPr>
          <w:i/>
          <w:szCs w:val="22"/>
        </w:rPr>
        <w:t xml:space="preserve">. </w:t>
      </w:r>
      <w:r w:rsidRPr="002744A2">
        <w:rPr>
          <w:szCs w:val="22"/>
        </w:rPr>
        <w:t xml:space="preserve"> </w:t>
      </w:r>
    </w:p>
    <w:p w14:paraId="4DC73DD5" w14:textId="15CA3B1D" w:rsidR="00CA2289" w:rsidRPr="002744A2" w:rsidRDefault="00CA2289" w:rsidP="009A23AA">
      <w:pPr>
        <w:rPr>
          <w:szCs w:val="22"/>
        </w:rPr>
      </w:pPr>
      <w:r w:rsidRPr="002744A2">
        <w:rPr>
          <w:szCs w:val="22"/>
        </w:rPr>
        <w:t>HFC-404A</w:t>
      </w:r>
      <w:r w:rsidR="0074042E">
        <w:rPr>
          <w:szCs w:val="22"/>
        </w:rPr>
        <w:t xml:space="preserve"> which saw steady</w:t>
      </w:r>
      <w:r>
        <w:rPr>
          <w:szCs w:val="22"/>
        </w:rPr>
        <w:t xml:space="preserve"> growth </w:t>
      </w:r>
      <w:r w:rsidRPr="002744A2">
        <w:rPr>
          <w:szCs w:val="22"/>
        </w:rPr>
        <w:t>in overall tonnes</w:t>
      </w:r>
      <w:r>
        <w:rPr>
          <w:szCs w:val="22"/>
        </w:rPr>
        <w:t xml:space="preserve"> between 2012 and 2016, increasing by more than 1,100 tonnes, or 25%</w:t>
      </w:r>
      <w:r w:rsidRPr="002744A2">
        <w:rPr>
          <w:szCs w:val="22"/>
        </w:rPr>
        <w:t xml:space="preserve">, </w:t>
      </w:r>
      <w:r>
        <w:rPr>
          <w:szCs w:val="22"/>
        </w:rPr>
        <w:t xml:space="preserve">to reach 4,547 tonnes </w:t>
      </w:r>
      <w:r w:rsidR="00012549">
        <w:rPr>
          <w:szCs w:val="22"/>
        </w:rPr>
        <w:t xml:space="preserve">and </w:t>
      </w:r>
      <w:r>
        <w:rPr>
          <w:szCs w:val="22"/>
        </w:rPr>
        <w:t>9% of the total bank in 2016</w:t>
      </w:r>
      <w:r w:rsidR="0074042E">
        <w:rPr>
          <w:szCs w:val="22"/>
        </w:rPr>
        <w:t>, has only</w:t>
      </w:r>
      <w:r>
        <w:rPr>
          <w:szCs w:val="22"/>
        </w:rPr>
        <w:t xml:space="preserve"> maintained this proportion of the total bank into 2018 with now an estimated 4,560 tonnes. </w:t>
      </w:r>
    </w:p>
    <w:p w14:paraId="6F9BE67F" w14:textId="2E204D5D" w:rsidR="00CA2289" w:rsidRDefault="00CA2289" w:rsidP="009A23AA">
      <w:pPr>
        <w:rPr>
          <w:szCs w:val="22"/>
        </w:rPr>
      </w:pPr>
      <w:r w:rsidRPr="002744A2">
        <w:rPr>
          <w:szCs w:val="22"/>
        </w:rPr>
        <w:t>HFC-407C</w:t>
      </w:r>
      <w:r>
        <w:rPr>
          <w:szCs w:val="22"/>
        </w:rPr>
        <w:t xml:space="preserve"> also grew in volume by more than 25% from 2012, reaching some 1,336 tonnes in 2016, having grown steadily from around 700 tonnes in 2006, increasing its proportion to 2.</w:t>
      </w:r>
      <w:r w:rsidR="00681E0F">
        <w:rPr>
          <w:szCs w:val="22"/>
        </w:rPr>
        <w:t>8</w:t>
      </w:r>
      <w:r>
        <w:rPr>
          <w:szCs w:val="22"/>
        </w:rPr>
        <w:t>% of the bank, mostly as a result of having similar refrigeration characteristics as HCFC-22 which it is sometimes used to replace</w:t>
      </w:r>
      <w:r w:rsidRPr="002744A2">
        <w:rPr>
          <w:szCs w:val="22"/>
        </w:rPr>
        <w:t>.</w:t>
      </w:r>
    </w:p>
    <w:p w14:paraId="4AE69956" w14:textId="30B769A5" w:rsidR="00CA2289" w:rsidRDefault="00CA2289" w:rsidP="009A23AA">
      <w:pPr>
        <w:rPr>
          <w:szCs w:val="22"/>
        </w:rPr>
      </w:pPr>
      <w:r w:rsidRPr="00764D5E">
        <w:rPr>
          <w:szCs w:val="22"/>
        </w:rPr>
        <w:t xml:space="preserve">The table below contains the data from which </w:t>
      </w:r>
      <w:r w:rsidRPr="00764D5E">
        <w:rPr>
          <w:i/>
          <w:szCs w:val="22"/>
        </w:rPr>
        <w:t xml:space="preserve">Figure </w:t>
      </w:r>
      <w:r w:rsidR="00012549">
        <w:rPr>
          <w:i/>
          <w:szCs w:val="22"/>
        </w:rPr>
        <w:t>21</w:t>
      </w:r>
      <w:r w:rsidRPr="00764D5E">
        <w:rPr>
          <w:szCs w:val="22"/>
        </w:rPr>
        <w:t xml:space="preserve"> above was produced. The tabulated data of the bank by species notably shows the emergence in 2016 of HFC-32 as a component of the overall bank. HFC-32 with a GWP of 675, as compared to HFC-410A with a GWP of 2088, is expected to cap the overall GWP intensity of the refrigerant bank as it becomes the most common refrigerant employed in the extensive stock of small AC.</w:t>
      </w:r>
    </w:p>
    <w:p w14:paraId="7ACB3DAD" w14:textId="4091AEB1" w:rsidR="00CA2289" w:rsidRPr="001A5DDE" w:rsidRDefault="00CA2289" w:rsidP="009A23AA">
      <w:pPr>
        <w:pStyle w:val="Caption"/>
        <w:keepNext/>
        <w:rPr>
          <w:szCs w:val="22"/>
        </w:rPr>
      </w:pPr>
      <w:bookmarkStart w:id="106" w:name="_Toc525141407"/>
      <w:bookmarkStart w:id="107" w:name="_Toc19601365"/>
      <w:r w:rsidRPr="001A5DDE">
        <w:t xml:space="preserve">Table </w:t>
      </w:r>
      <w:r>
        <w:rPr>
          <w:noProof/>
        </w:rPr>
        <w:fldChar w:fldCharType="begin"/>
      </w:r>
      <w:r>
        <w:rPr>
          <w:noProof/>
        </w:rPr>
        <w:instrText xml:space="preserve"> SEQ Table \* ARABIC </w:instrText>
      </w:r>
      <w:r>
        <w:rPr>
          <w:noProof/>
        </w:rPr>
        <w:fldChar w:fldCharType="separate"/>
      </w:r>
      <w:r w:rsidR="001D0DA3">
        <w:rPr>
          <w:noProof/>
        </w:rPr>
        <w:t>13</w:t>
      </w:r>
      <w:r>
        <w:rPr>
          <w:noProof/>
        </w:rPr>
        <w:fldChar w:fldCharType="end"/>
      </w:r>
      <w:r w:rsidRPr="001A5DDE">
        <w:t xml:space="preserve">: </w:t>
      </w:r>
      <w:r w:rsidRPr="001A5DDE">
        <w:rPr>
          <w:szCs w:val="22"/>
        </w:rPr>
        <w:t>Refrigerant bank 2006, 2012</w:t>
      </w:r>
      <w:r>
        <w:rPr>
          <w:szCs w:val="22"/>
        </w:rPr>
        <w:t xml:space="preserve">, </w:t>
      </w:r>
      <w:r w:rsidRPr="001A5DDE">
        <w:rPr>
          <w:szCs w:val="22"/>
        </w:rPr>
        <w:t xml:space="preserve">2016 </w:t>
      </w:r>
      <w:r>
        <w:rPr>
          <w:szCs w:val="22"/>
        </w:rPr>
        <w:t xml:space="preserve">and 2018 </w:t>
      </w:r>
      <w:r w:rsidRPr="001A5DDE">
        <w:rPr>
          <w:szCs w:val="22"/>
        </w:rPr>
        <w:t xml:space="preserve">by mass in </w:t>
      </w:r>
      <w:proofErr w:type="spellStart"/>
      <w:r w:rsidRPr="001A5DDE">
        <w:rPr>
          <w:szCs w:val="22"/>
        </w:rPr>
        <w:t>tonnes</w:t>
      </w:r>
      <w:proofErr w:type="spellEnd"/>
      <w:r w:rsidRPr="001A5DDE">
        <w:rPr>
          <w:szCs w:val="22"/>
        </w:rPr>
        <w:t xml:space="preserve"> and share in percent.</w:t>
      </w:r>
      <w:bookmarkEnd w:id="106"/>
      <w:bookmarkEnd w:id="107"/>
    </w:p>
    <w:tbl>
      <w:tblPr>
        <w:tblStyle w:val="TableGrid"/>
        <w:tblW w:w="0" w:type="auto"/>
        <w:tblLook w:val="04A0" w:firstRow="1" w:lastRow="0" w:firstColumn="1" w:lastColumn="0" w:noHBand="0" w:noVBand="1"/>
      </w:tblPr>
      <w:tblGrid>
        <w:gridCol w:w="1553"/>
        <w:gridCol w:w="865"/>
        <w:gridCol w:w="1009"/>
        <w:gridCol w:w="1011"/>
        <w:gridCol w:w="1009"/>
        <w:gridCol w:w="1010"/>
        <w:gridCol w:w="1010"/>
        <w:gridCol w:w="1010"/>
        <w:gridCol w:w="1010"/>
      </w:tblGrid>
      <w:tr w:rsidR="00CA2289" w14:paraId="055C2559" w14:textId="77777777" w:rsidTr="0002408B">
        <w:tc>
          <w:tcPr>
            <w:tcW w:w="1553" w:type="dxa"/>
            <w:vMerge w:val="restart"/>
            <w:shd w:val="clear" w:color="auto" w:fill="B6DDE8" w:themeFill="accent5" w:themeFillTint="66"/>
          </w:tcPr>
          <w:p w14:paraId="620A154D" w14:textId="77777777" w:rsidR="00CA2289" w:rsidRPr="00AE0146" w:rsidRDefault="00CA2289" w:rsidP="00DE7CE3">
            <w:pPr>
              <w:snapToGrid w:val="0"/>
              <w:spacing w:before="60" w:after="60"/>
              <w:jc w:val="left"/>
              <w:rPr>
                <w:szCs w:val="22"/>
              </w:rPr>
            </w:pPr>
          </w:p>
        </w:tc>
        <w:tc>
          <w:tcPr>
            <w:tcW w:w="1874" w:type="dxa"/>
            <w:gridSpan w:val="2"/>
            <w:shd w:val="clear" w:color="auto" w:fill="B6DDE8" w:themeFill="accent5" w:themeFillTint="66"/>
            <w:vAlign w:val="center"/>
          </w:tcPr>
          <w:p w14:paraId="37E003C3" w14:textId="0C3FA769" w:rsidR="00CA2289" w:rsidRPr="00AE0146" w:rsidRDefault="00CA2289" w:rsidP="00DE7CE3">
            <w:pPr>
              <w:snapToGrid w:val="0"/>
              <w:spacing w:before="60" w:after="60"/>
              <w:jc w:val="center"/>
              <w:rPr>
                <w:szCs w:val="22"/>
              </w:rPr>
            </w:pPr>
            <w:r>
              <w:rPr>
                <w:szCs w:val="22"/>
              </w:rPr>
              <w:t>2006</w:t>
            </w:r>
            <w:r w:rsidR="00CF12C4">
              <w:rPr>
                <w:szCs w:val="22"/>
              </w:rPr>
              <w:t xml:space="preserve"> </w:t>
            </w:r>
            <w:r w:rsidR="00CF12C4" w:rsidRPr="00CF12C4">
              <w:rPr>
                <w:szCs w:val="22"/>
                <w:vertAlign w:val="superscript"/>
              </w:rPr>
              <w:t>(4)</w:t>
            </w:r>
          </w:p>
        </w:tc>
        <w:tc>
          <w:tcPr>
            <w:tcW w:w="2020" w:type="dxa"/>
            <w:gridSpan w:val="2"/>
            <w:shd w:val="clear" w:color="auto" w:fill="B6DDE8" w:themeFill="accent5" w:themeFillTint="66"/>
            <w:vAlign w:val="center"/>
          </w:tcPr>
          <w:p w14:paraId="27FD330C" w14:textId="77777777" w:rsidR="00CA2289" w:rsidRPr="00AE0146" w:rsidRDefault="00CA2289" w:rsidP="00DE7CE3">
            <w:pPr>
              <w:snapToGrid w:val="0"/>
              <w:spacing w:before="60" w:after="60"/>
              <w:jc w:val="center"/>
              <w:rPr>
                <w:szCs w:val="22"/>
              </w:rPr>
            </w:pPr>
            <w:r>
              <w:rPr>
                <w:szCs w:val="22"/>
              </w:rPr>
              <w:t>2012</w:t>
            </w:r>
          </w:p>
        </w:tc>
        <w:tc>
          <w:tcPr>
            <w:tcW w:w="2020" w:type="dxa"/>
            <w:gridSpan w:val="2"/>
            <w:shd w:val="clear" w:color="auto" w:fill="B6DDE8" w:themeFill="accent5" w:themeFillTint="66"/>
            <w:vAlign w:val="center"/>
          </w:tcPr>
          <w:p w14:paraId="379C19B8" w14:textId="77777777" w:rsidR="00CA2289" w:rsidRPr="00AE0146" w:rsidRDefault="00CA2289" w:rsidP="00DE7CE3">
            <w:pPr>
              <w:snapToGrid w:val="0"/>
              <w:spacing w:before="60" w:after="60"/>
              <w:jc w:val="center"/>
              <w:rPr>
                <w:szCs w:val="22"/>
              </w:rPr>
            </w:pPr>
            <w:r>
              <w:rPr>
                <w:szCs w:val="22"/>
              </w:rPr>
              <w:t>2016</w:t>
            </w:r>
          </w:p>
        </w:tc>
        <w:tc>
          <w:tcPr>
            <w:tcW w:w="2020" w:type="dxa"/>
            <w:gridSpan w:val="2"/>
            <w:shd w:val="clear" w:color="auto" w:fill="B6DDE8" w:themeFill="accent5" w:themeFillTint="66"/>
          </w:tcPr>
          <w:p w14:paraId="7A9370D2" w14:textId="77777777" w:rsidR="00CA2289" w:rsidRPr="00AE0146" w:rsidRDefault="00CA2289" w:rsidP="00DE7CE3">
            <w:pPr>
              <w:snapToGrid w:val="0"/>
              <w:spacing w:before="60" w:after="60"/>
              <w:jc w:val="center"/>
              <w:rPr>
                <w:szCs w:val="22"/>
              </w:rPr>
            </w:pPr>
            <w:r>
              <w:rPr>
                <w:szCs w:val="22"/>
              </w:rPr>
              <w:t>2018</w:t>
            </w:r>
          </w:p>
        </w:tc>
      </w:tr>
      <w:tr w:rsidR="00CA2289" w14:paraId="5C1EB2BB" w14:textId="77777777" w:rsidTr="0002408B">
        <w:tc>
          <w:tcPr>
            <w:tcW w:w="1553" w:type="dxa"/>
            <w:vMerge/>
            <w:shd w:val="clear" w:color="auto" w:fill="B6DDE8" w:themeFill="accent5" w:themeFillTint="66"/>
          </w:tcPr>
          <w:p w14:paraId="3B1180F4" w14:textId="77777777" w:rsidR="00CA2289" w:rsidRPr="00AE0146" w:rsidRDefault="00CA2289" w:rsidP="00DE7CE3">
            <w:pPr>
              <w:snapToGrid w:val="0"/>
              <w:spacing w:before="60" w:after="60"/>
              <w:jc w:val="left"/>
              <w:rPr>
                <w:szCs w:val="22"/>
              </w:rPr>
            </w:pPr>
          </w:p>
        </w:tc>
        <w:tc>
          <w:tcPr>
            <w:tcW w:w="865" w:type="dxa"/>
            <w:shd w:val="clear" w:color="auto" w:fill="B6DDE8" w:themeFill="accent5" w:themeFillTint="66"/>
            <w:vAlign w:val="center"/>
          </w:tcPr>
          <w:p w14:paraId="298CDE45" w14:textId="77777777" w:rsidR="00CA2289" w:rsidRPr="00AE0146" w:rsidRDefault="00CA2289" w:rsidP="00DE7CE3">
            <w:pPr>
              <w:tabs>
                <w:tab w:val="left" w:pos="560"/>
              </w:tabs>
              <w:snapToGrid w:val="0"/>
              <w:spacing w:before="60" w:after="60"/>
              <w:jc w:val="center"/>
              <w:rPr>
                <w:szCs w:val="22"/>
              </w:rPr>
            </w:pPr>
            <w:r>
              <w:rPr>
                <w:szCs w:val="22"/>
              </w:rPr>
              <w:t>Tonnes</w:t>
            </w:r>
          </w:p>
        </w:tc>
        <w:tc>
          <w:tcPr>
            <w:tcW w:w="1009" w:type="dxa"/>
            <w:shd w:val="clear" w:color="auto" w:fill="B6DDE8" w:themeFill="accent5" w:themeFillTint="66"/>
            <w:vAlign w:val="center"/>
          </w:tcPr>
          <w:p w14:paraId="1C37B770" w14:textId="68593C34" w:rsidR="00CA2289" w:rsidRPr="00AE0146" w:rsidRDefault="00CA2289" w:rsidP="00DE7CE3">
            <w:pPr>
              <w:snapToGrid w:val="0"/>
              <w:spacing w:before="60" w:after="60"/>
              <w:jc w:val="center"/>
              <w:rPr>
                <w:szCs w:val="22"/>
              </w:rPr>
            </w:pPr>
            <w:r w:rsidRPr="00AE0146">
              <w:rPr>
                <w:szCs w:val="22"/>
              </w:rPr>
              <w:t>Share</w:t>
            </w:r>
          </w:p>
        </w:tc>
        <w:tc>
          <w:tcPr>
            <w:tcW w:w="1011" w:type="dxa"/>
            <w:shd w:val="clear" w:color="auto" w:fill="B6DDE8" w:themeFill="accent5" w:themeFillTint="66"/>
            <w:vAlign w:val="center"/>
          </w:tcPr>
          <w:p w14:paraId="20850A46" w14:textId="77777777" w:rsidR="00CA2289" w:rsidRPr="00AE0146" w:rsidRDefault="00CA2289" w:rsidP="00DE7CE3">
            <w:pPr>
              <w:snapToGrid w:val="0"/>
              <w:spacing w:before="60" w:after="60"/>
              <w:jc w:val="center"/>
              <w:rPr>
                <w:szCs w:val="22"/>
              </w:rPr>
            </w:pPr>
            <w:r>
              <w:rPr>
                <w:szCs w:val="22"/>
              </w:rPr>
              <w:t>Tonnes</w:t>
            </w:r>
          </w:p>
        </w:tc>
        <w:tc>
          <w:tcPr>
            <w:tcW w:w="1009" w:type="dxa"/>
            <w:shd w:val="clear" w:color="auto" w:fill="B6DDE8" w:themeFill="accent5" w:themeFillTint="66"/>
            <w:vAlign w:val="center"/>
          </w:tcPr>
          <w:p w14:paraId="2AE7D6F4" w14:textId="42678842" w:rsidR="00CA2289" w:rsidRPr="00AE0146" w:rsidRDefault="00CA2289" w:rsidP="00DE7CE3">
            <w:pPr>
              <w:snapToGrid w:val="0"/>
              <w:spacing w:before="60" w:after="60"/>
              <w:jc w:val="center"/>
              <w:rPr>
                <w:szCs w:val="22"/>
              </w:rPr>
            </w:pPr>
            <w:r w:rsidRPr="00AE0146">
              <w:rPr>
                <w:szCs w:val="22"/>
              </w:rPr>
              <w:t>Share</w:t>
            </w:r>
          </w:p>
        </w:tc>
        <w:tc>
          <w:tcPr>
            <w:tcW w:w="1010" w:type="dxa"/>
            <w:shd w:val="clear" w:color="auto" w:fill="B6DDE8" w:themeFill="accent5" w:themeFillTint="66"/>
            <w:vAlign w:val="center"/>
          </w:tcPr>
          <w:p w14:paraId="1B2E18F9" w14:textId="77777777" w:rsidR="00CA2289" w:rsidRPr="00AE0146" w:rsidRDefault="00CA2289" w:rsidP="00DE7CE3">
            <w:pPr>
              <w:snapToGrid w:val="0"/>
              <w:spacing w:before="60" w:after="60"/>
              <w:jc w:val="center"/>
              <w:rPr>
                <w:szCs w:val="22"/>
              </w:rPr>
            </w:pPr>
            <w:r>
              <w:rPr>
                <w:szCs w:val="22"/>
              </w:rPr>
              <w:t>Tonnes</w:t>
            </w:r>
          </w:p>
        </w:tc>
        <w:tc>
          <w:tcPr>
            <w:tcW w:w="1010" w:type="dxa"/>
            <w:shd w:val="clear" w:color="auto" w:fill="B6DDE8" w:themeFill="accent5" w:themeFillTint="66"/>
            <w:vAlign w:val="center"/>
          </w:tcPr>
          <w:p w14:paraId="5280C320" w14:textId="18E31F00" w:rsidR="00CA2289" w:rsidRPr="00AE0146" w:rsidRDefault="00CA2289" w:rsidP="00DE7CE3">
            <w:pPr>
              <w:snapToGrid w:val="0"/>
              <w:spacing w:before="60" w:after="60"/>
              <w:jc w:val="center"/>
              <w:rPr>
                <w:szCs w:val="22"/>
              </w:rPr>
            </w:pPr>
            <w:r w:rsidRPr="00AE0146">
              <w:rPr>
                <w:szCs w:val="22"/>
              </w:rPr>
              <w:t>Share</w:t>
            </w:r>
          </w:p>
        </w:tc>
        <w:tc>
          <w:tcPr>
            <w:tcW w:w="1010" w:type="dxa"/>
            <w:shd w:val="clear" w:color="auto" w:fill="B6DDE8" w:themeFill="accent5" w:themeFillTint="66"/>
            <w:vAlign w:val="center"/>
          </w:tcPr>
          <w:p w14:paraId="30CA8515" w14:textId="77777777" w:rsidR="00CA2289" w:rsidRPr="00AE0146" w:rsidRDefault="00CA2289" w:rsidP="00DE7CE3">
            <w:pPr>
              <w:snapToGrid w:val="0"/>
              <w:spacing w:before="60" w:after="60"/>
              <w:jc w:val="center"/>
              <w:rPr>
                <w:szCs w:val="22"/>
              </w:rPr>
            </w:pPr>
            <w:r>
              <w:rPr>
                <w:szCs w:val="22"/>
              </w:rPr>
              <w:t>Tonnes</w:t>
            </w:r>
          </w:p>
        </w:tc>
        <w:tc>
          <w:tcPr>
            <w:tcW w:w="1010" w:type="dxa"/>
            <w:shd w:val="clear" w:color="auto" w:fill="B6DDE8" w:themeFill="accent5" w:themeFillTint="66"/>
            <w:vAlign w:val="center"/>
          </w:tcPr>
          <w:p w14:paraId="64604407" w14:textId="5C29005D" w:rsidR="00CA2289" w:rsidRPr="00AE0146" w:rsidRDefault="00CA2289" w:rsidP="00DE7CE3">
            <w:pPr>
              <w:snapToGrid w:val="0"/>
              <w:spacing w:before="60" w:after="60"/>
              <w:jc w:val="center"/>
              <w:rPr>
                <w:szCs w:val="22"/>
              </w:rPr>
            </w:pPr>
            <w:r w:rsidRPr="00AE0146">
              <w:rPr>
                <w:szCs w:val="22"/>
              </w:rPr>
              <w:t>Share</w:t>
            </w:r>
          </w:p>
        </w:tc>
      </w:tr>
      <w:tr w:rsidR="001A64D3" w14:paraId="2E1BA208" w14:textId="77777777" w:rsidTr="0002408B">
        <w:tc>
          <w:tcPr>
            <w:tcW w:w="1553" w:type="dxa"/>
            <w:vAlign w:val="center"/>
          </w:tcPr>
          <w:p w14:paraId="20BBA93F" w14:textId="77777777" w:rsidR="001A64D3" w:rsidRPr="00AE08F5" w:rsidRDefault="001A64D3" w:rsidP="00DE7CE3">
            <w:pPr>
              <w:snapToGrid w:val="0"/>
              <w:spacing w:before="60" w:after="60"/>
              <w:jc w:val="left"/>
              <w:rPr>
                <w:szCs w:val="22"/>
              </w:rPr>
            </w:pPr>
            <w:r w:rsidRPr="00AE08F5">
              <w:rPr>
                <w:color w:val="000000"/>
                <w:szCs w:val="22"/>
                <w:lang w:val="en-AU"/>
              </w:rPr>
              <w:t>HCFC-22</w:t>
            </w:r>
          </w:p>
        </w:tc>
        <w:tc>
          <w:tcPr>
            <w:tcW w:w="865" w:type="dxa"/>
            <w:vAlign w:val="center"/>
          </w:tcPr>
          <w:p w14:paraId="5A588C49" w14:textId="77777777" w:rsidR="001A64D3" w:rsidRPr="00B01FD1" w:rsidRDefault="001A64D3" w:rsidP="00DE7CE3">
            <w:pPr>
              <w:snapToGrid w:val="0"/>
              <w:spacing w:before="60" w:after="60"/>
              <w:jc w:val="center"/>
              <w:rPr>
                <w:szCs w:val="22"/>
              </w:rPr>
            </w:pPr>
            <w:r w:rsidRPr="00B01FD1">
              <w:rPr>
                <w:color w:val="000000"/>
                <w:szCs w:val="22"/>
              </w:rPr>
              <w:t>11,280</w:t>
            </w:r>
          </w:p>
        </w:tc>
        <w:tc>
          <w:tcPr>
            <w:tcW w:w="1009" w:type="dxa"/>
            <w:vAlign w:val="center"/>
          </w:tcPr>
          <w:p w14:paraId="120AA16B" w14:textId="77777777" w:rsidR="001A64D3" w:rsidRPr="00B01FD1" w:rsidRDefault="001A64D3" w:rsidP="00DE7CE3">
            <w:pPr>
              <w:snapToGrid w:val="0"/>
              <w:spacing w:before="60" w:after="60"/>
              <w:jc w:val="center"/>
              <w:rPr>
                <w:szCs w:val="22"/>
              </w:rPr>
            </w:pPr>
            <w:r w:rsidRPr="00B01FD1">
              <w:rPr>
                <w:color w:val="000000"/>
                <w:szCs w:val="22"/>
              </w:rPr>
              <w:t>37%</w:t>
            </w:r>
          </w:p>
        </w:tc>
        <w:tc>
          <w:tcPr>
            <w:tcW w:w="1011" w:type="dxa"/>
            <w:vAlign w:val="center"/>
          </w:tcPr>
          <w:p w14:paraId="3CDF31A1" w14:textId="77777777" w:rsidR="001A64D3" w:rsidRPr="00B01FD1" w:rsidRDefault="001A64D3" w:rsidP="00DE7CE3">
            <w:pPr>
              <w:snapToGrid w:val="0"/>
              <w:spacing w:before="60" w:after="60"/>
              <w:jc w:val="center"/>
              <w:rPr>
                <w:szCs w:val="22"/>
              </w:rPr>
            </w:pPr>
            <w:r w:rsidRPr="00B01FD1">
              <w:rPr>
                <w:color w:val="000000"/>
                <w:szCs w:val="22"/>
              </w:rPr>
              <w:t>11,227</w:t>
            </w:r>
          </w:p>
        </w:tc>
        <w:tc>
          <w:tcPr>
            <w:tcW w:w="1009" w:type="dxa"/>
            <w:vAlign w:val="center"/>
          </w:tcPr>
          <w:p w14:paraId="597FCA53" w14:textId="77777777" w:rsidR="001A64D3" w:rsidRPr="00B01FD1" w:rsidRDefault="001A64D3" w:rsidP="00DE7CE3">
            <w:pPr>
              <w:snapToGrid w:val="0"/>
              <w:spacing w:before="60" w:after="60"/>
              <w:jc w:val="center"/>
              <w:rPr>
                <w:szCs w:val="22"/>
              </w:rPr>
            </w:pPr>
            <w:r w:rsidRPr="00B01FD1">
              <w:rPr>
                <w:color w:val="000000"/>
                <w:szCs w:val="22"/>
              </w:rPr>
              <w:t>26%</w:t>
            </w:r>
          </w:p>
        </w:tc>
        <w:tc>
          <w:tcPr>
            <w:tcW w:w="1010" w:type="dxa"/>
            <w:vAlign w:val="center"/>
          </w:tcPr>
          <w:p w14:paraId="1681AE04" w14:textId="77777777" w:rsidR="001A64D3" w:rsidRPr="00B01FD1" w:rsidRDefault="001A64D3" w:rsidP="00DE7CE3">
            <w:pPr>
              <w:snapToGrid w:val="0"/>
              <w:spacing w:before="60" w:after="60"/>
              <w:jc w:val="center"/>
              <w:rPr>
                <w:szCs w:val="22"/>
              </w:rPr>
            </w:pPr>
            <w:r w:rsidRPr="00B01FD1">
              <w:rPr>
                <w:color w:val="000000"/>
                <w:szCs w:val="22"/>
              </w:rPr>
              <w:t>8,283</w:t>
            </w:r>
          </w:p>
        </w:tc>
        <w:tc>
          <w:tcPr>
            <w:tcW w:w="1010" w:type="dxa"/>
            <w:vAlign w:val="center"/>
          </w:tcPr>
          <w:p w14:paraId="07FD9D75" w14:textId="77777777" w:rsidR="001A64D3" w:rsidRPr="00B01FD1" w:rsidRDefault="001A64D3" w:rsidP="00DE7CE3">
            <w:pPr>
              <w:snapToGrid w:val="0"/>
              <w:spacing w:before="60" w:after="60"/>
              <w:jc w:val="center"/>
              <w:rPr>
                <w:color w:val="000000"/>
                <w:szCs w:val="22"/>
              </w:rPr>
            </w:pPr>
            <w:r w:rsidRPr="00B01FD1">
              <w:rPr>
                <w:color w:val="000000"/>
                <w:szCs w:val="22"/>
              </w:rPr>
              <w:t>16%</w:t>
            </w:r>
          </w:p>
        </w:tc>
        <w:tc>
          <w:tcPr>
            <w:tcW w:w="1010" w:type="dxa"/>
            <w:vAlign w:val="center"/>
          </w:tcPr>
          <w:p w14:paraId="278E485A" w14:textId="77777777" w:rsidR="001A64D3" w:rsidRPr="00B01FD1" w:rsidRDefault="001A64D3" w:rsidP="00DE7CE3">
            <w:pPr>
              <w:snapToGrid w:val="0"/>
              <w:spacing w:before="60" w:after="60"/>
              <w:jc w:val="center"/>
              <w:rPr>
                <w:color w:val="000000"/>
                <w:szCs w:val="22"/>
              </w:rPr>
            </w:pPr>
            <w:r w:rsidRPr="00B01FD1">
              <w:rPr>
                <w:color w:val="000000"/>
                <w:szCs w:val="22"/>
              </w:rPr>
              <w:t>5,605</w:t>
            </w:r>
          </w:p>
        </w:tc>
        <w:tc>
          <w:tcPr>
            <w:tcW w:w="1010" w:type="dxa"/>
            <w:vMerge w:val="restart"/>
            <w:vAlign w:val="center"/>
          </w:tcPr>
          <w:p w14:paraId="187A7D0A" w14:textId="32052549" w:rsidR="001A64D3" w:rsidRPr="00B01FD1" w:rsidRDefault="001A64D3" w:rsidP="00DE7CE3">
            <w:pPr>
              <w:snapToGrid w:val="0"/>
              <w:spacing w:before="60" w:after="60"/>
              <w:jc w:val="center"/>
              <w:rPr>
                <w:szCs w:val="22"/>
              </w:rPr>
            </w:pPr>
            <w:r>
              <w:rPr>
                <w:szCs w:val="22"/>
              </w:rPr>
              <w:t>11%</w:t>
            </w:r>
          </w:p>
        </w:tc>
      </w:tr>
      <w:tr w:rsidR="001A64D3" w14:paraId="43B21E1C" w14:textId="77777777" w:rsidTr="0002408B">
        <w:tc>
          <w:tcPr>
            <w:tcW w:w="1553" w:type="dxa"/>
            <w:vAlign w:val="center"/>
          </w:tcPr>
          <w:p w14:paraId="7523C5A0" w14:textId="77777777" w:rsidR="001A64D3" w:rsidRPr="00AE08F5" w:rsidRDefault="001A64D3" w:rsidP="00DE7CE3">
            <w:pPr>
              <w:snapToGrid w:val="0"/>
              <w:spacing w:before="60" w:after="60"/>
              <w:jc w:val="left"/>
              <w:rPr>
                <w:szCs w:val="22"/>
              </w:rPr>
            </w:pPr>
            <w:r w:rsidRPr="00AE08F5">
              <w:rPr>
                <w:color w:val="000000"/>
                <w:szCs w:val="22"/>
                <w:lang w:val="en-AU"/>
              </w:rPr>
              <w:t>HCFC Mix</w:t>
            </w:r>
          </w:p>
        </w:tc>
        <w:tc>
          <w:tcPr>
            <w:tcW w:w="865" w:type="dxa"/>
            <w:vAlign w:val="center"/>
          </w:tcPr>
          <w:p w14:paraId="78617838" w14:textId="77777777" w:rsidR="001A64D3" w:rsidRPr="00B01FD1" w:rsidRDefault="001A64D3" w:rsidP="00DE7CE3">
            <w:pPr>
              <w:snapToGrid w:val="0"/>
              <w:spacing w:before="60" w:after="60"/>
              <w:jc w:val="center"/>
              <w:rPr>
                <w:szCs w:val="22"/>
              </w:rPr>
            </w:pPr>
            <w:r w:rsidRPr="00B01FD1">
              <w:rPr>
                <w:color w:val="000000"/>
                <w:szCs w:val="22"/>
              </w:rPr>
              <w:t>1,000</w:t>
            </w:r>
          </w:p>
        </w:tc>
        <w:tc>
          <w:tcPr>
            <w:tcW w:w="1009" w:type="dxa"/>
            <w:vAlign w:val="center"/>
          </w:tcPr>
          <w:p w14:paraId="4E4DE82A" w14:textId="77777777" w:rsidR="001A64D3" w:rsidRPr="00B01FD1" w:rsidRDefault="001A64D3" w:rsidP="00DE7CE3">
            <w:pPr>
              <w:snapToGrid w:val="0"/>
              <w:spacing w:before="60" w:after="60"/>
              <w:jc w:val="center"/>
              <w:rPr>
                <w:szCs w:val="22"/>
              </w:rPr>
            </w:pPr>
            <w:r w:rsidRPr="00B01FD1">
              <w:rPr>
                <w:color w:val="000000"/>
                <w:szCs w:val="22"/>
              </w:rPr>
              <w:t>3%</w:t>
            </w:r>
          </w:p>
        </w:tc>
        <w:tc>
          <w:tcPr>
            <w:tcW w:w="1011" w:type="dxa"/>
            <w:vAlign w:val="center"/>
          </w:tcPr>
          <w:p w14:paraId="1DD07BC9" w14:textId="77777777" w:rsidR="001A64D3" w:rsidRPr="00B01FD1" w:rsidRDefault="001A64D3" w:rsidP="00DE7CE3">
            <w:pPr>
              <w:snapToGrid w:val="0"/>
              <w:spacing w:before="60" w:after="60"/>
              <w:jc w:val="center"/>
              <w:rPr>
                <w:szCs w:val="22"/>
              </w:rPr>
            </w:pPr>
            <w:r w:rsidRPr="00B01FD1">
              <w:rPr>
                <w:color w:val="000000"/>
                <w:szCs w:val="22"/>
              </w:rPr>
              <w:t>201</w:t>
            </w:r>
          </w:p>
        </w:tc>
        <w:tc>
          <w:tcPr>
            <w:tcW w:w="1009" w:type="dxa"/>
            <w:vAlign w:val="center"/>
          </w:tcPr>
          <w:p w14:paraId="62299067" w14:textId="77777777" w:rsidR="001A64D3" w:rsidRPr="00B01FD1" w:rsidRDefault="001A64D3" w:rsidP="00DE7CE3">
            <w:pPr>
              <w:snapToGrid w:val="0"/>
              <w:spacing w:before="60" w:after="60"/>
              <w:jc w:val="center"/>
              <w:rPr>
                <w:szCs w:val="22"/>
              </w:rPr>
            </w:pPr>
            <w:r w:rsidRPr="00B01FD1">
              <w:rPr>
                <w:color w:val="000000"/>
                <w:szCs w:val="22"/>
              </w:rPr>
              <w:t>0%</w:t>
            </w:r>
          </w:p>
        </w:tc>
        <w:tc>
          <w:tcPr>
            <w:tcW w:w="1010" w:type="dxa"/>
            <w:vAlign w:val="center"/>
          </w:tcPr>
          <w:p w14:paraId="6F95BD12" w14:textId="77777777" w:rsidR="001A64D3" w:rsidRPr="00B01FD1" w:rsidRDefault="001A64D3" w:rsidP="00DE7CE3">
            <w:pPr>
              <w:snapToGrid w:val="0"/>
              <w:spacing w:before="60" w:after="60"/>
              <w:jc w:val="center"/>
              <w:rPr>
                <w:szCs w:val="22"/>
              </w:rPr>
            </w:pPr>
            <w:r w:rsidRPr="00B01FD1">
              <w:rPr>
                <w:color w:val="000000"/>
                <w:szCs w:val="22"/>
              </w:rPr>
              <w:t>217</w:t>
            </w:r>
          </w:p>
        </w:tc>
        <w:tc>
          <w:tcPr>
            <w:tcW w:w="1010" w:type="dxa"/>
            <w:vAlign w:val="center"/>
          </w:tcPr>
          <w:p w14:paraId="5E834CD4" w14:textId="77777777" w:rsidR="001A64D3" w:rsidRPr="00B01FD1" w:rsidRDefault="001A64D3" w:rsidP="00DE7CE3">
            <w:pPr>
              <w:snapToGrid w:val="0"/>
              <w:spacing w:before="60" w:after="60"/>
              <w:jc w:val="center"/>
              <w:rPr>
                <w:color w:val="000000"/>
                <w:szCs w:val="22"/>
              </w:rPr>
            </w:pPr>
            <w:r w:rsidRPr="00B01FD1">
              <w:rPr>
                <w:color w:val="000000"/>
                <w:szCs w:val="22"/>
              </w:rPr>
              <w:t>0%</w:t>
            </w:r>
          </w:p>
        </w:tc>
        <w:tc>
          <w:tcPr>
            <w:tcW w:w="1010" w:type="dxa"/>
            <w:vAlign w:val="center"/>
          </w:tcPr>
          <w:p w14:paraId="6E27536E" w14:textId="77777777" w:rsidR="001A64D3" w:rsidRPr="00B01FD1" w:rsidRDefault="001A64D3" w:rsidP="00DE7CE3">
            <w:pPr>
              <w:snapToGrid w:val="0"/>
              <w:spacing w:before="60" w:after="60"/>
              <w:jc w:val="center"/>
              <w:rPr>
                <w:color w:val="000000"/>
                <w:szCs w:val="22"/>
              </w:rPr>
            </w:pPr>
            <w:r w:rsidRPr="00B01FD1">
              <w:rPr>
                <w:color w:val="000000"/>
                <w:szCs w:val="22"/>
              </w:rPr>
              <w:t>199</w:t>
            </w:r>
          </w:p>
        </w:tc>
        <w:tc>
          <w:tcPr>
            <w:tcW w:w="1010" w:type="dxa"/>
            <w:vMerge/>
            <w:vAlign w:val="center"/>
          </w:tcPr>
          <w:p w14:paraId="75B88ACF" w14:textId="4AEA45C2" w:rsidR="001A64D3" w:rsidRPr="001A64D3" w:rsidRDefault="001A64D3" w:rsidP="001A64D3">
            <w:pPr>
              <w:snapToGrid w:val="0"/>
              <w:spacing w:before="60" w:after="60"/>
              <w:jc w:val="center"/>
              <w:rPr>
                <w:color w:val="000000"/>
                <w:szCs w:val="22"/>
              </w:rPr>
            </w:pPr>
          </w:p>
        </w:tc>
      </w:tr>
      <w:tr w:rsidR="00CA2289" w14:paraId="0449680F" w14:textId="77777777" w:rsidTr="0002408B">
        <w:tc>
          <w:tcPr>
            <w:tcW w:w="1553" w:type="dxa"/>
            <w:vAlign w:val="center"/>
          </w:tcPr>
          <w:p w14:paraId="2339FC34" w14:textId="77777777" w:rsidR="00CA2289" w:rsidRPr="00AE08F5" w:rsidRDefault="00CA2289" w:rsidP="00DE7CE3">
            <w:pPr>
              <w:snapToGrid w:val="0"/>
              <w:spacing w:before="60" w:after="60"/>
              <w:jc w:val="left"/>
              <w:rPr>
                <w:szCs w:val="22"/>
              </w:rPr>
            </w:pPr>
            <w:r w:rsidRPr="00AE08F5">
              <w:rPr>
                <w:color w:val="000000"/>
                <w:szCs w:val="22"/>
                <w:lang w:val="en-AU"/>
              </w:rPr>
              <w:t>HFC-134a</w:t>
            </w:r>
          </w:p>
        </w:tc>
        <w:tc>
          <w:tcPr>
            <w:tcW w:w="865" w:type="dxa"/>
            <w:vAlign w:val="center"/>
          </w:tcPr>
          <w:p w14:paraId="028D1D2D" w14:textId="77777777" w:rsidR="00CA2289" w:rsidRPr="00B01FD1" w:rsidRDefault="00CA2289" w:rsidP="00DE7CE3">
            <w:pPr>
              <w:snapToGrid w:val="0"/>
              <w:spacing w:before="60" w:after="60"/>
              <w:jc w:val="center"/>
              <w:rPr>
                <w:szCs w:val="22"/>
              </w:rPr>
            </w:pPr>
            <w:r w:rsidRPr="00B01FD1">
              <w:rPr>
                <w:color w:val="000000"/>
                <w:szCs w:val="22"/>
              </w:rPr>
              <w:t>11,389</w:t>
            </w:r>
          </w:p>
        </w:tc>
        <w:tc>
          <w:tcPr>
            <w:tcW w:w="1009" w:type="dxa"/>
            <w:vAlign w:val="center"/>
          </w:tcPr>
          <w:p w14:paraId="7AA5095B" w14:textId="77777777" w:rsidR="00CA2289" w:rsidRPr="00B01FD1" w:rsidRDefault="00CA2289" w:rsidP="00DE7CE3">
            <w:pPr>
              <w:snapToGrid w:val="0"/>
              <w:spacing w:before="60" w:after="60"/>
              <w:jc w:val="center"/>
              <w:rPr>
                <w:szCs w:val="22"/>
              </w:rPr>
            </w:pPr>
            <w:r w:rsidRPr="00B01FD1">
              <w:rPr>
                <w:color w:val="000000"/>
                <w:szCs w:val="22"/>
              </w:rPr>
              <w:t>37%</w:t>
            </w:r>
          </w:p>
        </w:tc>
        <w:tc>
          <w:tcPr>
            <w:tcW w:w="1011" w:type="dxa"/>
            <w:vAlign w:val="center"/>
          </w:tcPr>
          <w:p w14:paraId="2864E93D" w14:textId="77777777" w:rsidR="00CA2289" w:rsidRPr="00B01FD1" w:rsidRDefault="00CA2289" w:rsidP="00DE7CE3">
            <w:pPr>
              <w:snapToGrid w:val="0"/>
              <w:spacing w:before="60" w:after="60"/>
              <w:jc w:val="center"/>
              <w:rPr>
                <w:szCs w:val="22"/>
              </w:rPr>
            </w:pPr>
            <w:r w:rsidRPr="00B01FD1">
              <w:rPr>
                <w:color w:val="000000"/>
                <w:szCs w:val="22"/>
              </w:rPr>
              <w:t>13,432</w:t>
            </w:r>
          </w:p>
        </w:tc>
        <w:tc>
          <w:tcPr>
            <w:tcW w:w="1009" w:type="dxa"/>
            <w:vAlign w:val="center"/>
          </w:tcPr>
          <w:p w14:paraId="42549969" w14:textId="77777777" w:rsidR="00CA2289" w:rsidRPr="00B01FD1" w:rsidRDefault="00CA2289" w:rsidP="00DE7CE3">
            <w:pPr>
              <w:snapToGrid w:val="0"/>
              <w:spacing w:before="60" w:after="60"/>
              <w:jc w:val="center"/>
              <w:rPr>
                <w:szCs w:val="22"/>
              </w:rPr>
            </w:pPr>
            <w:r w:rsidRPr="00B01FD1">
              <w:rPr>
                <w:color w:val="000000"/>
                <w:szCs w:val="22"/>
              </w:rPr>
              <w:t>31%</w:t>
            </w:r>
          </w:p>
        </w:tc>
        <w:tc>
          <w:tcPr>
            <w:tcW w:w="1010" w:type="dxa"/>
            <w:vAlign w:val="center"/>
          </w:tcPr>
          <w:p w14:paraId="428E193A" w14:textId="77777777" w:rsidR="00CA2289" w:rsidRPr="00B01FD1" w:rsidRDefault="00CA2289" w:rsidP="00DE7CE3">
            <w:pPr>
              <w:snapToGrid w:val="0"/>
              <w:spacing w:before="60" w:after="60"/>
              <w:jc w:val="center"/>
              <w:rPr>
                <w:szCs w:val="22"/>
              </w:rPr>
            </w:pPr>
            <w:r w:rsidRPr="00B01FD1">
              <w:rPr>
                <w:color w:val="000000"/>
                <w:szCs w:val="22"/>
              </w:rPr>
              <w:t>16,343</w:t>
            </w:r>
          </w:p>
        </w:tc>
        <w:tc>
          <w:tcPr>
            <w:tcW w:w="1010" w:type="dxa"/>
            <w:vAlign w:val="center"/>
          </w:tcPr>
          <w:p w14:paraId="606A95DE" w14:textId="77777777" w:rsidR="00CA2289" w:rsidRPr="00B01FD1" w:rsidRDefault="00CA2289" w:rsidP="00DE7CE3">
            <w:pPr>
              <w:snapToGrid w:val="0"/>
              <w:spacing w:before="60" w:after="60"/>
              <w:jc w:val="center"/>
              <w:rPr>
                <w:color w:val="000000"/>
                <w:szCs w:val="22"/>
              </w:rPr>
            </w:pPr>
            <w:r w:rsidRPr="00B01FD1">
              <w:rPr>
                <w:color w:val="000000"/>
                <w:szCs w:val="22"/>
              </w:rPr>
              <w:t>32%</w:t>
            </w:r>
          </w:p>
        </w:tc>
        <w:tc>
          <w:tcPr>
            <w:tcW w:w="1010" w:type="dxa"/>
            <w:vAlign w:val="center"/>
          </w:tcPr>
          <w:p w14:paraId="740450A5" w14:textId="47957D1C" w:rsidR="00CA2289" w:rsidRPr="00B01FD1" w:rsidRDefault="00CA2289" w:rsidP="00DE7CE3">
            <w:pPr>
              <w:snapToGrid w:val="0"/>
              <w:spacing w:before="60" w:after="60"/>
              <w:jc w:val="center"/>
              <w:rPr>
                <w:color w:val="000000"/>
                <w:szCs w:val="22"/>
              </w:rPr>
            </w:pPr>
            <w:r w:rsidRPr="00B01FD1">
              <w:rPr>
                <w:color w:val="000000"/>
                <w:szCs w:val="22"/>
              </w:rPr>
              <w:t>16,8</w:t>
            </w:r>
            <w:r w:rsidR="001A64D3">
              <w:rPr>
                <w:color w:val="000000"/>
                <w:szCs w:val="22"/>
              </w:rPr>
              <w:t>03</w:t>
            </w:r>
          </w:p>
        </w:tc>
        <w:tc>
          <w:tcPr>
            <w:tcW w:w="1010" w:type="dxa"/>
            <w:vAlign w:val="center"/>
          </w:tcPr>
          <w:p w14:paraId="6496B277" w14:textId="0771AD8A" w:rsidR="00CA2289" w:rsidRPr="00B01FD1" w:rsidRDefault="00CA2289" w:rsidP="00DE7CE3">
            <w:pPr>
              <w:snapToGrid w:val="0"/>
              <w:spacing w:before="60" w:after="60"/>
              <w:jc w:val="center"/>
              <w:rPr>
                <w:szCs w:val="22"/>
              </w:rPr>
            </w:pPr>
            <w:r w:rsidRPr="00B01FD1">
              <w:rPr>
                <w:color w:val="000000"/>
                <w:szCs w:val="22"/>
              </w:rPr>
              <w:t>3</w:t>
            </w:r>
            <w:r w:rsidR="001A64D3">
              <w:rPr>
                <w:color w:val="000000"/>
                <w:szCs w:val="22"/>
              </w:rPr>
              <w:t>1.5</w:t>
            </w:r>
            <w:r w:rsidRPr="00B01FD1">
              <w:rPr>
                <w:color w:val="000000"/>
                <w:szCs w:val="22"/>
              </w:rPr>
              <w:t>%</w:t>
            </w:r>
          </w:p>
        </w:tc>
      </w:tr>
      <w:tr w:rsidR="00CA2289" w14:paraId="1F127273" w14:textId="77777777" w:rsidTr="0002408B">
        <w:tc>
          <w:tcPr>
            <w:tcW w:w="1553" w:type="dxa"/>
            <w:vAlign w:val="center"/>
          </w:tcPr>
          <w:p w14:paraId="0F29BF59" w14:textId="77777777" w:rsidR="00CA2289" w:rsidRPr="00AE08F5" w:rsidRDefault="00CA2289" w:rsidP="00DE7CE3">
            <w:pPr>
              <w:snapToGrid w:val="0"/>
              <w:spacing w:before="60" w:after="60"/>
              <w:jc w:val="left"/>
              <w:rPr>
                <w:szCs w:val="22"/>
              </w:rPr>
            </w:pPr>
            <w:r w:rsidRPr="00AE08F5">
              <w:rPr>
                <w:color w:val="000000"/>
                <w:szCs w:val="22"/>
                <w:lang w:val="en-AU"/>
              </w:rPr>
              <w:t>HFC-404A</w:t>
            </w:r>
          </w:p>
        </w:tc>
        <w:tc>
          <w:tcPr>
            <w:tcW w:w="865" w:type="dxa"/>
            <w:vAlign w:val="center"/>
          </w:tcPr>
          <w:p w14:paraId="4F9E8023" w14:textId="77777777" w:rsidR="00CA2289" w:rsidRPr="00B01FD1" w:rsidRDefault="00CA2289" w:rsidP="00DE7CE3">
            <w:pPr>
              <w:snapToGrid w:val="0"/>
              <w:spacing w:before="60" w:after="60"/>
              <w:jc w:val="center"/>
              <w:rPr>
                <w:szCs w:val="22"/>
              </w:rPr>
            </w:pPr>
            <w:r w:rsidRPr="00B01FD1">
              <w:rPr>
                <w:color w:val="000000"/>
                <w:szCs w:val="22"/>
              </w:rPr>
              <w:t>3,412</w:t>
            </w:r>
          </w:p>
        </w:tc>
        <w:tc>
          <w:tcPr>
            <w:tcW w:w="1009" w:type="dxa"/>
            <w:vAlign w:val="center"/>
          </w:tcPr>
          <w:p w14:paraId="0EA6B182" w14:textId="77777777" w:rsidR="00CA2289" w:rsidRPr="00B01FD1" w:rsidRDefault="00CA2289" w:rsidP="00DE7CE3">
            <w:pPr>
              <w:snapToGrid w:val="0"/>
              <w:spacing w:before="60" w:after="60"/>
              <w:jc w:val="center"/>
              <w:rPr>
                <w:szCs w:val="22"/>
              </w:rPr>
            </w:pPr>
            <w:r w:rsidRPr="00B01FD1">
              <w:rPr>
                <w:color w:val="000000"/>
                <w:szCs w:val="22"/>
              </w:rPr>
              <w:t>11%</w:t>
            </w:r>
          </w:p>
        </w:tc>
        <w:tc>
          <w:tcPr>
            <w:tcW w:w="1011" w:type="dxa"/>
            <w:vAlign w:val="center"/>
          </w:tcPr>
          <w:p w14:paraId="2BF48632" w14:textId="77777777" w:rsidR="00CA2289" w:rsidRPr="00B01FD1" w:rsidRDefault="00CA2289" w:rsidP="00DE7CE3">
            <w:pPr>
              <w:snapToGrid w:val="0"/>
              <w:spacing w:before="60" w:after="60"/>
              <w:jc w:val="center"/>
              <w:rPr>
                <w:szCs w:val="22"/>
              </w:rPr>
            </w:pPr>
            <w:r w:rsidRPr="00B01FD1">
              <w:rPr>
                <w:color w:val="000000"/>
                <w:szCs w:val="22"/>
              </w:rPr>
              <w:t>3,306</w:t>
            </w:r>
          </w:p>
        </w:tc>
        <w:tc>
          <w:tcPr>
            <w:tcW w:w="1009" w:type="dxa"/>
            <w:vAlign w:val="center"/>
          </w:tcPr>
          <w:p w14:paraId="5ECCE7F5" w14:textId="77777777" w:rsidR="00CA2289" w:rsidRPr="00B01FD1" w:rsidRDefault="00CA2289" w:rsidP="00DE7CE3">
            <w:pPr>
              <w:snapToGrid w:val="0"/>
              <w:spacing w:before="60" w:after="60"/>
              <w:jc w:val="center"/>
              <w:rPr>
                <w:szCs w:val="22"/>
              </w:rPr>
            </w:pPr>
            <w:r w:rsidRPr="00B01FD1">
              <w:rPr>
                <w:color w:val="000000"/>
                <w:szCs w:val="22"/>
              </w:rPr>
              <w:t>8%</w:t>
            </w:r>
          </w:p>
        </w:tc>
        <w:tc>
          <w:tcPr>
            <w:tcW w:w="1010" w:type="dxa"/>
            <w:vAlign w:val="center"/>
          </w:tcPr>
          <w:p w14:paraId="75EB79E4" w14:textId="77777777" w:rsidR="00CA2289" w:rsidRPr="00B01FD1" w:rsidRDefault="00CA2289" w:rsidP="00DE7CE3">
            <w:pPr>
              <w:snapToGrid w:val="0"/>
              <w:spacing w:before="60" w:after="60"/>
              <w:jc w:val="center"/>
              <w:rPr>
                <w:szCs w:val="22"/>
              </w:rPr>
            </w:pPr>
            <w:r w:rsidRPr="00B01FD1">
              <w:rPr>
                <w:color w:val="000000"/>
                <w:szCs w:val="22"/>
              </w:rPr>
              <w:t>4,547</w:t>
            </w:r>
          </w:p>
        </w:tc>
        <w:tc>
          <w:tcPr>
            <w:tcW w:w="1010" w:type="dxa"/>
            <w:vAlign w:val="center"/>
          </w:tcPr>
          <w:p w14:paraId="65B02280" w14:textId="77777777" w:rsidR="00CA2289" w:rsidRPr="00B01FD1" w:rsidRDefault="00CA2289" w:rsidP="00DE7CE3">
            <w:pPr>
              <w:snapToGrid w:val="0"/>
              <w:spacing w:before="60" w:after="60"/>
              <w:jc w:val="center"/>
              <w:rPr>
                <w:color w:val="000000"/>
                <w:szCs w:val="22"/>
              </w:rPr>
            </w:pPr>
            <w:r w:rsidRPr="00B01FD1">
              <w:rPr>
                <w:color w:val="000000"/>
                <w:szCs w:val="22"/>
              </w:rPr>
              <w:t>9%</w:t>
            </w:r>
          </w:p>
        </w:tc>
        <w:tc>
          <w:tcPr>
            <w:tcW w:w="1010" w:type="dxa"/>
            <w:vAlign w:val="center"/>
          </w:tcPr>
          <w:p w14:paraId="31288050" w14:textId="77777777" w:rsidR="00CA2289" w:rsidRPr="00B01FD1" w:rsidRDefault="00CA2289" w:rsidP="00DE7CE3">
            <w:pPr>
              <w:snapToGrid w:val="0"/>
              <w:spacing w:before="60" w:after="60"/>
              <w:jc w:val="center"/>
              <w:rPr>
                <w:color w:val="000000"/>
                <w:szCs w:val="22"/>
              </w:rPr>
            </w:pPr>
            <w:r w:rsidRPr="00B01FD1">
              <w:rPr>
                <w:color w:val="000000"/>
                <w:szCs w:val="22"/>
              </w:rPr>
              <w:t>4,560</w:t>
            </w:r>
          </w:p>
        </w:tc>
        <w:tc>
          <w:tcPr>
            <w:tcW w:w="1010" w:type="dxa"/>
            <w:vAlign w:val="center"/>
          </w:tcPr>
          <w:p w14:paraId="79CF418B" w14:textId="77777777" w:rsidR="00CA2289" w:rsidRPr="00B01FD1" w:rsidRDefault="00CA2289" w:rsidP="00DE7CE3">
            <w:pPr>
              <w:snapToGrid w:val="0"/>
              <w:spacing w:before="60" w:after="60"/>
              <w:jc w:val="center"/>
              <w:rPr>
                <w:szCs w:val="22"/>
              </w:rPr>
            </w:pPr>
            <w:r w:rsidRPr="00B01FD1">
              <w:rPr>
                <w:color w:val="000000"/>
                <w:szCs w:val="22"/>
              </w:rPr>
              <w:t>9%</w:t>
            </w:r>
          </w:p>
        </w:tc>
      </w:tr>
      <w:tr w:rsidR="00CA2289" w14:paraId="3B5ADCF3" w14:textId="77777777" w:rsidTr="0002408B">
        <w:tc>
          <w:tcPr>
            <w:tcW w:w="1553" w:type="dxa"/>
            <w:vAlign w:val="center"/>
          </w:tcPr>
          <w:p w14:paraId="21BD707C" w14:textId="77777777" w:rsidR="00CA2289" w:rsidRPr="00AE08F5" w:rsidRDefault="00CA2289" w:rsidP="00DE7CE3">
            <w:pPr>
              <w:snapToGrid w:val="0"/>
              <w:spacing w:before="60" w:after="60"/>
              <w:jc w:val="left"/>
              <w:rPr>
                <w:szCs w:val="22"/>
              </w:rPr>
            </w:pPr>
            <w:r w:rsidRPr="00AE08F5">
              <w:rPr>
                <w:color w:val="000000"/>
                <w:szCs w:val="22"/>
                <w:lang w:val="en-AU"/>
              </w:rPr>
              <w:t>HFC-407C</w:t>
            </w:r>
          </w:p>
        </w:tc>
        <w:tc>
          <w:tcPr>
            <w:tcW w:w="865" w:type="dxa"/>
            <w:vAlign w:val="center"/>
          </w:tcPr>
          <w:p w14:paraId="7B90FC31" w14:textId="77777777" w:rsidR="00CA2289" w:rsidRPr="00B01FD1" w:rsidRDefault="00CA2289" w:rsidP="00DE7CE3">
            <w:pPr>
              <w:snapToGrid w:val="0"/>
              <w:spacing w:before="60" w:after="60"/>
              <w:jc w:val="center"/>
              <w:rPr>
                <w:szCs w:val="22"/>
              </w:rPr>
            </w:pPr>
            <w:r w:rsidRPr="00B01FD1">
              <w:rPr>
                <w:color w:val="000000"/>
                <w:szCs w:val="22"/>
              </w:rPr>
              <w:t>711</w:t>
            </w:r>
          </w:p>
        </w:tc>
        <w:tc>
          <w:tcPr>
            <w:tcW w:w="1009" w:type="dxa"/>
            <w:vAlign w:val="center"/>
          </w:tcPr>
          <w:p w14:paraId="0427D805" w14:textId="77777777" w:rsidR="00CA2289" w:rsidRPr="00B01FD1" w:rsidRDefault="00CA2289" w:rsidP="00DE7CE3">
            <w:pPr>
              <w:snapToGrid w:val="0"/>
              <w:spacing w:before="60" w:after="60"/>
              <w:jc w:val="center"/>
              <w:rPr>
                <w:szCs w:val="22"/>
              </w:rPr>
            </w:pPr>
            <w:r w:rsidRPr="00B01FD1">
              <w:rPr>
                <w:color w:val="000000"/>
                <w:szCs w:val="22"/>
              </w:rPr>
              <w:t>2%</w:t>
            </w:r>
          </w:p>
        </w:tc>
        <w:tc>
          <w:tcPr>
            <w:tcW w:w="1011" w:type="dxa"/>
            <w:vAlign w:val="center"/>
          </w:tcPr>
          <w:p w14:paraId="0796E0CE" w14:textId="77777777" w:rsidR="00CA2289" w:rsidRPr="00B01FD1" w:rsidRDefault="00CA2289" w:rsidP="00DE7CE3">
            <w:pPr>
              <w:snapToGrid w:val="0"/>
              <w:spacing w:before="60" w:after="60"/>
              <w:jc w:val="center"/>
              <w:rPr>
                <w:szCs w:val="22"/>
              </w:rPr>
            </w:pPr>
            <w:r w:rsidRPr="00B01FD1">
              <w:rPr>
                <w:color w:val="000000"/>
                <w:szCs w:val="22"/>
              </w:rPr>
              <w:t>1,017</w:t>
            </w:r>
          </w:p>
        </w:tc>
        <w:tc>
          <w:tcPr>
            <w:tcW w:w="1009" w:type="dxa"/>
            <w:vAlign w:val="center"/>
          </w:tcPr>
          <w:p w14:paraId="423B0006" w14:textId="77777777" w:rsidR="00CA2289" w:rsidRPr="00B01FD1" w:rsidRDefault="00CA2289" w:rsidP="00DE7CE3">
            <w:pPr>
              <w:snapToGrid w:val="0"/>
              <w:spacing w:before="60" w:after="60"/>
              <w:jc w:val="center"/>
              <w:rPr>
                <w:szCs w:val="22"/>
              </w:rPr>
            </w:pPr>
            <w:r w:rsidRPr="00B01FD1">
              <w:rPr>
                <w:color w:val="000000"/>
                <w:szCs w:val="22"/>
              </w:rPr>
              <w:t>2%</w:t>
            </w:r>
          </w:p>
        </w:tc>
        <w:tc>
          <w:tcPr>
            <w:tcW w:w="1010" w:type="dxa"/>
            <w:vAlign w:val="center"/>
          </w:tcPr>
          <w:p w14:paraId="6C7CC111" w14:textId="77777777" w:rsidR="00CA2289" w:rsidRPr="00B01FD1" w:rsidRDefault="00CA2289" w:rsidP="00DE7CE3">
            <w:pPr>
              <w:snapToGrid w:val="0"/>
              <w:spacing w:before="60" w:after="60"/>
              <w:jc w:val="center"/>
              <w:rPr>
                <w:szCs w:val="22"/>
              </w:rPr>
            </w:pPr>
            <w:r w:rsidRPr="00B01FD1">
              <w:rPr>
                <w:color w:val="000000"/>
                <w:szCs w:val="22"/>
              </w:rPr>
              <w:t>1,336</w:t>
            </w:r>
          </w:p>
        </w:tc>
        <w:tc>
          <w:tcPr>
            <w:tcW w:w="1010" w:type="dxa"/>
            <w:vAlign w:val="center"/>
          </w:tcPr>
          <w:p w14:paraId="09078FAE" w14:textId="77777777" w:rsidR="00CA2289" w:rsidRPr="00B01FD1" w:rsidRDefault="00CA2289" w:rsidP="00DE7CE3">
            <w:pPr>
              <w:snapToGrid w:val="0"/>
              <w:spacing w:before="60" w:after="60"/>
              <w:jc w:val="center"/>
              <w:rPr>
                <w:color w:val="000000"/>
                <w:szCs w:val="22"/>
              </w:rPr>
            </w:pPr>
            <w:r w:rsidRPr="00B01FD1">
              <w:rPr>
                <w:color w:val="000000"/>
                <w:szCs w:val="22"/>
              </w:rPr>
              <w:t>2.6%</w:t>
            </w:r>
          </w:p>
        </w:tc>
        <w:tc>
          <w:tcPr>
            <w:tcW w:w="1010" w:type="dxa"/>
            <w:vAlign w:val="center"/>
          </w:tcPr>
          <w:p w14:paraId="021FCC46" w14:textId="77777777" w:rsidR="00CA2289" w:rsidRPr="00B01FD1" w:rsidRDefault="00CA2289" w:rsidP="00DE7CE3">
            <w:pPr>
              <w:snapToGrid w:val="0"/>
              <w:spacing w:before="60" w:after="60"/>
              <w:jc w:val="center"/>
              <w:rPr>
                <w:color w:val="000000"/>
                <w:szCs w:val="22"/>
              </w:rPr>
            </w:pPr>
            <w:r w:rsidRPr="00B01FD1">
              <w:rPr>
                <w:color w:val="000000"/>
                <w:szCs w:val="22"/>
              </w:rPr>
              <w:t>1,492</w:t>
            </w:r>
          </w:p>
        </w:tc>
        <w:tc>
          <w:tcPr>
            <w:tcW w:w="1010" w:type="dxa"/>
            <w:vAlign w:val="center"/>
          </w:tcPr>
          <w:p w14:paraId="18EC468A" w14:textId="77777777" w:rsidR="00CA2289" w:rsidRPr="00B01FD1" w:rsidRDefault="00CA2289" w:rsidP="00DE7CE3">
            <w:pPr>
              <w:snapToGrid w:val="0"/>
              <w:spacing w:before="60" w:after="60"/>
              <w:jc w:val="center"/>
              <w:rPr>
                <w:szCs w:val="22"/>
              </w:rPr>
            </w:pPr>
            <w:r w:rsidRPr="00B01FD1">
              <w:rPr>
                <w:color w:val="000000"/>
                <w:szCs w:val="22"/>
              </w:rPr>
              <w:t>2.8%</w:t>
            </w:r>
          </w:p>
        </w:tc>
      </w:tr>
      <w:tr w:rsidR="00CA2289" w14:paraId="314E9B4D" w14:textId="77777777" w:rsidTr="0002408B">
        <w:tc>
          <w:tcPr>
            <w:tcW w:w="1553" w:type="dxa"/>
            <w:vAlign w:val="center"/>
          </w:tcPr>
          <w:p w14:paraId="27DB2554" w14:textId="77777777" w:rsidR="00CA2289" w:rsidRPr="00AE08F5" w:rsidRDefault="00CA2289" w:rsidP="00DE7CE3">
            <w:pPr>
              <w:snapToGrid w:val="0"/>
              <w:spacing w:before="60" w:after="60"/>
              <w:jc w:val="left"/>
              <w:rPr>
                <w:szCs w:val="22"/>
              </w:rPr>
            </w:pPr>
            <w:r w:rsidRPr="00AE08F5">
              <w:rPr>
                <w:color w:val="000000"/>
                <w:szCs w:val="22"/>
                <w:lang w:val="en-AU"/>
              </w:rPr>
              <w:t>HFC-410A</w:t>
            </w:r>
          </w:p>
        </w:tc>
        <w:tc>
          <w:tcPr>
            <w:tcW w:w="865" w:type="dxa"/>
            <w:vAlign w:val="center"/>
          </w:tcPr>
          <w:p w14:paraId="1D33D332" w14:textId="77777777" w:rsidR="00CA2289" w:rsidRPr="00B01FD1" w:rsidRDefault="00CA2289" w:rsidP="00DE7CE3">
            <w:pPr>
              <w:snapToGrid w:val="0"/>
              <w:spacing w:before="60" w:after="60"/>
              <w:jc w:val="center"/>
              <w:rPr>
                <w:szCs w:val="22"/>
              </w:rPr>
            </w:pPr>
            <w:r w:rsidRPr="00B01FD1">
              <w:rPr>
                <w:color w:val="000000"/>
                <w:szCs w:val="22"/>
              </w:rPr>
              <w:t>2,783</w:t>
            </w:r>
          </w:p>
        </w:tc>
        <w:tc>
          <w:tcPr>
            <w:tcW w:w="1009" w:type="dxa"/>
            <w:vAlign w:val="center"/>
          </w:tcPr>
          <w:p w14:paraId="6839EA2C" w14:textId="77777777" w:rsidR="00CA2289" w:rsidRPr="00B01FD1" w:rsidRDefault="00CA2289" w:rsidP="00DE7CE3">
            <w:pPr>
              <w:snapToGrid w:val="0"/>
              <w:spacing w:before="60" w:after="60"/>
              <w:jc w:val="center"/>
              <w:rPr>
                <w:szCs w:val="22"/>
              </w:rPr>
            </w:pPr>
            <w:r w:rsidRPr="00B01FD1">
              <w:rPr>
                <w:color w:val="000000"/>
                <w:szCs w:val="22"/>
              </w:rPr>
              <w:t>9%</w:t>
            </w:r>
          </w:p>
        </w:tc>
        <w:tc>
          <w:tcPr>
            <w:tcW w:w="1011" w:type="dxa"/>
            <w:vAlign w:val="center"/>
          </w:tcPr>
          <w:p w14:paraId="10D97EFE" w14:textId="77777777" w:rsidR="00CA2289" w:rsidRPr="00B01FD1" w:rsidRDefault="00CA2289" w:rsidP="00DE7CE3">
            <w:pPr>
              <w:snapToGrid w:val="0"/>
              <w:spacing w:before="60" w:after="60"/>
              <w:jc w:val="center"/>
              <w:rPr>
                <w:szCs w:val="22"/>
              </w:rPr>
            </w:pPr>
            <w:r w:rsidRPr="00B01FD1">
              <w:rPr>
                <w:color w:val="000000"/>
                <w:szCs w:val="22"/>
              </w:rPr>
              <w:t>14,341</w:t>
            </w:r>
          </w:p>
        </w:tc>
        <w:tc>
          <w:tcPr>
            <w:tcW w:w="1009" w:type="dxa"/>
            <w:vAlign w:val="center"/>
          </w:tcPr>
          <w:p w14:paraId="02E9840F" w14:textId="77777777" w:rsidR="00CA2289" w:rsidRPr="00B01FD1" w:rsidRDefault="00CA2289" w:rsidP="00DE7CE3">
            <w:pPr>
              <w:snapToGrid w:val="0"/>
              <w:spacing w:before="60" w:after="60"/>
              <w:jc w:val="center"/>
              <w:rPr>
                <w:szCs w:val="22"/>
              </w:rPr>
            </w:pPr>
            <w:r w:rsidRPr="00B01FD1">
              <w:rPr>
                <w:color w:val="000000"/>
                <w:szCs w:val="22"/>
              </w:rPr>
              <w:t>33%</w:t>
            </w:r>
          </w:p>
        </w:tc>
        <w:tc>
          <w:tcPr>
            <w:tcW w:w="1010" w:type="dxa"/>
            <w:vAlign w:val="center"/>
          </w:tcPr>
          <w:p w14:paraId="537BE640" w14:textId="77777777" w:rsidR="00CA2289" w:rsidRPr="00B01FD1" w:rsidRDefault="00CA2289" w:rsidP="00DE7CE3">
            <w:pPr>
              <w:snapToGrid w:val="0"/>
              <w:spacing w:before="60" w:after="60"/>
              <w:jc w:val="center"/>
              <w:rPr>
                <w:szCs w:val="22"/>
              </w:rPr>
            </w:pPr>
            <w:r w:rsidRPr="00B01FD1">
              <w:rPr>
                <w:color w:val="000000"/>
                <w:szCs w:val="22"/>
              </w:rPr>
              <w:t>18,660</w:t>
            </w:r>
          </w:p>
        </w:tc>
        <w:tc>
          <w:tcPr>
            <w:tcW w:w="1010" w:type="dxa"/>
            <w:vAlign w:val="center"/>
          </w:tcPr>
          <w:p w14:paraId="533D04EF" w14:textId="77777777" w:rsidR="00CA2289" w:rsidRPr="00B01FD1" w:rsidRDefault="00CA2289" w:rsidP="00DE7CE3">
            <w:pPr>
              <w:snapToGrid w:val="0"/>
              <w:spacing w:before="60" w:after="60"/>
              <w:jc w:val="center"/>
              <w:rPr>
                <w:color w:val="000000"/>
                <w:szCs w:val="22"/>
              </w:rPr>
            </w:pPr>
            <w:r w:rsidRPr="00B01FD1">
              <w:rPr>
                <w:color w:val="000000"/>
                <w:szCs w:val="22"/>
              </w:rPr>
              <w:t>37%</w:t>
            </w:r>
          </w:p>
        </w:tc>
        <w:tc>
          <w:tcPr>
            <w:tcW w:w="1010" w:type="dxa"/>
            <w:vAlign w:val="center"/>
          </w:tcPr>
          <w:p w14:paraId="66F333F1" w14:textId="77777777" w:rsidR="00CA2289" w:rsidRPr="00B01FD1" w:rsidRDefault="00CA2289" w:rsidP="00DE7CE3">
            <w:pPr>
              <w:snapToGrid w:val="0"/>
              <w:spacing w:before="60" w:after="60"/>
              <w:jc w:val="center"/>
              <w:rPr>
                <w:color w:val="000000"/>
                <w:szCs w:val="22"/>
              </w:rPr>
            </w:pPr>
            <w:r w:rsidRPr="00B01FD1">
              <w:rPr>
                <w:color w:val="000000"/>
                <w:szCs w:val="22"/>
              </w:rPr>
              <w:t>21,893</w:t>
            </w:r>
          </w:p>
        </w:tc>
        <w:tc>
          <w:tcPr>
            <w:tcW w:w="1010" w:type="dxa"/>
            <w:vAlign w:val="center"/>
          </w:tcPr>
          <w:p w14:paraId="1B1C8CB4" w14:textId="27A8CF03" w:rsidR="00CA2289" w:rsidRPr="00B01FD1" w:rsidRDefault="00CA2289" w:rsidP="00DE7CE3">
            <w:pPr>
              <w:snapToGrid w:val="0"/>
              <w:spacing w:before="60" w:after="60"/>
              <w:jc w:val="center"/>
              <w:rPr>
                <w:szCs w:val="22"/>
              </w:rPr>
            </w:pPr>
            <w:r w:rsidRPr="00B01FD1">
              <w:rPr>
                <w:color w:val="000000"/>
                <w:szCs w:val="22"/>
              </w:rPr>
              <w:t>41%</w:t>
            </w:r>
          </w:p>
        </w:tc>
      </w:tr>
      <w:tr w:rsidR="00CA2289" w14:paraId="39152FB6" w14:textId="77777777" w:rsidTr="0002408B">
        <w:tc>
          <w:tcPr>
            <w:tcW w:w="1553" w:type="dxa"/>
            <w:vAlign w:val="center"/>
          </w:tcPr>
          <w:p w14:paraId="2FA89E82" w14:textId="77777777" w:rsidR="00CA2289" w:rsidRPr="00AE08F5" w:rsidRDefault="00CA2289" w:rsidP="00DE7CE3">
            <w:pPr>
              <w:snapToGrid w:val="0"/>
              <w:spacing w:before="60" w:after="60"/>
              <w:jc w:val="left"/>
              <w:rPr>
                <w:szCs w:val="22"/>
              </w:rPr>
            </w:pPr>
            <w:r w:rsidRPr="00AE08F5">
              <w:rPr>
                <w:color w:val="000000"/>
                <w:szCs w:val="22"/>
                <w:lang w:val="en-AU"/>
              </w:rPr>
              <w:t>HFC-32</w:t>
            </w:r>
          </w:p>
        </w:tc>
        <w:tc>
          <w:tcPr>
            <w:tcW w:w="865" w:type="dxa"/>
            <w:vAlign w:val="center"/>
          </w:tcPr>
          <w:p w14:paraId="72D5AA47" w14:textId="77777777" w:rsidR="00CA2289" w:rsidRPr="00B01FD1" w:rsidRDefault="00CA2289" w:rsidP="00DE7CE3">
            <w:pPr>
              <w:snapToGrid w:val="0"/>
              <w:spacing w:before="60" w:after="60"/>
              <w:jc w:val="center"/>
              <w:rPr>
                <w:szCs w:val="22"/>
              </w:rPr>
            </w:pPr>
            <w:r w:rsidRPr="00B01FD1">
              <w:rPr>
                <w:color w:val="000000"/>
                <w:szCs w:val="22"/>
              </w:rPr>
              <w:t>0</w:t>
            </w:r>
          </w:p>
        </w:tc>
        <w:tc>
          <w:tcPr>
            <w:tcW w:w="1009" w:type="dxa"/>
            <w:vAlign w:val="center"/>
          </w:tcPr>
          <w:p w14:paraId="09F269D2" w14:textId="77777777" w:rsidR="00CA2289" w:rsidRPr="00B01FD1" w:rsidRDefault="00CA2289" w:rsidP="00DE7CE3">
            <w:pPr>
              <w:snapToGrid w:val="0"/>
              <w:spacing w:before="60" w:after="60"/>
              <w:jc w:val="center"/>
              <w:rPr>
                <w:szCs w:val="22"/>
              </w:rPr>
            </w:pPr>
            <w:r w:rsidRPr="00B01FD1">
              <w:rPr>
                <w:color w:val="000000"/>
                <w:szCs w:val="22"/>
              </w:rPr>
              <w:t>0%</w:t>
            </w:r>
          </w:p>
        </w:tc>
        <w:tc>
          <w:tcPr>
            <w:tcW w:w="1011" w:type="dxa"/>
            <w:vAlign w:val="center"/>
          </w:tcPr>
          <w:p w14:paraId="33D252DD" w14:textId="77777777" w:rsidR="00CA2289" w:rsidRPr="00B01FD1" w:rsidRDefault="00CA2289" w:rsidP="00DE7CE3">
            <w:pPr>
              <w:snapToGrid w:val="0"/>
              <w:spacing w:before="60" w:after="60"/>
              <w:jc w:val="center"/>
              <w:rPr>
                <w:szCs w:val="22"/>
              </w:rPr>
            </w:pPr>
            <w:r w:rsidRPr="00B01FD1">
              <w:rPr>
                <w:color w:val="000000"/>
                <w:szCs w:val="22"/>
              </w:rPr>
              <w:t>0</w:t>
            </w:r>
          </w:p>
        </w:tc>
        <w:tc>
          <w:tcPr>
            <w:tcW w:w="1009" w:type="dxa"/>
            <w:vAlign w:val="center"/>
          </w:tcPr>
          <w:p w14:paraId="26C1BD41" w14:textId="77777777" w:rsidR="00CA2289" w:rsidRPr="00B01FD1" w:rsidRDefault="00CA2289" w:rsidP="00DE7CE3">
            <w:pPr>
              <w:snapToGrid w:val="0"/>
              <w:spacing w:before="60" w:after="60"/>
              <w:jc w:val="center"/>
              <w:rPr>
                <w:szCs w:val="22"/>
              </w:rPr>
            </w:pPr>
            <w:r w:rsidRPr="00B01FD1">
              <w:rPr>
                <w:color w:val="000000"/>
                <w:szCs w:val="22"/>
              </w:rPr>
              <w:t>0%</w:t>
            </w:r>
          </w:p>
        </w:tc>
        <w:tc>
          <w:tcPr>
            <w:tcW w:w="1010" w:type="dxa"/>
            <w:vAlign w:val="center"/>
          </w:tcPr>
          <w:p w14:paraId="71863FB3" w14:textId="77777777" w:rsidR="00CA2289" w:rsidRPr="00B01FD1" w:rsidRDefault="00CA2289" w:rsidP="00DE7CE3">
            <w:pPr>
              <w:snapToGrid w:val="0"/>
              <w:spacing w:before="60" w:after="60"/>
              <w:jc w:val="center"/>
              <w:rPr>
                <w:szCs w:val="22"/>
              </w:rPr>
            </w:pPr>
            <w:r w:rsidRPr="00B01FD1">
              <w:rPr>
                <w:color w:val="000000"/>
                <w:szCs w:val="22"/>
              </w:rPr>
              <w:t>1,035</w:t>
            </w:r>
          </w:p>
        </w:tc>
        <w:tc>
          <w:tcPr>
            <w:tcW w:w="1010" w:type="dxa"/>
            <w:vAlign w:val="center"/>
          </w:tcPr>
          <w:p w14:paraId="4646B51B" w14:textId="77777777" w:rsidR="00CA2289" w:rsidRPr="00B01FD1" w:rsidRDefault="00CA2289" w:rsidP="00DE7CE3">
            <w:pPr>
              <w:snapToGrid w:val="0"/>
              <w:spacing w:before="60" w:after="60"/>
              <w:jc w:val="center"/>
              <w:rPr>
                <w:color w:val="000000"/>
                <w:szCs w:val="22"/>
              </w:rPr>
            </w:pPr>
            <w:r w:rsidRPr="00B01FD1">
              <w:rPr>
                <w:color w:val="000000"/>
                <w:szCs w:val="22"/>
              </w:rPr>
              <w:t>2.0%</w:t>
            </w:r>
          </w:p>
        </w:tc>
        <w:tc>
          <w:tcPr>
            <w:tcW w:w="1010" w:type="dxa"/>
            <w:vAlign w:val="center"/>
          </w:tcPr>
          <w:p w14:paraId="219EA90C" w14:textId="77777777" w:rsidR="00CA2289" w:rsidRPr="00B01FD1" w:rsidRDefault="00CA2289" w:rsidP="00DE7CE3">
            <w:pPr>
              <w:snapToGrid w:val="0"/>
              <w:spacing w:before="60" w:after="60"/>
              <w:jc w:val="center"/>
              <w:rPr>
                <w:color w:val="000000"/>
                <w:szCs w:val="22"/>
              </w:rPr>
            </w:pPr>
            <w:r w:rsidRPr="00B01FD1">
              <w:rPr>
                <w:color w:val="000000"/>
                <w:szCs w:val="22"/>
              </w:rPr>
              <w:t>2,286</w:t>
            </w:r>
          </w:p>
        </w:tc>
        <w:tc>
          <w:tcPr>
            <w:tcW w:w="1010" w:type="dxa"/>
            <w:vAlign w:val="center"/>
          </w:tcPr>
          <w:p w14:paraId="5EC7FBD6" w14:textId="77777777" w:rsidR="00CA2289" w:rsidRPr="00B01FD1" w:rsidRDefault="00CA2289" w:rsidP="00DE7CE3">
            <w:pPr>
              <w:snapToGrid w:val="0"/>
              <w:spacing w:before="60" w:after="60"/>
              <w:jc w:val="center"/>
              <w:rPr>
                <w:szCs w:val="22"/>
              </w:rPr>
            </w:pPr>
            <w:r w:rsidRPr="00B01FD1">
              <w:rPr>
                <w:color w:val="000000"/>
                <w:szCs w:val="22"/>
              </w:rPr>
              <w:t>4.3%</w:t>
            </w:r>
          </w:p>
        </w:tc>
      </w:tr>
      <w:tr w:rsidR="00CA2289" w14:paraId="455FC68E" w14:textId="77777777" w:rsidTr="0002408B">
        <w:tc>
          <w:tcPr>
            <w:tcW w:w="1553" w:type="dxa"/>
            <w:vAlign w:val="center"/>
          </w:tcPr>
          <w:p w14:paraId="7CD43354" w14:textId="77777777" w:rsidR="00CA2289" w:rsidRPr="00AE08F5" w:rsidRDefault="00CA2289" w:rsidP="00DE7CE3">
            <w:pPr>
              <w:snapToGrid w:val="0"/>
              <w:spacing w:before="60" w:after="60"/>
              <w:jc w:val="left"/>
              <w:rPr>
                <w:szCs w:val="22"/>
              </w:rPr>
            </w:pPr>
            <w:r w:rsidRPr="00AE08F5">
              <w:rPr>
                <w:color w:val="000000"/>
                <w:szCs w:val="22"/>
                <w:lang w:val="en-AU"/>
              </w:rPr>
              <w:t>GWP&lt;2150</w:t>
            </w:r>
          </w:p>
        </w:tc>
        <w:tc>
          <w:tcPr>
            <w:tcW w:w="865" w:type="dxa"/>
            <w:vAlign w:val="center"/>
          </w:tcPr>
          <w:p w14:paraId="73C21207" w14:textId="77777777" w:rsidR="00CA2289" w:rsidRPr="00B01FD1" w:rsidRDefault="00CA2289" w:rsidP="00DE7CE3">
            <w:pPr>
              <w:snapToGrid w:val="0"/>
              <w:spacing w:before="60" w:after="60"/>
              <w:jc w:val="center"/>
              <w:rPr>
                <w:szCs w:val="22"/>
              </w:rPr>
            </w:pPr>
            <w:r w:rsidRPr="00B01FD1">
              <w:rPr>
                <w:color w:val="000000"/>
                <w:szCs w:val="22"/>
              </w:rPr>
              <w:t>0</w:t>
            </w:r>
          </w:p>
        </w:tc>
        <w:tc>
          <w:tcPr>
            <w:tcW w:w="1009" w:type="dxa"/>
            <w:vAlign w:val="center"/>
          </w:tcPr>
          <w:p w14:paraId="773A81C3" w14:textId="77777777" w:rsidR="00CA2289" w:rsidRPr="00B01FD1" w:rsidRDefault="00CA2289" w:rsidP="00DE7CE3">
            <w:pPr>
              <w:snapToGrid w:val="0"/>
              <w:spacing w:before="60" w:after="60"/>
              <w:jc w:val="center"/>
              <w:rPr>
                <w:szCs w:val="22"/>
              </w:rPr>
            </w:pPr>
            <w:r w:rsidRPr="00B01FD1">
              <w:rPr>
                <w:color w:val="000000"/>
                <w:szCs w:val="22"/>
              </w:rPr>
              <w:t>0%</w:t>
            </w:r>
          </w:p>
        </w:tc>
        <w:tc>
          <w:tcPr>
            <w:tcW w:w="1011" w:type="dxa"/>
            <w:vAlign w:val="center"/>
          </w:tcPr>
          <w:p w14:paraId="1A911359" w14:textId="77777777" w:rsidR="00CA2289" w:rsidRPr="00B01FD1" w:rsidRDefault="00CA2289" w:rsidP="00DE7CE3">
            <w:pPr>
              <w:snapToGrid w:val="0"/>
              <w:spacing w:before="60" w:after="60"/>
              <w:jc w:val="center"/>
              <w:rPr>
                <w:szCs w:val="22"/>
              </w:rPr>
            </w:pPr>
            <w:r w:rsidRPr="00B01FD1">
              <w:rPr>
                <w:color w:val="000000"/>
                <w:szCs w:val="22"/>
              </w:rPr>
              <w:t>0</w:t>
            </w:r>
          </w:p>
        </w:tc>
        <w:tc>
          <w:tcPr>
            <w:tcW w:w="1009" w:type="dxa"/>
            <w:vAlign w:val="center"/>
          </w:tcPr>
          <w:p w14:paraId="4A9FFA66" w14:textId="77777777" w:rsidR="00CA2289" w:rsidRPr="00B01FD1" w:rsidRDefault="00CA2289" w:rsidP="00DE7CE3">
            <w:pPr>
              <w:snapToGrid w:val="0"/>
              <w:spacing w:before="60" w:after="60"/>
              <w:jc w:val="center"/>
              <w:rPr>
                <w:szCs w:val="22"/>
              </w:rPr>
            </w:pPr>
            <w:r w:rsidRPr="00B01FD1">
              <w:rPr>
                <w:color w:val="000000"/>
                <w:szCs w:val="22"/>
              </w:rPr>
              <w:t>0%</w:t>
            </w:r>
          </w:p>
        </w:tc>
        <w:tc>
          <w:tcPr>
            <w:tcW w:w="1010" w:type="dxa"/>
            <w:vAlign w:val="center"/>
          </w:tcPr>
          <w:p w14:paraId="7655F650" w14:textId="77777777" w:rsidR="00CA2289" w:rsidRPr="00B01FD1" w:rsidRDefault="00CA2289" w:rsidP="00DE7CE3">
            <w:pPr>
              <w:snapToGrid w:val="0"/>
              <w:spacing w:before="60" w:after="60"/>
              <w:jc w:val="center"/>
              <w:rPr>
                <w:szCs w:val="22"/>
              </w:rPr>
            </w:pPr>
            <w:r w:rsidRPr="00B01FD1">
              <w:rPr>
                <w:color w:val="000000"/>
                <w:szCs w:val="22"/>
              </w:rPr>
              <w:t>336</w:t>
            </w:r>
          </w:p>
        </w:tc>
        <w:tc>
          <w:tcPr>
            <w:tcW w:w="1010" w:type="dxa"/>
            <w:vAlign w:val="center"/>
          </w:tcPr>
          <w:p w14:paraId="5AD76468" w14:textId="77777777" w:rsidR="00CA2289" w:rsidRPr="00B01FD1" w:rsidRDefault="00CA2289" w:rsidP="00DE7CE3">
            <w:pPr>
              <w:snapToGrid w:val="0"/>
              <w:spacing w:before="60" w:after="60"/>
              <w:jc w:val="center"/>
              <w:rPr>
                <w:color w:val="000000"/>
                <w:szCs w:val="22"/>
              </w:rPr>
            </w:pPr>
            <w:r w:rsidRPr="00B01FD1">
              <w:rPr>
                <w:color w:val="000000"/>
                <w:szCs w:val="22"/>
              </w:rPr>
              <w:t>0.7%</w:t>
            </w:r>
          </w:p>
        </w:tc>
        <w:tc>
          <w:tcPr>
            <w:tcW w:w="1010" w:type="dxa"/>
            <w:vAlign w:val="center"/>
          </w:tcPr>
          <w:p w14:paraId="1433C1AD" w14:textId="77777777" w:rsidR="00CA2289" w:rsidRPr="00B01FD1" w:rsidRDefault="00CA2289" w:rsidP="00DE7CE3">
            <w:pPr>
              <w:snapToGrid w:val="0"/>
              <w:spacing w:before="60" w:after="60"/>
              <w:jc w:val="center"/>
              <w:rPr>
                <w:color w:val="000000"/>
                <w:szCs w:val="22"/>
              </w:rPr>
            </w:pPr>
            <w:r w:rsidRPr="00B01FD1">
              <w:rPr>
                <w:color w:val="000000"/>
                <w:szCs w:val="22"/>
              </w:rPr>
              <w:t>432</w:t>
            </w:r>
          </w:p>
        </w:tc>
        <w:tc>
          <w:tcPr>
            <w:tcW w:w="1010" w:type="dxa"/>
            <w:vAlign w:val="center"/>
          </w:tcPr>
          <w:p w14:paraId="2099BFCC" w14:textId="77777777" w:rsidR="00CA2289" w:rsidRPr="00B01FD1" w:rsidRDefault="00CA2289" w:rsidP="00DE7CE3">
            <w:pPr>
              <w:snapToGrid w:val="0"/>
              <w:spacing w:before="60" w:after="60"/>
              <w:jc w:val="center"/>
              <w:rPr>
                <w:szCs w:val="22"/>
              </w:rPr>
            </w:pPr>
            <w:r w:rsidRPr="00B01FD1">
              <w:rPr>
                <w:color w:val="000000"/>
                <w:szCs w:val="22"/>
              </w:rPr>
              <w:t>0.8%</w:t>
            </w:r>
          </w:p>
        </w:tc>
      </w:tr>
      <w:tr w:rsidR="00CA2289" w14:paraId="3130E4D1" w14:textId="77777777" w:rsidTr="0002408B">
        <w:tc>
          <w:tcPr>
            <w:tcW w:w="1553" w:type="dxa"/>
            <w:vAlign w:val="center"/>
          </w:tcPr>
          <w:p w14:paraId="06512070" w14:textId="77777777" w:rsidR="00CA2289" w:rsidRPr="00AE08F5" w:rsidRDefault="00CA2289" w:rsidP="00DE7CE3">
            <w:pPr>
              <w:snapToGrid w:val="0"/>
              <w:spacing w:before="60" w:after="60"/>
              <w:jc w:val="left"/>
              <w:rPr>
                <w:color w:val="000000"/>
                <w:szCs w:val="22"/>
                <w:lang w:val="en-AU"/>
              </w:rPr>
            </w:pPr>
            <w:r w:rsidRPr="00AE08F5">
              <w:rPr>
                <w:color w:val="000000"/>
                <w:szCs w:val="22"/>
              </w:rPr>
              <w:t>GWP &lt;1000</w:t>
            </w:r>
          </w:p>
        </w:tc>
        <w:tc>
          <w:tcPr>
            <w:tcW w:w="865" w:type="dxa"/>
            <w:vAlign w:val="center"/>
          </w:tcPr>
          <w:p w14:paraId="71561CE9" w14:textId="77777777" w:rsidR="00CA2289" w:rsidRPr="00B01FD1" w:rsidRDefault="00CA2289" w:rsidP="00DE7CE3">
            <w:pPr>
              <w:snapToGrid w:val="0"/>
              <w:spacing w:before="60" w:after="60"/>
              <w:jc w:val="center"/>
              <w:rPr>
                <w:color w:val="000000"/>
                <w:szCs w:val="22"/>
                <w:lang w:val="en-AU"/>
              </w:rPr>
            </w:pPr>
            <w:r w:rsidRPr="00B01FD1">
              <w:rPr>
                <w:color w:val="000000"/>
                <w:szCs w:val="22"/>
              </w:rPr>
              <w:t>0</w:t>
            </w:r>
          </w:p>
        </w:tc>
        <w:tc>
          <w:tcPr>
            <w:tcW w:w="1009" w:type="dxa"/>
            <w:vAlign w:val="center"/>
          </w:tcPr>
          <w:p w14:paraId="0FA007A4" w14:textId="77777777" w:rsidR="00CA2289" w:rsidRPr="00B01FD1" w:rsidRDefault="00CA2289" w:rsidP="00DE7CE3">
            <w:pPr>
              <w:snapToGrid w:val="0"/>
              <w:spacing w:before="60" w:after="60"/>
              <w:jc w:val="center"/>
              <w:rPr>
                <w:color w:val="000000"/>
                <w:szCs w:val="22"/>
                <w:lang w:val="en-AU"/>
              </w:rPr>
            </w:pPr>
            <w:r w:rsidRPr="00B01FD1">
              <w:rPr>
                <w:color w:val="000000"/>
                <w:szCs w:val="22"/>
              </w:rPr>
              <w:t>0%</w:t>
            </w:r>
          </w:p>
        </w:tc>
        <w:tc>
          <w:tcPr>
            <w:tcW w:w="1011" w:type="dxa"/>
            <w:vAlign w:val="center"/>
          </w:tcPr>
          <w:p w14:paraId="0951CEC3" w14:textId="77777777" w:rsidR="00CA2289" w:rsidRPr="00B01FD1" w:rsidRDefault="00CA2289" w:rsidP="00DE7CE3">
            <w:pPr>
              <w:snapToGrid w:val="0"/>
              <w:spacing w:before="60" w:after="60"/>
              <w:jc w:val="center"/>
              <w:rPr>
                <w:color w:val="000000"/>
                <w:szCs w:val="22"/>
                <w:lang w:val="en-AU"/>
              </w:rPr>
            </w:pPr>
            <w:r w:rsidRPr="00B01FD1">
              <w:rPr>
                <w:color w:val="000000"/>
                <w:szCs w:val="22"/>
              </w:rPr>
              <w:t>0</w:t>
            </w:r>
          </w:p>
        </w:tc>
        <w:tc>
          <w:tcPr>
            <w:tcW w:w="1009" w:type="dxa"/>
            <w:vAlign w:val="center"/>
          </w:tcPr>
          <w:p w14:paraId="2275BA73" w14:textId="77777777" w:rsidR="00CA2289" w:rsidRPr="00B01FD1" w:rsidRDefault="00CA2289" w:rsidP="00DE7CE3">
            <w:pPr>
              <w:snapToGrid w:val="0"/>
              <w:spacing w:before="60" w:after="60"/>
              <w:jc w:val="center"/>
              <w:rPr>
                <w:color w:val="000000"/>
                <w:szCs w:val="22"/>
                <w:lang w:val="en-AU"/>
              </w:rPr>
            </w:pPr>
            <w:r w:rsidRPr="00B01FD1">
              <w:rPr>
                <w:color w:val="000000"/>
                <w:szCs w:val="22"/>
              </w:rPr>
              <w:t>0%</w:t>
            </w:r>
          </w:p>
        </w:tc>
        <w:tc>
          <w:tcPr>
            <w:tcW w:w="1010" w:type="dxa"/>
            <w:vAlign w:val="center"/>
          </w:tcPr>
          <w:p w14:paraId="197E9CAE" w14:textId="77777777" w:rsidR="00CA2289" w:rsidRPr="00B01FD1" w:rsidRDefault="00CA2289" w:rsidP="00DE7CE3">
            <w:pPr>
              <w:snapToGrid w:val="0"/>
              <w:spacing w:before="60" w:after="60"/>
              <w:jc w:val="center"/>
              <w:rPr>
                <w:color w:val="000000"/>
                <w:szCs w:val="22"/>
              </w:rPr>
            </w:pPr>
            <w:r w:rsidRPr="00B01FD1">
              <w:rPr>
                <w:color w:val="000000"/>
                <w:szCs w:val="22"/>
              </w:rPr>
              <w:t>0</w:t>
            </w:r>
          </w:p>
        </w:tc>
        <w:tc>
          <w:tcPr>
            <w:tcW w:w="1010" w:type="dxa"/>
            <w:vAlign w:val="center"/>
          </w:tcPr>
          <w:p w14:paraId="294D7CF4" w14:textId="77777777" w:rsidR="00CA2289" w:rsidRPr="00B01FD1" w:rsidRDefault="00CA2289" w:rsidP="00DE7CE3">
            <w:pPr>
              <w:snapToGrid w:val="0"/>
              <w:spacing w:before="60" w:after="60"/>
              <w:jc w:val="center"/>
              <w:rPr>
                <w:color w:val="000000"/>
                <w:szCs w:val="22"/>
              </w:rPr>
            </w:pPr>
            <w:r w:rsidRPr="00B01FD1">
              <w:rPr>
                <w:color w:val="000000"/>
                <w:szCs w:val="22"/>
              </w:rPr>
              <w:t>0%</w:t>
            </w:r>
          </w:p>
        </w:tc>
        <w:tc>
          <w:tcPr>
            <w:tcW w:w="1010" w:type="dxa"/>
            <w:vAlign w:val="center"/>
          </w:tcPr>
          <w:p w14:paraId="1CBF69E5" w14:textId="77777777" w:rsidR="00CA2289" w:rsidRPr="00B01FD1" w:rsidRDefault="00CA2289" w:rsidP="00DE7CE3">
            <w:pPr>
              <w:snapToGrid w:val="0"/>
              <w:spacing w:before="60" w:after="60"/>
              <w:jc w:val="center"/>
              <w:rPr>
                <w:color w:val="000000"/>
                <w:szCs w:val="22"/>
              </w:rPr>
            </w:pPr>
            <w:r w:rsidRPr="00B01FD1">
              <w:rPr>
                <w:color w:val="000000"/>
                <w:szCs w:val="22"/>
              </w:rPr>
              <w:t>31</w:t>
            </w:r>
          </w:p>
        </w:tc>
        <w:tc>
          <w:tcPr>
            <w:tcW w:w="1010" w:type="dxa"/>
            <w:vAlign w:val="center"/>
          </w:tcPr>
          <w:p w14:paraId="764E3414" w14:textId="77777777" w:rsidR="00CA2289" w:rsidRPr="00B01FD1" w:rsidRDefault="00CA2289" w:rsidP="00DE7CE3">
            <w:pPr>
              <w:snapToGrid w:val="0"/>
              <w:spacing w:before="60" w:after="60"/>
              <w:jc w:val="center"/>
              <w:rPr>
                <w:color w:val="000000"/>
                <w:szCs w:val="22"/>
              </w:rPr>
            </w:pPr>
            <w:r w:rsidRPr="00B01FD1">
              <w:rPr>
                <w:color w:val="000000"/>
                <w:szCs w:val="22"/>
              </w:rPr>
              <w:t>0.1%</w:t>
            </w:r>
          </w:p>
        </w:tc>
      </w:tr>
      <w:tr w:rsidR="00CA2289" w14:paraId="02A93FA3" w14:textId="77777777" w:rsidTr="0002408B">
        <w:tc>
          <w:tcPr>
            <w:tcW w:w="1553" w:type="dxa"/>
            <w:vAlign w:val="center"/>
          </w:tcPr>
          <w:p w14:paraId="3BC70203" w14:textId="77777777" w:rsidR="00CA2289" w:rsidRPr="00AE08F5" w:rsidRDefault="00CA2289" w:rsidP="00DE7CE3">
            <w:pPr>
              <w:snapToGrid w:val="0"/>
              <w:spacing w:before="60" w:after="60"/>
              <w:jc w:val="left"/>
              <w:rPr>
                <w:color w:val="000000"/>
                <w:szCs w:val="22"/>
                <w:lang w:val="en-AU"/>
              </w:rPr>
            </w:pPr>
            <w:r w:rsidRPr="00AE08F5">
              <w:rPr>
                <w:color w:val="000000"/>
                <w:szCs w:val="22"/>
                <w:lang w:val="en-AU"/>
              </w:rPr>
              <w:t>Total</w:t>
            </w:r>
            <w:r>
              <w:rPr>
                <w:color w:val="000000"/>
                <w:szCs w:val="22"/>
                <w:lang w:val="en-AU"/>
              </w:rPr>
              <w:t xml:space="preserve"> HCFCs and HFCs</w:t>
            </w:r>
          </w:p>
        </w:tc>
        <w:tc>
          <w:tcPr>
            <w:tcW w:w="865" w:type="dxa"/>
            <w:vAlign w:val="center"/>
          </w:tcPr>
          <w:p w14:paraId="5CA50FFE" w14:textId="77777777" w:rsidR="00CA2289" w:rsidRPr="00B01FD1" w:rsidRDefault="00CA2289" w:rsidP="00DE7CE3">
            <w:pPr>
              <w:snapToGrid w:val="0"/>
              <w:spacing w:before="60" w:after="60"/>
              <w:jc w:val="center"/>
              <w:rPr>
                <w:color w:val="000000"/>
                <w:szCs w:val="22"/>
                <w:highlight w:val="yellow"/>
              </w:rPr>
            </w:pPr>
            <w:r w:rsidRPr="00B01FD1">
              <w:rPr>
                <w:color w:val="000000"/>
                <w:szCs w:val="22"/>
              </w:rPr>
              <w:t>30,575</w:t>
            </w:r>
          </w:p>
        </w:tc>
        <w:tc>
          <w:tcPr>
            <w:tcW w:w="1009" w:type="dxa"/>
            <w:vAlign w:val="center"/>
          </w:tcPr>
          <w:p w14:paraId="43637A7C" w14:textId="77777777" w:rsidR="00CA2289" w:rsidRPr="00B01FD1" w:rsidRDefault="00CA2289" w:rsidP="00DE7CE3">
            <w:pPr>
              <w:snapToGrid w:val="0"/>
              <w:spacing w:before="60" w:after="60"/>
              <w:jc w:val="center"/>
              <w:rPr>
                <w:color w:val="000000"/>
                <w:szCs w:val="22"/>
                <w:highlight w:val="yellow"/>
              </w:rPr>
            </w:pPr>
            <w:r w:rsidRPr="00B01FD1">
              <w:rPr>
                <w:color w:val="000000"/>
                <w:szCs w:val="22"/>
              </w:rPr>
              <w:t>100%</w:t>
            </w:r>
          </w:p>
        </w:tc>
        <w:tc>
          <w:tcPr>
            <w:tcW w:w="1011" w:type="dxa"/>
            <w:vAlign w:val="center"/>
          </w:tcPr>
          <w:p w14:paraId="5A5EC083" w14:textId="77777777" w:rsidR="00CA2289" w:rsidRPr="00B01FD1" w:rsidRDefault="00CA2289" w:rsidP="00DE7CE3">
            <w:pPr>
              <w:snapToGrid w:val="0"/>
              <w:spacing w:before="60" w:after="60"/>
              <w:jc w:val="center"/>
              <w:rPr>
                <w:color w:val="000000"/>
                <w:szCs w:val="22"/>
                <w:highlight w:val="yellow"/>
              </w:rPr>
            </w:pPr>
            <w:r w:rsidRPr="00B01FD1">
              <w:rPr>
                <w:color w:val="000000"/>
                <w:szCs w:val="22"/>
              </w:rPr>
              <w:t>43,524</w:t>
            </w:r>
          </w:p>
        </w:tc>
        <w:tc>
          <w:tcPr>
            <w:tcW w:w="1009" w:type="dxa"/>
            <w:vAlign w:val="center"/>
          </w:tcPr>
          <w:p w14:paraId="000C36CA" w14:textId="77777777" w:rsidR="00CA2289" w:rsidRPr="00B01FD1" w:rsidRDefault="00CA2289" w:rsidP="00DE7CE3">
            <w:pPr>
              <w:snapToGrid w:val="0"/>
              <w:spacing w:before="60" w:after="60"/>
              <w:jc w:val="center"/>
              <w:rPr>
                <w:color w:val="000000"/>
                <w:szCs w:val="22"/>
                <w:highlight w:val="yellow"/>
              </w:rPr>
            </w:pPr>
            <w:r w:rsidRPr="00B01FD1">
              <w:rPr>
                <w:color w:val="000000"/>
                <w:szCs w:val="22"/>
              </w:rPr>
              <w:t>100%</w:t>
            </w:r>
          </w:p>
        </w:tc>
        <w:tc>
          <w:tcPr>
            <w:tcW w:w="1010" w:type="dxa"/>
            <w:vAlign w:val="center"/>
          </w:tcPr>
          <w:p w14:paraId="6F9E84A6" w14:textId="77777777" w:rsidR="00CA2289" w:rsidRPr="00B01FD1" w:rsidRDefault="00CA2289" w:rsidP="00DE7CE3">
            <w:pPr>
              <w:snapToGrid w:val="0"/>
              <w:spacing w:before="60" w:after="60"/>
              <w:jc w:val="center"/>
              <w:rPr>
                <w:color w:val="000000"/>
                <w:szCs w:val="22"/>
                <w:highlight w:val="yellow"/>
              </w:rPr>
            </w:pPr>
            <w:r w:rsidRPr="00B01FD1">
              <w:rPr>
                <w:color w:val="000000"/>
                <w:szCs w:val="22"/>
              </w:rPr>
              <w:t>50,756</w:t>
            </w:r>
          </w:p>
        </w:tc>
        <w:tc>
          <w:tcPr>
            <w:tcW w:w="1010" w:type="dxa"/>
            <w:vAlign w:val="center"/>
          </w:tcPr>
          <w:p w14:paraId="2F53C706" w14:textId="77777777" w:rsidR="00CA2289" w:rsidRPr="00B01FD1" w:rsidRDefault="00CA2289" w:rsidP="00DE7CE3">
            <w:pPr>
              <w:snapToGrid w:val="0"/>
              <w:spacing w:before="60" w:after="60"/>
              <w:jc w:val="center"/>
              <w:rPr>
                <w:color w:val="000000"/>
                <w:szCs w:val="22"/>
                <w:highlight w:val="yellow"/>
              </w:rPr>
            </w:pPr>
            <w:r w:rsidRPr="00B01FD1">
              <w:rPr>
                <w:color w:val="000000"/>
                <w:szCs w:val="22"/>
              </w:rPr>
              <w:t>100%</w:t>
            </w:r>
          </w:p>
        </w:tc>
        <w:tc>
          <w:tcPr>
            <w:tcW w:w="1010" w:type="dxa"/>
            <w:vAlign w:val="center"/>
          </w:tcPr>
          <w:p w14:paraId="3C06F5E4" w14:textId="05BD7BD8" w:rsidR="00CA2289" w:rsidRPr="00B01FD1" w:rsidRDefault="00CA2289" w:rsidP="00DE7CE3">
            <w:pPr>
              <w:snapToGrid w:val="0"/>
              <w:spacing w:before="60" w:after="60"/>
              <w:jc w:val="center"/>
              <w:rPr>
                <w:color w:val="000000"/>
                <w:szCs w:val="22"/>
                <w:highlight w:val="yellow"/>
              </w:rPr>
            </w:pPr>
            <w:r w:rsidRPr="00B01FD1">
              <w:rPr>
                <w:color w:val="000000"/>
                <w:szCs w:val="22"/>
              </w:rPr>
              <w:t>53,3</w:t>
            </w:r>
            <w:r w:rsidR="001A64D3">
              <w:rPr>
                <w:color w:val="000000"/>
                <w:szCs w:val="22"/>
              </w:rPr>
              <w:t>01</w:t>
            </w:r>
          </w:p>
        </w:tc>
        <w:tc>
          <w:tcPr>
            <w:tcW w:w="1010" w:type="dxa"/>
            <w:vAlign w:val="center"/>
          </w:tcPr>
          <w:p w14:paraId="7213F4F5" w14:textId="77777777" w:rsidR="00CA2289" w:rsidRPr="00B01FD1" w:rsidRDefault="00CA2289" w:rsidP="00DE7CE3">
            <w:pPr>
              <w:snapToGrid w:val="0"/>
              <w:spacing w:before="60" w:after="60"/>
              <w:jc w:val="center"/>
              <w:rPr>
                <w:color w:val="000000"/>
                <w:szCs w:val="22"/>
                <w:highlight w:val="yellow"/>
              </w:rPr>
            </w:pPr>
            <w:r w:rsidRPr="00B01FD1">
              <w:rPr>
                <w:color w:val="000000"/>
                <w:szCs w:val="22"/>
              </w:rPr>
              <w:t>100%</w:t>
            </w:r>
          </w:p>
        </w:tc>
      </w:tr>
      <w:tr w:rsidR="00CA2289" w14:paraId="0E001C0F" w14:textId="77777777" w:rsidTr="0002408B">
        <w:tc>
          <w:tcPr>
            <w:tcW w:w="1553" w:type="dxa"/>
            <w:vAlign w:val="center"/>
          </w:tcPr>
          <w:p w14:paraId="31FB0198" w14:textId="77777777" w:rsidR="00CA2289" w:rsidRPr="00AE08F5" w:rsidRDefault="00CA2289" w:rsidP="00DE7CE3">
            <w:pPr>
              <w:snapToGrid w:val="0"/>
              <w:spacing w:before="60" w:after="60"/>
              <w:jc w:val="left"/>
              <w:rPr>
                <w:szCs w:val="22"/>
              </w:rPr>
            </w:pPr>
            <w:r w:rsidRPr="00AE08F5">
              <w:rPr>
                <w:color w:val="000000"/>
                <w:szCs w:val="22"/>
                <w:lang w:val="en-AU"/>
              </w:rPr>
              <w:t>GWP&lt;10</w:t>
            </w:r>
          </w:p>
        </w:tc>
        <w:tc>
          <w:tcPr>
            <w:tcW w:w="865" w:type="dxa"/>
            <w:vAlign w:val="center"/>
          </w:tcPr>
          <w:p w14:paraId="0578F29A" w14:textId="77777777" w:rsidR="00CA2289" w:rsidRPr="00AE08F5" w:rsidRDefault="00CA2289" w:rsidP="00DE7CE3">
            <w:pPr>
              <w:snapToGrid w:val="0"/>
              <w:spacing w:before="60" w:after="60"/>
              <w:jc w:val="center"/>
              <w:rPr>
                <w:szCs w:val="22"/>
              </w:rPr>
            </w:pPr>
            <w:r w:rsidRPr="00AE08F5">
              <w:rPr>
                <w:color w:val="000000"/>
                <w:szCs w:val="22"/>
              </w:rPr>
              <w:t>100</w:t>
            </w:r>
          </w:p>
        </w:tc>
        <w:tc>
          <w:tcPr>
            <w:tcW w:w="1009" w:type="dxa"/>
            <w:vAlign w:val="center"/>
          </w:tcPr>
          <w:p w14:paraId="0BFFA1EA" w14:textId="77777777" w:rsidR="00CA2289" w:rsidRPr="00AE08F5" w:rsidRDefault="00CA2289" w:rsidP="00DE7CE3">
            <w:pPr>
              <w:snapToGrid w:val="0"/>
              <w:spacing w:before="60" w:after="60"/>
              <w:jc w:val="center"/>
              <w:rPr>
                <w:szCs w:val="22"/>
              </w:rPr>
            </w:pPr>
            <w:r>
              <w:rPr>
                <w:szCs w:val="22"/>
              </w:rPr>
              <w:t>-</w:t>
            </w:r>
          </w:p>
        </w:tc>
        <w:tc>
          <w:tcPr>
            <w:tcW w:w="1011" w:type="dxa"/>
            <w:vAlign w:val="center"/>
          </w:tcPr>
          <w:p w14:paraId="68F348AD" w14:textId="77777777" w:rsidR="00CA2289" w:rsidRPr="00AE08F5" w:rsidRDefault="00CA2289" w:rsidP="00DE7CE3">
            <w:pPr>
              <w:snapToGrid w:val="0"/>
              <w:spacing w:before="60" w:after="60"/>
              <w:jc w:val="center"/>
              <w:rPr>
                <w:szCs w:val="22"/>
              </w:rPr>
            </w:pPr>
            <w:r w:rsidRPr="00AE08F5">
              <w:rPr>
                <w:color w:val="000000"/>
                <w:szCs w:val="22"/>
              </w:rPr>
              <w:t>799</w:t>
            </w:r>
          </w:p>
        </w:tc>
        <w:tc>
          <w:tcPr>
            <w:tcW w:w="1009" w:type="dxa"/>
            <w:vAlign w:val="center"/>
          </w:tcPr>
          <w:p w14:paraId="5837F74D" w14:textId="77777777" w:rsidR="00CA2289" w:rsidRPr="00AE08F5" w:rsidRDefault="00CA2289" w:rsidP="00DE7CE3">
            <w:pPr>
              <w:snapToGrid w:val="0"/>
              <w:spacing w:before="60" w:after="60"/>
              <w:jc w:val="center"/>
              <w:rPr>
                <w:szCs w:val="22"/>
              </w:rPr>
            </w:pPr>
            <w:r>
              <w:rPr>
                <w:szCs w:val="22"/>
              </w:rPr>
              <w:t>-</w:t>
            </w:r>
          </w:p>
        </w:tc>
        <w:tc>
          <w:tcPr>
            <w:tcW w:w="1010" w:type="dxa"/>
            <w:vAlign w:val="center"/>
          </w:tcPr>
          <w:p w14:paraId="761738BC" w14:textId="77777777" w:rsidR="00CA2289" w:rsidRPr="00AE08F5" w:rsidRDefault="00CA2289" w:rsidP="00DE7CE3">
            <w:pPr>
              <w:snapToGrid w:val="0"/>
              <w:spacing w:before="60" w:after="60"/>
              <w:jc w:val="center"/>
              <w:rPr>
                <w:szCs w:val="22"/>
              </w:rPr>
            </w:pPr>
            <w:r w:rsidRPr="00AE08F5">
              <w:rPr>
                <w:color w:val="000000"/>
                <w:szCs w:val="22"/>
              </w:rPr>
              <w:t>737</w:t>
            </w:r>
          </w:p>
        </w:tc>
        <w:tc>
          <w:tcPr>
            <w:tcW w:w="1010" w:type="dxa"/>
            <w:vAlign w:val="center"/>
          </w:tcPr>
          <w:p w14:paraId="73E8767C" w14:textId="77777777" w:rsidR="00CA2289" w:rsidRPr="00AE08F5" w:rsidRDefault="00CA2289" w:rsidP="00DE7CE3">
            <w:pPr>
              <w:snapToGrid w:val="0"/>
              <w:spacing w:before="60" w:after="60"/>
              <w:jc w:val="center"/>
              <w:rPr>
                <w:color w:val="000000"/>
                <w:szCs w:val="22"/>
              </w:rPr>
            </w:pPr>
            <w:r>
              <w:rPr>
                <w:color w:val="000000"/>
                <w:szCs w:val="22"/>
              </w:rPr>
              <w:t>-</w:t>
            </w:r>
          </w:p>
        </w:tc>
        <w:tc>
          <w:tcPr>
            <w:tcW w:w="1010" w:type="dxa"/>
            <w:vAlign w:val="center"/>
          </w:tcPr>
          <w:p w14:paraId="38166C5B" w14:textId="77777777" w:rsidR="00CA2289" w:rsidRPr="00AE08F5" w:rsidRDefault="00CA2289" w:rsidP="00DE7CE3">
            <w:pPr>
              <w:snapToGrid w:val="0"/>
              <w:spacing w:before="60" w:after="60"/>
              <w:jc w:val="center"/>
              <w:rPr>
                <w:color w:val="000000"/>
                <w:szCs w:val="22"/>
              </w:rPr>
            </w:pPr>
            <w:r w:rsidRPr="00AE08F5">
              <w:rPr>
                <w:color w:val="000000"/>
                <w:szCs w:val="22"/>
              </w:rPr>
              <w:t>902</w:t>
            </w:r>
          </w:p>
        </w:tc>
        <w:tc>
          <w:tcPr>
            <w:tcW w:w="1010" w:type="dxa"/>
            <w:vAlign w:val="center"/>
          </w:tcPr>
          <w:p w14:paraId="4F47BBE5" w14:textId="77777777" w:rsidR="00CA2289" w:rsidRPr="00AE08F5" w:rsidRDefault="00CA2289" w:rsidP="00DE7CE3">
            <w:pPr>
              <w:snapToGrid w:val="0"/>
              <w:spacing w:before="60" w:after="60"/>
              <w:jc w:val="center"/>
              <w:rPr>
                <w:szCs w:val="22"/>
              </w:rPr>
            </w:pPr>
            <w:r>
              <w:rPr>
                <w:szCs w:val="22"/>
              </w:rPr>
              <w:t>-</w:t>
            </w:r>
          </w:p>
        </w:tc>
      </w:tr>
    </w:tbl>
    <w:p w14:paraId="35411316" w14:textId="77777777" w:rsidR="00CA2289" w:rsidRPr="00B01FD1" w:rsidRDefault="00CA2289" w:rsidP="009A23AA">
      <w:pPr>
        <w:spacing w:before="60"/>
        <w:rPr>
          <w:sz w:val="20"/>
          <w:szCs w:val="20"/>
        </w:rPr>
      </w:pPr>
      <w:r w:rsidRPr="001D4D37">
        <w:rPr>
          <w:sz w:val="20"/>
          <w:szCs w:val="20"/>
        </w:rPr>
        <w:t>Notes:</w:t>
      </w:r>
    </w:p>
    <w:p w14:paraId="1C861035" w14:textId="77777777" w:rsidR="00CA2289" w:rsidRPr="001D4D37" w:rsidRDefault="00CA2289" w:rsidP="009A23AA">
      <w:pPr>
        <w:pStyle w:val="ListParagraph"/>
        <w:numPr>
          <w:ilvl w:val="0"/>
          <w:numId w:val="33"/>
        </w:numPr>
        <w:spacing w:before="60" w:after="0" w:line="240" w:lineRule="auto"/>
        <w:ind w:left="357" w:hanging="357"/>
        <w:contextualSpacing w:val="0"/>
        <w:jc w:val="both"/>
        <w:rPr>
          <w:rFonts w:ascii="Times New Roman" w:hAnsi="Times New Roman"/>
          <w:sz w:val="20"/>
          <w:szCs w:val="20"/>
        </w:rPr>
      </w:pPr>
      <w:r w:rsidRPr="001D4D37">
        <w:rPr>
          <w:rFonts w:ascii="Times New Roman" w:hAnsi="Times New Roman"/>
          <w:sz w:val="20"/>
          <w:szCs w:val="20"/>
        </w:rPr>
        <w:t xml:space="preserve">The 2006 values in the table are estimates from </w:t>
      </w:r>
      <w:r w:rsidRPr="001D4D37">
        <w:rPr>
          <w:rFonts w:ascii="Times New Roman" w:hAnsi="Times New Roman"/>
          <w:i/>
          <w:sz w:val="20"/>
          <w:szCs w:val="20"/>
        </w:rPr>
        <w:t>“ODS and SGGs in Australia: A study of end uses, emissions and opportunities for reclamation”</w:t>
      </w:r>
      <w:r w:rsidRPr="001D4D37">
        <w:rPr>
          <w:rFonts w:ascii="Times New Roman" w:hAnsi="Times New Roman"/>
          <w:sz w:val="20"/>
          <w:szCs w:val="20"/>
        </w:rPr>
        <w:t xml:space="preserve">, prepared by Peter </w:t>
      </w:r>
      <w:proofErr w:type="spellStart"/>
      <w:r w:rsidRPr="001D4D37">
        <w:rPr>
          <w:rFonts w:ascii="Times New Roman" w:hAnsi="Times New Roman"/>
          <w:sz w:val="20"/>
          <w:szCs w:val="20"/>
        </w:rPr>
        <w:t>Brodribb</w:t>
      </w:r>
      <w:proofErr w:type="spellEnd"/>
      <w:r w:rsidRPr="001D4D37">
        <w:rPr>
          <w:rFonts w:ascii="Times New Roman" w:hAnsi="Times New Roman"/>
          <w:sz w:val="20"/>
          <w:szCs w:val="20"/>
        </w:rPr>
        <w:t xml:space="preserve"> and Michael McCann, 2008.</w:t>
      </w:r>
    </w:p>
    <w:p w14:paraId="5E28733B" w14:textId="77777777" w:rsidR="00CA2289" w:rsidRPr="001D4D37" w:rsidRDefault="00CA2289" w:rsidP="009A23AA">
      <w:pPr>
        <w:pStyle w:val="ListParagraph"/>
        <w:numPr>
          <w:ilvl w:val="0"/>
          <w:numId w:val="33"/>
        </w:numPr>
        <w:spacing w:before="60" w:after="0" w:line="240" w:lineRule="auto"/>
        <w:ind w:left="357" w:hanging="357"/>
        <w:contextualSpacing w:val="0"/>
        <w:jc w:val="both"/>
        <w:rPr>
          <w:rFonts w:ascii="Times New Roman" w:hAnsi="Times New Roman"/>
          <w:sz w:val="20"/>
          <w:szCs w:val="20"/>
        </w:rPr>
      </w:pPr>
      <w:r w:rsidRPr="001D4D37">
        <w:rPr>
          <w:rFonts w:ascii="Times New Roman" w:hAnsi="Times New Roman"/>
          <w:sz w:val="20"/>
          <w:szCs w:val="20"/>
        </w:rPr>
        <w:t xml:space="preserve">Some CFCs are still present in the bank, in some very old domestic refrigerators for example, however are not included in the above table in their own right. Total CFCs in the bank are now estimated to be less than </w:t>
      </w:r>
      <w:r>
        <w:rPr>
          <w:rFonts w:ascii="Times New Roman" w:hAnsi="Times New Roman"/>
          <w:sz w:val="20"/>
          <w:szCs w:val="20"/>
        </w:rPr>
        <w:t>40</w:t>
      </w:r>
      <w:r w:rsidRPr="001D4D37">
        <w:rPr>
          <w:rFonts w:ascii="Times New Roman" w:hAnsi="Times New Roman"/>
          <w:sz w:val="20"/>
          <w:szCs w:val="20"/>
        </w:rPr>
        <w:t xml:space="preserve"> tonnes, are rapidly declining and have been included in the estimate of HCFC-22. Some relatively small quantities of HCFC blends used in air conditioning applications are also counted as HCFC-22.</w:t>
      </w:r>
    </w:p>
    <w:p w14:paraId="3C0AEBCA" w14:textId="6D34D875" w:rsidR="00CF12C4" w:rsidRDefault="00CF12C4" w:rsidP="00CF12C4">
      <w:pPr>
        <w:pStyle w:val="ListParagraph"/>
        <w:numPr>
          <w:ilvl w:val="0"/>
          <w:numId w:val="33"/>
        </w:numPr>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The category ‘GWP&lt;2</w:t>
      </w:r>
      <w:r w:rsidRPr="001D4D37">
        <w:rPr>
          <w:rFonts w:ascii="Times New Roman" w:hAnsi="Times New Roman"/>
          <w:sz w:val="20"/>
          <w:szCs w:val="20"/>
        </w:rPr>
        <w:t>150</w:t>
      </w:r>
      <w:r>
        <w:rPr>
          <w:rFonts w:ascii="Times New Roman" w:hAnsi="Times New Roman"/>
          <w:sz w:val="20"/>
          <w:szCs w:val="20"/>
        </w:rPr>
        <w:t xml:space="preserve">’ comprises a variety of blends including HFC-407F, a variety of </w:t>
      </w:r>
      <w:r w:rsidRPr="00FF1430">
        <w:rPr>
          <w:rFonts w:ascii="Times New Roman" w:hAnsi="Times New Roman"/>
          <w:sz w:val="20"/>
          <w:szCs w:val="20"/>
        </w:rPr>
        <w:t xml:space="preserve">HCFC-22 </w:t>
      </w:r>
      <w:r>
        <w:rPr>
          <w:rFonts w:ascii="Times New Roman" w:hAnsi="Times New Roman"/>
          <w:sz w:val="20"/>
          <w:szCs w:val="20"/>
        </w:rPr>
        <w:t>r</w:t>
      </w:r>
      <w:r w:rsidRPr="00FF1430">
        <w:rPr>
          <w:rFonts w:ascii="Times New Roman" w:hAnsi="Times New Roman"/>
          <w:sz w:val="20"/>
          <w:szCs w:val="20"/>
        </w:rPr>
        <w:t>eplacements</w:t>
      </w:r>
      <w:r>
        <w:rPr>
          <w:rFonts w:ascii="Times New Roman" w:hAnsi="Times New Roman"/>
          <w:sz w:val="20"/>
          <w:szCs w:val="20"/>
        </w:rPr>
        <w:t xml:space="preserve">, and emerging HFO blends such as </w:t>
      </w:r>
      <w:r w:rsidRPr="001D4D37">
        <w:rPr>
          <w:rFonts w:ascii="Times New Roman" w:hAnsi="Times New Roman"/>
          <w:sz w:val="20"/>
          <w:szCs w:val="20"/>
        </w:rPr>
        <w:t xml:space="preserve">HFC-448a and HFC-449a which are starting to </w:t>
      </w:r>
      <w:r>
        <w:rPr>
          <w:rFonts w:ascii="Times New Roman" w:hAnsi="Times New Roman"/>
          <w:sz w:val="20"/>
          <w:szCs w:val="20"/>
        </w:rPr>
        <w:t>be used for low temperature commercial refrigeration applications</w:t>
      </w:r>
      <w:r w:rsidRPr="001D4D37">
        <w:rPr>
          <w:rFonts w:ascii="Times New Roman" w:hAnsi="Times New Roman"/>
          <w:sz w:val="20"/>
          <w:szCs w:val="20"/>
        </w:rPr>
        <w:t>.</w:t>
      </w:r>
    </w:p>
    <w:p w14:paraId="42CAFCE3" w14:textId="01061408" w:rsidR="00CA2289" w:rsidRPr="00B01FD1" w:rsidRDefault="00CF12C4" w:rsidP="009A23AA">
      <w:pPr>
        <w:pStyle w:val="ListParagraph"/>
        <w:numPr>
          <w:ilvl w:val="0"/>
          <w:numId w:val="33"/>
        </w:numPr>
        <w:snapToGrid w:val="0"/>
        <w:spacing w:before="60" w:after="0" w:line="240" w:lineRule="auto"/>
        <w:contextualSpacing w:val="0"/>
        <w:jc w:val="both"/>
      </w:pPr>
      <w:r>
        <w:rPr>
          <w:rFonts w:ascii="Times New Roman" w:hAnsi="Times New Roman"/>
          <w:sz w:val="20"/>
          <w:szCs w:val="20"/>
          <w:lang w:val="en-AU"/>
        </w:rPr>
        <w:t>T</w:t>
      </w:r>
      <w:r w:rsidRPr="00472A27">
        <w:rPr>
          <w:rFonts w:ascii="Times New Roman" w:hAnsi="Times New Roman"/>
          <w:sz w:val="20"/>
          <w:szCs w:val="20"/>
          <w:lang w:val="en-AU"/>
        </w:rPr>
        <w:t>his value is the published CHF2 bank of HFC-404A</w:t>
      </w:r>
      <w:r>
        <w:rPr>
          <w:rFonts w:ascii="Times New Roman" w:hAnsi="Times New Roman"/>
          <w:sz w:val="20"/>
          <w:szCs w:val="20"/>
          <w:lang w:val="en-AU"/>
        </w:rPr>
        <w:t xml:space="preserve">. </w:t>
      </w:r>
      <w:r w:rsidRPr="00472A27">
        <w:rPr>
          <w:rFonts w:ascii="Times New Roman" w:hAnsi="Times New Roman"/>
          <w:sz w:val="20"/>
          <w:szCs w:val="20"/>
        </w:rPr>
        <w:t xml:space="preserve">Based on CHF3 methodology the bank of HFC-404A in 2012 would be higher. </w:t>
      </w:r>
      <w:r>
        <w:rPr>
          <w:rFonts w:ascii="Times New Roman" w:hAnsi="Times New Roman"/>
          <w:sz w:val="20"/>
          <w:szCs w:val="20"/>
        </w:rPr>
        <w:t>Since CHF2 t</w:t>
      </w:r>
      <w:r w:rsidRPr="00472A27">
        <w:rPr>
          <w:rFonts w:ascii="Times New Roman" w:hAnsi="Times New Roman"/>
          <w:sz w:val="20"/>
          <w:szCs w:val="20"/>
        </w:rPr>
        <w:t>he number of walk</w:t>
      </w:r>
      <w:r>
        <w:rPr>
          <w:rFonts w:ascii="Times New Roman" w:hAnsi="Times New Roman"/>
          <w:sz w:val="20"/>
          <w:szCs w:val="20"/>
        </w:rPr>
        <w:t>-</w:t>
      </w:r>
      <w:r w:rsidRPr="00472A27">
        <w:rPr>
          <w:rFonts w:ascii="Times New Roman" w:hAnsi="Times New Roman"/>
          <w:sz w:val="20"/>
          <w:szCs w:val="20"/>
        </w:rPr>
        <w:t>in col</w:t>
      </w:r>
      <w:r>
        <w:rPr>
          <w:rFonts w:ascii="Times New Roman" w:hAnsi="Times New Roman"/>
          <w:sz w:val="20"/>
          <w:szCs w:val="20"/>
        </w:rPr>
        <w:t>d</w:t>
      </w:r>
      <w:r w:rsidRPr="00472A27">
        <w:rPr>
          <w:rFonts w:ascii="Times New Roman" w:hAnsi="Times New Roman"/>
          <w:sz w:val="20"/>
          <w:szCs w:val="20"/>
        </w:rPr>
        <w:t xml:space="preserve"> rooms has been revised upward and</w:t>
      </w:r>
      <w:r w:rsidRPr="00472A27">
        <w:rPr>
          <w:rFonts w:ascii="Times New Roman" w:hAnsi="Times New Roman"/>
          <w:sz w:val="20"/>
          <w:szCs w:val="20"/>
          <w:lang w:val="en-AU"/>
        </w:rPr>
        <w:t xml:space="preserve"> </w:t>
      </w:r>
      <w:r>
        <w:rPr>
          <w:rFonts w:ascii="Times New Roman" w:hAnsi="Times New Roman"/>
          <w:sz w:val="20"/>
          <w:szCs w:val="20"/>
          <w:lang w:val="en-AU"/>
        </w:rPr>
        <w:t>t</w:t>
      </w:r>
      <w:r w:rsidRPr="00472A27">
        <w:rPr>
          <w:rFonts w:ascii="Times New Roman" w:hAnsi="Times New Roman"/>
          <w:sz w:val="20"/>
          <w:szCs w:val="20"/>
          <w:lang w:val="en-AU"/>
        </w:rPr>
        <w:t>he stock and bank value has been revised based on improved information. For example, the stock of self-contained refrigeration display cabinets and walk-in cool</w:t>
      </w:r>
      <w:r>
        <w:rPr>
          <w:rFonts w:ascii="Times New Roman" w:hAnsi="Times New Roman"/>
          <w:sz w:val="20"/>
          <w:szCs w:val="20"/>
          <w:lang w:val="en-AU"/>
        </w:rPr>
        <w:t xml:space="preserve"> </w:t>
      </w:r>
      <w:r w:rsidRPr="00472A27">
        <w:rPr>
          <w:rFonts w:ascii="Times New Roman" w:hAnsi="Times New Roman"/>
          <w:sz w:val="20"/>
          <w:szCs w:val="20"/>
          <w:lang w:val="en-AU"/>
        </w:rPr>
        <w:t>rooms were revised upward</w:t>
      </w:r>
      <w:r>
        <w:rPr>
          <w:rFonts w:ascii="Times New Roman" w:hAnsi="Times New Roman"/>
          <w:sz w:val="20"/>
          <w:szCs w:val="20"/>
          <w:lang w:val="en-AU"/>
        </w:rPr>
        <w:t>.</w:t>
      </w:r>
    </w:p>
    <w:p w14:paraId="00545734" w14:textId="48BDDB6F" w:rsidR="00CA2289" w:rsidRPr="00C46EC7" w:rsidRDefault="00CA2289" w:rsidP="009A23AA">
      <w:pPr>
        <w:pStyle w:val="ListParagraph"/>
        <w:numPr>
          <w:ilvl w:val="0"/>
          <w:numId w:val="33"/>
        </w:numPr>
        <w:snapToGrid w:val="0"/>
        <w:spacing w:before="60" w:after="0" w:line="240" w:lineRule="auto"/>
        <w:contextualSpacing w:val="0"/>
        <w:jc w:val="both"/>
      </w:pPr>
      <w:r>
        <w:rPr>
          <w:rFonts w:ascii="Times New Roman" w:hAnsi="Times New Roman"/>
          <w:sz w:val="20"/>
          <w:szCs w:val="20"/>
          <w:lang w:val="en-AU"/>
        </w:rPr>
        <w:t>The GWP&lt;10 substances listed in the above table represents applications that have transitioned from HCFCs and HFCs to l</w:t>
      </w:r>
      <w:r w:rsidRPr="00B01FD1">
        <w:rPr>
          <w:rFonts w:ascii="Times New Roman" w:hAnsi="Times New Roman"/>
          <w:sz w:val="20"/>
          <w:szCs w:val="20"/>
          <w:lang w:val="en-AU"/>
        </w:rPr>
        <w:t>ow or zero GWP refrigerants</w:t>
      </w:r>
      <w:r>
        <w:rPr>
          <w:rFonts w:ascii="Times New Roman" w:hAnsi="Times New Roman"/>
          <w:sz w:val="20"/>
          <w:szCs w:val="20"/>
          <w:lang w:val="en-AU"/>
        </w:rPr>
        <w:t>. The actual bank of refrigerants with a GWP&lt;10 is much larger</w:t>
      </w:r>
      <w:r w:rsidR="00CF12C4">
        <w:rPr>
          <w:rFonts w:ascii="Times New Roman" w:hAnsi="Times New Roman"/>
          <w:sz w:val="20"/>
          <w:szCs w:val="20"/>
          <w:lang w:val="en-AU"/>
        </w:rPr>
        <w:t xml:space="preserve"> as it includes large ammonia plants that used ammonia prior to 2006.</w:t>
      </w:r>
    </w:p>
    <w:p w14:paraId="4C338341" w14:textId="77777777" w:rsidR="00B2087D" w:rsidRPr="0044013B" w:rsidRDefault="00B2087D" w:rsidP="009A23AA">
      <w:pPr>
        <w:rPr>
          <w:szCs w:val="22"/>
        </w:rPr>
      </w:pPr>
    </w:p>
    <w:p w14:paraId="6935D30F" w14:textId="77777777" w:rsidR="00CA2289" w:rsidRDefault="00CA2289" w:rsidP="009A23AA">
      <w:pPr>
        <w:spacing w:before="0"/>
        <w:rPr>
          <w:rFonts w:ascii="Calibri" w:eastAsia="Times New Roman" w:hAnsi="Calibri" w:cs="Times New Roman"/>
          <w:b/>
          <w:bCs/>
          <w:kern w:val="32"/>
          <w:sz w:val="32"/>
          <w:szCs w:val="32"/>
          <w:lang w:val="en-US"/>
        </w:rPr>
      </w:pPr>
      <w:r>
        <w:br w:type="page"/>
      </w:r>
    </w:p>
    <w:p w14:paraId="6F3F28C1" w14:textId="5033AB0C" w:rsidR="00B2087D" w:rsidRDefault="00B2087D" w:rsidP="009A23AA">
      <w:pPr>
        <w:pStyle w:val="Heading1"/>
        <w:jc w:val="both"/>
      </w:pPr>
      <w:bookmarkStart w:id="108" w:name="_Toc19601309"/>
      <w:r>
        <w:t>Refrigerant i</w:t>
      </w:r>
      <w:r w:rsidRPr="0044013B">
        <w:t>mports and usage</w:t>
      </w:r>
      <w:bookmarkEnd w:id="108"/>
    </w:p>
    <w:p w14:paraId="650B73A4" w14:textId="77777777" w:rsidR="00B2087D" w:rsidRPr="004B0F56" w:rsidRDefault="00B2087D" w:rsidP="009A23AA">
      <w:pPr>
        <w:rPr>
          <w:rFonts w:cs="Times New Roman"/>
          <w:lang w:val="en-US"/>
        </w:rPr>
      </w:pPr>
      <w:r w:rsidRPr="004B0F56">
        <w:rPr>
          <w:rFonts w:cs="Times New Roman"/>
          <w:lang w:val="en-US"/>
        </w:rPr>
        <w:t xml:space="preserve">There are two means by which the bank of working gas in Australia grows: </w:t>
      </w:r>
    </w:p>
    <w:p w14:paraId="03603A6A" w14:textId="44AF9807" w:rsidR="00B2087D" w:rsidRPr="004B0F56" w:rsidRDefault="00B2087D" w:rsidP="009A23AA">
      <w:pPr>
        <w:pStyle w:val="ListParagraph"/>
        <w:numPr>
          <w:ilvl w:val="0"/>
          <w:numId w:val="20"/>
        </w:numPr>
        <w:spacing w:before="120" w:after="0" w:line="240" w:lineRule="auto"/>
        <w:contextualSpacing w:val="0"/>
        <w:jc w:val="both"/>
        <w:rPr>
          <w:rFonts w:ascii="Times New Roman" w:hAnsi="Times New Roman"/>
          <w:lang w:val="en-US"/>
        </w:rPr>
      </w:pPr>
      <w:r w:rsidRPr="004B0F56">
        <w:rPr>
          <w:rFonts w:ascii="Times New Roman" w:hAnsi="Times New Roman"/>
          <w:lang w:val="en-US"/>
        </w:rPr>
        <w:t xml:space="preserve">Via </w:t>
      </w:r>
      <w:r w:rsidR="00CF12C4">
        <w:rPr>
          <w:rFonts w:ascii="Times New Roman" w:hAnsi="Times New Roman"/>
          <w:lang w:val="en-US"/>
        </w:rPr>
        <w:t xml:space="preserve">imports of </w:t>
      </w:r>
      <w:r w:rsidRPr="004B0F56">
        <w:rPr>
          <w:rFonts w:ascii="Times New Roman" w:hAnsi="Times New Roman"/>
          <w:lang w:val="en-US"/>
        </w:rPr>
        <w:t>equipment pre-charged with a refrigerant gas, referred to as PCE imports;</w:t>
      </w:r>
      <w:r>
        <w:rPr>
          <w:rFonts w:ascii="Times New Roman" w:hAnsi="Times New Roman"/>
          <w:lang w:val="en-US"/>
        </w:rPr>
        <w:t xml:space="preserve"> and,</w:t>
      </w:r>
    </w:p>
    <w:p w14:paraId="1DADB433" w14:textId="20CDC26C" w:rsidR="00B2087D" w:rsidRPr="004B0F56" w:rsidRDefault="00B2087D" w:rsidP="009A23AA">
      <w:pPr>
        <w:pStyle w:val="ListParagraph"/>
        <w:numPr>
          <w:ilvl w:val="0"/>
          <w:numId w:val="20"/>
        </w:numPr>
        <w:spacing w:before="120" w:after="0" w:line="240" w:lineRule="auto"/>
        <w:contextualSpacing w:val="0"/>
        <w:jc w:val="both"/>
        <w:rPr>
          <w:rFonts w:ascii="Times New Roman" w:hAnsi="Times New Roman"/>
          <w:lang w:val="en-US"/>
        </w:rPr>
      </w:pPr>
      <w:r w:rsidRPr="004B0F56">
        <w:rPr>
          <w:rFonts w:ascii="Times New Roman" w:hAnsi="Times New Roman"/>
          <w:lang w:val="en-US"/>
        </w:rPr>
        <w:t xml:space="preserve">Via imports of bulk gas, where the bulk gas imported is not </w:t>
      </w:r>
      <w:r>
        <w:rPr>
          <w:rFonts w:ascii="Times New Roman" w:hAnsi="Times New Roman"/>
          <w:lang w:val="en-US"/>
        </w:rPr>
        <w:t>u</w:t>
      </w:r>
      <w:r w:rsidRPr="004B0F56">
        <w:rPr>
          <w:rFonts w:ascii="Times New Roman" w:hAnsi="Times New Roman"/>
          <w:lang w:val="en-US"/>
        </w:rPr>
        <w:t xml:space="preserve">sed to service existing stocks of equipment, replacing gas lost to air, but rather is consumed charging </w:t>
      </w:r>
      <w:r w:rsidR="00CD7A1A">
        <w:rPr>
          <w:rFonts w:ascii="Times New Roman" w:hAnsi="Times New Roman"/>
          <w:lang w:val="en-US"/>
        </w:rPr>
        <w:t xml:space="preserve">new </w:t>
      </w:r>
      <w:r w:rsidRPr="004B0F56">
        <w:rPr>
          <w:rFonts w:ascii="Times New Roman" w:hAnsi="Times New Roman"/>
          <w:lang w:val="en-US"/>
        </w:rPr>
        <w:t>equipment manufactured in Australia</w:t>
      </w:r>
      <w:r w:rsidR="00CD7A1A">
        <w:rPr>
          <w:rFonts w:ascii="Times New Roman" w:hAnsi="Times New Roman"/>
          <w:lang w:val="en-US"/>
        </w:rPr>
        <w:t>,</w:t>
      </w:r>
      <w:r>
        <w:rPr>
          <w:rFonts w:ascii="Times New Roman" w:hAnsi="Times New Roman"/>
          <w:lang w:val="en-US"/>
        </w:rPr>
        <w:t xml:space="preserve"> or charging new equipment imported without a refrigerant charge</w:t>
      </w:r>
      <w:r w:rsidRPr="004B0F56">
        <w:rPr>
          <w:rFonts w:ascii="Times New Roman" w:hAnsi="Times New Roman"/>
          <w:lang w:val="en-US"/>
        </w:rPr>
        <w:t>.</w:t>
      </w:r>
    </w:p>
    <w:p w14:paraId="2BE6CB24" w14:textId="77777777" w:rsidR="00B2087D" w:rsidRDefault="00B2087D" w:rsidP="009A23AA">
      <w:pPr>
        <w:rPr>
          <w:rFonts w:cs="Times New Roman"/>
          <w:lang w:val="en-US"/>
        </w:rPr>
      </w:pPr>
      <w:r w:rsidRPr="004B0F56">
        <w:rPr>
          <w:rFonts w:cs="Times New Roman"/>
          <w:lang w:val="en-US"/>
        </w:rPr>
        <w:t xml:space="preserve">This section analyses PCE and bulk gas imports, and then </w:t>
      </w:r>
      <w:r>
        <w:rPr>
          <w:rFonts w:cs="Times New Roman"/>
          <w:lang w:val="en-US"/>
        </w:rPr>
        <w:t>examines t</w:t>
      </w:r>
      <w:r w:rsidRPr="004B0F56">
        <w:rPr>
          <w:rFonts w:cs="Times New Roman"/>
          <w:lang w:val="en-US"/>
        </w:rPr>
        <w:t xml:space="preserve">he market dynamics for bulk gas as it is broken down into smaller lots and distributed (sold) into the supply lines for servicing the stock of </w:t>
      </w:r>
      <w:r>
        <w:rPr>
          <w:rFonts w:cs="Times New Roman"/>
          <w:lang w:val="en-US"/>
        </w:rPr>
        <w:t xml:space="preserve">existing </w:t>
      </w:r>
      <w:r w:rsidRPr="004B0F56">
        <w:rPr>
          <w:rFonts w:cs="Times New Roman"/>
          <w:lang w:val="en-US"/>
        </w:rPr>
        <w:t xml:space="preserve">equipment and </w:t>
      </w:r>
      <w:r>
        <w:rPr>
          <w:rFonts w:cs="Times New Roman"/>
          <w:lang w:val="en-US"/>
        </w:rPr>
        <w:t xml:space="preserve">charging </w:t>
      </w:r>
      <w:r w:rsidRPr="004B0F56">
        <w:rPr>
          <w:rFonts w:cs="Times New Roman"/>
          <w:lang w:val="en-US"/>
        </w:rPr>
        <w:t>new equipment.</w:t>
      </w:r>
    </w:p>
    <w:p w14:paraId="500BE9E9" w14:textId="67EDE334" w:rsidR="00B2087D" w:rsidRDefault="00B2087D" w:rsidP="009A23AA">
      <w:pPr>
        <w:rPr>
          <w:rFonts w:cs="Times New Roman"/>
          <w:lang w:val="en-US"/>
        </w:rPr>
      </w:pPr>
      <w:r>
        <w:rPr>
          <w:rFonts w:cs="Times New Roman"/>
          <w:lang w:val="en-US"/>
        </w:rPr>
        <w:t>Natural refrigerants</w:t>
      </w:r>
      <w:r w:rsidR="00CD7A1A">
        <w:rPr>
          <w:rFonts w:cs="Times New Roman"/>
          <w:lang w:val="en-US"/>
        </w:rPr>
        <w:t>,</w:t>
      </w:r>
      <w:r>
        <w:rPr>
          <w:rFonts w:cs="Times New Roman"/>
          <w:lang w:val="en-US"/>
        </w:rPr>
        <w:t xml:space="preserve"> ammonia, CO</w:t>
      </w:r>
      <w:r w:rsidRPr="00B55C99">
        <w:rPr>
          <w:rFonts w:cs="Times New Roman"/>
          <w:vertAlign w:val="subscript"/>
          <w:lang w:val="en-US"/>
        </w:rPr>
        <w:t>2</w:t>
      </w:r>
      <w:r>
        <w:rPr>
          <w:rFonts w:cs="Times New Roman"/>
          <w:lang w:val="en-US"/>
        </w:rPr>
        <w:t xml:space="preserve"> and hydrocarbons </w:t>
      </w:r>
      <w:r w:rsidR="004E41E6">
        <w:rPr>
          <w:rFonts w:cs="Times New Roman"/>
          <w:lang w:val="en-US"/>
        </w:rPr>
        <w:t xml:space="preserve">are </w:t>
      </w:r>
      <w:r>
        <w:rPr>
          <w:rFonts w:cs="Times New Roman"/>
          <w:lang w:val="en-US"/>
        </w:rPr>
        <w:t xml:space="preserve">not classified as scheduled substances under the </w:t>
      </w:r>
      <w:r w:rsidRPr="00CF12C4">
        <w:rPr>
          <w:rFonts w:cs="Times New Roman"/>
          <w:i/>
          <w:iCs/>
          <w:lang w:val="en-US"/>
        </w:rPr>
        <w:t xml:space="preserve">Ozone Protection and Synthetic Greenhouse Gas Management Act </w:t>
      </w:r>
      <w:r w:rsidR="00CF12C4" w:rsidRPr="00CF12C4">
        <w:rPr>
          <w:rFonts w:cs="Times New Roman"/>
          <w:i/>
          <w:iCs/>
          <w:lang w:val="en-US"/>
        </w:rPr>
        <w:t>1989</w:t>
      </w:r>
      <w:r w:rsidR="00CF12C4">
        <w:rPr>
          <w:rFonts w:cs="Times New Roman"/>
          <w:lang w:val="en-US"/>
        </w:rPr>
        <w:t xml:space="preserve"> </w:t>
      </w:r>
      <w:r w:rsidRPr="00700A74">
        <w:rPr>
          <w:rFonts w:cs="Times New Roman"/>
          <w:lang w:val="en-US"/>
        </w:rPr>
        <w:t xml:space="preserve">and are discussed separately in </w:t>
      </w:r>
      <w:r w:rsidRPr="00CF12C4">
        <w:rPr>
          <w:rFonts w:cs="Times New Roman"/>
          <w:i/>
          <w:lang w:val="en-US"/>
        </w:rPr>
        <w:t xml:space="preserve">Section </w:t>
      </w:r>
      <w:r w:rsidR="00700A74" w:rsidRPr="00CF12C4">
        <w:rPr>
          <w:rFonts w:cs="Times New Roman"/>
          <w:i/>
          <w:lang w:val="en-US"/>
        </w:rPr>
        <w:t>8</w:t>
      </w:r>
      <w:r w:rsidRPr="00CF12C4">
        <w:rPr>
          <w:rFonts w:cs="Times New Roman"/>
          <w:lang w:val="en-US"/>
        </w:rPr>
        <w:t xml:space="preserve">. </w:t>
      </w:r>
      <w:proofErr w:type="spellStart"/>
      <w:r w:rsidRPr="00CF12C4">
        <w:rPr>
          <w:rFonts w:cs="Times New Roman"/>
          <w:lang w:val="en-US"/>
        </w:rPr>
        <w:t>Hydroflu</w:t>
      </w:r>
      <w:r w:rsidR="00B518DB" w:rsidRPr="00CF12C4">
        <w:rPr>
          <w:rFonts w:cs="Times New Roman"/>
          <w:lang w:val="en-US"/>
        </w:rPr>
        <w:t>o</w:t>
      </w:r>
      <w:r w:rsidRPr="00CF12C4">
        <w:rPr>
          <w:rFonts w:cs="Times New Roman"/>
          <w:lang w:val="en-US"/>
        </w:rPr>
        <w:t>ro</w:t>
      </w:r>
      <w:proofErr w:type="spellEnd"/>
      <w:r w:rsidRPr="00700A74">
        <w:rPr>
          <w:rFonts w:cs="Times New Roman"/>
          <w:lang w:val="en-US"/>
        </w:rPr>
        <w:t>-</w:t>
      </w:r>
      <w:r w:rsidR="00B518DB" w:rsidRPr="00700A74">
        <w:rPr>
          <w:rFonts w:cs="Times New Roman"/>
          <w:lang w:val="en-US"/>
        </w:rPr>
        <w:t>o</w:t>
      </w:r>
      <w:r w:rsidRPr="00700A74">
        <w:rPr>
          <w:rFonts w:cs="Times New Roman"/>
          <w:lang w:val="en-US"/>
        </w:rPr>
        <w:t>lefin (HFO) refrigerants are not classified as scheduled substances, however ingredients used in HFO blends are briefly discussed at the end of this section (</w:t>
      </w:r>
      <w:r w:rsidRPr="00700A74">
        <w:rPr>
          <w:rFonts w:cs="Times New Roman"/>
          <w:i/>
          <w:lang w:val="en-US"/>
        </w:rPr>
        <w:t xml:space="preserve">Section </w:t>
      </w:r>
      <w:r w:rsidR="00700A74" w:rsidRPr="00700A74">
        <w:rPr>
          <w:rFonts w:cs="Times New Roman"/>
          <w:i/>
          <w:lang w:val="en-US"/>
        </w:rPr>
        <w:t xml:space="preserve">7.4 </w:t>
      </w:r>
      <w:proofErr w:type="spellStart"/>
      <w:r w:rsidR="00700A74" w:rsidRPr="00700A74">
        <w:rPr>
          <w:rFonts w:cs="Times New Roman"/>
          <w:i/>
          <w:lang w:val="en-US"/>
        </w:rPr>
        <w:t>Hydrofluoro</w:t>
      </w:r>
      <w:proofErr w:type="spellEnd"/>
      <w:r w:rsidR="00700A74" w:rsidRPr="00700A74">
        <w:rPr>
          <w:rFonts w:cs="Times New Roman"/>
          <w:i/>
          <w:lang w:val="en-US"/>
        </w:rPr>
        <w:t>-olefin refrigerants</w:t>
      </w:r>
      <w:r w:rsidRPr="00700A74">
        <w:rPr>
          <w:rFonts w:cs="Times New Roman"/>
          <w:lang w:val="en-US"/>
        </w:rPr>
        <w:t>).</w:t>
      </w:r>
    </w:p>
    <w:p w14:paraId="74197492" w14:textId="77777777" w:rsidR="00B2087D" w:rsidRPr="004B0F56" w:rsidRDefault="00B2087D" w:rsidP="009A23AA">
      <w:pPr>
        <w:rPr>
          <w:rFonts w:cs="Times New Roman"/>
          <w:lang w:val="en-US"/>
        </w:rPr>
      </w:pPr>
    </w:p>
    <w:p w14:paraId="0F99F895" w14:textId="77777777" w:rsidR="00B2087D" w:rsidRPr="00865893" w:rsidRDefault="00B2087D" w:rsidP="009A23AA">
      <w:pPr>
        <w:pStyle w:val="Heading2"/>
        <w:jc w:val="both"/>
        <w:rPr>
          <w:rFonts w:eastAsiaTheme="minorEastAsia"/>
        </w:rPr>
      </w:pPr>
      <w:bookmarkStart w:id="109" w:name="_Toc525141275"/>
      <w:bookmarkStart w:id="110" w:name="_Toc19601310"/>
      <w:r>
        <w:t>Pre-charged equipment imports</w:t>
      </w:r>
      <w:bookmarkEnd w:id="109"/>
      <w:bookmarkEnd w:id="110"/>
      <w:r>
        <w:t xml:space="preserve"> </w:t>
      </w:r>
    </w:p>
    <w:p w14:paraId="20E22334" w14:textId="07774724" w:rsidR="00B2087D" w:rsidRDefault="00B2087D" w:rsidP="009A23AA">
      <w:pPr>
        <w:rPr>
          <w:color w:val="000000" w:themeColor="text1"/>
          <w:szCs w:val="22"/>
        </w:rPr>
      </w:pPr>
      <w:r w:rsidRPr="002A2E16">
        <w:rPr>
          <w:color w:val="000000" w:themeColor="text1"/>
          <w:szCs w:val="22"/>
        </w:rPr>
        <w:t>With manufacturing of RAC systems in Australia at multi-decadal lows</w:t>
      </w:r>
      <w:r w:rsidR="004E41E6">
        <w:rPr>
          <w:color w:val="000000" w:themeColor="text1"/>
          <w:szCs w:val="22"/>
        </w:rPr>
        <w:t xml:space="preserve"> </w:t>
      </w:r>
      <w:r w:rsidRPr="002A2E16">
        <w:rPr>
          <w:color w:val="000000" w:themeColor="text1"/>
          <w:szCs w:val="22"/>
        </w:rPr>
        <w:t>following the winding back of local stationary AC manufacturing</w:t>
      </w:r>
      <w:r w:rsidR="00CD7A1A">
        <w:rPr>
          <w:color w:val="000000" w:themeColor="text1"/>
          <w:szCs w:val="22"/>
        </w:rPr>
        <w:t>,</w:t>
      </w:r>
      <w:r w:rsidRPr="002A2E16">
        <w:rPr>
          <w:color w:val="000000" w:themeColor="text1"/>
          <w:szCs w:val="22"/>
        </w:rPr>
        <w:t xml:space="preserve"> and the closure of domestic refrigeration and vehicle manufacturing, it is the refrigerant in imported equipment that predominantly drives </w:t>
      </w:r>
      <w:r w:rsidR="00CD7A1A">
        <w:rPr>
          <w:color w:val="000000" w:themeColor="text1"/>
          <w:szCs w:val="22"/>
        </w:rPr>
        <w:t xml:space="preserve">increases in and changes in </w:t>
      </w:r>
      <w:r w:rsidRPr="002A2E16">
        <w:rPr>
          <w:color w:val="000000" w:themeColor="text1"/>
          <w:szCs w:val="22"/>
        </w:rPr>
        <w:t xml:space="preserve">the overall composition of the </w:t>
      </w:r>
      <w:r>
        <w:rPr>
          <w:color w:val="000000" w:themeColor="text1"/>
          <w:szCs w:val="22"/>
        </w:rPr>
        <w:t xml:space="preserve">refrigerant </w:t>
      </w:r>
      <w:r w:rsidRPr="002A2E16">
        <w:rPr>
          <w:color w:val="000000" w:themeColor="text1"/>
          <w:szCs w:val="22"/>
        </w:rPr>
        <w:t xml:space="preserve">bank. </w:t>
      </w:r>
    </w:p>
    <w:p w14:paraId="1E6D48C6" w14:textId="39592066" w:rsidR="00B2087D" w:rsidRPr="002A2E16" w:rsidRDefault="00B2087D" w:rsidP="009A23AA">
      <w:pPr>
        <w:rPr>
          <w:color w:val="000000" w:themeColor="text1"/>
          <w:szCs w:val="22"/>
        </w:rPr>
      </w:pPr>
      <w:r w:rsidRPr="002A2E16">
        <w:rPr>
          <w:color w:val="000000" w:themeColor="text1"/>
          <w:szCs w:val="22"/>
        </w:rPr>
        <w:t>PCE imports can have an impact on the bank for decades ahead with some equipment expected to have working li</w:t>
      </w:r>
      <w:r w:rsidR="00CF12C4">
        <w:rPr>
          <w:color w:val="000000" w:themeColor="text1"/>
          <w:szCs w:val="22"/>
        </w:rPr>
        <w:t>fe</w:t>
      </w:r>
      <w:r w:rsidRPr="002A2E16">
        <w:rPr>
          <w:color w:val="000000" w:themeColor="text1"/>
          <w:szCs w:val="22"/>
        </w:rPr>
        <w:t xml:space="preserve"> greater than 20 years.</w:t>
      </w:r>
    </w:p>
    <w:p w14:paraId="618DA753" w14:textId="5307D26F" w:rsidR="00B2087D" w:rsidRPr="002A2E16" w:rsidRDefault="00B2087D" w:rsidP="009A23AA">
      <w:pPr>
        <w:rPr>
          <w:color w:val="000000" w:themeColor="text1"/>
          <w:szCs w:val="22"/>
        </w:rPr>
      </w:pPr>
      <w:r w:rsidRPr="002A2E16">
        <w:rPr>
          <w:color w:val="000000" w:themeColor="text1"/>
          <w:szCs w:val="22"/>
        </w:rPr>
        <w:t>Pre-charged equipment imports of all sorts has been the major source of growth in the refrigerant bank</w:t>
      </w:r>
      <w:r>
        <w:rPr>
          <w:color w:val="000000" w:themeColor="text1"/>
          <w:szCs w:val="22"/>
        </w:rPr>
        <w:t xml:space="preserve"> for the last five years</w:t>
      </w:r>
      <w:r w:rsidRPr="002A2E16">
        <w:rPr>
          <w:color w:val="000000" w:themeColor="text1"/>
          <w:szCs w:val="22"/>
        </w:rPr>
        <w:t xml:space="preserve">, introducing an average of about </w:t>
      </w:r>
      <w:r w:rsidRPr="00862124">
        <w:rPr>
          <w:color w:val="000000" w:themeColor="text1"/>
          <w:szCs w:val="22"/>
        </w:rPr>
        <w:t>3,330</w:t>
      </w:r>
      <w:r w:rsidRPr="002A2E16">
        <w:rPr>
          <w:color w:val="000000" w:themeColor="text1"/>
          <w:szCs w:val="22"/>
        </w:rPr>
        <w:t xml:space="preserve"> tonnes of </w:t>
      </w:r>
      <w:r>
        <w:rPr>
          <w:color w:val="000000" w:themeColor="text1"/>
          <w:szCs w:val="22"/>
        </w:rPr>
        <w:t xml:space="preserve">new </w:t>
      </w:r>
      <w:r w:rsidRPr="002A2E16">
        <w:rPr>
          <w:color w:val="000000" w:themeColor="text1"/>
          <w:szCs w:val="22"/>
        </w:rPr>
        <w:t>refrigerant per annum</w:t>
      </w:r>
      <w:r>
        <w:rPr>
          <w:color w:val="000000" w:themeColor="text1"/>
          <w:szCs w:val="22"/>
        </w:rPr>
        <w:t xml:space="preserve"> since 201</w:t>
      </w:r>
      <w:r w:rsidR="0097198A">
        <w:rPr>
          <w:color w:val="000000" w:themeColor="text1"/>
          <w:szCs w:val="22"/>
        </w:rPr>
        <w:t>4</w:t>
      </w:r>
      <w:r w:rsidRPr="002A2E16">
        <w:rPr>
          <w:color w:val="000000" w:themeColor="text1"/>
          <w:szCs w:val="22"/>
        </w:rPr>
        <w:t xml:space="preserve">. </w:t>
      </w:r>
    </w:p>
    <w:p w14:paraId="1258FB5D" w14:textId="3CD987CB" w:rsidR="00B2087D" w:rsidRPr="002A2E16" w:rsidRDefault="00B2087D" w:rsidP="009A23AA">
      <w:pPr>
        <w:rPr>
          <w:color w:val="000000" w:themeColor="text1"/>
          <w:szCs w:val="22"/>
        </w:rPr>
      </w:pPr>
      <w:r w:rsidRPr="002A2E16">
        <w:rPr>
          <w:color w:val="000000" w:themeColor="text1"/>
          <w:szCs w:val="22"/>
        </w:rPr>
        <w:t>In 2018</w:t>
      </w:r>
      <w:r>
        <w:rPr>
          <w:color w:val="000000" w:themeColor="text1"/>
          <w:szCs w:val="22"/>
        </w:rPr>
        <w:t xml:space="preserve"> </w:t>
      </w:r>
      <w:r w:rsidRPr="002A2E16">
        <w:rPr>
          <w:color w:val="000000" w:themeColor="text1"/>
          <w:szCs w:val="22"/>
        </w:rPr>
        <w:t xml:space="preserve">there were more than </w:t>
      </w:r>
      <w:r w:rsidR="000F19E8">
        <w:rPr>
          <w:color w:val="000000" w:themeColor="text1"/>
          <w:szCs w:val="22"/>
        </w:rPr>
        <w:t>4.8</w:t>
      </w:r>
      <w:r w:rsidRPr="002A2E16">
        <w:rPr>
          <w:color w:val="000000" w:themeColor="text1"/>
          <w:szCs w:val="22"/>
        </w:rPr>
        <w:t xml:space="preserve"> million devices pre-charged with HFCs imported to Australia containing, in aggregate, around </w:t>
      </w:r>
      <w:r>
        <w:rPr>
          <w:color w:val="000000" w:themeColor="text1"/>
          <w:szCs w:val="22"/>
        </w:rPr>
        <w:t>3,690</w:t>
      </w:r>
      <w:r w:rsidRPr="002A2E16">
        <w:rPr>
          <w:color w:val="000000" w:themeColor="text1"/>
          <w:szCs w:val="22"/>
        </w:rPr>
        <w:t xml:space="preserve"> tonnes of refrigerant</w:t>
      </w:r>
      <w:r w:rsidRPr="002A2E16">
        <w:rPr>
          <w:rStyle w:val="FootnoteReference"/>
          <w:color w:val="000000" w:themeColor="text1"/>
          <w:szCs w:val="22"/>
        </w:rPr>
        <w:footnoteReference w:id="28"/>
      </w:r>
      <w:r w:rsidRPr="002A2E16">
        <w:rPr>
          <w:color w:val="000000" w:themeColor="text1"/>
          <w:szCs w:val="22"/>
        </w:rPr>
        <w:t xml:space="preserve"> (</w:t>
      </w:r>
      <w:r w:rsidRPr="002A2E16">
        <w:rPr>
          <w:i/>
          <w:color w:val="000000" w:themeColor="text1"/>
          <w:szCs w:val="22"/>
        </w:rPr>
        <w:t>CHF3 2016, 4.7 million devices containing some 3,127 tonnes</w:t>
      </w:r>
      <w:r w:rsidRPr="002A2E16">
        <w:rPr>
          <w:color w:val="000000" w:themeColor="text1"/>
          <w:szCs w:val="22"/>
        </w:rPr>
        <w:t>).</w:t>
      </w:r>
    </w:p>
    <w:p w14:paraId="7AAFDAF3" w14:textId="797075A9" w:rsidR="00B2087D" w:rsidRPr="002A2E16" w:rsidRDefault="00B2087D" w:rsidP="009A23AA">
      <w:pPr>
        <w:rPr>
          <w:color w:val="000000" w:themeColor="text1"/>
          <w:szCs w:val="22"/>
        </w:rPr>
      </w:pPr>
      <w:r w:rsidRPr="002A2E16">
        <w:rPr>
          <w:color w:val="000000" w:themeColor="text1"/>
          <w:szCs w:val="22"/>
        </w:rPr>
        <w:t xml:space="preserve">Imports of PCE have been running at historically high levels for the last decade and a half, largely as a result of the demand for small wall-hung split air conditioning systems. </w:t>
      </w:r>
    </w:p>
    <w:p w14:paraId="476F9703" w14:textId="052944A7" w:rsidR="00B2087D" w:rsidRPr="002A2E16" w:rsidRDefault="00B2087D" w:rsidP="009A23AA">
      <w:pPr>
        <w:rPr>
          <w:color w:val="000000" w:themeColor="text1"/>
          <w:szCs w:val="22"/>
        </w:rPr>
      </w:pPr>
      <w:r w:rsidRPr="00847D29">
        <w:rPr>
          <w:color w:val="000000" w:themeColor="text1"/>
          <w:szCs w:val="22"/>
        </w:rPr>
        <w:t>There were more than 1.</w:t>
      </w:r>
      <w:r w:rsidR="00847D29" w:rsidRPr="00847D29">
        <w:rPr>
          <w:color w:val="000000" w:themeColor="text1"/>
          <w:szCs w:val="22"/>
        </w:rPr>
        <w:t>4</w:t>
      </w:r>
      <w:r w:rsidRPr="00847D29">
        <w:rPr>
          <w:color w:val="000000" w:themeColor="text1"/>
          <w:szCs w:val="22"/>
        </w:rPr>
        <w:t xml:space="preserve"> million stationary air conditioning devices imported in 2018, accounting for more than 2,</w:t>
      </w:r>
      <w:r w:rsidR="00847D29" w:rsidRPr="00847D29">
        <w:rPr>
          <w:color w:val="000000" w:themeColor="text1"/>
          <w:szCs w:val="22"/>
        </w:rPr>
        <w:t>586</w:t>
      </w:r>
      <w:r w:rsidRPr="00847D29">
        <w:rPr>
          <w:color w:val="000000" w:themeColor="text1"/>
          <w:szCs w:val="22"/>
        </w:rPr>
        <w:t xml:space="preserve"> tonnes of refrigerant, or 70% of imported refrigerant contained in PCE that year. More than 1.</w:t>
      </w:r>
      <w:r w:rsidR="00847D29" w:rsidRPr="00847D29">
        <w:rPr>
          <w:color w:val="000000" w:themeColor="text1"/>
          <w:szCs w:val="22"/>
        </w:rPr>
        <w:t>3</w:t>
      </w:r>
      <w:r w:rsidR="00B81609" w:rsidRPr="00847D29">
        <w:rPr>
          <w:color w:val="000000" w:themeColor="text1"/>
          <w:szCs w:val="22"/>
        </w:rPr>
        <w:t> </w:t>
      </w:r>
      <w:r w:rsidRPr="00847D29">
        <w:rPr>
          <w:color w:val="000000" w:themeColor="text1"/>
          <w:szCs w:val="22"/>
        </w:rPr>
        <w:t xml:space="preserve">million of these stationary AC were classed as ‘residential’ devices that added more than </w:t>
      </w:r>
      <w:r w:rsidR="00847D29" w:rsidRPr="00847D29">
        <w:rPr>
          <w:color w:val="000000" w:themeColor="text1"/>
          <w:szCs w:val="22"/>
        </w:rPr>
        <w:t>2,035</w:t>
      </w:r>
      <w:r w:rsidRPr="00847D29">
        <w:rPr>
          <w:color w:val="000000" w:themeColor="text1"/>
          <w:szCs w:val="22"/>
        </w:rPr>
        <w:t xml:space="preserve"> tonnes of refrigerant to the bank.</w:t>
      </w:r>
    </w:p>
    <w:p w14:paraId="1F0115F3" w14:textId="77777777" w:rsidR="00B2087D" w:rsidRDefault="00B2087D" w:rsidP="009A23AA">
      <w:pPr>
        <w:rPr>
          <w:color w:val="000000" w:themeColor="text1"/>
          <w:szCs w:val="22"/>
        </w:rPr>
      </w:pPr>
      <w:r w:rsidRPr="002A2E16">
        <w:rPr>
          <w:color w:val="000000" w:themeColor="text1"/>
          <w:szCs w:val="22"/>
        </w:rPr>
        <w:t xml:space="preserve">This compares to PCE imports of </w:t>
      </w:r>
      <w:r w:rsidRPr="004B0F56">
        <w:rPr>
          <w:color w:val="000000" w:themeColor="text1"/>
          <w:szCs w:val="22"/>
        </w:rPr>
        <w:t xml:space="preserve">both residential and commercial AC </w:t>
      </w:r>
      <w:r>
        <w:rPr>
          <w:color w:val="000000" w:themeColor="text1"/>
          <w:szCs w:val="22"/>
        </w:rPr>
        <w:t xml:space="preserve">equipment </w:t>
      </w:r>
      <w:r w:rsidRPr="004B0F56">
        <w:rPr>
          <w:color w:val="000000" w:themeColor="text1"/>
          <w:szCs w:val="22"/>
        </w:rPr>
        <w:t>totalling</w:t>
      </w:r>
      <w:r w:rsidRPr="002A2E16">
        <w:rPr>
          <w:color w:val="000000" w:themeColor="text1"/>
          <w:szCs w:val="22"/>
        </w:rPr>
        <w:t xml:space="preserve"> slightly more than a million pieces in 2012, at the time containing around 1,688 tonnes of refrigerant in total.</w:t>
      </w:r>
    </w:p>
    <w:p w14:paraId="07B3C62D" w14:textId="77777777" w:rsidR="00B2087D" w:rsidRPr="009C65CD" w:rsidRDefault="00B2087D" w:rsidP="009A23AA">
      <w:pPr>
        <w:rPr>
          <w:color w:val="000000" w:themeColor="text1"/>
          <w:szCs w:val="22"/>
        </w:rPr>
      </w:pPr>
      <w:r w:rsidRPr="009C65CD">
        <w:rPr>
          <w:color w:val="000000" w:themeColor="text1"/>
          <w:szCs w:val="22"/>
        </w:rPr>
        <w:t>Mobile AC systems were the second largest category of PCE, containing 18% of HFCs imported in equipment in 2018</w:t>
      </w:r>
      <w:r>
        <w:rPr>
          <w:color w:val="000000" w:themeColor="text1"/>
          <w:szCs w:val="22"/>
        </w:rPr>
        <w:t>,</w:t>
      </w:r>
      <w:r w:rsidRPr="009C65CD">
        <w:rPr>
          <w:color w:val="000000" w:themeColor="text1"/>
          <w:szCs w:val="22"/>
        </w:rPr>
        <w:t xml:space="preserve"> and adding some 677 tonnes to the bank, followed by commercial, domestic and mobile refrigeration systems that added 61 tonnes of HFCs to the bank.</w:t>
      </w:r>
    </w:p>
    <w:p w14:paraId="16C656FC" w14:textId="2B3CAE71" w:rsidR="00CF12C4" w:rsidRDefault="00CF12C4">
      <w:pPr>
        <w:spacing w:before="0"/>
        <w:jc w:val="left"/>
        <w:rPr>
          <w:color w:val="000000" w:themeColor="text1"/>
          <w:szCs w:val="22"/>
        </w:rPr>
      </w:pPr>
      <w:r>
        <w:rPr>
          <w:color w:val="000000" w:themeColor="text1"/>
          <w:szCs w:val="22"/>
        </w:rPr>
        <w:br w:type="page"/>
      </w: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0"/>
      </w:tblGrid>
      <w:tr w:rsidR="00B2087D" w:rsidRPr="00613398" w14:paraId="754CC171" w14:textId="77777777" w:rsidTr="00D306E9">
        <w:tc>
          <w:tcPr>
            <w:tcW w:w="9490" w:type="dxa"/>
            <w:vAlign w:val="center"/>
          </w:tcPr>
          <w:p w14:paraId="5203C295" w14:textId="77777777" w:rsidR="00B2087D" w:rsidRPr="00613398" w:rsidRDefault="00B2087D" w:rsidP="0097198A">
            <w:pPr>
              <w:spacing w:after="120"/>
              <w:jc w:val="center"/>
              <w:rPr>
                <w:rFonts w:cs="Times New Roman"/>
                <w:b/>
              </w:rPr>
            </w:pPr>
            <w:bookmarkStart w:id="111" w:name="OLE_LINK1"/>
            <w:r w:rsidRPr="00613398">
              <w:rPr>
                <w:rFonts w:cs="Times New Roman"/>
                <w:b/>
              </w:rPr>
              <w:br w:type="page"/>
            </w:r>
            <w:r>
              <w:rPr>
                <w:rFonts w:cs="Times New Roman"/>
                <w:b/>
              </w:rPr>
              <w:t>PCE imports by application in 2018 (tonnes and %)</w:t>
            </w:r>
          </w:p>
        </w:tc>
      </w:tr>
      <w:tr w:rsidR="00B2087D" w:rsidRPr="000F7FAE" w14:paraId="20A91569" w14:textId="77777777" w:rsidTr="00D306E9">
        <w:tc>
          <w:tcPr>
            <w:tcW w:w="9490" w:type="dxa"/>
            <w:vAlign w:val="center"/>
          </w:tcPr>
          <w:p w14:paraId="1CA5FACC" w14:textId="77777777" w:rsidR="00B2087D" w:rsidRPr="000F7FAE" w:rsidRDefault="00B2087D" w:rsidP="0097198A">
            <w:pPr>
              <w:spacing w:before="60" w:after="60"/>
              <w:jc w:val="center"/>
              <w:rPr>
                <w:sz w:val="16"/>
                <w:szCs w:val="16"/>
              </w:rPr>
            </w:pPr>
          </w:p>
          <w:p w14:paraId="26932992" w14:textId="77777777" w:rsidR="00B2087D" w:rsidRPr="000F7FAE" w:rsidRDefault="00B2087D" w:rsidP="0097198A">
            <w:pPr>
              <w:spacing w:before="60" w:after="60"/>
              <w:jc w:val="center"/>
              <w:rPr>
                <w:sz w:val="16"/>
                <w:szCs w:val="16"/>
              </w:rPr>
            </w:pPr>
            <w:r>
              <w:rPr>
                <w:noProof/>
                <w:lang w:val="en-AU" w:eastAsia="en-AU"/>
              </w:rPr>
              <w:drawing>
                <wp:inline distT="0" distB="0" distL="0" distR="0" wp14:anchorId="17897CE2" wp14:editId="108899D6">
                  <wp:extent cx="5197364" cy="396000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7364" cy="3960000"/>
                          </a:xfrm>
                          <a:prstGeom prst="rect">
                            <a:avLst/>
                          </a:prstGeom>
                        </pic:spPr>
                      </pic:pic>
                    </a:graphicData>
                  </a:graphic>
                </wp:inline>
              </w:drawing>
            </w:r>
          </w:p>
          <w:p w14:paraId="76AE881F" w14:textId="77777777" w:rsidR="00B2087D" w:rsidRPr="000F7FAE" w:rsidRDefault="00B2087D" w:rsidP="0097198A">
            <w:pPr>
              <w:spacing w:before="60" w:after="60"/>
              <w:jc w:val="center"/>
              <w:rPr>
                <w:sz w:val="16"/>
                <w:szCs w:val="16"/>
              </w:rPr>
            </w:pPr>
          </w:p>
        </w:tc>
      </w:tr>
      <w:tr w:rsidR="00B2087D" w:rsidRPr="00923150" w14:paraId="5174B296" w14:textId="77777777" w:rsidTr="00D306E9">
        <w:tc>
          <w:tcPr>
            <w:tcW w:w="9490" w:type="dxa"/>
            <w:vAlign w:val="center"/>
          </w:tcPr>
          <w:p w14:paraId="11A71246" w14:textId="674DA6A7" w:rsidR="00B2087D" w:rsidRPr="00BB16C6" w:rsidRDefault="00B2087D" w:rsidP="009A23AA">
            <w:pPr>
              <w:pStyle w:val="Caption"/>
            </w:pPr>
            <w:bookmarkStart w:id="112" w:name="_Toc525141341"/>
            <w:bookmarkStart w:id="113" w:name="_Toc19601344"/>
            <w:r w:rsidRPr="00BB16C6">
              <w:t xml:space="preserve">Figure </w:t>
            </w:r>
            <w:r>
              <w:rPr>
                <w:noProof/>
              </w:rPr>
              <w:fldChar w:fldCharType="begin"/>
            </w:r>
            <w:r>
              <w:rPr>
                <w:noProof/>
              </w:rPr>
              <w:instrText xml:space="preserve"> SEQ Figure \* ARABIC </w:instrText>
            </w:r>
            <w:r>
              <w:rPr>
                <w:noProof/>
              </w:rPr>
              <w:fldChar w:fldCharType="separate"/>
            </w:r>
            <w:r w:rsidR="001D0DA3">
              <w:rPr>
                <w:noProof/>
              </w:rPr>
              <w:t>22</w:t>
            </w:r>
            <w:r>
              <w:rPr>
                <w:noProof/>
              </w:rPr>
              <w:fldChar w:fldCharType="end"/>
            </w:r>
            <w:r w:rsidRPr="00BB16C6">
              <w:rPr>
                <w:bCs w:val="0"/>
              </w:rPr>
              <w:t xml:space="preserve">: </w:t>
            </w:r>
            <w:r>
              <w:rPr>
                <w:bCs w:val="0"/>
              </w:rPr>
              <w:t>R</w:t>
            </w:r>
            <w:r w:rsidRPr="00BB16C6">
              <w:rPr>
                <w:bCs w:val="0"/>
              </w:rPr>
              <w:t>efrigerant in pre-charged equipment imports in 201</w:t>
            </w:r>
            <w:r>
              <w:rPr>
                <w:bCs w:val="0"/>
              </w:rPr>
              <w:t>8</w:t>
            </w:r>
            <w:r w:rsidRPr="00BB16C6">
              <w:rPr>
                <w:bCs w:val="0"/>
              </w:rPr>
              <w:t xml:space="preserve"> dissected by application</w:t>
            </w:r>
            <w:r>
              <w:rPr>
                <w:bCs w:val="0"/>
              </w:rPr>
              <w:t xml:space="preserve">, reported in metric </w:t>
            </w:r>
            <w:proofErr w:type="spellStart"/>
            <w:r>
              <w:rPr>
                <w:bCs w:val="0"/>
              </w:rPr>
              <w:t>tonnes</w:t>
            </w:r>
            <w:proofErr w:type="spellEnd"/>
            <w:r w:rsidRPr="00BB16C6">
              <w:rPr>
                <w:bCs w:val="0"/>
              </w:rPr>
              <w:t xml:space="preserve"> and per cent of annual imports.</w:t>
            </w:r>
            <w:bookmarkEnd w:id="112"/>
            <w:bookmarkEnd w:id="113"/>
          </w:p>
        </w:tc>
      </w:tr>
    </w:tbl>
    <w:p w14:paraId="04F41650" w14:textId="77777777" w:rsidR="00B2087D" w:rsidRDefault="00B2087D" w:rsidP="009A23AA">
      <w:pPr>
        <w:spacing w:before="0"/>
        <w:rPr>
          <w:szCs w:val="22"/>
        </w:rPr>
      </w:pPr>
      <w:r>
        <w:rPr>
          <w:szCs w:val="22"/>
        </w:rPr>
        <w:t xml:space="preserve">(Source: </w:t>
      </w:r>
      <w:proofErr w:type="spellStart"/>
      <w:r>
        <w:rPr>
          <w:szCs w:val="22"/>
        </w:rPr>
        <w:t>DoEE</w:t>
      </w:r>
      <w:proofErr w:type="spellEnd"/>
      <w:r>
        <w:rPr>
          <w:szCs w:val="22"/>
        </w:rPr>
        <w:t xml:space="preserve"> 2019)</w:t>
      </w:r>
    </w:p>
    <w:p w14:paraId="2308AB2B" w14:textId="77777777" w:rsidR="00B2087D" w:rsidRDefault="00B2087D" w:rsidP="009A23AA">
      <w:pPr>
        <w:rPr>
          <w:rFonts w:cs="Times New Roman"/>
          <w:szCs w:val="22"/>
          <w:lang w:val="en-US"/>
        </w:rPr>
      </w:pPr>
    </w:p>
    <w:bookmarkEnd w:id="111"/>
    <w:p w14:paraId="1E9B5BA0" w14:textId="06E17DD9" w:rsidR="00B2087D" w:rsidRDefault="00B2087D" w:rsidP="009A23AA">
      <w:pPr>
        <w:rPr>
          <w:color w:val="00B0F0"/>
          <w:szCs w:val="22"/>
        </w:rPr>
      </w:pPr>
      <w:r w:rsidRPr="009C65CD">
        <w:rPr>
          <w:color w:val="000000" w:themeColor="text1"/>
          <w:szCs w:val="22"/>
        </w:rPr>
        <w:t xml:space="preserve">A breakdown of the major categories of pre-charged equipment imports reported from 2013 to 2018 is presented in </w:t>
      </w:r>
      <w:r w:rsidRPr="009C65CD">
        <w:rPr>
          <w:i/>
          <w:color w:val="000000" w:themeColor="text1"/>
          <w:szCs w:val="22"/>
        </w:rPr>
        <w:t xml:space="preserve">Table </w:t>
      </w:r>
      <w:r w:rsidR="0097198A">
        <w:rPr>
          <w:i/>
          <w:color w:val="000000" w:themeColor="text1"/>
          <w:szCs w:val="22"/>
        </w:rPr>
        <w:t>14</w:t>
      </w:r>
      <w:r w:rsidRPr="009C65CD">
        <w:rPr>
          <w:color w:val="000000" w:themeColor="text1"/>
          <w:szCs w:val="22"/>
        </w:rPr>
        <w:t>. This demonstrates the relative scale of stationary air conditioning imports, as compared to other categories</w:t>
      </w:r>
      <w:r w:rsidRPr="00F96614">
        <w:rPr>
          <w:color w:val="00B0F0"/>
          <w:szCs w:val="22"/>
        </w:rPr>
        <w:t>.</w:t>
      </w:r>
    </w:p>
    <w:p w14:paraId="7ED6A07E" w14:textId="77777777" w:rsidR="00445950" w:rsidRPr="00445950" w:rsidRDefault="00445950" w:rsidP="009A23AA">
      <w:pPr>
        <w:rPr>
          <w:color w:val="000000" w:themeColor="text1"/>
          <w:szCs w:val="22"/>
        </w:rPr>
      </w:pPr>
    </w:p>
    <w:p w14:paraId="00FD6AB9" w14:textId="77777777" w:rsidR="00CF12C4" w:rsidRDefault="00CF12C4">
      <w:pPr>
        <w:spacing w:before="0"/>
        <w:jc w:val="left"/>
        <w:rPr>
          <w:rFonts w:eastAsia="Times New Roman" w:cs="Times New Roman"/>
          <w:bCs/>
          <w:i/>
          <w:szCs w:val="20"/>
          <w:lang w:val="en-US"/>
        </w:rPr>
      </w:pPr>
      <w:r>
        <w:br w:type="page"/>
      </w:r>
    </w:p>
    <w:p w14:paraId="2DC0577B" w14:textId="6D30B785" w:rsidR="00445950" w:rsidRPr="00445950" w:rsidRDefault="00445950" w:rsidP="009A23AA">
      <w:pPr>
        <w:pStyle w:val="Caption"/>
        <w:rPr>
          <w:color w:val="000000" w:themeColor="text1"/>
          <w:szCs w:val="22"/>
        </w:rPr>
      </w:pPr>
      <w:bookmarkStart w:id="114" w:name="_Toc19601366"/>
      <w:r>
        <w:t xml:space="preserve">Table </w:t>
      </w:r>
      <w:r w:rsidR="00637320">
        <w:rPr>
          <w:noProof/>
        </w:rPr>
        <w:fldChar w:fldCharType="begin"/>
      </w:r>
      <w:r w:rsidR="00637320">
        <w:rPr>
          <w:noProof/>
        </w:rPr>
        <w:instrText xml:space="preserve"> SEQ Table \* ARABIC </w:instrText>
      </w:r>
      <w:r w:rsidR="00637320">
        <w:rPr>
          <w:noProof/>
        </w:rPr>
        <w:fldChar w:fldCharType="separate"/>
      </w:r>
      <w:r w:rsidR="001D0DA3">
        <w:rPr>
          <w:noProof/>
        </w:rPr>
        <w:t>14</w:t>
      </w:r>
      <w:r w:rsidR="00637320">
        <w:rPr>
          <w:noProof/>
        </w:rPr>
        <w:fldChar w:fldCharType="end"/>
      </w:r>
      <w:r w:rsidRPr="00445950">
        <w:rPr>
          <w:color w:val="000000" w:themeColor="text1"/>
          <w:szCs w:val="22"/>
        </w:rPr>
        <w:t>: Pieces of pre-charged equipment imported from 2013 to 2018.</w:t>
      </w:r>
      <w:bookmarkEnd w:id="114"/>
    </w:p>
    <w:tbl>
      <w:tblPr>
        <w:tblStyle w:val="TableGrid"/>
        <w:tblW w:w="9498" w:type="dxa"/>
        <w:tblInd w:w="-5" w:type="dxa"/>
        <w:tblLook w:val="04A0" w:firstRow="1" w:lastRow="0" w:firstColumn="1" w:lastColumn="0" w:noHBand="0" w:noVBand="1"/>
      </w:tblPr>
      <w:tblGrid>
        <w:gridCol w:w="2410"/>
        <w:gridCol w:w="1181"/>
        <w:gridCol w:w="1181"/>
        <w:gridCol w:w="1182"/>
        <w:gridCol w:w="1181"/>
        <w:gridCol w:w="1181"/>
        <w:gridCol w:w="1182"/>
      </w:tblGrid>
      <w:tr w:rsidR="00B2087D" w14:paraId="2EC92005" w14:textId="77777777" w:rsidTr="00D306E9">
        <w:trPr>
          <w:trHeight w:val="567"/>
        </w:trPr>
        <w:tc>
          <w:tcPr>
            <w:tcW w:w="2410" w:type="dxa"/>
            <w:shd w:val="clear" w:color="auto" w:fill="B6DDE8" w:themeFill="accent5" w:themeFillTint="66"/>
          </w:tcPr>
          <w:p w14:paraId="149E77C3" w14:textId="77777777" w:rsidR="00B2087D" w:rsidRPr="003855EA" w:rsidRDefault="00B2087D" w:rsidP="009A23AA">
            <w:pPr>
              <w:spacing w:after="120"/>
              <w:rPr>
                <w:sz w:val="20"/>
              </w:rPr>
            </w:pPr>
          </w:p>
        </w:tc>
        <w:tc>
          <w:tcPr>
            <w:tcW w:w="1181" w:type="dxa"/>
            <w:shd w:val="clear" w:color="auto" w:fill="B6DDE8" w:themeFill="accent5" w:themeFillTint="66"/>
            <w:vAlign w:val="center"/>
          </w:tcPr>
          <w:p w14:paraId="1E651FFA" w14:textId="77777777" w:rsidR="00B2087D" w:rsidRPr="003855EA" w:rsidRDefault="00B2087D" w:rsidP="002C2B8D">
            <w:pPr>
              <w:spacing w:after="120"/>
              <w:jc w:val="center"/>
              <w:rPr>
                <w:sz w:val="20"/>
              </w:rPr>
            </w:pPr>
            <w:r w:rsidRPr="003855EA">
              <w:rPr>
                <w:sz w:val="20"/>
              </w:rPr>
              <w:t>2013</w:t>
            </w:r>
          </w:p>
        </w:tc>
        <w:tc>
          <w:tcPr>
            <w:tcW w:w="1181" w:type="dxa"/>
            <w:shd w:val="clear" w:color="auto" w:fill="B6DDE8" w:themeFill="accent5" w:themeFillTint="66"/>
            <w:vAlign w:val="center"/>
          </w:tcPr>
          <w:p w14:paraId="28886CC6" w14:textId="77777777" w:rsidR="00B2087D" w:rsidRPr="003855EA" w:rsidRDefault="00B2087D" w:rsidP="002C2B8D">
            <w:pPr>
              <w:spacing w:after="120"/>
              <w:jc w:val="center"/>
              <w:rPr>
                <w:sz w:val="20"/>
              </w:rPr>
            </w:pPr>
            <w:r w:rsidRPr="003855EA">
              <w:rPr>
                <w:sz w:val="20"/>
              </w:rPr>
              <w:t>2014</w:t>
            </w:r>
          </w:p>
        </w:tc>
        <w:tc>
          <w:tcPr>
            <w:tcW w:w="1182" w:type="dxa"/>
            <w:shd w:val="clear" w:color="auto" w:fill="B6DDE8" w:themeFill="accent5" w:themeFillTint="66"/>
            <w:vAlign w:val="center"/>
          </w:tcPr>
          <w:p w14:paraId="14C1AF31" w14:textId="77777777" w:rsidR="00B2087D" w:rsidRPr="003855EA" w:rsidRDefault="00B2087D" w:rsidP="002C2B8D">
            <w:pPr>
              <w:spacing w:after="120"/>
              <w:jc w:val="center"/>
              <w:rPr>
                <w:sz w:val="20"/>
              </w:rPr>
            </w:pPr>
            <w:r w:rsidRPr="003855EA">
              <w:rPr>
                <w:sz w:val="20"/>
              </w:rPr>
              <w:t>2015</w:t>
            </w:r>
          </w:p>
        </w:tc>
        <w:tc>
          <w:tcPr>
            <w:tcW w:w="1181" w:type="dxa"/>
            <w:shd w:val="clear" w:color="auto" w:fill="B6DDE8" w:themeFill="accent5" w:themeFillTint="66"/>
            <w:vAlign w:val="center"/>
          </w:tcPr>
          <w:p w14:paraId="656A944F" w14:textId="77777777" w:rsidR="00B2087D" w:rsidRPr="003855EA" w:rsidRDefault="00B2087D" w:rsidP="002C2B8D">
            <w:pPr>
              <w:spacing w:after="120"/>
              <w:jc w:val="center"/>
              <w:rPr>
                <w:sz w:val="20"/>
              </w:rPr>
            </w:pPr>
            <w:r w:rsidRPr="003855EA">
              <w:rPr>
                <w:sz w:val="20"/>
              </w:rPr>
              <w:t>2016</w:t>
            </w:r>
          </w:p>
        </w:tc>
        <w:tc>
          <w:tcPr>
            <w:tcW w:w="1181" w:type="dxa"/>
            <w:shd w:val="clear" w:color="auto" w:fill="B6DDE8" w:themeFill="accent5" w:themeFillTint="66"/>
            <w:vAlign w:val="center"/>
          </w:tcPr>
          <w:p w14:paraId="44C88CAA" w14:textId="77777777" w:rsidR="00B2087D" w:rsidRPr="003855EA" w:rsidRDefault="00B2087D" w:rsidP="002C2B8D">
            <w:pPr>
              <w:spacing w:after="120"/>
              <w:jc w:val="center"/>
              <w:rPr>
                <w:sz w:val="20"/>
              </w:rPr>
            </w:pPr>
            <w:r>
              <w:rPr>
                <w:sz w:val="20"/>
              </w:rPr>
              <w:t>2017</w:t>
            </w:r>
          </w:p>
        </w:tc>
        <w:tc>
          <w:tcPr>
            <w:tcW w:w="1182" w:type="dxa"/>
            <w:shd w:val="clear" w:color="auto" w:fill="B6DDE8" w:themeFill="accent5" w:themeFillTint="66"/>
            <w:vAlign w:val="center"/>
          </w:tcPr>
          <w:p w14:paraId="5CC93A29" w14:textId="77777777" w:rsidR="00B2087D" w:rsidRPr="003855EA" w:rsidRDefault="00B2087D" w:rsidP="002C2B8D">
            <w:pPr>
              <w:spacing w:after="120"/>
              <w:jc w:val="center"/>
              <w:rPr>
                <w:sz w:val="20"/>
              </w:rPr>
            </w:pPr>
            <w:r>
              <w:rPr>
                <w:sz w:val="20"/>
              </w:rPr>
              <w:t>2018</w:t>
            </w:r>
          </w:p>
        </w:tc>
      </w:tr>
      <w:tr w:rsidR="00B2087D" w14:paraId="48664C52" w14:textId="77777777" w:rsidTr="00D306E9">
        <w:trPr>
          <w:trHeight w:val="567"/>
        </w:trPr>
        <w:tc>
          <w:tcPr>
            <w:tcW w:w="2410" w:type="dxa"/>
            <w:vAlign w:val="center"/>
          </w:tcPr>
          <w:p w14:paraId="74DE3395" w14:textId="77777777" w:rsidR="00B2087D" w:rsidRPr="003855EA" w:rsidRDefault="00B2087D" w:rsidP="002C2B8D">
            <w:pPr>
              <w:spacing w:before="60" w:after="60"/>
              <w:jc w:val="left"/>
              <w:rPr>
                <w:sz w:val="20"/>
              </w:rPr>
            </w:pPr>
            <w:r w:rsidRPr="003855EA">
              <w:rPr>
                <w:color w:val="000000"/>
                <w:sz w:val="20"/>
              </w:rPr>
              <w:t>Residential use air-conditioning</w:t>
            </w:r>
          </w:p>
        </w:tc>
        <w:tc>
          <w:tcPr>
            <w:tcW w:w="1181" w:type="dxa"/>
            <w:vAlign w:val="center"/>
          </w:tcPr>
          <w:p w14:paraId="0B6DDE2F" w14:textId="77777777" w:rsidR="00B2087D" w:rsidRPr="003855EA" w:rsidRDefault="00B2087D" w:rsidP="002C2B8D">
            <w:pPr>
              <w:spacing w:before="60" w:after="60"/>
              <w:jc w:val="center"/>
              <w:rPr>
                <w:sz w:val="20"/>
              </w:rPr>
            </w:pPr>
            <w:r w:rsidRPr="003855EA">
              <w:rPr>
                <w:color w:val="000000"/>
                <w:sz w:val="20"/>
              </w:rPr>
              <w:t>1,005,503</w:t>
            </w:r>
          </w:p>
        </w:tc>
        <w:tc>
          <w:tcPr>
            <w:tcW w:w="1181" w:type="dxa"/>
            <w:vAlign w:val="center"/>
          </w:tcPr>
          <w:p w14:paraId="10F158B7" w14:textId="77777777" w:rsidR="00B2087D" w:rsidRPr="003855EA" w:rsidRDefault="00B2087D" w:rsidP="002C2B8D">
            <w:pPr>
              <w:spacing w:before="60" w:after="60"/>
              <w:jc w:val="center"/>
              <w:rPr>
                <w:sz w:val="20"/>
              </w:rPr>
            </w:pPr>
            <w:r w:rsidRPr="003855EA">
              <w:rPr>
                <w:color w:val="000000"/>
                <w:sz w:val="20"/>
              </w:rPr>
              <w:t>1,066,378</w:t>
            </w:r>
          </w:p>
        </w:tc>
        <w:tc>
          <w:tcPr>
            <w:tcW w:w="1182" w:type="dxa"/>
            <w:vAlign w:val="center"/>
          </w:tcPr>
          <w:p w14:paraId="15E51B55" w14:textId="77777777" w:rsidR="00B2087D" w:rsidRPr="003855EA" w:rsidRDefault="00B2087D" w:rsidP="002C2B8D">
            <w:pPr>
              <w:spacing w:before="60" w:after="60"/>
              <w:jc w:val="center"/>
              <w:rPr>
                <w:sz w:val="20"/>
              </w:rPr>
            </w:pPr>
            <w:r w:rsidRPr="003855EA">
              <w:rPr>
                <w:color w:val="000000"/>
                <w:sz w:val="20"/>
              </w:rPr>
              <w:t>1,168,421</w:t>
            </w:r>
          </w:p>
        </w:tc>
        <w:tc>
          <w:tcPr>
            <w:tcW w:w="1181" w:type="dxa"/>
            <w:vAlign w:val="center"/>
          </w:tcPr>
          <w:p w14:paraId="11563DDC" w14:textId="77777777" w:rsidR="00B2087D" w:rsidRPr="003855EA" w:rsidRDefault="00B2087D" w:rsidP="002C2B8D">
            <w:pPr>
              <w:spacing w:before="60" w:after="60"/>
              <w:jc w:val="center"/>
              <w:rPr>
                <w:sz w:val="20"/>
              </w:rPr>
            </w:pPr>
            <w:r w:rsidRPr="003855EA">
              <w:rPr>
                <w:color w:val="000000"/>
                <w:sz w:val="20"/>
              </w:rPr>
              <w:t>1,159,087</w:t>
            </w:r>
          </w:p>
        </w:tc>
        <w:tc>
          <w:tcPr>
            <w:tcW w:w="1181" w:type="dxa"/>
            <w:vAlign w:val="center"/>
          </w:tcPr>
          <w:p w14:paraId="348FDA51" w14:textId="77777777" w:rsidR="00B2087D" w:rsidRPr="00890DF6" w:rsidRDefault="00B2087D" w:rsidP="002C2B8D">
            <w:pPr>
              <w:spacing w:before="60" w:after="60"/>
              <w:jc w:val="center"/>
              <w:rPr>
                <w:color w:val="000000"/>
                <w:sz w:val="20"/>
              </w:rPr>
            </w:pPr>
            <w:r w:rsidRPr="00890DF6">
              <w:rPr>
                <w:color w:val="000000"/>
                <w:sz w:val="20"/>
              </w:rPr>
              <w:t>1,472,853</w:t>
            </w:r>
          </w:p>
        </w:tc>
        <w:tc>
          <w:tcPr>
            <w:tcW w:w="1182" w:type="dxa"/>
            <w:vAlign w:val="center"/>
          </w:tcPr>
          <w:p w14:paraId="0DB73483" w14:textId="77777777" w:rsidR="00B2087D" w:rsidRPr="00890DF6" w:rsidRDefault="00B2087D" w:rsidP="002C2B8D">
            <w:pPr>
              <w:spacing w:before="60" w:after="60"/>
              <w:jc w:val="center"/>
              <w:rPr>
                <w:color w:val="000000"/>
                <w:sz w:val="20"/>
              </w:rPr>
            </w:pPr>
            <w:r w:rsidRPr="00890DF6">
              <w:rPr>
                <w:color w:val="000000"/>
                <w:sz w:val="20"/>
              </w:rPr>
              <w:t>1,364,751</w:t>
            </w:r>
          </w:p>
        </w:tc>
      </w:tr>
      <w:tr w:rsidR="00B2087D" w14:paraId="11A6B229" w14:textId="77777777" w:rsidTr="00D306E9">
        <w:trPr>
          <w:trHeight w:val="567"/>
        </w:trPr>
        <w:tc>
          <w:tcPr>
            <w:tcW w:w="2410" w:type="dxa"/>
            <w:vAlign w:val="center"/>
          </w:tcPr>
          <w:p w14:paraId="178AD19D" w14:textId="77777777" w:rsidR="00B2087D" w:rsidRPr="003855EA" w:rsidRDefault="00B2087D" w:rsidP="002C2B8D">
            <w:pPr>
              <w:spacing w:before="60" w:after="60"/>
              <w:jc w:val="left"/>
              <w:rPr>
                <w:sz w:val="20"/>
              </w:rPr>
            </w:pPr>
            <w:r w:rsidRPr="003855EA">
              <w:rPr>
                <w:color w:val="000000"/>
                <w:sz w:val="20"/>
              </w:rPr>
              <w:t>Commercial use air-conditioning</w:t>
            </w:r>
          </w:p>
        </w:tc>
        <w:tc>
          <w:tcPr>
            <w:tcW w:w="1181" w:type="dxa"/>
            <w:vAlign w:val="center"/>
          </w:tcPr>
          <w:p w14:paraId="4398361F" w14:textId="77777777" w:rsidR="00B2087D" w:rsidRPr="003855EA" w:rsidRDefault="00B2087D" w:rsidP="002C2B8D">
            <w:pPr>
              <w:spacing w:before="60" w:after="60"/>
              <w:jc w:val="center"/>
              <w:rPr>
                <w:sz w:val="20"/>
              </w:rPr>
            </w:pPr>
            <w:r w:rsidRPr="003855EA">
              <w:rPr>
                <w:color w:val="000000"/>
                <w:sz w:val="20"/>
              </w:rPr>
              <w:t>77,024</w:t>
            </w:r>
          </w:p>
        </w:tc>
        <w:tc>
          <w:tcPr>
            <w:tcW w:w="1181" w:type="dxa"/>
            <w:vAlign w:val="center"/>
          </w:tcPr>
          <w:p w14:paraId="4161250B" w14:textId="77777777" w:rsidR="00B2087D" w:rsidRPr="003855EA" w:rsidRDefault="00B2087D" w:rsidP="002C2B8D">
            <w:pPr>
              <w:spacing w:before="60" w:after="60"/>
              <w:jc w:val="center"/>
              <w:rPr>
                <w:sz w:val="20"/>
              </w:rPr>
            </w:pPr>
            <w:r w:rsidRPr="003855EA">
              <w:rPr>
                <w:color w:val="000000"/>
                <w:sz w:val="20"/>
              </w:rPr>
              <w:t>67,660</w:t>
            </w:r>
          </w:p>
        </w:tc>
        <w:tc>
          <w:tcPr>
            <w:tcW w:w="1182" w:type="dxa"/>
            <w:vAlign w:val="center"/>
          </w:tcPr>
          <w:p w14:paraId="46D6F269" w14:textId="77777777" w:rsidR="00B2087D" w:rsidRPr="003855EA" w:rsidRDefault="00B2087D" w:rsidP="002C2B8D">
            <w:pPr>
              <w:spacing w:before="60" w:after="60"/>
              <w:jc w:val="center"/>
              <w:rPr>
                <w:sz w:val="20"/>
              </w:rPr>
            </w:pPr>
            <w:r w:rsidRPr="003855EA">
              <w:rPr>
                <w:color w:val="000000"/>
                <w:sz w:val="20"/>
              </w:rPr>
              <w:t>114,803</w:t>
            </w:r>
          </w:p>
        </w:tc>
        <w:tc>
          <w:tcPr>
            <w:tcW w:w="1181" w:type="dxa"/>
            <w:vAlign w:val="center"/>
          </w:tcPr>
          <w:p w14:paraId="3F1E70B3" w14:textId="77777777" w:rsidR="00B2087D" w:rsidRPr="003855EA" w:rsidRDefault="00B2087D" w:rsidP="002C2B8D">
            <w:pPr>
              <w:spacing w:before="60" w:after="60"/>
              <w:jc w:val="center"/>
              <w:rPr>
                <w:sz w:val="20"/>
              </w:rPr>
            </w:pPr>
            <w:r w:rsidRPr="003855EA">
              <w:rPr>
                <w:color w:val="000000"/>
                <w:sz w:val="20"/>
              </w:rPr>
              <w:t>99,169</w:t>
            </w:r>
          </w:p>
        </w:tc>
        <w:tc>
          <w:tcPr>
            <w:tcW w:w="1181" w:type="dxa"/>
            <w:vAlign w:val="center"/>
          </w:tcPr>
          <w:p w14:paraId="0DD6529B" w14:textId="77777777" w:rsidR="00B2087D" w:rsidRPr="00890DF6" w:rsidRDefault="00B2087D" w:rsidP="002C2B8D">
            <w:pPr>
              <w:spacing w:before="60" w:after="60"/>
              <w:jc w:val="center"/>
              <w:rPr>
                <w:color w:val="000000"/>
                <w:sz w:val="20"/>
              </w:rPr>
            </w:pPr>
            <w:r w:rsidRPr="00890DF6">
              <w:rPr>
                <w:color w:val="000000"/>
                <w:sz w:val="20"/>
              </w:rPr>
              <w:t>106,738</w:t>
            </w:r>
          </w:p>
        </w:tc>
        <w:tc>
          <w:tcPr>
            <w:tcW w:w="1182" w:type="dxa"/>
            <w:vAlign w:val="center"/>
          </w:tcPr>
          <w:p w14:paraId="722BB409" w14:textId="77777777" w:rsidR="00B2087D" w:rsidRPr="00890DF6" w:rsidRDefault="00B2087D" w:rsidP="002C2B8D">
            <w:pPr>
              <w:spacing w:before="60" w:after="60"/>
              <w:jc w:val="center"/>
              <w:rPr>
                <w:color w:val="000000"/>
                <w:sz w:val="20"/>
              </w:rPr>
            </w:pPr>
            <w:r w:rsidRPr="00890DF6">
              <w:rPr>
                <w:color w:val="000000"/>
                <w:sz w:val="20"/>
              </w:rPr>
              <w:t>113,718</w:t>
            </w:r>
          </w:p>
        </w:tc>
      </w:tr>
      <w:tr w:rsidR="00B2087D" w14:paraId="65AF314A" w14:textId="77777777" w:rsidTr="00D306E9">
        <w:trPr>
          <w:trHeight w:val="567"/>
        </w:trPr>
        <w:tc>
          <w:tcPr>
            <w:tcW w:w="2410" w:type="dxa"/>
            <w:vAlign w:val="center"/>
          </w:tcPr>
          <w:p w14:paraId="430D9028" w14:textId="77777777" w:rsidR="00B2087D" w:rsidRPr="003855EA" w:rsidRDefault="00B2087D" w:rsidP="002C2B8D">
            <w:pPr>
              <w:spacing w:before="60" w:after="60"/>
              <w:jc w:val="left"/>
              <w:rPr>
                <w:sz w:val="20"/>
              </w:rPr>
            </w:pPr>
            <w:r w:rsidRPr="003855EA">
              <w:rPr>
                <w:color w:val="000000"/>
                <w:sz w:val="20"/>
              </w:rPr>
              <w:t>Motor vehicle, watercraft or aircraft air-conditioning</w:t>
            </w:r>
          </w:p>
        </w:tc>
        <w:tc>
          <w:tcPr>
            <w:tcW w:w="1181" w:type="dxa"/>
            <w:vAlign w:val="center"/>
          </w:tcPr>
          <w:p w14:paraId="7A603062" w14:textId="77777777" w:rsidR="00B2087D" w:rsidRPr="003855EA" w:rsidRDefault="00B2087D" w:rsidP="002C2B8D">
            <w:pPr>
              <w:spacing w:before="60" w:after="60"/>
              <w:jc w:val="center"/>
              <w:rPr>
                <w:sz w:val="20"/>
              </w:rPr>
            </w:pPr>
            <w:r w:rsidRPr="003855EA">
              <w:rPr>
                <w:color w:val="000000"/>
                <w:sz w:val="20"/>
              </w:rPr>
              <w:t>986,923</w:t>
            </w:r>
          </w:p>
        </w:tc>
        <w:tc>
          <w:tcPr>
            <w:tcW w:w="1181" w:type="dxa"/>
            <w:vAlign w:val="center"/>
          </w:tcPr>
          <w:p w14:paraId="572D2858" w14:textId="77777777" w:rsidR="00B2087D" w:rsidRPr="003855EA" w:rsidRDefault="00B2087D" w:rsidP="002C2B8D">
            <w:pPr>
              <w:spacing w:before="60" w:after="60"/>
              <w:jc w:val="center"/>
              <w:rPr>
                <w:sz w:val="20"/>
              </w:rPr>
            </w:pPr>
            <w:r w:rsidRPr="003855EA">
              <w:rPr>
                <w:color w:val="000000"/>
                <w:sz w:val="20"/>
              </w:rPr>
              <w:t>919,906</w:t>
            </w:r>
          </w:p>
        </w:tc>
        <w:tc>
          <w:tcPr>
            <w:tcW w:w="1182" w:type="dxa"/>
            <w:vAlign w:val="center"/>
          </w:tcPr>
          <w:p w14:paraId="7A71A4D6" w14:textId="77777777" w:rsidR="00B2087D" w:rsidRPr="003855EA" w:rsidRDefault="00B2087D" w:rsidP="002C2B8D">
            <w:pPr>
              <w:spacing w:before="60" w:after="60"/>
              <w:jc w:val="center"/>
              <w:rPr>
                <w:sz w:val="20"/>
              </w:rPr>
            </w:pPr>
            <w:r w:rsidRPr="003855EA">
              <w:rPr>
                <w:color w:val="000000"/>
                <w:sz w:val="20"/>
              </w:rPr>
              <w:t>995,687</w:t>
            </w:r>
          </w:p>
        </w:tc>
        <w:tc>
          <w:tcPr>
            <w:tcW w:w="1181" w:type="dxa"/>
            <w:vAlign w:val="center"/>
          </w:tcPr>
          <w:p w14:paraId="74CDA305" w14:textId="77777777" w:rsidR="00B2087D" w:rsidRPr="003855EA" w:rsidRDefault="00B2087D" w:rsidP="002C2B8D">
            <w:pPr>
              <w:spacing w:before="60" w:after="60"/>
              <w:jc w:val="center"/>
              <w:rPr>
                <w:sz w:val="20"/>
              </w:rPr>
            </w:pPr>
            <w:r w:rsidRPr="003855EA">
              <w:rPr>
                <w:color w:val="000000"/>
                <w:sz w:val="20"/>
              </w:rPr>
              <w:t>924,854</w:t>
            </w:r>
          </w:p>
        </w:tc>
        <w:tc>
          <w:tcPr>
            <w:tcW w:w="1181" w:type="dxa"/>
            <w:vAlign w:val="center"/>
          </w:tcPr>
          <w:p w14:paraId="0FF3EBA2" w14:textId="77777777" w:rsidR="00B2087D" w:rsidRPr="00890DF6" w:rsidRDefault="00B2087D" w:rsidP="002C2B8D">
            <w:pPr>
              <w:spacing w:before="60" w:after="60"/>
              <w:jc w:val="center"/>
              <w:rPr>
                <w:color w:val="000000"/>
                <w:sz w:val="20"/>
              </w:rPr>
            </w:pPr>
            <w:r w:rsidRPr="00890DF6">
              <w:rPr>
                <w:color w:val="000000"/>
                <w:sz w:val="20"/>
              </w:rPr>
              <w:t>1,070,029</w:t>
            </w:r>
          </w:p>
        </w:tc>
        <w:tc>
          <w:tcPr>
            <w:tcW w:w="1182" w:type="dxa"/>
            <w:vAlign w:val="center"/>
          </w:tcPr>
          <w:p w14:paraId="1BA36039" w14:textId="77777777" w:rsidR="00B2087D" w:rsidRPr="00890DF6" w:rsidRDefault="00B2087D" w:rsidP="002C2B8D">
            <w:pPr>
              <w:spacing w:before="60" w:after="60"/>
              <w:jc w:val="center"/>
              <w:rPr>
                <w:color w:val="000000"/>
                <w:sz w:val="20"/>
              </w:rPr>
            </w:pPr>
            <w:r w:rsidRPr="00890DF6">
              <w:rPr>
                <w:color w:val="000000"/>
                <w:sz w:val="20"/>
              </w:rPr>
              <w:t>1,041,795</w:t>
            </w:r>
          </w:p>
        </w:tc>
      </w:tr>
      <w:tr w:rsidR="00B2087D" w14:paraId="0B6358BB" w14:textId="77777777" w:rsidTr="00D306E9">
        <w:trPr>
          <w:trHeight w:val="567"/>
        </w:trPr>
        <w:tc>
          <w:tcPr>
            <w:tcW w:w="2410" w:type="dxa"/>
            <w:vAlign w:val="center"/>
          </w:tcPr>
          <w:p w14:paraId="0D02C1C5" w14:textId="77777777" w:rsidR="00B2087D" w:rsidRPr="003855EA" w:rsidRDefault="00B2087D" w:rsidP="002C2B8D">
            <w:pPr>
              <w:spacing w:before="60" w:after="60"/>
              <w:jc w:val="left"/>
              <w:rPr>
                <w:sz w:val="20"/>
              </w:rPr>
            </w:pPr>
            <w:r w:rsidRPr="003855EA">
              <w:rPr>
                <w:color w:val="000000"/>
                <w:sz w:val="20"/>
              </w:rPr>
              <w:t>Domestic use refrigeration</w:t>
            </w:r>
          </w:p>
        </w:tc>
        <w:tc>
          <w:tcPr>
            <w:tcW w:w="1181" w:type="dxa"/>
            <w:vAlign w:val="center"/>
          </w:tcPr>
          <w:p w14:paraId="3DD06CE5" w14:textId="77777777" w:rsidR="00B2087D" w:rsidRPr="003855EA" w:rsidRDefault="00B2087D" w:rsidP="002C2B8D">
            <w:pPr>
              <w:spacing w:before="60" w:after="60"/>
              <w:jc w:val="center"/>
              <w:rPr>
                <w:sz w:val="20"/>
              </w:rPr>
            </w:pPr>
            <w:r w:rsidRPr="003855EA">
              <w:rPr>
                <w:color w:val="000000"/>
                <w:sz w:val="20"/>
              </w:rPr>
              <w:t>444,590</w:t>
            </w:r>
          </w:p>
        </w:tc>
        <w:tc>
          <w:tcPr>
            <w:tcW w:w="1181" w:type="dxa"/>
            <w:vAlign w:val="center"/>
          </w:tcPr>
          <w:p w14:paraId="7FEE6E38" w14:textId="77777777" w:rsidR="00B2087D" w:rsidRPr="003855EA" w:rsidRDefault="00B2087D" w:rsidP="002C2B8D">
            <w:pPr>
              <w:spacing w:before="60" w:after="60"/>
              <w:jc w:val="center"/>
              <w:rPr>
                <w:sz w:val="20"/>
              </w:rPr>
            </w:pPr>
            <w:r w:rsidRPr="003855EA">
              <w:rPr>
                <w:color w:val="000000"/>
                <w:sz w:val="20"/>
              </w:rPr>
              <w:t>319,614</w:t>
            </w:r>
          </w:p>
        </w:tc>
        <w:tc>
          <w:tcPr>
            <w:tcW w:w="1182" w:type="dxa"/>
            <w:vAlign w:val="center"/>
          </w:tcPr>
          <w:p w14:paraId="79076329" w14:textId="77777777" w:rsidR="00B2087D" w:rsidRPr="003855EA" w:rsidRDefault="00B2087D" w:rsidP="002C2B8D">
            <w:pPr>
              <w:spacing w:before="60" w:after="60"/>
              <w:jc w:val="center"/>
              <w:rPr>
                <w:sz w:val="20"/>
              </w:rPr>
            </w:pPr>
            <w:r w:rsidRPr="003855EA">
              <w:rPr>
                <w:color w:val="000000"/>
                <w:sz w:val="20"/>
              </w:rPr>
              <w:t>256,664</w:t>
            </w:r>
          </w:p>
        </w:tc>
        <w:tc>
          <w:tcPr>
            <w:tcW w:w="1181" w:type="dxa"/>
            <w:vAlign w:val="center"/>
          </w:tcPr>
          <w:p w14:paraId="2B740FCF" w14:textId="77777777" w:rsidR="00B2087D" w:rsidRPr="003855EA" w:rsidRDefault="00B2087D" w:rsidP="002C2B8D">
            <w:pPr>
              <w:spacing w:before="60" w:after="60"/>
              <w:jc w:val="center"/>
              <w:rPr>
                <w:sz w:val="20"/>
              </w:rPr>
            </w:pPr>
            <w:r w:rsidRPr="003855EA">
              <w:rPr>
                <w:color w:val="000000"/>
                <w:sz w:val="20"/>
              </w:rPr>
              <w:t>257,985</w:t>
            </w:r>
          </w:p>
        </w:tc>
        <w:tc>
          <w:tcPr>
            <w:tcW w:w="1181" w:type="dxa"/>
            <w:vAlign w:val="center"/>
          </w:tcPr>
          <w:p w14:paraId="1E8F520A" w14:textId="77777777" w:rsidR="00B2087D" w:rsidRPr="00890DF6" w:rsidRDefault="00B2087D" w:rsidP="002C2B8D">
            <w:pPr>
              <w:spacing w:before="60" w:after="60"/>
              <w:jc w:val="center"/>
              <w:rPr>
                <w:color w:val="000000"/>
                <w:sz w:val="20"/>
              </w:rPr>
            </w:pPr>
            <w:r w:rsidRPr="00890DF6">
              <w:rPr>
                <w:color w:val="000000"/>
                <w:sz w:val="20"/>
              </w:rPr>
              <w:t>220,451</w:t>
            </w:r>
          </w:p>
        </w:tc>
        <w:tc>
          <w:tcPr>
            <w:tcW w:w="1182" w:type="dxa"/>
            <w:vAlign w:val="center"/>
          </w:tcPr>
          <w:p w14:paraId="7B4B1B4D" w14:textId="77777777" w:rsidR="00B2087D" w:rsidRPr="00890DF6" w:rsidRDefault="00B2087D" w:rsidP="002C2B8D">
            <w:pPr>
              <w:spacing w:before="60" w:after="60"/>
              <w:jc w:val="center"/>
              <w:rPr>
                <w:color w:val="000000"/>
                <w:sz w:val="20"/>
              </w:rPr>
            </w:pPr>
            <w:r w:rsidRPr="00890DF6">
              <w:rPr>
                <w:color w:val="000000"/>
                <w:sz w:val="20"/>
              </w:rPr>
              <w:t>183,527</w:t>
            </w:r>
          </w:p>
        </w:tc>
      </w:tr>
      <w:tr w:rsidR="00B2087D" w14:paraId="1DEBF33C" w14:textId="77777777" w:rsidTr="00D306E9">
        <w:trPr>
          <w:trHeight w:val="567"/>
        </w:trPr>
        <w:tc>
          <w:tcPr>
            <w:tcW w:w="2410" w:type="dxa"/>
            <w:vAlign w:val="center"/>
          </w:tcPr>
          <w:p w14:paraId="7D4FA5DE" w14:textId="77777777" w:rsidR="00B2087D" w:rsidRPr="003855EA" w:rsidRDefault="00B2087D" w:rsidP="002C2B8D">
            <w:pPr>
              <w:spacing w:before="60" w:after="60"/>
              <w:jc w:val="left"/>
              <w:rPr>
                <w:sz w:val="20"/>
              </w:rPr>
            </w:pPr>
            <w:r w:rsidRPr="003855EA">
              <w:rPr>
                <w:color w:val="000000"/>
                <w:sz w:val="20"/>
              </w:rPr>
              <w:t>Commercial use refrigeration</w:t>
            </w:r>
          </w:p>
        </w:tc>
        <w:tc>
          <w:tcPr>
            <w:tcW w:w="1181" w:type="dxa"/>
            <w:vAlign w:val="center"/>
          </w:tcPr>
          <w:p w14:paraId="739B2EBB" w14:textId="77777777" w:rsidR="00B2087D" w:rsidRPr="003855EA" w:rsidRDefault="00B2087D" w:rsidP="002C2B8D">
            <w:pPr>
              <w:spacing w:before="60" w:after="60"/>
              <w:jc w:val="center"/>
              <w:rPr>
                <w:sz w:val="20"/>
              </w:rPr>
            </w:pPr>
            <w:r w:rsidRPr="003855EA">
              <w:rPr>
                <w:color w:val="000000"/>
                <w:sz w:val="20"/>
              </w:rPr>
              <w:t>110,446</w:t>
            </w:r>
          </w:p>
        </w:tc>
        <w:tc>
          <w:tcPr>
            <w:tcW w:w="1181" w:type="dxa"/>
            <w:vAlign w:val="center"/>
          </w:tcPr>
          <w:p w14:paraId="235CAA28" w14:textId="77777777" w:rsidR="00B2087D" w:rsidRPr="003855EA" w:rsidRDefault="00B2087D" w:rsidP="002C2B8D">
            <w:pPr>
              <w:spacing w:before="60" w:after="60"/>
              <w:jc w:val="center"/>
              <w:rPr>
                <w:sz w:val="20"/>
              </w:rPr>
            </w:pPr>
            <w:r w:rsidRPr="003855EA">
              <w:rPr>
                <w:color w:val="000000"/>
                <w:sz w:val="20"/>
              </w:rPr>
              <w:t>91,456</w:t>
            </w:r>
          </w:p>
        </w:tc>
        <w:tc>
          <w:tcPr>
            <w:tcW w:w="1182" w:type="dxa"/>
            <w:vAlign w:val="center"/>
          </w:tcPr>
          <w:p w14:paraId="34F87B80" w14:textId="77777777" w:rsidR="00B2087D" w:rsidRPr="003855EA" w:rsidRDefault="00B2087D" w:rsidP="002C2B8D">
            <w:pPr>
              <w:spacing w:before="60" w:after="60"/>
              <w:jc w:val="center"/>
              <w:rPr>
                <w:sz w:val="20"/>
              </w:rPr>
            </w:pPr>
            <w:r w:rsidRPr="003855EA">
              <w:rPr>
                <w:color w:val="000000"/>
                <w:sz w:val="20"/>
              </w:rPr>
              <w:t>117,922</w:t>
            </w:r>
          </w:p>
        </w:tc>
        <w:tc>
          <w:tcPr>
            <w:tcW w:w="1181" w:type="dxa"/>
            <w:vAlign w:val="center"/>
          </w:tcPr>
          <w:p w14:paraId="3BA6B577" w14:textId="77777777" w:rsidR="00B2087D" w:rsidRPr="003855EA" w:rsidRDefault="00B2087D" w:rsidP="002C2B8D">
            <w:pPr>
              <w:spacing w:before="60" w:after="60"/>
              <w:jc w:val="center"/>
              <w:rPr>
                <w:sz w:val="20"/>
              </w:rPr>
            </w:pPr>
            <w:r w:rsidRPr="003855EA">
              <w:rPr>
                <w:color w:val="000000"/>
                <w:sz w:val="20"/>
              </w:rPr>
              <w:t>108,181</w:t>
            </w:r>
          </w:p>
        </w:tc>
        <w:tc>
          <w:tcPr>
            <w:tcW w:w="1181" w:type="dxa"/>
            <w:vAlign w:val="center"/>
          </w:tcPr>
          <w:p w14:paraId="058C7984" w14:textId="77777777" w:rsidR="00B2087D" w:rsidRPr="00890DF6" w:rsidRDefault="00B2087D" w:rsidP="002C2B8D">
            <w:pPr>
              <w:spacing w:before="60" w:after="60"/>
              <w:jc w:val="center"/>
              <w:rPr>
                <w:color w:val="000000"/>
                <w:sz w:val="20"/>
              </w:rPr>
            </w:pPr>
            <w:r w:rsidRPr="00890DF6">
              <w:rPr>
                <w:color w:val="000000"/>
                <w:sz w:val="20"/>
              </w:rPr>
              <w:t>112,685</w:t>
            </w:r>
          </w:p>
        </w:tc>
        <w:tc>
          <w:tcPr>
            <w:tcW w:w="1182" w:type="dxa"/>
            <w:vAlign w:val="center"/>
          </w:tcPr>
          <w:p w14:paraId="791E63EA" w14:textId="77777777" w:rsidR="00B2087D" w:rsidRPr="00890DF6" w:rsidRDefault="00B2087D" w:rsidP="002C2B8D">
            <w:pPr>
              <w:spacing w:before="60" w:after="60"/>
              <w:jc w:val="center"/>
              <w:rPr>
                <w:color w:val="000000"/>
                <w:sz w:val="20"/>
              </w:rPr>
            </w:pPr>
            <w:r w:rsidRPr="00890DF6">
              <w:rPr>
                <w:color w:val="000000"/>
                <w:sz w:val="20"/>
              </w:rPr>
              <w:t>101,127</w:t>
            </w:r>
          </w:p>
        </w:tc>
      </w:tr>
      <w:tr w:rsidR="00B2087D" w14:paraId="764F6406" w14:textId="77777777" w:rsidTr="00D306E9">
        <w:trPr>
          <w:trHeight w:val="567"/>
        </w:trPr>
        <w:tc>
          <w:tcPr>
            <w:tcW w:w="2410" w:type="dxa"/>
            <w:vAlign w:val="center"/>
          </w:tcPr>
          <w:p w14:paraId="7FDEF592" w14:textId="77777777" w:rsidR="00B2087D" w:rsidRPr="003855EA" w:rsidRDefault="00B2087D" w:rsidP="002C2B8D">
            <w:pPr>
              <w:spacing w:before="60" w:after="60"/>
              <w:jc w:val="left"/>
              <w:rPr>
                <w:sz w:val="20"/>
              </w:rPr>
            </w:pPr>
            <w:r w:rsidRPr="003855EA">
              <w:rPr>
                <w:color w:val="000000"/>
                <w:sz w:val="20"/>
              </w:rPr>
              <w:t>Motor vehicle, watercraft or aircraft refrigeration</w:t>
            </w:r>
          </w:p>
        </w:tc>
        <w:tc>
          <w:tcPr>
            <w:tcW w:w="1181" w:type="dxa"/>
            <w:vAlign w:val="center"/>
          </w:tcPr>
          <w:p w14:paraId="277FEBC2" w14:textId="77777777" w:rsidR="00B2087D" w:rsidRPr="003855EA" w:rsidRDefault="00B2087D" w:rsidP="002C2B8D">
            <w:pPr>
              <w:spacing w:before="60" w:after="60"/>
              <w:jc w:val="center"/>
              <w:rPr>
                <w:sz w:val="20"/>
              </w:rPr>
            </w:pPr>
            <w:r w:rsidRPr="003855EA">
              <w:rPr>
                <w:color w:val="000000"/>
                <w:sz w:val="20"/>
              </w:rPr>
              <w:t>68,219</w:t>
            </w:r>
          </w:p>
        </w:tc>
        <w:tc>
          <w:tcPr>
            <w:tcW w:w="1181" w:type="dxa"/>
            <w:vAlign w:val="center"/>
          </w:tcPr>
          <w:p w14:paraId="718445EB" w14:textId="77777777" w:rsidR="00B2087D" w:rsidRPr="003855EA" w:rsidRDefault="00B2087D" w:rsidP="002C2B8D">
            <w:pPr>
              <w:spacing w:before="60" w:after="60"/>
              <w:jc w:val="center"/>
              <w:rPr>
                <w:sz w:val="20"/>
              </w:rPr>
            </w:pPr>
            <w:r w:rsidRPr="003855EA">
              <w:rPr>
                <w:color w:val="000000"/>
                <w:sz w:val="20"/>
              </w:rPr>
              <w:t>62,719</w:t>
            </w:r>
          </w:p>
        </w:tc>
        <w:tc>
          <w:tcPr>
            <w:tcW w:w="1182" w:type="dxa"/>
            <w:vAlign w:val="center"/>
          </w:tcPr>
          <w:p w14:paraId="7A7B3D68" w14:textId="77777777" w:rsidR="00B2087D" w:rsidRPr="003855EA" w:rsidRDefault="00B2087D" w:rsidP="002C2B8D">
            <w:pPr>
              <w:spacing w:before="60" w:after="60"/>
              <w:jc w:val="center"/>
              <w:rPr>
                <w:sz w:val="20"/>
              </w:rPr>
            </w:pPr>
            <w:r w:rsidRPr="003855EA">
              <w:rPr>
                <w:color w:val="000000"/>
                <w:sz w:val="20"/>
              </w:rPr>
              <w:t>105,626</w:t>
            </w:r>
          </w:p>
        </w:tc>
        <w:tc>
          <w:tcPr>
            <w:tcW w:w="1181" w:type="dxa"/>
            <w:vAlign w:val="center"/>
          </w:tcPr>
          <w:p w14:paraId="64EFB47E" w14:textId="77777777" w:rsidR="00B2087D" w:rsidRPr="003855EA" w:rsidRDefault="00B2087D" w:rsidP="002C2B8D">
            <w:pPr>
              <w:spacing w:before="60" w:after="60"/>
              <w:jc w:val="center"/>
              <w:rPr>
                <w:sz w:val="20"/>
              </w:rPr>
            </w:pPr>
            <w:r w:rsidRPr="003855EA">
              <w:rPr>
                <w:color w:val="000000"/>
                <w:sz w:val="20"/>
              </w:rPr>
              <w:t>148,672</w:t>
            </w:r>
          </w:p>
        </w:tc>
        <w:tc>
          <w:tcPr>
            <w:tcW w:w="1181" w:type="dxa"/>
            <w:vAlign w:val="center"/>
          </w:tcPr>
          <w:p w14:paraId="5AEC2D66" w14:textId="77777777" w:rsidR="00B2087D" w:rsidRPr="00890DF6" w:rsidRDefault="00B2087D" w:rsidP="002C2B8D">
            <w:pPr>
              <w:spacing w:before="60" w:after="60"/>
              <w:jc w:val="center"/>
              <w:rPr>
                <w:color w:val="000000"/>
                <w:sz w:val="20"/>
              </w:rPr>
            </w:pPr>
            <w:r w:rsidRPr="00890DF6">
              <w:rPr>
                <w:color w:val="000000"/>
                <w:sz w:val="20"/>
              </w:rPr>
              <w:t>132,720</w:t>
            </w:r>
          </w:p>
        </w:tc>
        <w:tc>
          <w:tcPr>
            <w:tcW w:w="1182" w:type="dxa"/>
            <w:vAlign w:val="center"/>
          </w:tcPr>
          <w:p w14:paraId="319683EA" w14:textId="77777777" w:rsidR="00B2087D" w:rsidRPr="00890DF6" w:rsidRDefault="00B2087D" w:rsidP="002C2B8D">
            <w:pPr>
              <w:spacing w:before="60" w:after="60"/>
              <w:jc w:val="center"/>
              <w:rPr>
                <w:color w:val="000000"/>
                <w:sz w:val="20"/>
              </w:rPr>
            </w:pPr>
            <w:r w:rsidRPr="00890DF6">
              <w:rPr>
                <w:color w:val="000000"/>
                <w:sz w:val="20"/>
              </w:rPr>
              <w:t>99,463</w:t>
            </w:r>
          </w:p>
        </w:tc>
      </w:tr>
      <w:tr w:rsidR="00B2087D" w14:paraId="769E425C" w14:textId="77777777" w:rsidTr="00D306E9">
        <w:trPr>
          <w:trHeight w:val="567"/>
        </w:trPr>
        <w:tc>
          <w:tcPr>
            <w:tcW w:w="2410" w:type="dxa"/>
            <w:vAlign w:val="center"/>
          </w:tcPr>
          <w:p w14:paraId="5EBD26F9" w14:textId="77777777" w:rsidR="00B2087D" w:rsidRPr="003855EA" w:rsidRDefault="00B2087D" w:rsidP="002C2B8D">
            <w:pPr>
              <w:spacing w:before="60" w:after="60"/>
              <w:jc w:val="left"/>
              <w:rPr>
                <w:sz w:val="20"/>
              </w:rPr>
            </w:pPr>
            <w:r w:rsidRPr="003855EA">
              <w:rPr>
                <w:color w:val="000000"/>
                <w:sz w:val="20"/>
              </w:rPr>
              <w:t>Commercial or domestic use heat pumps</w:t>
            </w:r>
          </w:p>
        </w:tc>
        <w:tc>
          <w:tcPr>
            <w:tcW w:w="1181" w:type="dxa"/>
            <w:vAlign w:val="center"/>
          </w:tcPr>
          <w:p w14:paraId="198D14C5" w14:textId="77777777" w:rsidR="00B2087D" w:rsidRPr="003855EA" w:rsidRDefault="00B2087D" w:rsidP="002C2B8D">
            <w:pPr>
              <w:spacing w:before="60" w:after="60"/>
              <w:jc w:val="center"/>
              <w:rPr>
                <w:sz w:val="20"/>
              </w:rPr>
            </w:pPr>
            <w:r w:rsidRPr="003855EA">
              <w:rPr>
                <w:color w:val="000000"/>
                <w:sz w:val="20"/>
              </w:rPr>
              <w:t>17,124</w:t>
            </w:r>
          </w:p>
        </w:tc>
        <w:tc>
          <w:tcPr>
            <w:tcW w:w="1181" w:type="dxa"/>
            <w:vAlign w:val="center"/>
          </w:tcPr>
          <w:p w14:paraId="54629C23" w14:textId="77777777" w:rsidR="00B2087D" w:rsidRPr="003855EA" w:rsidRDefault="00B2087D" w:rsidP="002C2B8D">
            <w:pPr>
              <w:spacing w:before="60" w:after="60"/>
              <w:jc w:val="center"/>
              <w:rPr>
                <w:sz w:val="20"/>
              </w:rPr>
            </w:pPr>
            <w:r w:rsidRPr="003855EA">
              <w:rPr>
                <w:color w:val="000000"/>
                <w:sz w:val="20"/>
              </w:rPr>
              <w:t>23,083</w:t>
            </w:r>
          </w:p>
        </w:tc>
        <w:tc>
          <w:tcPr>
            <w:tcW w:w="1182" w:type="dxa"/>
            <w:vAlign w:val="center"/>
          </w:tcPr>
          <w:p w14:paraId="660CCAFF" w14:textId="77777777" w:rsidR="00B2087D" w:rsidRPr="003855EA" w:rsidRDefault="00B2087D" w:rsidP="002C2B8D">
            <w:pPr>
              <w:spacing w:before="60" w:after="60"/>
              <w:jc w:val="center"/>
              <w:rPr>
                <w:sz w:val="20"/>
              </w:rPr>
            </w:pPr>
            <w:r w:rsidRPr="003855EA">
              <w:rPr>
                <w:color w:val="000000"/>
                <w:sz w:val="20"/>
              </w:rPr>
              <w:t>25,815</w:t>
            </w:r>
          </w:p>
        </w:tc>
        <w:tc>
          <w:tcPr>
            <w:tcW w:w="1181" w:type="dxa"/>
            <w:vAlign w:val="center"/>
          </w:tcPr>
          <w:p w14:paraId="13D48224" w14:textId="77777777" w:rsidR="00B2087D" w:rsidRPr="003855EA" w:rsidRDefault="00B2087D" w:rsidP="002C2B8D">
            <w:pPr>
              <w:spacing w:before="60" w:after="60"/>
              <w:jc w:val="center"/>
              <w:rPr>
                <w:sz w:val="20"/>
              </w:rPr>
            </w:pPr>
            <w:r w:rsidRPr="003855EA">
              <w:rPr>
                <w:color w:val="000000"/>
                <w:sz w:val="20"/>
              </w:rPr>
              <w:t>35,125</w:t>
            </w:r>
          </w:p>
        </w:tc>
        <w:tc>
          <w:tcPr>
            <w:tcW w:w="1181" w:type="dxa"/>
            <w:vAlign w:val="center"/>
          </w:tcPr>
          <w:p w14:paraId="5A9148F6" w14:textId="77777777" w:rsidR="00B2087D" w:rsidRPr="00890DF6" w:rsidRDefault="00B2087D" w:rsidP="002C2B8D">
            <w:pPr>
              <w:spacing w:before="60" w:after="60"/>
              <w:jc w:val="center"/>
              <w:rPr>
                <w:color w:val="000000"/>
                <w:sz w:val="20"/>
              </w:rPr>
            </w:pPr>
            <w:r w:rsidRPr="00890DF6">
              <w:rPr>
                <w:color w:val="000000"/>
                <w:sz w:val="20"/>
              </w:rPr>
              <w:t>52,845</w:t>
            </w:r>
          </w:p>
        </w:tc>
        <w:tc>
          <w:tcPr>
            <w:tcW w:w="1182" w:type="dxa"/>
            <w:vAlign w:val="center"/>
          </w:tcPr>
          <w:p w14:paraId="12A8F3D1" w14:textId="77777777" w:rsidR="00B2087D" w:rsidRPr="00890DF6" w:rsidRDefault="00B2087D" w:rsidP="002C2B8D">
            <w:pPr>
              <w:spacing w:before="60" w:after="60"/>
              <w:jc w:val="center"/>
              <w:rPr>
                <w:color w:val="000000"/>
                <w:sz w:val="20"/>
              </w:rPr>
            </w:pPr>
            <w:r w:rsidRPr="00890DF6">
              <w:rPr>
                <w:color w:val="000000"/>
                <w:sz w:val="20"/>
              </w:rPr>
              <w:t>61,998</w:t>
            </w:r>
          </w:p>
        </w:tc>
      </w:tr>
    </w:tbl>
    <w:p w14:paraId="3064AE6C" w14:textId="77777777" w:rsidR="00B2087D" w:rsidRPr="00F765DA" w:rsidRDefault="00B2087D" w:rsidP="009A23AA">
      <w:pPr>
        <w:spacing w:before="0"/>
        <w:rPr>
          <w:sz w:val="20"/>
          <w:szCs w:val="20"/>
        </w:rPr>
      </w:pPr>
      <w:r w:rsidRPr="00F765DA">
        <w:rPr>
          <w:sz w:val="20"/>
          <w:szCs w:val="20"/>
        </w:rPr>
        <w:t xml:space="preserve">(Source: </w:t>
      </w:r>
      <w:proofErr w:type="spellStart"/>
      <w:r w:rsidRPr="00F765DA">
        <w:rPr>
          <w:sz w:val="20"/>
          <w:szCs w:val="20"/>
        </w:rPr>
        <w:t>DoEE</w:t>
      </w:r>
      <w:proofErr w:type="spellEnd"/>
      <w:r w:rsidRPr="00F765DA">
        <w:rPr>
          <w:sz w:val="20"/>
          <w:szCs w:val="20"/>
        </w:rPr>
        <w:t xml:space="preserve"> 201</w:t>
      </w:r>
      <w:r>
        <w:rPr>
          <w:sz w:val="20"/>
          <w:szCs w:val="20"/>
        </w:rPr>
        <w:t>9</w:t>
      </w:r>
      <w:r w:rsidRPr="00F765DA">
        <w:rPr>
          <w:sz w:val="20"/>
          <w:szCs w:val="20"/>
        </w:rPr>
        <w:t>)</w:t>
      </w:r>
    </w:p>
    <w:p w14:paraId="21842766" w14:textId="77777777" w:rsidR="00B2087D" w:rsidRDefault="00B2087D" w:rsidP="009A23AA">
      <w:pPr>
        <w:rPr>
          <w:szCs w:val="22"/>
        </w:rPr>
      </w:pPr>
    </w:p>
    <w:p w14:paraId="65E83670" w14:textId="1B3B8081" w:rsidR="00B2087D" w:rsidRPr="00890DF6" w:rsidRDefault="00B2087D" w:rsidP="009A23AA">
      <w:pPr>
        <w:rPr>
          <w:color w:val="000000" w:themeColor="text1"/>
          <w:szCs w:val="22"/>
        </w:rPr>
      </w:pPr>
      <w:r w:rsidRPr="00890DF6">
        <w:rPr>
          <w:color w:val="000000" w:themeColor="text1"/>
          <w:szCs w:val="22"/>
        </w:rPr>
        <w:t>While MAC</w:t>
      </w:r>
      <w:r>
        <w:rPr>
          <w:color w:val="000000" w:themeColor="text1"/>
          <w:szCs w:val="22"/>
        </w:rPr>
        <w:t xml:space="preserve"> equipment</w:t>
      </w:r>
      <w:r w:rsidRPr="00890DF6">
        <w:rPr>
          <w:color w:val="000000" w:themeColor="text1"/>
          <w:szCs w:val="22"/>
        </w:rPr>
        <w:t xml:space="preserve"> imports are approaching Stationary AC</w:t>
      </w:r>
      <w:r>
        <w:rPr>
          <w:color w:val="000000" w:themeColor="text1"/>
          <w:szCs w:val="22"/>
        </w:rPr>
        <w:t xml:space="preserve"> import numbers</w:t>
      </w:r>
      <w:r w:rsidRPr="00890DF6">
        <w:rPr>
          <w:color w:val="000000" w:themeColor="text1"/>
          <w:szCs w:val="22"/>
        </w:rPr>
        <w:t xml:space="preserve">, the much greater contribution to imported HFCs of pre-charged stationary AC is a result of the larger average charge sizes </w:t>
      </w:r>
      <w:r>
        <w:rPr>
          <w:color w:val="000000" w:themeColor="text1"/>
          <w:szCs w:val="22"/>
        </w:rPr>
        <w:t>in</w:t>
      </w:r>
      <w:r w:rsidRPr="00890DF6">
        <w:rPr>
          <w:color w:val="000000" w:themeColor="text1"/>
          <w:szCs w:val="22"/>
        </w:rPr>
        <w:t xml:space="preserve"> stationary AC systems, which range from an average charge of 1.6 kg (</w:t>
      </w:r>
      <w:r w:rsidRPr="00890DF6">
        <w:rPr>
          <w:i/>
          <w:color w:val="000000" w:themeColor="text1"/>
          <w:szCs w:val="22"/>
        </w:rPr>
        <w:t>CHF2 1.7</w:t>
      </w:r>
      <w:r>
        <w:rPr>
          <w:i/>
          <w:color w:val="000000" w:themeColor="text1"/>
          <w:szCs w:val="22"/>
        </w:rPr>
        <w:t xml:space="preserve"> </w:t>
      </w:r>
      <w:r w:rsidRPr="00890DF6">
        <w:rPr>
          <w:i/>
          <w:color w:val="000000" w:themeColor="text1"/>
          <w:szCs w:val="22"/>
        </w:rPr>
        <w:t>kg</w:t>
      </w:r>
      <w:r w:rsidRPr="00890DF6">
        <w:rPr>
          <w:color w:val="000000" w:themeColor="text1"/>
          <w:szCs w:val="22"/>
        </w:rPr>
        <w:t xml:space="preserve">) in residential systems to average charges of greater than 5 kg in </w:t>
      </w:r>
      <w:r>
        <w:rPr>
          <w:color w:val="000000" w:themeColor="text1"/>
          <w:szCs w:val="22"/>
        </w:rPr>
        <w:t xml:space="preserve">small </w:t>
      </w:r>
      <w:r w:rsidRPr="00890DF6">
        <w:rPr>
          <w:color w:val="000000" w:themeColor="text1"/>
          <w:szCs w:val="22"/>
        </w:rPr>
        <w:t>commercial systems. By comparison the average charges in all MAC imported in 2018 w</w:t>
      </w:r>
      <w:r>
        <w:rPr>
          <w:color w:val="000000" w:themeColor="text1"/>
          <w:szCs w:val="22"/>
        </w:rPr>
        <w:t xml:space="preserve">as </w:t>
      </w:r>
      <w:r w:rsidRPr="00890DF6">
        <w:rPr>
          <w:color w:val="000000" w:themeColor="text1"/>
          <w:szCs w:val="22"/>
        </w:rPr>
        <w:t>617 grams (</w:t>
      </w:r>
      <w:r w:rsidRPr="00890DF6">
        <w:rPr>
          <w:i/>
          <w:color w:val="000000" w:themeColor="text1"/>
          <w:szCs w:val="22"/>
        </w:rPr>
        <w:t>CHF3 2016, 620 grams</w:t>
      </w:r>
      <w:r w:rsidRPr="00890DF6">
        <w:rPr>
          <w:color w:val="000000" w:themeColor="text1"/>
          <w:szCs w:val="22"/>
        </w:rPr>
        <w:t>).</w:t>
      </w:r>
    </w:p>
    <w:p w14:paraId="187D6458" w14:textId="77777777" w:rsidR="00B2087D" w:rsidRDefault="00B2087D" w:rsidP="009A23AA">
      <w:pPr>
        <w:rPr>
          <w:color w:val="000000" w:themeColor="text1"/>
          <w:szCs w:val="22"/>
        </w:rPr>
      </w:pPr>
      <w:r w:rsidRPr="00890DF6">
        <w:rPr>
          <w:color w:val="000000" w:themeColor="text1"/>
          <w:szCs w:val="22"/>
        </w:rPr>
        <w:t xml:space="preserve">The dominance of stationary AC in PCE imports is reflected in the mix of refrigerant contained in those imports in </w:t>
      </w:r>
      <w:r w:rsidRPr="00570389">
        <w:rPr>
          <w:color w:val="000000" w:themeColor="text1"/>
          <w:szCs w:val="22"/>
        </w:rPr>
        <w:t>2018,</w:t>
      </w:r>
      <w:r w:rsidRPr="00890DF6">
        <w:rPr>
          <w:color w:val="000000" w:themeColor="text1"/>
          <w:szCs w:val="22"/>
        </w:rPr>
        <w:t xml:space="preserve"> with the </w:t>
      </w:r>
      <w:r>
        <w:rPr>
          <w:color w:val="000000" w:themeColor="text1"/>
          <w:szCs w:val="22"/>
        </w:rPr>
        <w:t xml:space="preserve">high GWP </w:t>
      </w:r>
      <w:r w:rsidRPr="00890DF6">
        <w:rPr>
          <w:color w:val="000000" w:themeColor="text1"/>
          <w:szCs w:val="22"/>
        </w:rPr>
        <w:t xml:space="preserve">refrigerant of choice for stationary AC for the last decade, HFC-410A, dominating the mix. </w:t>
      </w:r>
    </w:p>
    <w:p w14:paraId="1D7F4EE6" w14:textId="797733A6" w:rsidR="00B2087D" w:rsidRDefault="00B2087D" w:rsidP="009A23AA">
      <w:pPr>
        <w:rPr>
          <w:color w:val="000000" w:themeColor="text1"/>
          <w:szCs w:val="22"/>
        </w:rPr>
      </w:pPr>
      <w:r w:rsidRPr="00C64C56">
        <w:rPr>
          <w:color w:val="000000" w:themeColor="text1"/>
          <w:szCs w:val="22"/>
        </w:rPr>
        <w:t xml:space="preserve">At the same time HFC-32 pre-charged equipment made up 19% of imports by refrigerant </w:t>
      </w:r>
      <w:r w:rsidR="000D1BE9">
        <w:rPr>
          <w:color w:val="000000" w:themeColor="text1"/>
          <w:szCs w:val="22"/>
        </w:rPr>
        <w:t>mass</w:t>
      </w:r>
      <w:r>
        <w:rPr>
          <w:color w:val="000000" w:themeColor="text1"/>
          <w:szCs w:val="22"/>
        </w:rPr>
        <w:t>, the very large majority of which was imported in small split AC systems</w:t>
      </w:r>
      <w:r w:rsidRPr="00C64C56">
        <w:rPr>
          <w:color w:val="000000" w:themeColor="text1"/>
          <w:szCs w:val="22"/>
        </w:rPr>
        <w:t xml:space="preserve">. HFC-32 was first imported in small stationary AC models in 2012 and </w:t>
      </w:r>
      <w:r>
        <w:rPr>
          <w:color w:val="000000" w:themeColor="text1"/>
          <w:szCs w:val="22"/>
        </w:rPr>
        <w:t xml:space="preserve">has </w:t>
      </w:r>
      <w:r w:rsidRPr="00C64C56">
        <w:rPr>
          <w:color w:val="000000" w:themeColor="text1"/>
          <w:szCs w:val="22"/>
        </w:rPr>
        <w:t xml:space="preserve">rapidly </w:t>
      </w:r>
      <w:r>
        <w:rPr>
          <w:color w:val="000000" w:themeColor="text1"/>
          <w:szCs w:val="22"/>
        </w:rPr>
        <w:t>grown</w:t>
      </w:r>
      <w:r w:rsidRPr="00C64C56">
        <w:rPr>
          <w:color w:val="000000" w:themeColor="text1"/>
          <w:szCs w:val="22"/>
        </w:rPr>
        <w:t xml:space="preserve"> to take market share</w:t>
      </w:r>
      <w:r>
        <w:rPr>
          <w:color w:val="000000" w:themeColor="text1"/>
          <w:szCs w:val="22"/>
        </w:rPr>
        <w:t xml:space="preserve"> from HFC-410A charged equipment</w:t>
      </w:r>
      <w:r w:rsidRPr="00C64C56">
        <w:rPr>
          <w:color w:val="000000" w:themeColor="text1"/>
          <w:szCs w:val="22"/>
        </w:rPr>
        <w:t xml:space="preserve">. </w:t>
      </w:r>
    </w:p>
    <w:p w14:paraId="3802999C" w14:textId="77777777" w:rsidR="00B2087D" w:rsidRDefault="00B2087D" w:rsidP="009A23AA">
      <w:pPr>
        <w:rPr>
          <w:color w:val="000000" w:themeColor="text1"/>
          <w:szCs w:val="22"/>
        </w:rPr>
      </w:pPr>
      <w:r w:rsidRPr="00C64C56">
        <w:rPr>
          <w:color w:val="000000" w:themeColor="text1"/>
          <w:szCs w:val="22"/>
        </w:rPr>
        <w:t xml:space="preserve">This medium GWP refrigerant has begun to cap the strong growth trend in HFC-410A charged imports that </w:t>
      </w:r>
      <w:r>
        <w:rPr>
          <w:color w:val="000000" w:themeColor="text1"/>
          <w:szCs w:val="22"/>
        </w:rPr>
        <w:t>dominated imports from</w:t>
      </w:r>
      <w:r w:rsidRPr="00C64C56">
        <w:rPr>
          <w:color w:val="000000" w:themeColor="text1"/>
          <w:szCs w:val="22"/>
        </w:rPr>
        <w:t xml:space="preserve"> 2006 to 2016</w:t>
      </w:r>
      <w:r>
        <w:rPr>
          <w:color w:val="000000" w:themeColor="text1"/>
          <w:szCs w:val="22"/>
        </w:rPr>
        <w:t xml:space="preserve"> as the preferred replacement to the earlier generation HCFC-22</w:t>
      </w:r>
      <w:r w:rsidRPr="00C64C56">
        <w:rPr>
          <w:color w:val="000000" w:themeColor="text1"/>
          <w:szCs w:val="22"/>
        </w:rPr>
        <w:t xml:space="preserve">. </w:t>
      </w:r>
    </w:p>
    <w:p w14:paraId="56CBB728" w14:textId="77777777" w:rsidR="00B2087D" w:rsidRPr="00C64C56" w:rsidRDefault="00B2087D" w:rsidP="009A23AA">
      <w:pPr>
        <w:rPr>
          <w:color w:val="000000" w:themeColor="text1"/>
          <w:szCs w:val="22"/>
        </w:rPr>
      </w:pPr>
      <w:r w:rsidRPr="00C64C56">
        <w:rPr>
          <w:color w:val="000000" w:themeColor="text1"/>
          <w:szCs w:val="22"/>
        </w:rPr>
        <w:t xml:space="preserve">HFC-32 charged stationary AC devices in the stock of equipment now number more than </w:t>
      </w:r>
      <w:r w:rsidRPr="00197BF6">
        <w:rPr>
          <w:color w:val="000000" w:themeColor="text1"/>
          <w:szCs w:val="22"/>
        </w:rPr>
        <w:t>2,086,000</w:t>
      </w:r>
      <w:r w:rsidRPr="00C64C56">
        <w:rPr>
          <w:color w:val="000000" w:themeColor="text1"/>
          <w:szCs w:val="22"/>
        </w:rPr>
        <w:t xml:space="preserve"> </w:t>
      </w:r>
      <w:r>
        <w:rPr>
          <w:color w:val="000000" w:themeColor="text1"/>
          <w:szCs w:val="22"/>
        </w:rPr>
        <w:t>containing more than</w:t>
      </w:r>
      <w:r w:rsidRPr="00C64C56">
        <w:rPr>
          <w:color w:val="000000" w:themeColor="text1"/>
          <w:szCs w:val="22"/>
        </w:rPr>
        <w:t xml:space="preserve"> </w:t>
      </w:r>
      <w:r>
        <w:rPr>
          <w:color w:val="000000" w:themeColor="text1"/>
          <w:szCs w:val="22"/>
        </w:rPr>
        <w:t xml:space="preserve">2,360 </w:t>
      </w:r>
      <w:r w:rsidRPr="00C64C56">
        <w:rPr>
          <w:color w:val="000000" w:themeColor="text1"/>
          <w:szCs w:val="22"/>
        </w:rPr>
        <w:t>tonnes</w:t>
      </w:r>
      <w:r>
        <w:rPr>
          <w:color w:val="000000" w:themeColor="text1"/>
          <w:szCs w:val="22"/>
        </w:rPr>
        <w:t xml:space="preserve"> of HFC-32</w:t>
      </w:r>
      <w:r w:rsidRPr="00C64C56">
        <w:rPr>
          <w:color w:val="000000" w:themeColor="text1"/>
          <w:szCs w:val="22"/>
        </w:rPr>
        <w:t>.</w:t>
      </w:r>
      <w:r w:rsidRPr="00C64C56">
        <w:rPr>
          <w:rStyle w:val="FootnoteReference"/>
          <w:color w:val="000000" w:themeColor="text1"/>
          <w:szCs w:val="22"/>
        </w:rPr>
        <w:footnoteReference w:id="29"/>
      </w:r>
    </w:p>
    <w:p w14:paraId="603E704A" w14:textId="77777777" w:rsidR="00B2087D" w:rsidRPr="00890DF6" w:rsidRDefault="00B2087D" w:rsidP="009A23AA">
      <w:pPr>
        <w:spacing w:before="0"/>
        <w:rPr>
          <w:color w:val="000000" w:themeColor="text1"/>
          <w:szCs w:val="22"/>
        </w:rPr>
      </w:pPr>
    </w:p>
    <w:p w14:paraId="5666C343" w14:textId="14F3E2FF" w:rsidR="00CF12C4" w:rsidRDefault="00CF12C4">
      <w:pPr>
        <w:spacing w:before="0"/>
        <w:jc w:val="left"/>
        <w:rPr>
          <w:rFonts w:cs="Times New Roman"/>
          <w:szCs w:val="22"/>
          <w:lang w:val="en-US"/>
        </w:rPr>
      </w:pPr>
      <w:r>
        <w:rPr>
          <w:rFonts w:cs="Times New Roman"/>
          <w:szCs w:val="22"/>
          <w:lang w:val="en-US"/>
        </w:rPr>
        <w:br w:type="page"/>
      </w: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0"/>
      </w:tblGrid>
      <w:tr w:rsidR="00B2087D" w:rsidRPr="00613398" w14:paraId="0CE502BA" w14:textId="77777777" w:rsidTr="00D306E9">
        <w:tc>
          <w:tcPr>
            <w:tcW w:w="9490" w:type="dxa"/>
            <w:vAlign w:val="center"/>
          </w:tcPr>
          <w:p w14:paraId="3F5DCF43" w14:textId="77777777" w:rsidR="00B2087D" w:rsidRPr="00613398" w:rsidRDefault="00B2087D" w:rsidP="00D306E9">
            <w:pPr>
              <w:spacing w:after="120"/>
              <w:jc w:val="center"/>
              <w:rPr>
                <w:rFonts w:cs="Times New Roman"/>
                <w:b/>
              </w:rPr>
            </w:pPr>
            <w:r w:rsidRPr="00613398">
              <w:rPr>
                <w:rFonts w:cs="Times New Roman"/>
                <w:b/>
              </w:rPr>
              <w:br w:type="page"/>
            </w:r>
            <w:r>
              <w:rPr>
                <w:rFonts w:cs="Times New Roman"/>
                <w:b/>
              </w:rPr>
              <w:t>PCE imports by major species in 2018 (tonnes)</w:t>
            </w:r>
          </w:p>
        </w:tc>
      </w:tr>
      <w:tr w:rsidR="00B2087D" w:rsidRPr="000F7FAE" w14:paraId="0EEA1185" w14:textId="77777777" w:rsidTr="00D306E9">
        <w:tc>
          <w:tcPr>
            <w:tcW w:w="9490" w:type="dxa"/>
            <w:vAlign w:val="center"/>
          </w:tcPr>
          <w:p w14:paraId="48A654B0" w14:textId="77777777" w:rsidR="00B2087D" w:rsidRPr="000F7FAE" w:rsidRDefault="00B2087D" w:rsidP="00D306E9">
            <w:pPr>
              <w:spacing w:before="60" w:after="60"/>
              <w:jc w:val="center"/>
              <w:rPr>
                <w:sz w:val="16"/>
                <w:szCs w:val="16"/>
              </w:rPr>
            </w:pPr>
          </w:p>
          <w:p w14:paraId="300BC9D7" w14:textId="77777777" w:rsidR="00B2087D" w:rsidRPr="000F7FAE" w:rsidRDefault="00B2087D" w:rsidP="00D306E9">
            <w:pPr>
              <w:spacing w:before="60" w:after="60"/>
              <w:jc w:val="center"/>
              <w:rPr>
                <w:sz w:val="16"/>
                <w:szCs w:val="16"/>
              </w:rPr>
            </w:pPr>
            <w:r>
              <w:rPr>
                <w:noProof/>
                <w:lang w:val="en-AU" w:eastAsia="en-AU"/>
              </w:rPr>
              <w:drawing>
                <wp:inline distT="0" distB="0" distL="0" distR="0" wp14:anchorId="63824EE7" wp14:editId="1919DB8C">
                  <wp:extent cx="4887345" cy="3960000"/>
                  <wp:effectExtent l="0" t="0" r="254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7345" cy="3960000"/>
                          </a:xfrm>
                          <a:prstGeom prst="rect">
                            <a:avLst/>
                          </a:prstGeom>
                        </pic:spPr>
                      </pic:pic>
                    </a:graphicData>
                  </a:graphic>
                </wp:inline>
              </w:drawing>
            </w:r>
          </w:p>
          <w:p w14:paraId="4F4B1825" w14:textId="77777777" w:rsidR="00B2087D" w:rsidRPr="000F7FAE" w:rsidRDefault="00B2087D" w:rsidP="00D306E9">
            <w:pPr>
              <w:spacing w:before="60" w:after="60"/>
              <w:jc w:val="center"/>
              <w:rPr>
                <w:sz w:val="16"/>
                <w:szCs w:val="16"/>
              </w:rPr>
            </w:pPr>
          </w:p>
        </w:tc>
      </w:tr>
      <w:tr w:rsidR="00B2087D" w:rsidRPr="00923150" w14:paraId="02CCC193" w14:textId="77777777" w:rsidTr="00D306E9">
        <w:tc>
          <w:tcPr>
            <w:tcW w:w="9490" w:type="dxa"/>
            <w:vAlign w:val="center"/>
          </w:tcPr>
          <w:p w14:paraId="44AED922" w14:textId="5829BAD8" w:rsidR="00B2087D" w:rsidRPr="00BB16C6" w:rsidRDefault="00B2087D" w:rsidP="009A23AA">
            <w:pPr>
              <w:pStyle w:val="Caption"/>
            </w:pPr>
            <w:bookmarkStart w:id="115" w:name="_Toc525141342"/>
            <w:bookmarkStart w:id="116" w:name="_Toc19601345"/>
            <w:r w:rsidRPr="00BB16C6">
              <w:t xml:space="preserve">Figure </w:t>
            </w:r>
            <w:r>
              <w:rPr>
                <w:noProof/>
              </w:rPr>
              <w:fldChar w:fldCharType="begin"/>
            </w:r>
            <w:r>
              <w:rPr>
                <w:noProof/>
              </w:rPr>
              <w:instrText xml:space="preserve"> SEQ Figure \* ARABIC </w:instrText>
            </w:r>
            <w:r>
              <w:rPr>
                <w:noProof/>
              </w:rPr>
              <w:fldChar w:fldCharType="separate"/>
            </w:r>
            <w:r w:rsidR="001D0DA3">
              <w:rPr>
                <w:noProof/>
              </w:rPr>
              <w:t>23</w:t>
            </w:r>
            <w:r>
              <w:rPr>
                <w:noProof/>
              </w:rPr>
              <w:fldChar w:fldCharType="end"/>
            </w:r>
            <w:r w:rsidRPr="00BB16C6">
              <w:rPr>
                <w:bCs w:val="0"/>
              </w:rPr>
              <w:t>: Pre-charged equipment imports in 201</w:t>
            </w:r>
            <w:r>
              <w:rPr>
                <w:bCs w:val="0"/>
              </w:rPr>
              <w:t>8</w:t>
            </w:r>
            <w:r w:rsidRPr="00BB16C6">
              <w:rPr>
                <w:bCs w:val="0"/>
              </w:rPr>
              <w:t xml:space="preserve"> dissected by major species in </w:t>
            </w:r>
            <w:proofErr w:type="spellStart"/>
            <w:r w:rsidRPr="00BB16C6">
              <w:rPr>
                <w:bCs w:val="0"/>
              </w:rPr>
              <w:t>tonne</w:t>
            </w:r>
            <w:bookmarkEnd w:id="115"/>
            <w:r>
              <w:rPr>
                <w:bCs w:val="0"/>
              </w:rPr>
              <w:t>s</w:t>
            </w:r>
            <w:proofErr w:type="spellEnd"/>
            <w:r>
              <w:rPr>
                <w:bCs w:val="0"/>
              </w:rPr>
              <w:t xml:space="preserve"> and as per cent of total imports.</w:t>
            </w:r>
            <w:bookmarkEnd w:id="116"/>
          </w:p>
        </w:tc>
      </w:tr>
    </w:tbl>
    <w:p w14:paraId="0C30D540" w14:textId="77777777" w:rsidR="00D61629" w:rsidRDefault="00D61629" w:rsidP="00D61629">
      <w:pPr>
        <w:spacing w:before="0"/>
        <w:rPr>
          <w:sz w:val="20"/>
          <w:szCs w:val="20"/>
        </w:rPr>
      </w:pPr>
      <w:r w:rsidRPr="00116557">
        <w:rPr>
          <w:sz w:val="20"/>
          <w:szCs w:val="20"/>
        </w:rPr>
        <w:t xml:space="preserve">(Sources: </w:t>
      </w:r>
      <w:proofErr w:type="spellStart"/>
      <w:r>
        <w:rPr>
          <w:sz w:val="20"/>
          <w:szCs w:val="20"/>
        </w:rPr>
        <w:t>DoEE</w:t>
      </w:r>
      <w:proofErr w:type="spellEnd"/>
      <w:r>
        <w:rPr>
          <w:sz w:val="20"/>
          <w:szCs w:val="20"/>
        </w:rPr>
        <w:t xml:space="preserve"> 2019)</w:t>
      </w:r>
    </w:p>
    <w:p w14:paraId="042ADE2D" w14:textId="77777777" w:rsidR="00B2087D" w:rsidRDefault="00B2087D" w:rsidP="009A23AA">
      <w:pPr>
        <w:spacing w:before="0"/>
        <w:rPr>
          <w:szCs w:val="22"/>
        </w:rPr>
      </w:pPr>
    </w:p>
    <w:p w14:paraId="7B9A198C" w14:textId="77777777" w:rsidR="00B2087D" w:rsidRDefault="00B2087D" w:rsidP="009A23AA">
      <w:pPr>
        <w:spacing w:before="0"/>
        <w:rPr>
          <w:szCs w:val="22"/>
        </w:rPr>
      </w:pPr>
    </w:p>
    <w:p w14:paraId="61D2FF57" w14:textId="5E046297" w:rsidR="00B2087D" w:rsidRPr="00C64C56" w:rsidRDefault="00B2087D" w:rsidP="009A23AA">
      <w:pPr>
        <w:rPr>
          <w:color w:val="000000" w:themeColor="text1"/>
          <w:szCs w:val="22"/>
        </w:rPr>
      </w:pPr>
      <w:r w:rsidRPr="00C64C56">
        <w:rPr>
          <w:color w:val="000000" w:themeColor="text1"/>
          <w:szCs w:val="22"/>
        </w:rPr>
        <w:t>The growth of the HFC-32 share of PCE imports</w:t>
      </w:r>
      <w:r>
        <w:rPr>
          <w:color w:val="000000" w:themeColor="text1"/>
          <w:szCs w:val="22"/>
        </w:rPr>
        <w:t xml:space="preserve"> (from zero in 2011)</w:t>
      </w:r>
      <w:r w:rsidRPr="00C64C56">
        <w:rPr>
          <w:color w:val="000000" w:themeColor="text1"/>
          <w:szCs w:val="22"/>
        </w:rPr>
        <w:t xml:space="preserve"> can be seen in the chart below and is expected to continue to </w:t>
      </w:r>
      <w:r>
        <w:rPr>
          <w:color w:val="000000" w:themeColor="text1"/>
          <w:szCs w:val="22"/>
        </w:rPr>
        <w:t>dis</w:t>
      </w:r>
      <w:r w:rsidRPr="00C64C56">
        <w:rPr>
          <w:color w:val="000000" w:themeColor="text1"/>
          <w:szCs w:val="22"/>
        </w:rPr>
        <w:t>place HFC-410A charged devices until HFC-32</w:t>
      </w:r>
      <w:r>
        <w:rPr>
          <w:color w:val="000000" w:themeColor="text1"/>
          <w:szCs w:val="22"/>
        </w:rPr>
        <w:t xml:space="preserve"> </w:t>
      </w:r>
      <w:r w:rsidRPr="00C64C56">
        <w:rPr>
          <w:color w:val="000000" w:themeColor="text1"/>
          <w:szCs w:val="22"/>
        </w:rPr>
        <w:t>become</w:t>
      </w:r>
      <w:r w:rsidR="000D1BE9">
        <w:rPr>
          <w:color w:val="000000" w:themeColor="text1"/>
          <w:szCs w:val="22"/>
        </w:rPr>
        <w:t>s</w:t>
      </w:r>
      <w:r w:rsidRPr="00C64C56">
        <w:rPr>
          <w:color w:val="000000" w:themeColor="text1"/>
          <w:szCs w:val="22"/>
        </w:rPr>
        <w:t xml:space="preserve"> the dominant refrigerant </w:t>
      </w:r>
      <w:r>
        <w:rPr>
          <w:color w:val="000000" w:themeColor="text1"/>
          <w:szCs w:val="22"/>
        </w:rPr>
        <w:t xml:space="preserve">imported </w:t>
      </w:r>
      <w:r w:rsidRPr="00C64C56">
        <w:rPr>
          <w:color w:val="000000" w:themeColor="text1"/>
          <w:szCs w:val="22"/>
        </w:rPr>
        <w:t xml:space="preserve">in </w:t>
      </w:r>
      <w:r w:rsidR="000D1BE9">
        <w:rPr>
          <w:color w:val="000000" w:themeColor="text1"/>
          <w:szCs w:val="22"/>
        </w:rPr>
        <w:t xml:space="preserve">the </w:t>
      </w:r>
      <w:r w:rsidRPr="00C64C56">
        <w:rPr>
          <w:color w:val="000000" w:themeColor="text1"/>
          <w:szCs w:val="22"/>
        </w:rPr>
        <w:t>small AC</w:t>
      </w:r>
      <w:r>
        <w:rPr>
          <w:color w:val="000000" w:themeColor="text1"/>
          <w:szCs w:val="22"/>
        </w:rPr>
        <w:t xml:space="preserve"> s</w:t>
      </w:r>
      <w:r w:rsidRPr="00C64C56">
        <w:rPr>
          <w:color w:val="000000" w:themeColor="text1"/>
          <w:szCs w:val="22"/>
        </w:rPr>
        <w:t>plit system segment by around 2022.</w:t>
      </w:r>
      <w:r>
        <w:rPr>
          <w:color w:val="000000" w:themeColor="text1"/>
          <w:szCs w:val="22"/>
        </w:rPr>
        <w:t xml:space="preserve"> </w:t>
      </w:r>
    </w:p>
    <w:p w14:paraId="769AA875" w14:textId="77777777" w:rsidR="00B2087D" w:rsidRPr="00570389" w:rsidRDefault="00B2087D" w:rsidP="009A23AA">
      <w:r w:rsidRPr="00570389">
        <w:t xml:space="preserve">This trend away from HFC-410A is expected to continue and </w:t>
      </w:r>
      <w:r>
        <w:t xml:space="preserve">the use of HFC-32 is also expected to be expanded </w:t>
      </w:r>
      <w:r w:rsidRPr="00570389">
        <w:t xml:space="preserve">into medium AC </w:t>
      </w:r>
      <w:r>
        <w:t xml:space="preserve">applications </w:t>
      </w:r>
      <w:r w:rsidRPr="00570389">
        <w:t xml:space="preserve">over the next five years. </w:t>
      </w:r>
    </w:p>
    <w:p w14:paraId="263D9A60" w14:textId="54BD936D" w:rsidR="00B2087D" w:rsidRPr="008229CB" w:rsidRDefault="00B2087D" w:rsidP="009A23AA">
      <w:r w:rsidRPr="00570389">
        <w:t xml:space="preserve">A smaller portion of the 90 tonnes of HFC-410A and HFC-407C imported contained in chillers with a charge greater than 12 kg </w:t>
      </w:r>
      <w:r w:rsidR="00B81609">
        <w:t>is</w:t>
      </w:r>
      <w:r w:rsidR="00B81609" w:rsidRPr="00570389">
        <w:t xml:space="preserve"> </w:t>
      </w:r>
      <w:r w:rsidRPr="00570389">
        <w:t xml:space="preserve">expected to migrate to HFC-32 and other HFO blends.  </w:t>
      </w:r>
    </w:p>
    <w:p w14:paraId="245810BF" w14:textId="182B4A52" w:rsidR="00B2087D" w:rsidRDefault="00B2087D" w:rsidP="009A23AA">
      <w:pPr>
        <w:rPr>
          <w:szCs w:val="22"/>
        </w:rPr>
      </w:pPr>
      <w:r>
        <w:rPr>
          <w:szCs w:val="22"/>
        </w:rPr>
        <w:t xml:space="preserve">HFC-134a has maintained a steady share of import volumes in PCE for the last ten years as can be seen in the chart </w:t>
      </w:r>
      <w:r w:rsidRPr="00847D29">
        <w:rPr>
          <w:szCs w:val="22"/>
        </w:rPr>
        <w:t>below (</w:t>
      </w:r>
      <w:r w:rsidRPr="00847D29">
        <w:rPr>
          <w:i/>
          <w:iCs/>
          <w:szCs w:val="22"/>
        </w:rPr>
        <w:t xml:space="preserve">Figure </w:t>
      </w:r>
      <w:r w:rsidR="00847D29" w:rsidRPr="00847D29">
        <w:rPr>
          <w:i/>
          <w:iCs/>
          <w:szCs w:val="22"/>
        </w:rPr>
        <w:t>24</w:t>
      </w:r>
      <w:r w:rsidRPr="00847D29">
        <w:rPr>
          <w:szCs w:val="22"/>
        </w:rPr>
        <w:t>), although</w:t>
      </w:r>
      <w:r>
        <w:rPr>
          <w:szCs w:val="22"/>
        </w:rPr>
        <w:t xml:space="preserve"> a rise in HFC-134a pre-charged imports has been discernible in the last two years of the period as vehicle manufacturing in the country declined to zero and </w:t>
      </w:r>
      <w:r w:rsidR="000D1BE9">
        <w:rPr>
          <w:szCs w:val="22"/>
        </w:rPr>
        <w:t xml:space="preserve">an </w:t>
      </w:r>
      <w:r>
        <w:rPr>
          <w:szCs w:val="22"/>
        </w:rPr>
        <w:t>increasing number of pre-charged MAC in vehicles were imported. This increase in PCE MAC does not signal an increasing rate of growth of the bank of refrigerants incorporated in MAC, as the rising PCE imports are only replacing what was previously imported as bulk gas for use by vehicle manufacturers.</w:t>
      </w:r>
    </w:p>
    <w:p w14:paraId="618727E2" w14:textId="3BB59E6B" w:rsidR="00B2087D" w:rsidRPr="00F70B93" w:rsidRDefault="00B2087D" w:rsidP="009A23AA">
      <w:pPr>
        <w:rPr>
          <w:szCs w:val="22"/>
        </w:rPr>
      </w:pPr>
      <w:r w:rsidRPr="00F70B93">
        <w:rPr>
          <w:szCs w:val="22"/>
        </w:rPr>
        <w:t xml:space="preserve">PCE imports </w:t>
      </w:r>
      <w:r>
        <w:rPr>
          <w:szCs w:val="22"/>
        </w:rPr>
        <w:t>containing</w:t>
      </w:r>
      <w:r w:rsidRPr="00F70B93">
        <w:rPr>
          <w:szCs w:val="22"/>
        </w:rPr>
        <w:t xml:space="preserve"> HFC-134a are expected to </w:t>
      </w:r>
      <w:r>
        <w:rPr>
          <w:szCs w:val="22"/>
        </w:rPr>
        <w:t xml:space="preserve">show steady </w:t>
      </w:r>
      <w:r w:rsidRPr="00F70B93">
        <w:rPr>
          <w:szCs w:val="22"/>
        </w:rPr>
        <w:t>decline</w:t>
      </w:r>
      <w:r>
        <w:rPr>
          <w:szCs w:val="22"/>
        </w:rPr>
        <w:t xml:space="preserve">s </w:t>
      </w:r>
      <w:r w:rsidRPr="00F70B93">
        <w:rPr>
          <w:szCs w:val="22"/>
        </w:rPr>
        <w:t>by</w:t>
      </w:r>
      <w:r>
        <w:rPr>
          <w:szCs w:val="22"/>
        </w:rPr>
        <w:t xml:space="preserve"> the</w:t>
      </w:r>
      <w:r w:rsidRPr="00F70B93">
        <w:rPr>
          <w:szCs w:val="22"/>
        </w:rPr>
        <w:t xml:space="preserve"> </w:t>
      </w:r>
      <w:r w:rsidR="004E41E6" w:rsidRPr="00F70B93">
        <w:rPr>
          <w:szCs w:val="22"/>
        </w:rPr>
        <w:t>mid</w:t>
      </w:r>
      <w:r w:rsidR="004E41E6">
        <w:rPr>
          <w:szCs w:val="22"/>
        </w:rPr>
        <w:t>-</w:t>
      </w:r>
      <w:r w:rsidR="004E41E6" w:rsidRPr="00F70B93">
        <w:rPr>
          <w:szCs w:val="22"/>
        </w:rPr>
        <w:t>2020s</w:t>
      </w:r>
      <w:r w:rsidRPr="00F70B93">
        <w:rPr>
          <w:szCs w:val="22"/>
        </w:rPr>
        <w:t xml:space="preserve"> due to</w:t>
      </w:r>
      <w:r>
        <w:rPr>
          <w:szCs w:val="22"/>
        </w:rPr>
        <w:t xml:space="preserve"> the following characteristics of the HFC-134a PCE imports</w:t>
      </w:r>
      <w:r w:rsidRPr="00F70B93">
        <w:rPr>
          <w:szCs w:val="22"/>
        </w:rPr>
        <w:t>:</w:t>
      </w:r>
    </w:p>
    <w:p w14:paraId="1911E14B" w14:textId="77777777" w:rsidR="00B2087D" w:rsidRPr="00F70B93" w:rsidRDefault="00B2087D" w:rsidP="009A23AA">
      <w:pPr>
        <w:pStyle w:val="ListParagraph"/>
        <w:numPr>
          <w:ilvl w:val="0"/>
          <w:numId w:val="19"/>
        </w:numPr>
        <w:spacing w:before="120" w:after="0" w:line="240" w:lineRule="auto"/>
        <w:ind w:left="357" w:hanging="357"/>
        <w:contextualSpacing w:val="0"/>
        <w:jc w:val="both"/>
        <w:rPr>
          <w:rFonts w:ascii="Times New Roman" w:hAnsi="Times New Roman"/>
        </w:rPr>
      </w:pPr>
      <w:r>
        <w:rPr>
          <w:rFonts w:ascii="Times New Roman" w:hAnsi="Times New Roman"/>
        </w:rPr>
        <w:t xml:space="preserve">At present there is </w:t>
      </w:r>
      <w:r w:rsidRPr="00F70B93">
        <w:rPr>
          <w:rFonts w:ascii="Times New Roman" w:hAnsi="Times New Roman"/>
        </w:rPr>
        <w:t>more than 600 tonnes of HFC-134a imported in motor vehicles each yea</w:t>
      </w:r>
      <w:r>
        <w:rPr>
          <w:rFonts w:ascii="Times New Roman" w:hAnsi="Times New Roman"/>
        </w:rPr>
        <w:t>r and a</w:t>
      </w:r>
      <w:r w:rsidRPr="00F70B93">
        <w:rPr>
          <w:rFonts w:ascii="Times New Roman" w:hAnsi="Times New Roman"/>
        </w:rPr>
        <w:t xml:space="preserve"> significant portion </w:t>
      </w:r>
      <w:r>
        <w:rPr>
          <w:rFonts w:ascii="Times New Roman" w:hAnsi="Times New Roman"/>
        </w:rPr>
        <w:t>of vehicle imports are</w:t>
      </w:r>
      <w:r w:rsidRPr="00F70B93">
        <w:rPr>
          <w:rFonts w:ascii="Times New Roman" w:hAnsi="Times New Roman"/>
        </w:rPr>
        <w:t xml:space="preserve"> predicted to migrate to HFO-1234yf and small volumes of CO</w:t>
      </w:r>
      <w:r w:rsidRPr="00F70B93">
        <w:rPr>
          <w:rFonts w:ascii="Times New Roman" w:hAnsi="Times New Roman"/>
          <w:vertAlign w:val="subscript"/>
        </w:rPr>
        <w:t>2</w:t>
      </w:r>
      <w:r w:rsidRPr="00F70B93">
        <w:rPr>
          <w:rFonts w:ascii="Times New Roman" w:hAnsi="Times New Roman"/>
        </w:rPr>
        <w:t xml:space="preserve"> refrigerant</w:t>
      </w:r>
      <w:r>
        <w:rPr>
          <w:rFonts w:ascii="Times New Roman" w:hAnsi="Times New Roman"/>
        </w:rPr>
        <w:t>;</w:t>
      </w:r>
    </w:p>
    <w:p w14:paraId="5DFCCC11" w14:textId="22F10C1A" w:rsidR="00B2087D" w:rsidRPr="00F70B93" w:rsidRDefault="00B2087D" w:rsidP="009A23AA">
      <w:pPr>
        <w:pStyle w:val="ListParagraph"/>
        <w:numPr>
          <w:ilvl w:val="0"/>
          <w:numId w:val="19"/>
        </w:numPr>
        <w:spacing w:before="120" w:after="0" w:line="240" w:lineRule="auto"/>
        <w:ind w:left="357" w:hanging="357"/>
        <w:contextualSpacing w:val="0"/>
        <w:jc w:val="both"/>
        <w:rPr>
          <w:rFonts w:ascii="Times New Roman" w:hAnsi="Times New Roman"/>
        </w:rPr>
      </w:pPr>
      <w:r w:rsidRPr="00F70B93">
        <w:rPr>
          <w:rFonts w:ascii="Times New Roman" w:hAnsi="Times New Roman"/>
        </w:rPr>
        <w:t>A portion of the 60 tonnes of HFC-134a c</w:t>
      </w:r>
      <w:r>
        <w:rPr>
          <w:rFonts w:ascii="Times New Roman" w:hAnsi="Times New Roman"/>
        </w:rPr>
        <w:t>urrently</w:t>
      </w:r>
      <w:r w:rsidRPr="00F70B93">
        <w:rPr>
          <w:rFonts w:ascii="Times New Roman" w:hAnsi="Times New Roman"/>
        </w:rPr>
        <w:t xml:space="preserve"> </w:t>
      </w:r>
      <w:r>
        <w:rPr>
          <w:rFonts w:ascii="Times New Roman" w:hAnsi="Times New Roman"/>
        </w:rPr>
        <w:t xml:space="preserve">imported in </w:t>
      </w:r>
      <w:r w:rsidRPr="00F70B93">
        <w:rPr>
          <w:rFonts w:ascii="Times New Roman" w:hAnsi="Times New Roman"/>
        </w:rPr>
        <w:t>chillers will migrate to HFO-513A</w:t>
      </w:r>
      <w:r>
        <w:rPr>
          <w:rFonts w:ascii="Times New Roman" w:hAnsi="Times New Roman"/>
        </w:rPr>
        <w:t>,</w:t>
      </w:r>
      <w:r w:rsidRPr="00F70B93">
        <w:rPr>
          <w:rFonts w:ascii="Times New Roman" w:hAnsi="Times New Roman"/>
        </w:rPr>
        <w:t xml:space="preserve"> HFO-1234ze</w:t>
      </w:r>
      <w:r>
        <w:rPr>
          <w:rFonts w:ascii="Times New Roman" w:hAnsi="Times New Roman"/>
        </w:rPr>
        <w:t xml:space="preserve">, </w:t>
      </w:r>
      <w:r w:rsidRPr="00F70B93">
        <w:rPr>
          <w:rFonts w:ascii="Times New Roman" w:hAnsi="Times New Roman"/>
        </w:rPr>
        <w:t>HFO-1233zd</w:t>
      </w:r>
      <w:r w:rsidR="00847D29">
        <w:rPr>
          <w:rFonts w:ascii="Times New Roman" w:hAnsi="Times New Roman"/>
        </w:rPr>
        <w:t>, HFO-514A</w:t>
      </w:r>
      <w:r>
        <w:rPr>
          <w:rFonts w:ascii="Times New Roman" w:hAnsi="Times New Roman"/>
        </w:rPr>
        <w:t xml:space="preserve"> and other HFO blends; and,</w:t>
      </w:r>
    </w:p>
    <w:p w14:paraId="462D8F80" w14:textId="6A7C8638" w:rsidR="00B2087D" w:rsidRPr="00F70B93" w:rsidRDefault="00B2087D" w:rsidP="009A23AA">
      <w:pPr>
        <w:pStyle w:val="ListParagraph"/>
        <w:numPr>
          <w:ilvl w:val="0"/>
          <w:numId w:val="19"/>
        </w:numPr>
        <w:spacing w:before="120" w:after="0" w:line="240" w:lineRule="auto"/>
        <w:ind w:left="357" w:hanging="357"/>
        <w:contextualSpacing w:val="0"/>
        <w:jc w:val="both"/>
        <w:rPr>
          <w:rFonts w:ascii="Times New Roman" w:hAnsi="Times New Roman"/>
        </w:rPr>
      </w:pPr>
      <w:r w:rsidRPr="00F70B93">
        <w:rPr>
          <w:rFonts w:ascii="Times New Roman" w:hAnsi="Times New Roman"/>
        </w:rPr>
        <w:t xml:space="preserve">Small and medium commercial refrigeration will continue </w:t>
      </w:r>
      <w:r>
        <w:rPr>
          <w:rFonts w:ascii="Times New Roman" w:hAnsi="Times New Roman"/>
        </w:rPr>
        <w:t>the strong trend of</w:t>
      </w:r>
      <w:r w:rsidRPr="00F70B93">
        <w:rPr>
          <w:rFonts w:ascii="Times New Roman" w:hAnsi="Times New Roman"/>
        </w:rPr>
        <w:t xml:space="preserve"> migrat</w:t>
      </w:r>
      <w:r>
        <w:rPr>
          <w:rFonts w:ascii="Times New Roman" w:hAnsi="Times New Roman"/>
        </w:rPr>
        <w:t>ion</w:t>
      </w:r>
      <w:r w:rsidRPr="00F70B93">
        <w:rPr>
          <w:rFonts w:ascii="Times New Roman" w:hAnsi="Times New Roman"/>
        </w:rPr>
        <w:t xml:space="preserve"> to hydrocarbon and HFO</w:t>
      </w:r>
      <w:r w:rsidR="00BF1DC6">
        <w:rPr>
          <w:rFonts w:ascii="Times New Roman" w:hAnsi="Times New Roman"/>
        </w:rPr>
        <w:t>/HFC</w:t>
      </w:r>
      <w:r w:rsidRPr="00F70B93">
        <w:rPr>
          <w:rFonts w:ascii="Times New Roman" w:hAnsi="Times New Roman"/>
        </w:rPr>
        <w:t xml:space="preserve"> blends including HFO-448a, HFO-449a and others.</w:t>
      </w:r>
    </w:p>
    <w:p w14:paraId="5CE70DD8" w14:textId="77777777" w:rsidR="00B2087D" w:rsidRDefault="00B2087D" w:rsidP="009A23AA">
      <w:pPr>
        <w:spacing w:before="0"/>
        <w:rPr>
          <w:szCs w:val="22"/>
        </w:rPr>
      </w:pPr>
    </w:p>
    <w:p w14:paraId="270B0A56" w14:textId="77777777" w:rsidR="00B2087D" w:rsidRDefault="00B2087D" w:rsidP="009A23AA">
      <w:pPr>
        <w:spacing w:before="0"/>
        <w:rPr>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B2087D" w:rsidRPr="005D159D" w14:paraId="06627E63" w14:textId="77777777" w:rsidTr="00A60CDA">
        <w:tc>
          <w:tcPr>
            <w:tcW w:w="9492" w:type="dxa"/>
            <w:vAlign w:val="center"/>
          </w:tcPr>
          <w:p w14:paraId="6D984A2C" w14:textId="4635FDA4" w:rsidR="00B2087D" w:rsidRPr="005D159D" w:rsidRDefault="00B2087D" w:rsidP="00BF1DC6">
            <w:pPr>
              <w:spacing w:after="120"/>
              <w:jc w:val="center"/>
              <w:rPr>
                <w:b/>
                <w:sz w:val="24"/>
              </w:rPr>
            </w:pPr>
            <w:r w:rsidRPr="005D159D">
              <w:rPr>
                <w:b/>
                <w:sz w:val="24"/>
              </w:rPr>
              <w:br w:type="page"/>
            </w:r>
            <w:r>
              <w:rPr>
                <w:b/>
                <w:sz w:val="24"/>
              </w:rPr>
              <w:t xml:space="preserve">PCE imports by major species from 2006 to 2018 (tonnes) </w:t>
            </w:r>
            <w:r w:rsidRPr="00A33C35">
              <w:rPr>
                <w:b/>
                <w:sz w:val="24"/>
                <w:vertAlign w:val="superscript"/>
              </w:rPr>
              <w:t>(1)</w:t>
            </w:r>
          </w:p>
        </w:tc>
      </w:tr>
      <w:tr w:rsidR="00B2087D" w:rsidRPr="00BD20BC" w14:paraId="4A5ECCC0" w14:textId="77777777" w:rsidTr="00A60CDA">
        <w:tc>
          <w:tcPr>
            <w:tcW w:w="9492" w:type="dxa"/>
            <w:vAlign w:val="center"/>
          </w:tcPr>
          <w:p w14:paraId="0B974DF2" w14:textId="77777777" w:rsidR="00B2087D" w:rsidRDefault="00B2087D" w:rsidP="00BF1DC6">
            <w:pPr>
              <w:spacing w:before="60" w:after="60"/>
              <w:jc w:val="center"/>
              <w:rPr>
                <w:sz w:val="16"/>
                <w:szCs w:val="16"/>
              </w:rPr>
            </w:pPr>
          </w:p>
          <w:p w14:paraId="4695F64F" w14:textId="77777777" w:rsidR="00B2087D" w:rsidRDefault="00B2087D" w:rsidP="00BF1DC6">
            <w:pPr>
              <w:spacing w:before="60" w:after="60"/>
              <w:jc w:val="center"/>
              <w:rPr>
                <w:sz w:val="16"/>
                <w:szCs w:val="16"/>
              </w:rPr>
            </w:pPr>
            <w:r>
              <w:rPr>
                <w:noProof/>
                <w:lang w:val="en-AU" w:eastAsia="en-AU"/>
              </w:rPr>
              <w:drawing>
                <wp:inline distT="0" distB="0" distL="0" distR="0" wp14:anchorId="1008455B" wp14:editId="4CEB2F5D">
                  <wp:extent cx="5892085" cy="2091055"/>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95180" cy="2092153"/>
                          </a:xfrm>
                          <a:prstGeom prst="rect">
                            <a:avLst/>
                          </a:prstGeom>
                        </pic:spPr>
                      </pic:pic>
                    </a:graphicData>
                  </a:graphic>
                </wp:inline>
              </w:drawing>
            </w:r>
          </w:p>
          <w:p w14:paraId="021713CA" w14:textId="77777777" w:rsidR="00B2087D" w:rsidRPr="00BD20BC" w:rsidRDefault="00B2087D" w:rsidP="00BF1DC6">
            <w:pPr>
              <w:spacing w:before="60" w:after="60"/>
              <w:jc w:val="center"/>
              <w:rPr>
                <w:sz w:val="16"/>
                <w:szCs w:val="16"/>
              </w:rPr>
            </w:pPr>
          </w:p>
        </w:tc>
      </w:tr>
      <w:tr w:rsidR="00B2087D" w:rsidRPr="00042727" w14:paraId="3E98597E" w14:textId="77777777" w:rsidTr="00A60CDA">
        <w:tc>
          <w:tcPr>
            <w:tcW w:w="9492" w:type="dxa"/>
            <w:vAlign w:val="center"/>
          </w:tcPr>
          <w:p w14:paraId="31E1CD93" w14:textId="4250FF79" w:rsidR="00B2087D" w:rsidRPr="00BB16C6" w:rsidRDefault="00B2087D" w:rsidP="009A23AA">
            <w:pPr>
              <w:pStyle w:val="Caption"/>
              <w:rPr>
                <w:szCs w:val="22"/>
              </w:rPr>
            </w:pPr>
            <w:bookmarkStart w:id="117" w:name="_Toc494118060"/>
            <w:bookmarkStart w:id="118" w:name="_Toc525141343"/>
            <w:bookmarkStart w:id="119" w:name="_Toc19601346"/>
            <w:r w:rsidRPr="00BB16C6">
              <w:rPr>
                <w:szCs w:val="22"/>
              </w:rPr>
              <w:t xml:space="preserve">Figure </w:t>
            </w:r>
            <w:r w:rsidRPr="00BB16C6">
              <w:rPr>
                <w:szCs w:val="22"/>
              </w:rPr>
              <w:fldChar w:fldCharType="begin"/>
            </w:r>
            <w:r w:rsidRPr="00BB16C6">
              <w:rPr>
                <w:szCs w:val="22"/>
              </w:rPr>
              <w:instrText xml:space="preserve"> SEQ Figure \* ARABIC </w:instrText>
            </w:r>
            <w:r w:rsidRPr="00BB16C6">
              <w:rPr>
                <w:szCs w:val="22"/>
              </w:rPr>
              <w:fldChar w:fldCharType="separate"/>
            </w:r>
            <w:r w:rsidR="00847D29">
              <w:rPr>
                <w:noProof/>
                <w:szCs w:val="22"/>
              </w:rPr>
              <w:t>24</w:t>
            </w:r>
            <w:r w:rsidRPr="00BB16C6">
              <w:rPr>
                <w:szCs w:val="22"/>
              </w:rPr>
              <w:fldChar w:fldCharType="end"/>
            </w:r>
            <w:r w:rsidRPr="00BB16C6">
              <w:rPr>
                <w:szCs w:val="22"/>
              </w:rPr>
              <w:t>: HCFCs and HFCs in pre-charged equipment from 2006 to 201</w:t>
            </w:r>
            <w:r>
              <w:rPr>
                <w:szCs w:val="22"/>
              </w:rPr>
              <w:t>8</w:t>
            </w:r>
            <w:r w:rsidRPr="00BB16C6">
              <w:rPr>
                <w:szCs w:val="22"/>
              </w:rPr>
              <w:t xml:space="preserve"> by species in </w:t>
            </w:r>
            <w:proofErr w:type="spellStart"/>
            <w:r w:rsidRPr="00BB16C6">
              <w:rPr>
                <w:szCs w:val="22"/>
              </w:rPr>
              <w:t>tonnes</w:t>
            </w:r>
            <w:bookmarkEnd w:id="117"/>
            <w:proofErr w:type="spellEnd"/>
            <w:r w:rsidRPr="00BB16C6">
              <w:rPr>
                <w:szCs w:val="22"/>
              </w:rPr>
              <w:t>.</w:t>
            </w:r>
            <w:bookmarkEnd w:id="118"/>
            <w:bookmarkEnd w:id="119"/>
          </w:p>
        </w:tc>
      </w:tr>
    </w:tbl>
    <w:p w14:paraId="75AE0F7C" w14:textId="77777777" w:rsidR="00B2087D" w:rsidRDefault="00B2087D" w:rsidP="009A23AA">
      <w:pPr>
        <w:spacing w:before="0"/>
        <w:rPr>
          <w:sz w:val="20"/>
          <w:szCs w:val="20"/>
        </w:rPr>
      </w:pPr>
      <w:r w:rsidRPr="00116557">
        <w:rPr>
          <w:sz w:val="20"/>
          <w:szCs w:val="20"/>
        </w:rPr>
        <w:t xml:space="preserve">(Sources: </w:t>
      </w:r>
      <w:proofErr w:type="spellStart"/>
      <w:r>
        <w:rPr>
          <w:sz w:val="20"/>
          <w:szCs w:val="20"/>
        </w:rPr>
        <w:t>DoEE</w:t>
      </w:r>
      <w:proofErr w:type="spellEnd"/>
      <w:r>
        <w:rPr>
          <w:sz w:val="20"/>
          <w:szCs w:val="20"/>
        </w:rPr>
        <w:t xml:space="preserve"> 2019)</w:t>
      </w:r>
    </w:p>
    <w:p w14:paraId="31950AA6" w14:textId="77777777" w:rsidR="00B2087D" w:rsidRPr="00492E6B" w:rsidRDefault="00B2087D" w:rsidP="009A23AA">
      <w:pPr>
        <w:pStyle w:val="ListParagraph"/>
        <w:numPr>
          <w:ilvl w:val="0"/>
          <w:numId w:val="10"/>
        </w:numPr>
        <w:spacing w:before="60" w:after="0" w:line="240" w:lineRule="auto"/>
        <w:contextualSpacing w:val="0"/>
        <w:jc w:val="both"/>
        <w:rPr>
          <w:rFonts w:ascii="Times New Roman" w:hAnsi="Times New Roman"/>
        </w:rPr>
      </w:pPr>
      <w:r w:rsidRPr="00A33C35">
        <w:rPr>
          <w:rFonts w:ascii="Times New Roman" w:hAnsi="Times New Roman"/>
          <w:sz w:val="20"/>
          <w:szCs w:val="20"/>
        </w:rPr>
        <w:t xml:space="preserve">Refer to </w:t>
      </w:r>
      <w:r>
        <w:rPr>
          <w:rFonts w:ascii="Times New Roman" w:hAnsi="Times New Roman"/>
          <w:i/>
          <w:sz w:val="20"/>
          <w:szCs w:val="20"/>
        </w:rPr>
        <w:t>Appendix B3</w:t>
      </w:r>
      <w:r w:rsidRPr="00912F5A">
        <w:rPr>
          <w:rFonts w:ascii="Times New Roman" w:hAnsi="Times New Roman"/>
          <w:i/>
          <w:sz w:val="20"/>
          <w:szCs w:val="20"/>
        </w:rPr>
        <w:t xml:space="preserve">: </w:t>
      </w:r>
      <w:r w:rsidRPr="00C1021A">
        <w:rPr>
          <w:rFonts w:ascii="Times New Roman" w:hAnsi="Times New Roman"/>
          <w:i/>
          <w:sz w:val="20"/>
          <w:szCs w:val="20"/>
        </w:rPr>
        <w:t>Bulk imports and pre-charged equipment imports</w:t>
      </w:r>
      <w:r>
        <w:rPr>
          <w:rFonts w:ascii="Times New Roman" w:hAnsi="Times New Roman"/>
          <w:i/>
          <w:sz w:val="20"/>
          <w:szCs w:val="20"/>
        </w:rPr>
        <w:t xml:space="preserve"> from 2006 to 2018</w:t>
      </w:r>
      <w:r>
        <w:rPr>
          <w:rFonts w:ascii="Times New Roman" w:hAnsi="Times New Roman"/>
          <w:sz w:val="20"/>
          <w:szCs w:val="20"/>
        </w:rPr>
        <w:t>,</w:t>
      </w:r>
      <w:r w:rsidRPr="00A33C35">
        <w:rPr>
          <w:rFonts w:ascii="Times New Roman" w:hAnsi="Times New Roman"/>
          <w:sz w:val="20"/>
          <w:szCs w:val="20"/>
        </w:rPr>
        <w:t xml:space="preserve"> for tabulated data.</w:t>
      </w:r>
    </w:p>
    <w:p w14:paraId="3DC64CDC" w14:textId="77777777" w:rsidR="00B2087D" w:rsidRPr="00492E6B" w:rsidRDefault="00B2087D" w:rsidP="009A23AA">
      <w:pPr>
        <w:spacing w:before="60"/>
      </w:pPr>
    </w:p>
    <w:p w14:paraId="7B7F637E" w14:textId="663D13D9" w:rsidR="00B2087D" w:rsidRDefault="00B2087D" w:rsidP="009A23AA">
      <w:pPr>
        <w:rPr>
          <w:szCs w:val="22"/>
        </w:rPr>
      </w:pPr>
      <w:r>
        <w:rPr>
          <w:szCs w:val="22"/>
        </w:rPr>
        <w:t>One important trend apparent in the chart above is the decline of HCFC imports to effectively zero</w:t>
      </w:r>
      <w:r w:rsidR="00F00BBF">
        <w:rPr>
          <w:szCs w:val="22"/>
        </w:rPr>
        <w:t xml:space="preserve"> by 2014</w:t>
      </w:r>
      <w:r>
        <w:rPr>
          <w:szCs w:val="22"/>
        </w:rPr>
        <w:t xml:space="preserve">. </w:t>
      </w:r>
    </w:p>
    <w:p w14:paraId="6118D53A" w14:textId="3FDA3740" w:rsidR="00B2087D" w:rsidRDefault="00B2087D" w:rsidP="009A23AA">
      <w:pPr>
        <w:rPr>
          <w:szCs w:val="22"/>
        </w:rPr>
      </w:pPr>
      <w:r>
        <w:rPr>
          <w:szCs w:val="22"/>
        </w:rPr>
        <w:t xml:space="preserve">A comparison of </w:t>
      </w:r>
      <w:r w:rsidRPr="00CB2CA8">
        <w:rPr>
          <w:i/>
          <w:szCs w:val="22"/>
        </w:rPr>
        <w:t xml:space="preserve">Figure </w:t>
      </w:r>
      <w:r w:rsidR="00BF1DC6">
        <w:rPr>
          <w:i/>
          <w:szCs w:val="22"/>
        </w:rPr>
        <w:t>24</w:t>
      </w:r>
      <w:r>
        <w:rPr>
          <w:szCs w:val="22"/>
        </w:rPr>
        <w:t xml:space="preserve"> above and </w:t>
      </w:r>
      <w:r w:rsidRPr="00CB2CA8">
        <w:rPr>
          <w:i/>
          <w:szCs w:val="22"/>
        </w:rPr>
        <w:t xml:space="preserve">Figure </w:t>
      </w:r>
      <w:r w:rsidR="00BF1DC6">
        <w:rPr>
          <w:i/>
          <w:szCs w:val="22"/>
        </w:rPr>
        <w:t>25</w:t>
      </w:r>
      <w:r>
        <w:rPr>
          <w:szCs w:val="22"/>
        </w:rPr>
        <w:t xml:space="preserve"> below demonstrates the effect of the higher GWP gases in dominating a bank when illustrated by its CO</w:t>
      </w:r>
      <w:r w:rsidRPr="00CB2CA8">
        <w:rPr>
          <w:szCs w:val="22"/>
          <w:vertAlign w:val="subscript"/>
        </w:rPr>
        <w:t>2</w:t>
      </w:r>
      <w:r>
        <w:rPr>
          <w:szCs w:val="22"/>
        </w:rPr>
        <w:t xml:space="preserve">e value. While it can be seen from </w:t>
      </w:r>
      <w:r w:rsidRPr="00CB2CA8">
        <w:rPr>
          <w:i/>
          <w:szCs w:val="22"/>
        </w:rPr>
        <w:t xml:space="preserve">Figure </w:t>
      </w:r>
      <w:r w:rsidR="00BF1DC6">
        <w:rPr>
          <w:i/>
          <w:szCs w:val="22"/>
        </w:rPr>
        <w:t>24</w:t>
      </w:r>
      <w:r>
        <w:rPr>
          <w:szCs w:val="22"/>
        </w:rPr>
        <w:t xml:space="preserve"> that HFC-32 has capped the equipment imports of PCE charged with HFC-410A, the higher GWP value of HFC</w:t>
      </w:r>
      <w:r w:rsidR="00B81609">
        <w:rPr>
          <w:szCs w:val="22"/>
        </w:rPr>
        <w:noBreakHyphen/>
      </w:r>
      <w:r>
        <w:rPr>
          <w:szCs w:val="22"/>
        </w:rPr>
        <w:t>410A ensures that the significant portion of the bank now made up of HFC-410A, after some 16 years as the refrigerant of choice in small split AC imports, will dominate the refrigerant bank for many years to come.</w:t>
      </w:r>
    </w:p>
    <w:p w14:paraId="10B90709" w14:textId="31865C21" w:rsidR="000D1BE9" w:rsidRDefault="000D1BE9">
      <w:pPr>
        <w:spacing w:before="0"/>
        <w:jc w:val="left"/>
        <w:rPr>
          <w:szCs w:val="22"/>
        </w:rPr>
      </w:pPr>
      <w:r>
        <w:rPr>
          <w:szCs w:val="22"/>
        </w:rP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B2087D" w:rsidRPr="005D159D" w14:paraId="7C99883B" w14:textId="77777777" w:rsidTr="00A60CDA">
        <w:tc>
          <w:tcPr>
            <w:tcW w:w="9492" w:type="dxa"/>
            <w:vAlign w:val="center"/>
          </w:tcPr>
          <w:p w14:paraId="254FAC81" w14:textId="20505A9E" w:rsidR="00B2087D" w:rsidRPr="005D159D" w:rsidRDefault="00B2087D" w:rsidP="00BF1DC6">
            <w:pPr>
              <w:spacing w:after="120"/>
              <w:jc w:val="center"/>
              <w:rPr>
                <w:b/>
                <w:sz w:val="24"/>
              </w:rPr>
            </w:pPr>
            <w:r w:rsidRPr="005D159D">
              <w:rPr>
                <w:b/>
                <w:sz w:val="24"/>
              </w:rPr>
              <w:br w:type="page"/>
            </w:r>
            <w:r>
              <w:rPr>
                <w:b/>
                <w:sz w:val="24"/>
              </w:rPr>
              <w:t>PCE imports by major species from 2012 to 2018 (Mt CO</w:t>
            </w:r>
            <w:r w:rsidRPr="00BF011C">
              <w:rPr>
                <w:b/>
                <w:sz w:val="24"/>
                <w:vertAlign w:val="subscript"/>
              </w:rPr>
              <w:t>2</w:t>
            </w:r>
            <w:r>
              <w:rPr>
                <w:b/>
                <w:sz w:val="24"/>
              </w:rPr>
              <w:t>e)</w:t>
            </w:r>
          </w:p>
        </w:tc>
      </w:tr>
      <w:tr w:rsidR="00B2087D" w:rsidRPr="00BD20BC" w14:paraId="3180EDB2" w14:textId="77777777" w:rsidTr="00A60CDA">
        <w:tc>
          <w:tcPr>
            <w:tcW w:w="9492" w:type="dxa"/>
            <w:vAlign w:val="center"/>
          </w:tcPr>
          <w:p w14:paraId="290C488E" w14:textId="77777777" w:rsidR="00B2087D" w:rsidRDefault="00B2087D" w:rsidP="00BF1DC6">
            <w:pPr>
              <w:spacing w:before="60" w:after="60"/>
              <w:jc w:val="center"/>
              <w:rPr>
                <w:sz w:val="16"/>
                <w:szCs w:val="16"/>
              </w:rPr>
            </w:pPr>
          </w:p>
          <w:p w14:paraId="574832A5" w14:textId="77777777" w:rsidR="00B2087D" w:rsidRDefault="00B2087D" w:rsidP="00BF1DC6">
            <w:pPr>
              <w:spacing w:before="60" w:after="60"/>
              <w:jc w:val="center"/>
              <w:rPr>
                <w:sz w:val="16"/>
                <w:szCs w:val="16"/>
              </w:rPr>
            </w:pPr>
            <w:r>
              <w:rPr>
                <w:noProof/>
                <w:lang w:val="en-AU" w:eastAsia="en-AU"/>
              </w:rPr>
              <w:drawing>
                <wp:inline distT="0" distB="0" distL="0" distR="0" wp14:anchorId="0A2D75B4" wp14:editId="0D0923FB">
                  <wp:extent cx="6030595" cy="240093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30595" cy="2400935"/>
                          </a:xfrm>
                          <a:prstGeom prst="rect">
                            <a:avLst/>
                          </a:prstGeom>
                        </pic:spPr>
                      </pic:pic>
                    </a:graphicData>
                  </a:graphic>
                </wp:inline>
              </w:drawing>
            </w:r>
          </w:p>
          <w:p w14:paraId="07CBD397" w14:textId="77777777" w:rsidR="00B2087D" w:rsidRPr="00BD20BC" w:rsidRDefault="00B2087D" w:rsidP="00BF1DC6">
            <w:pPr>
              <w:spacing w:before="60" w:after="60"/>
              <w:jc w:val="center"/>
              <w:rPr>
                <w:sz w:val="16"/>
                <w:szCs w:val="16"/>
              </w:rPr>
            </w:pPr>
          </w:p>
        </w:tc>
      </w:tr>
      <w:tr w:rsidR="00B2087D" w:rsidRPr="00042727" w14:paraId="35035B83" w14:textId="77777777" w:rsidTr="00A60CDA">
        <w:tc>
          <w:tcPr>
            <w:tcW w:w="9492" w:type="dxa"/>
            <w:vAlign w:val="center"/>
          </w:tcPr>
          <w:p w14:paraId="3A2B9517" w14:textId="502F5F98" w:rsidR="00B2087D" w:rsidRPr="00BB16C6" w:rsidRDefault="00B2087D" w:rsidP="009A23AA">
            <w:pPr>
              <w:pStyle w:val="Caption"/>
              <w:rPr>
                <w:szCs w:val="22"/>
              </w:rPr>
            </w:pPr>
            <w:bookmarkStart w:id="120" w:name="_Toc19601347"/>
            <w:r w:rsidRPr="00BB16C6">
              <w:rPr>
                <w:szCs w:val="22"/>
              </w:rPr>
              <w:t xml:space="preserve">Figure </w:t>
            </w:r>
            <w:r w:rsidRPr="00BB16C6">
              <w:rPr>
                <w:szCs w:val="22"/>
              </w:rPr>
              <w:fldChar w:fldCharType="begin"/>
            </w:r>
            <w:r w:rsidRPr="00BB16C6">
              <w:rPr>
                <w:szCs w:val="22"/>
              </w:rPr>
              <w:instrText xml:space="preserve"> SEQ Figure \* ARABIC </w:instrText>
            </w:r>
            <w:r w:rsidRPr="00BB16C6">
              <w:rPr>
                <w:szCs w:val="22"/>
              </w:rPr>
              <w:fldChar w:fldCharType="separate"/>
            </w:r>
            <w:r w:rsidR="001D0DA3">
              <w:rPr>
                <w:noProof/>
                <w:szCs w:val="22"/>
              </w:rPr>
              <w:t>25</w:t>
            </w:r>
            <w:r w:rsidRPr="00BB16C6">
              <w:rPr>
                <w:szCs w:val="22"/>
              </w:rPr>
              <w:fldChar w:fldCharType="end"/>
            </w:r>
            <w:r w:rsidRPr="00BB16C6">
              <w:rPr>
                <w:szCs w:val="22"/>
              </w:rPr>
              <w:t>: HFCs in pre-charged equipment from 20</w:t>
            </w:r>
            <w:r>
              <w:rPr>
                <w:szCs w:val="22"/>
              </w:rPr>
              <w:t>12</w:t>
            </w:r>
            <w:r w:rsidRPr="00BB16C6">
              <w:rPr>
                <w:szCs w:val="22"/>
              </w:rPr>
              <w:t xml:space="preserve"> to 201</w:t>
            </w:r>
            <w:r>
              <w:rPr>
                <w:szCs w:val="22"/>
              </w:rPr>
              <w:t>8</w:t>
            </w:r>
            <w:r w:rsidRPr="00BB16C6">
              <w:rPr>
                <w:szCs w:val="22"/>
              </w:rPr>
              <w:t xml:space="preserve"> by species in </w:t>
            </w:r>
            <w:r>
              <w:rPr>
                <w:szCs w:val="22"/>
              </w:rPr>
              <w:t>Mt CO</w:t>
            </w:r>
            <w:r w:rsidRPr="00BF011C">
              <w:rPr>
                <w:szCs w:val="22"/>
                <w:vertAlign w:val="subscript"/>
              </w:rPr>
              <w:t>2</w:t>
            </w:r>
            <w:r>
              <w:rPr>
                <w:szCs w:val="22"/>
              </w:rPr>
              <w:t>e</w:t>
            </w:r>
            <w:r w:rsidR="00F00BBF">
              <w:rPr>
                <w:szCs w:val="22"/>
              </w:rPr>
              <w:t xml:space="preserve"> (AR4)</w:t>
            </w:r>
            <w:r w:rsidRPr="00BB16C6">
              <w:rPr>
                <w:szCs w:val="22"/>
              </w:rPr>
              <w:t>.</w:t>
            </w:r>
            <w:bookmarkEnd w:id="120"/>
          </w:p>
        </w:tc>
      </w:tr>
    </w:tbl>
    <w:p w14:paraId="5CDA875B" w14:textId="77777777" w:rsidR="00B2087D" w:rsidRPr="00570389" w:rsidRDefault="00B2087D" w:rsidP="009A23AA">
      <w:pPr>
        <w:spacing w:before="0"/>
        <w:rPr>
          <w:sz w:val="20"/>
          <w:szCs w:val="20"/>
        </w:rPr>
      </w:pPr>
      <w:r w:rsidRPr="00116557">
        <w:rPr>
          <w:sz w:val="20"/>
          <w:szCs w:val="20"/>
        </w:rPr>
        <w:t xml:space="preserve">(Sources: </w:t>
      </w:r>
      <w:proofErr w:type="spellStart"/>
      <w:r>
        <w:rPr>
          <w:sz w:val="20"/>
          <w:szCs w:val="20"/>
        </w:rPr>
        <w:t>DoEE</w:t>
      </w:r>
      <w:proofErr w:type="spellEnd"/>
      <w:r>
        <w:rPr>
          <w:sz w:val="20"/>
          <w:szCs w:val="20"/>
        </w:rPr>
        <w:t xml:space="preserve"> 2019)</w:t>
      </w:r>
    </w:p>
    <w:p w14:paraId="468794EF" w14:textId="77777777" w:rsidR="00B2087D" w:rsidRPr="00CB2CA8" w:rsidRDefault="00B2087D" w:rsidP="009A23AA">
      <w:pPr>
        <w:rPr>
          <w:rFonts w:ascii="Calibri" w:eastAsia="Times New Roman" w:hAnsi="Calibri" w:cs="Times New Roman"/>
          <w:bCs/>
          <w:iCs/>
          <w:szCs w:val="22"/>
          <w:lang w:val="en-US"/>
        </w:rPr>
      </w:pPr>
      <w:bookmarkStart w:id="121" w:name="_Toc500750607"/>
      <w:bookmarkStart w:id="122" w:name="_Toc525141276"/>
    </w:p>
    <w:p w14:paraId="5A697DB9" w14:textId="3EB594DC" w:rsidR="00B2087D" w:rsidRPr="00CB2CA8" w:rsidRDefault="00B2087D" w:rsidP="009A23AA">
      <w:pPr>
        <w:rPr>
          <w:szCs w:val="22"/>
        </w:rPr>
      </w:pPr>
      <w:r w:rsidRPr="00CB2CA8">
        <w:rPr>
          <w:szCs w:val="22"/>
        </w:rPr>
        <w:t xml:space="preserve">In recent years the Department of Environment and Energy </w:t>
      </w:r>
      <w:r>
        <w:rPr>
          <w:szCs w:val="22"/>
        </w:rPr>
        <w:t>(</w:t>
      </w:r>
      <w:proofErr w:type="spellStart"/>
      <w:r>
        <w:rPr>
          <w:szCs w:val="22"/>
        </w:rPr>
        <w:t>DoEE</w:t>
      </w:r>
      <w:proofErr w:type="spellEnd"/>
      <w:r>
        <w:rPr>
          <w:szCs w:val="22"/>
        </w:rPr>
        <w:t xml:space="preserve">) </w:t>
      </w:r>
      <w:r w:rsidRPr="00CB2CA8">
        <w:rPr>
          <w:szCs w:val="22"/>
        </w:rPr>
        <w:t xml:space="preserve">has sought to </w:t>
      </w:r>
      <w:r w:rsidR="00B0778D">
        <w:rPr>
          <w:szCs w:val="22"/>
        </w:rPr>
        <w:t xml:space="preserve">reduce </w:t>
      </w:r>
      <w:r w:rsidR="0074042E">
        <w:rPr>
          <w:szCs w:val="22"/>
        </w:rPr>
        <w:t xml:space="preserve">the </w:t>
      </w:r>
      <w:r w:rsidRPr="00CB2CA8">
        <w:rPr>
          <w:szCs w:val="22"/>
        </w:rPr>
        <w:t xml:space="preserve">regulatory burden on business. In August 2017 as part of the streamlining program </w:t>
      </w:r>
      <w:proofErr w:type="spellStart"/>
      <w:r w:rsidRPr="00CB2CA8">
        <w:rPr>
          <w:szCs w:val="22"/>
        </w:rPr>
        <w:t>DoEE</w:t>
      </w:r>
      <w:proofErr w:type="spellEnd"/>
      <w:r w:rsidRPr="00CB2CA8">
        <w:rPr>
          <w:szCs w:val="22"/>
        </w:rPr>
        <w:t xml:space="preserve"> lifted the low volume import licence exemption threshold for PCE imports. The low</w:t>
      </w:r>
      <w:r w:rsidR="00F00BBF">
        <w:rPr>
          <w:szCs w:val="22"/>
        </w:rPr>
        <w:t>-</w:t>
      </w:r>
      <w:r w:rsidRPr="00CB2CA8">
        <w:rPr>
          <w:szCs w:val="22"/>
        </w:rPr>
        <w:t>level threshold</w:t>
      </w:r>
      <w:r w:rsidR="00F00BBF">
        <w:rPr>
          <w:szCs w:val="22"/>
        </w:rPr>
        <w:t>,</w:t>
      </w:r>
      <w:r w:rsidRPr="00CB2CA8">
        <w:rPr>
          <w:szCs w:val="22"/>
        </w:rPr>
        <w:t xml:space="preserve"> above which importing equipment pre-charged with synthetic greenhouse gases require</w:t>
      </w:r>
      <w:r w:rsidR="000D1BE9">
        <w:rPr>
          <w:szCs w:val="22"/>
        </w:rPr>
        <w:t>s</w:t>
      </w:r>
      <w:r w:rsidRPr="00CB2CA8">
        <w:rPr>
          <w:szCs w:val="22"/>
        </w:rPr>
        <w:t xml:space="preserve"> mandatory </w:t>
      </w:r>
      <w:r w:rsidR="00B0778D">
        <w:rPr>
          <w:szCs w:val="22"/>
        </w:rPr>
        <w:t xml:space="preserve">licensing and </w:t>
      </w:r>
      <w:r w:rsidRPr="00CB2CA8">
        <w:rPr>
          <w:szCs w:val="22"/>
        </w:rPr>
        <w:t xml:space="preserve">reporting has been lifted from 10 kg of SGGs in PCE </w:t>
      </w:r>
      <w:r w:rsidR="00B0778D">
        <w:rPr>
          <w:szCs w:val="22"/>
        </w:rPr>
        <w:t xml:space="preserve">once </w:t>
      </w:r>
      <w:r w:rsidRPr="00CB2CA8">
        <w:rPr>
          <w:szCs w:val="22"/>
        </w:rPr>
        <w:t>every two years to 25 kg annually, thereby reducing the total number of licen</w:t>
      </w:r>
      <w:r w:rsidR="009C47C7">
        <w:rPr>
          <w:szCs w:val="22"/>
        </w:rPr>
        <w:t>s</w:t>
      </w:r>
      <w:r w:rsidRPr="00CB2CA8">
        <w:rPr>
          <w:szCs w:val="22"/>
        </w:rPr>
        <w:t xml:space="preserve">ed importers by one third. </w:t>
      </w:r>
    </w:p>
    <w:p w14:paraId="1C090770" w14:textId="77777777" w:rsidR="00B2087D" w:rsidRPr="00CB2CA8" w:rsidRDefault="00B2087D" w:rsidP="009A23AA">
      <w:pPr>
        <w:rPr>
          <w:szCs w:val="22"/>
        </w:rPr>
      </w:pPr>
      <w:r w:rsidRPr="00CB2CA8">
        <w:rPr>
          <w:szCs w:val="22"/>
        </w:rPr>
        <w:t>Analysis of PCE import data from 2017 and 2018, compared to previous years, indicates the measure has had no impact on patterns of pre-charged equipment imports as the total contained gas imported by exempt importers equates to less than 0.2% of total PCE imports.</w:t>
      </w:r>
    </w:p>
    <w:p w14:paraId="216F1660" w14:textId="77777777" w:rsidR="00B2087D" w:rsidRPr="00CB2CA8" w:rsidRDefault="00B2087D" w:rsidP="009A23AA">
      <w:pPr>
        <w:rPr>
          <w:szCs w:val="22"/>
        </w:rPr>
      </w:pPr>
    </w:p>
    <w:p w14:paraId="3DBA2DAD" w14:textId="77777777" w:rsidR="00B2087D" w:rsidRDefault="00B2087D" w:rsidP="009A23AA">
      <w:pPr>
        <w:pStyle w:val="Heading2"/>
        <w:jc w:val="both"/>
      </w:pPr>
      <w:bookmarkStart w:id="123" w:name="_Toc19601311"/>
      <w:r>
        <w:t>Bulk refrigerant imports</w:t>
      </w:r>
      <w:bookmarkEnd w:id="121"/>
      <w:bookmarkEnd w:id="122"/>
      <w:bookmarkEnd w:id="123"/>
    </w:p>
    <w:p w14:paraId="2A7726A8" w14:textId="2C3F215C" w:rsidR="00B2087D" w:rsidRDefault="00B2087D" w:rsidP="009A23AA">
      <w:pPr>
        <w:rPr>
          <w:szCs w:val="22"/>
        </w:rPr>
      </w:pPr>
      <w:r>
        <w:rPr>
          <w:szCs w:val="22"/>
        </w:rPr>
        <w:t xml:space="preserve">The second </w:t>
      </w:r>
      <w:r w:rsidRPr="007F3EA8">
        <w:rPr>
          <w:szCs w:val="22"/>
        </w:rPr>
        <w:t>source of growth in the bank is via the import of bulk refrigerant.</w:t>
      </w:r>
      <w:r>
        <w:rPr>
          <w:szCs w:val="22"/>
        </w:rPr>
        <w:t xml:space="preserve"> </w:t>
      </w:r>
      <w:r w:rsidRPr="007F3EA8">
        <w:rPr>
          <w:szCs w:val="22"/>
        </w:rPr>
        <w:t>A controlled substances licence</w:t>
      </w:r>
      <w:r w:rsidR="00144BF8">
        <w:rPr>
          <w:szCs w:val="22"/>
        </w:rPr>
        <w:t xml:space="preserve"> (and quota)</w:t>
      </w:r>
      <w:r w:rsidRPr="007F3EA8">
        <w:rPr>
          <w:szCs w:val="22"/>
        </w:rPr>
        <w:t xml:space="preserve"> is required to import bulk HCFCs and HFCs</w:t>
      </w:r>
      <w:r>
        <w:rPr>
          <w:szCs w:val="22"/>
        </w:rPr>
        <w:t>,</w:t>
      </w:r>
      <w:r w:rsidRPr="007F3EA8">
        <w:rPr>
          <w:szCs w:val="22"/>
        </w:rPr>
        <w:t xml:space="preserve"> and holders of these licences are required to report all imports. </w:t>
      </w:r>
    </w:p>
    <w:p w14:paraId="3812C895" w14:textId="747C69DF" w:rsidR="00B2087D" w:rsidRPr="007F3EA8" w:rsidRDefault="00B2087D" w:rsidP="009A23AA">
      <w:pPr>
        <w:rPr>
          <w:szCs w:val="22"/>
        </w:rPr>
      </w:pPr>
      <w:r w:rsidRPr="007F3EA8">
        <w:rPr>
          <w:szCs w:val="22"/>
        </w:rPr>
        <w:t xml:space="preserve">Bulk imports of </w:t>
      </w:r>
      <w:r>
        <w:rPr>
          <w:szCs w:val="22"/>
        </w:rPr>
        <w:t>HFCs and HCFCs</w:t>
      </w:r>
      <w:r w:rsidRPr="007F3EA8">
        <w:rPr>
          <w:szCs w:val="22"/>
        </w:rPr>
        <w:t xml:space="preserve"> occur </w:t>
      </w:r>
      <w:r>
        <w:rPr>
          <w:szCs w:val="22"/>
        </w:rPr>
        <w:t xml:space="preserve">mainly </w:t>
      </w:r>
      <w:r w:rsidRPr="007F3EA8">
        <w:rPr>
          <w:szCs w:val="22"/>
        </w:rPr>
        <w:t xml:space="preserve">in </w:t>
      </w:r>
      <w:proofErr w:type="spellStart"/>
      <w:r w:rsidR="00BF1DC6">
        <w:rPr>
          <w:szCs w:val="22"/>
        </w:rPr>
        <w:t>iso</w:t>
      </w:r>
      <w:proofErr w:type="spellEnd"/>
      <w:r w:rsidR="00BF1DC6">
        <w:rPr>
          <w:szCs w:val="22"/>
        </w:rPr>
        <w:t>-</w:t>
      </w:r>
      <w:r w:rsidRPr="007F3EA8">
        <w:rPr>
          <w:szCs w:val="22"/>
        </w:rPr>
        <w:t>tanks containing as much as 18 tonnes each. Bulk imports are b</w:t>
      </w:r>
      <w:r>
        <w:rPr>
          <w:szCs w:val="22"/>
        </w:rPr>
        <w:t>r</w:t>
      </w:r>
      <w:r w:rsidRPr="007F3EA8">
        <w:rPr>
          <w:szCs w:val="22"/>
        </w:rPr>
        <w:t xml:space="preserve">ought into the country by </w:t>
      </w:r>
      <w:r>
        <w:rPr>
          <w:szCs w:val="22"/>
        </w:rPr>
        <w:t xml:space="preserve">32 </w:t>
      </w:r>
      <w:r w:rsidRPr="007F3EA8">
        <w:rPr>
          <w:szCs w:val="22"/>
        </w:rPr>
        <w:t xml:space="preserve">licensed importers </w:t>
      </w:r>
      <w:r>
        <w:rPr>
          <w:szCs w:val="22"/>
        </w:rPr>
        <w:t xml:space="preserve">of HFCs and 4 </w:t>
      </w:r>
      <w:r w:rsidRPr="007F3EA8">
        <w:rPr>
          <w:szCs w:val="22"/>
        </w:rPr>
        <w:t xml:space="preserve">licensed importers </w:t>
      </w:r>
      <w:r>
        <w:rPr>
          <w:szCs w:val="22"/>
        </w:rPr>
        <w:t>of HCFCs. These importers</w:t>
      </w:r>
      <w:r w:rsidRPr="007F3EA8">
        <w:rPr>
          <w:szCs w:val="22"/>
        </w:rPr>
        <w:t xml:space="preserve"> decant the </w:t>
      </w:r>
      <w:r>
        <w:rPr>
          <w:szCs w:val="22"/>
        </w:rPr>
        <w:t>refrigerant</w:t>
      </w:r>
      <w:r w:rsidRPr="007F3EA8">
        <w:rPr>
          <w:szCs w:val="22"/>
        </w:rPr>
        <w:t xml:space="preserve"> into smaller tanks, ranging from 5 tonne mobile road tankers, to 12 kg cylinders used by </w:t>
      </w:r>
      <w:r>
        <w:rPr>
          <w:szCs w:val="22"/>
        </w:rPr>
        <w:t xml:space="preserve">installers </w:t>
      </w:r>
      <w:r w:rsidRPr="007F3EA8">
        <w:rPr>
          <w:szCs w:val="22"/>
        </w:rPr>
        <w:t xml:space="preserve">and </w:t>
      </w:r>
      <w:r>
        <w:rPr>
          <w:szCs w:val="22"/>
        </w:rPr>
        <w:t xml:space="preserve">service </w:t>
      </w:r>
      <w:r w:rsidRPr="007F3EA8">
        <w:rPr>
          <w:szCs w:val="22"/>
        </w:rPr>
        <w:t>technicians.</w:t>
      </w:r>
      <w:r>
        <w:rPr>
          <w:szCs w:val="22"/>
        </w:rPr>
        <w:t xml:space="preserve"> In 2012 there were only 17 </w:t>
      </w:r>
      <w:r w:rsidR="00144BF8">
        <w:rPr>
          <w:szCs w:val="22"/>
        </w:rPr>
        <w:t xml:space="preserve">controlled substances </w:t>
      </w:r>
      <w:r>
        <w:rPr>
          <w:szCs w:val="22"/>
        </w:rPr>
        <w:t>licence holders in total.</w:t>
      </w:r>
      <w:r>
        <w:rPr>
          <w:rStyle w:val="FootnoteReference"/>
          <w:szCs w:val="22"/>
        </w:rPr>
        <w:footnoteReference w:id="30"/>
      </w:r>
    </w:p>
    <w:p w14:paraId="43A5D5E5" w14:textId="48D0CF19" w:rsidR="00B2087D" w:rsidRDefault="00B2087D" w:rsidP="009A23AA">
      <w:pPr>
        <w:rPr>
          <w:szCs w:val="22"/>
        </w:rPr>
      </w:pPr>
      <w:r>
        <w:rPr>
          <w:szCs w:val="22"/>
        </w:rPr>
        <w:t>The</w:t>
      </w:r>
      <w:r w:rsidRPr="007F3EA8">
        <w:rPr>
          <w:szCs w:val="22"/>
        </w:rPr>
        <w:t xml:space="preserve"> </w:t>
      </w:r>
      <w:r>
        <w:rPr>
          <w:szCs w:val="22"/>
        </w:rPr>
        <w:t>majority of</w:t>
      </w:r>
      <w:r w:rsidRPr="007F3EA8">
        <w:rPr>
          <w:szCs w:val="22"/>
        </w:rPr>
        <w:t xml:space="preserve"> bulk imports do not add to the </w:t>
      </w:r>
      <w:r>
        <w:rPr>
          <w:szCs w:val="22"/>
        </w:rPr>
        <w:t>refrigerant bank</w:t>
      </w:r>
      <w:r w:rsidRPr="007F3EA8">
        <w:rPr>
          <w:szCs w:val="22"/>
        </w:rPr>
        <w:t xml:space="preserve">, </w:t>
      </w:r>
      <w:r>
        <w:rPr>
          <w:szCs w:val="22"/>
        </w:rPr>
        <w:t xml:space="preserve">as most of the imported material is used to </w:t>
      </w:r>
      <w:r w:rsidRPr="007F3EA8">
        <w:rPr>
          <w:szCs w:val="22"/>
        </w:rPr>
        <w:t>replac</w:t>
      </w:r>
      <w:r>
        <w:rPr>
          <w:szCs w:val="22"/>
        </w:rPr>
        <w:t>e</w:t>
      </w:r>
      <w:r w:rsidRPr="007F3EA8">
        <w:rPr>
          <w:szCs w:val="22"/>
        </w:rPr>
        <w:t xml:space="preserve"> </w:t>
      </w:r>
      <w:r>
        <w:rPr>
          <w:szCs w:val="22"/>
        </w:rPr>
        <w:t>refrigerant</w:t>
      </w:r>
      <w:r w:rsidRPr="007F3EA8">
        <w:rPr>
          <w:szCs w:val="22"/>
        </w:rPr>
        <w:t xml:space="preserve"> lost</w:t>
      </w:r>
      <w:r>
        <w:rPr>
          <w:szCs w:val="22"/>
        </w:rPr>
        <w:t xml:space="preserve"> from installed equipment. Some bulk imports </w:t>
      </w:r>
      <w:r w:rsidR="000D1BE9">
        <w:rPr>
          <w:szCs w:val="22"/>
        </w:rPr>
        <w:t xml:space="preserve">of HFCs </w:t>
      </w:r>
      <w:r>
        <w:rPr>
          <w:szCs w:val="22"/>
        </w:rPr>
        <w:t>are also replacing HCFC refrigerant charges in older equipment. The increasing cost of HCFCs, and the cost to repair and maintain old equipment with HCFC charges, is steadily reducing the remaining stock of HCFC charged equipment as owners either replace with new equipment or retrofit the older equipment with a non-HCFC gas charge.</w:t>
      </w:r>
    </w:p>
    <w:p w14:paraId="4C0B7CE5" w14:textId="0FF4B3B9" w:rsidR="00B2087D" w:rsidRDefault="00B2087D" w:rsidP="009A23AA">
      <w:pPr>
        <w:rPr>
          <w:szCs w:val="22"/>
        </w:rPr>
      </w:pPr>
      <w:r w:rsidRPr="00761EEF">
        <w:rPr>
          <w:szCs w:val="22"/>
        </w:rPr>
        <w:t>In 2018 a total of 3,712 tonnes of HFCs and 45 tonnes of HCFCs were imported as bulk gas, of which around 7</w:t>
      </w:r>
      <w:r w:rsidR="00761EEF" w:rsidRPr="00761EEF">
        <w:rPr>
          <w:szCs w:val="22"/>
        </w:rPr>
        <w:t>5</w:t>
      </w:r>
      <w:r w:rsidRPr="00761EEF">
        <w:rPr>
          <w:szCs w:val="22"/>
        </w:rPr>
        <w:t xml:space="preserve">% was used to maintain the existing stock of RAC equipment. In other </w:t>
      </w:r>
      <w:r w:rsidR="00C12EDE" w:rsidRPr="00761EEF">
        <w:rPr>
          <w:szCs w:val="22"/>
        </w:rPr>
        <w:t>words,</w:t>
      </w:r>
      <w:r w:rsidRPr="00761EEF">
        <w:rPr>
          <w:szCs w:val="22"/>
        </w:rPr>
        <w:t xml:space="preserve"> around 7</w:t>
      </w:r>
      <w:r w:rsidR="00761EEF" w:rsidRPr="00761EEF">
        <w:rPr>
          <w:szCs w:val="22"/>
        </w:rPr>
        <w:t>5</w:t>
      </w:r>
      <w:r w:rsidRPr="00761EEF">
        <w:rPr>
          <w:szCs w:val="22"/>
        </w:rPr>
        <w:t>% of annual bulk imports are being used to replace refrigerant that is lost to air from working equipment every year.</w:t>
      </w:r>
    </w:p>
    <w:p w14:paraId="6FC33AB3" w14:textId="64348C27" w:rsidR="00B2087D" w:rsidRPr="007F3EA8" w:rsidRDefault="00B2087D" w:rsidP="009A23AA">
      <w:pPr>
        <w:rPr>
          <w:szCs w:val="22"/>
        </w:rPr>
      </w:pPr>
      <w:r w:rsidRPr="00761EEF">
        <w:rPr>
          <w:szCs w:val="22"/>
        </w:rPr>
        <w:t xml:space="preserve">Around </w:t>
      </w:r>
      <w:r w:rsidR="00761EEF" w:rsidRPr="00761EEF">
        <w:rPr>
          <w:szCs w:val="22"/>
        </w:rPr>
        <w:t>960</w:t>
      </w:r>
      <w:r w:rsidRPr="00761EEF">
        <w:rPr>
          <w:szCs w:val="22"/>
        </w:rPr>
        <w:t xml:space="preserve"> tonnes (or </w:t>
      </w:r>
      <w:r w:rsidR="00761EEF" w:rsidRPr="00761EEF">
        <w:rPr>
          <w:szCs w:val="22"/>
        </w:rPr>
        <w:t>25</w:t>
      </w:r>
      <w:r w:rsidRPr="00761EEF">
        <w:rPr>
          <w:szCs w:val="22"/>
        </w:rPr>
        <w:t>%) of bulk imports was used to charge new equipment manufactured in Australia, or to charge equipment imported without a charge of refrigerant or used in other applications such as fire protection systems and foam blowing. A small quantity of bulk imports is re-exported as bulk refrigerant, primarily to small markets in the Pacific</w:t>
      </w:r>
      <w:r w:rsidR="001C0CEE" w:rsidRPr="00761EEF">
        <w:rPr>
          <w:szCs w:val="22"/>
        </w:rPr>
        <w:t>. Some is</w:t>
      </w:r>
      <w:r w:rsidRPr="00761EEF">
        <w:rPr>
          <w:szCs w:val="22"/>
        </w:rPr>
        <w:t xml:space="preserve"> used to service refrigeration and AC systems in visiting shipping, or in refrigerated </w:t>
      </w:r>
      <w:r w:rsidR="000D1BE9">
        <w:rPr>
          <w:szCs w:val="22"/>
        </w:rPr>
        <w:t xml:space="preserve">shipping </w:t>
      </w:r>
      <w:r w:rsidRPr="00761EEF">
        <w:rPr>
          <w:szCs w:val="22"/>
        </w:rPr>
        <w:t>containers serviced on shore.</w:t>
      </w:r>
    </w:p>
    <w:p w14:paraId="2FAFD93E" w14:textId="13E873EB" w:rsidR="00B2087D" w:rsidRDefault="00B2087D" w:rsidP="009A23AA">
      <w:pPr>
        <w:rPr>
          <w:szCs w:val="22"/>
        </w:rPr>
      </w:pPr>
      <w:r>
        <w:rPr>
          <w:szCs w:val="22"/>
        </w:rPr>
        <w:t>In 2018 a</w:t>
      </w:r>
      <w:r w:rsidRPr="00C66E0C">
        <w:rPr>
          <w:szCs w:val="22"/>
        </w:rPr>
        <w:t xml:space="preserve">pproximately </w:t>
      </w:r>
      <w:r w:rsidR="00C730F4">
        <w:rPr>
          <w:szCs w:val="22"/>
        </w:rPr>
        <w:t>26</w:t>
      </w:r>
      <w:r w:rsidR="00761EEF">
        <w:rPr>
          <w:szCs w:val="22"/>
        </w:rPr>
        <w:t>5</w:t>
      </w:r>
      <w:r w:rsidRPr="00C66E0C">
        <w:rPr>
          <w:szCs w:val="22"/>
        </w:rPr>
        <w:t xml:space="preserve"> tonnes of HFC-410A </w:t>
      </w:r>
      <w:r w:rsidR="00C730F4">
        <w:rPr>
          <w:szCs w:val="22"/>
        </w:rPr>
        <w:t>and</w:t>
      </w:r>
      <w:r w:rsidRPr="00C66E0C">
        <w:rPr>
          <w:szCs w:val="22"/>
        </w:rPr>
        <w:t xml:space="preserve"> HFC-134a was used in manufacturing </w:t>
      </w:r>
      <w:r w:rsidR="00C730F4">
        <w:rPr>
          <w:szCs w:val="22"/>
        </w:rPr>
        <w:t xml:space="preserve">domestic and </w:t>
      </w:r>
      <w:r w:rsidRPr="00C66E0C">
        <w:rPr>
          <w:szCs w:val="22"/>
        </w:rPr>
        <w:t>commercial AC systems</w:t>
      </w:r>
      <w:r w:rsidR="00C730F4">
        <w:rPr>
          <w:szCs w:val="22"/>
        </w:rPr>
        <w:t>,</w:t>
      </w:r>
      <w:r>
        <w:rPr>
          <w:szCs w:val="22"/>
        </w:rPr>
        <w:t xml:space="preserve"> and domestic hot water heat pumps</w:t>
      </w:r>
      <w:r w:rsidRPr="00C66E0C">
        <w:rPr>
          <w:szCs w:val="22"/>
        </w:rPr>
        <w:t>.</w:t>
      </w:r>
    </w:p>
    <w:p w14:paraId="082DEEE0" w14:textId="77777777" w:rsidR="00B2087D" w:rsidRDefault="00B2087D" w:rsidP="009A23AA">
      <w:pPr>
        <w:rPr>
          <w:szCs w:val="22"/>
        </w:rPr>
      </w:pPr>
      <w:r>
        <w:rPr>
          <w:szCs w:val="22"/>
        </w:rPr>
        <w:t>In 2016 v</w:t>
      </w:r>
      <w:r w:rsidRPr="00C66E0C">
        <w:rPr>
          <w:szCs w:val="22"/>
        </w:rPr>
        <w:t xml:space="preserve">ehicle manufacturing </w:t>
      </w:r>
      <w:r>
        <w:rPr>
          <w:szCs w:val="22"/>
        </w:rPr>
        <w:t xml:space="preserve">consumed </w:t>
      </w:r>
      <w:r w:rsidRPr="00C66E0C">
        <w:rPr>
          <w:szCs w:val="22"/>
        </w:rPr>
        <w:t xml:space="preserve">about 100 tonnes of </w:t>
      </w:r>
      <w:r>
        <w:rPr>
          <w:szCs w:val="22"/>
        </w:rPr>
        <w:t xml:space="preserve">bulk imports of </w:t>
      </w:r>
      <w:r w:rsidRPr="00C66E0C">
        <w:rPr>
          <w:szCs w:val="22"/>
        </w:rPr>
        <w:t xml:space="preserve">HFC-134a, demand which was removed from the market by the end of 2017 with the closure of the last passenger vehicle manufacturer in Australia. </w:t>
      </w:r>
    </w:p>
    <w:p w14:paraId="6531C890" w14:textId="1A3C9E01" w:rsidR="00B2087D" w:rsidRDefault="00B2087D" w:rsidP="009A23AA">
      <w:pPr>
        <w:rPr>
          <w:szCs w:val="22"/>
        </w:rPr>
      </w:pPr>
      <w:r>
        <w:rPr>
          <w:szCs w:val="22"/>
        </w:rPr>
        <w:t xml:space="preserve">Comparing total bulk imports in 2012 to 2018 is difficult because of </w:t>
      </w:r>
      <w:r w:rsidR="001C0CEE">
        <w:rPr>
          <w:szCs w:val="22"/>
        </w:rPr>
        <w:t>the effect of stockpiling. Imports spiked in 2012 before the introduction of the carbon tax, and</w:t>
      </w:r>
      <w:r>
        <w:rPr>
          <w:szCs w:val="22"/>
        </w:rPr>
        <w:t xml:space="preserve"> subsequently reduced for some years afterwards. </w:t>
      </w:r>
      <w:r w:rsidR="001C0CEE">
        <w:rPr>
          <w:szCs w:val="22"/>
        </w:rPr>
        <w:t>Imports also spiked in</w:t>
      </w:r>
      <w:r>
        <w:rPr>
          <w:szCs w:val="22"/>
        </w:rPr>
        <w:t xml:space="preserve"> 2017</w:t>
      </w:r>
      <w:r w:rsidR="001C0CEE">
        <w:rPr>
          <w:szCs w:val="22"/>
        </w:rPr>
        <w:t>, although to a lesser extent,</w:t>
      </w:r>
      <w:r>
        <w:rPr>
          <w:szCs w:val="22"/>
        </w:rPr>
        <w:t xml:space="preserve"> prior to the introduction of the HFC phase down in Australia.</w:t>
      </w:r>
    </w:p>
    <w:p w14:paraId="41E81733" w14:textId="3A5BFD4F" w:rsidR="00B2087D" w:rsidRDefault="00B2087D" w:rsidP="009A23AA">
      <w:pPr>
        <w:rPr>
          <w:szCs w:val="22"/>
        </w:rPr>
      </w:pPr>
      <w:r>
        <w:rPr>
          <w:szCs w:val="22"/>
        </w:rPr>
        <w:t>As the chart below shows</w:t>
      </w:r>
      <w:r w:rsidR="00285682">
        <w:rPr>
          <w:szCs w:val="22"/>
        </w:rPr>
        <w:t>,</w:t>
      </w:r>
      <w:r>
        <w:rPr>
          <w:szCs w:val="22"/>
        </w:rPr>
        <w:t xml:space="preserve"> actual annual imports over the period has seen large volume changes year on year.</w:t>
      </w:r>
    </w:p>
    <w:p w14:paraId="7FCEE607" w14:textId="77777777" w:rsidR="00B2087D" w:rsidRDefault="00B2087D" w:rsidP="009A23AA">
      <w:pPr>
        <w:rPr>
          <w:szCs w:val="22"/>
        </w:rPr>
      </w:pP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B2087D" w:rsidRPr="005D159D" w14:paraId="35558547" w14:textId="77777777" w:rsidTr="00D306E9">
        <w:tc>
          <w:tcPr>
            <w:tcW w:w="9490" w:type="dxa"/>
            <w:vAlign w:val="center"/>
          </w:tcPr>
          <w:p w14:paraId="3F5B86F7" w14:textId="6D5FC238" w:rsidR="00B2087D" w:rsidRPr="005D159D" w:rsidRDefault="00B2087D" w:rsidP="00BF1DC6">
            <w:pPr>
              <w:spacing w:after="120"/>
              <w:jc w:val="center"/>
              <w:rPr>
                <w:b/>
                <w:sz w:val="24"/>
              </w:rPr>
            </w:pPr>
            <w:r w:rsidRPr="005D159D">
              <w:rPr>
                <w:b/>
                <w:sz w:val="24"/>
              </w:rPr>
              <w:br w:type="page"/>
            </w:r>
            <w:r>
              <w:rPr>
                <w:b/>
                <w:sz w:val="24"/>
              </w:rPr>
              <w:t>B</w:t>
            </w:r>
            <w:r w:rsidRPr="00094F77">
              <w:rPr>
                <w:b/>
                <w:sz w:val="24"/>
              </w:rPr>
              <w:t xml:space="preserve">ulk imports </w:t>
            </w:r>
            <w:r>
              <w:rPr>
                <w:b/>
                <w:sz w:val="24"/>
              </w:rPr>
              <w:t xml:space="preserve">of HFCs and HCFCs from 2012 to 2018 (tonnes) </w:t>
            </w:r>
            <w:r w:rsidRPr="00A33C35">
              <w:rPr>
                <w:b/>
                <w:sz w:val="24"/>
                <w:vertAlign w:val="superscript"/>
              </w:rPr>
              <w:t>(1)</w:t>
            </w:r>
          </w:p>
        </w:tc>
      </w:tr>
      <w:tr w:rsidR="00B2087D" w:rsidRPr="00BD20BC" w14:paraId="54CC53E6" w14:textId="77777777" w:rsidTr="00D306E9">
        <w:tc>
          <w:tcPr>
            <w:tcW w:w="9490" w:type="dxa"/>
            <w:vAlign w:val="center"/>
          </w:tcPr>
          <w:p w14:paraId="2CE6BC93" w14:textId="77777777" w:rsidR="00B2087D" w:rsidRDefault="00B2087D" w:rsidP="00BF1DC6">
            <w:pPr>
              <w:spacing w:before="60" w:after="60"/>
              <w:jc w:val="center"/>
              <w:rPr>
                <w:sz w:val="16"/>
                <w:szCs w:val="16"/>
              </w:rPr>
            </w:pPr>
          </w:p>
          <w:p w14:paraId="2ADD2DB1" w14:textId="77777777" w:rsidR="00B2087D" w:rsidRDefault="00B2087D" w:rsidP="00BF1DC6">
            <w:pPr>
              <w:spacing w:before="60" w:after="60"/>
              <w:jc w:val="center"/>
              <w:rPr>
                <w:sz w:val="16"/>
                <w:szCs w:val="16"/>
              </w:rPr>
            </w:pPr>
            <w:r>
              <w:rPr>
                <w:noProof/>
                <w:lang w:val="en-AU" w:eastAsia="en-AU"/>
              </w:rPr>
              <w:drawing>
                <wp:inline distT="0" distB="0" distL="0" distR="0" wp14:anchorId="32B60064" wp14:editId="3ED4B5F0">
                  <wp:extent cx="5892085" cy="2292985"/>
                  <wp:effectExtent l="0" t="0" r="127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94807" cy="2294044"/>
                          </a:xfrm>
                          <a:prstGeom prst="rect">
                            <a:avLst/>
                          </a:prstGeom>
                        </pic:spPr>
                      </pic:pic>
                    </a:graphicData>
                  </a:graphic>
                </wp:inline>
              </w:drawing>
            </w:r>
          </w:p>
          <w:p w14:paraId="022EB46C" w14:textId="77777777" w:rsidR="00B2087D" w:rsidRPr="00BD20BC" w:rsidRDefault="00B2087D" w:rsidP="00BF1DC6">
            <w:pPr>
              <w:spacing w:before="60" w:after="60"/>
              <w:jc w:val="center"/>
              <w:rPr>
                <w:sz w:val="16"/>
                <w:szCs w:val="16"/>
              </w:rPr>
            </w:pPr>
          </w:p>
        </w:tc>
      </w:tr>
      <w:tr w:rsidR="00B2087D" w:rsidRPr="00042727" w14:paraId="5A9F5388" w14:textId="77777777" w:rsidTr="00D306E9">
        <w:tc>
          <w:tcPr>
            <w:tcW w:w="9490" w:type="dxa"/>
            <w:vAlign w:val="center"/>
          </w:tcPr>
          <w:p w14:paraId="3DBB6F08" w14:textId="6D8A1FD6" w:rsidR="00B2087D" w:rsidRPr="00BB16C6" w:rsidRDefault="00B2087D" w:rsidP="009A23AA">
            <w:pPr>
              <w:pStyle w:val="Caption"/>
              <w:rPr>
                <w:szCs w:val="22"/>
              </w:rPr>
            </w:pPr>
            <w:bookmarkStart w:id="124" w:name="_Toc525141344"/>
            <w:bookmarkStart w:id="125" w:name="_Toc19601348"/>
            <w:r w:rsidRPr="00BB16C6">
              <w:rPr>
                <w:szCs w:val="22"/>
              </w:rPr>
              <w:t xml:space="preserve">Figure </w:t>
            </w:r>
            <w:r w:rsidRPr="00BB16C6">
              <w:rPr>
                <w:szCs w:val="22"/>
              </w:rPr>
              <w:fldChar w:fldCharType="begin"/>
            </w:r>
            <w:r w:rsidRPr="00BB16C6">
              <w:rPr>
                <w:szCs w:val="22"/>
              </w:rPr>
              <w:instrText xml:space="preserve"> SEQ Figure \* ARABIC </w:instrText>
            </w:r>
            <w:r w:rsidRPr="00BB16C6">
              <w:rPr>
                <w:szCs w:val="22"/>
              </w:rPr>
              <w:fldChar w:fldCharType="separate"/>
            </w:r>
            <w:r w:rsidR="001D0DA3">
              <w:rPr>
                <w:noProof/>
                <w:szCs w:val="22"/>
              </w:rPr>
              <w:t>26</w:t>
            </w:r>
            <w:r w:rsidRPr="00BB16C6">
              <w:rPr>
                <w:szCs w:val="22"/>
              </w:rPr>
              <w:fldChar w:fldCharType="end"/>
            </w:r>
            <w:r w:rsidRPr="00BB16C6">
              <w:rPr>
                <w:szCs w:val="22"/>
              </w:rPr>
              <w:t>: Bulk imports of HFCs and HCFCs from 2012 to 201</w:t>
            </w:r>
            <w:r>
              <w:rPr>
                <w:szCs w:val="22"/>
              </w:rPr>
              <w:t>8</w:t>
            </w:r>
            <w:r w:rsidRPr="00BB16C6">
              <w:rPr>
                <w:szCs w:val="22"/>
              </w:rPr>
              <w:t xml:space="preserve">, and </w:t>
            </w:r>
            <w:r>
              <w:rPr>
                <w:szCs w:val="22"/>
              </w:rPr>
              <w:t>7</w:t>
            </w:r>
            <w:r w:rsidRPr="00BB16C6">
              <w:rPr>
                <w:szCs w:val="22"/>
              </w:rPr>
              <w:t xml:space="preserve"> year average in </w:t>
            </w:r>
            <w:proofErr w:type="spellStart"/>
            <w:r w:rsidRPr="00BB16C6">
              <w:rPr>
                <w:szCs w:val="22"/>
              </w:rPr>
              <w:t>tonnes</w:t>
            </w:r>
            <w:proofErr w:type="spellEnd"/>
            <w:r w:rsidRPr="00BB16C6">
              <w:rPr>
                <w:szCs w:val="22"/>
              </w:rPr>
              <w:t>.</w:t>
            </w:r>
            <w:bookmarkEnd w:id="124"/>
            <w:bookmarkEnd w:id="125"/>
          </w:p>
        </w:tc>
      </w:tr>
    </w:tbl>
    <w:p w14:paraId="2D546924" w14:textId="77777777" w:rsidR="00B2087D" w:rsidRDefault="00B2087D" w:rsidP="009A23AA">
      <w:pPr>
        <w:spacing w:before="0"/>
        <w:rPr>
          <w:sz w:val="20"/>
          <w:szCs w:val="20"/>
        </w:rPr>
      </w:pPr>
      <w:r w:rsidRPr="00116557">
        <w:rPr>
          <w:sz w:val="20"/>
          <w:szCs w:val="20"/>
        </w:rPr>
        <w:t xml:space="preserve">(Source: </w:t>
      </w:r>
      <w:proofErr w:type="spellStart"/>
      <w:r>
        <w:rPr>
          <w:sz w:val="20"/>
          <w:szCs w:val="20"/>
        </w:rPr>
        <w:t>DoEE</w:t>
      </w:r>
      <w:proofErr w:type="spellEnd"/>
      <w:r>
        <w:rPr>
          <w:sz w:val="20"/>
          <w:szCs w:val="20"/>
        </w:rPr>
        <w:t xml:space="preserve"> 2019)</w:t>
      </w:r>
    </w:p>
    <w:p w14:paraId="1A5250AA" w14:textId="77777777" w:rsidR="00B2087D" w:rsidRPr="005F5BFE" w:rsidRDefault="00B2087D" w:rsidP="009A23AA">
      <w:pPr>
        <w:pStyle w:val="ListParagraph"/>
        <w:numPr>
          <w:ilvl w:val="0"/>
          <w:numId w:val="11"/>
        </w:numPr>
        <w:spacing w:before="60" w:after="0" w:line="240" w:lineRule="auto"/>
        <w:contextualSpacing w:val="0"/>
        <w:jc w:val="both"/>
        <w:rPr>
          <w:rFonts w:ascii="Times New Roman" w:hAnsi="Times New Roman"/>
        </w:rPr>
      </w:pPr>
      <w:r w:rsidRPr="00A33C35">
        <w:rPr>
          <w:rFonts w:ascii="Times New Roman" w:hAnsi="Times New Roman"/>
          <w:sz w:val="20"/>
          <w:szCs w:val="20"/>
        </w:rPr>
        <w:t xml:space="preserve">Refer to </w:t>
      </w:r>
      <w:r w:rsidRPr="00C1021A">
        <w:rPr>
          <w:rFonts w:ascii="Times New Roman" w:hAnsi="Times New Roman"/>
          <w:i/>
          <w:sz w:val="20"/>
          <w:szCs w:val="20"/>
        </w:rPr>
        <w:t>Appendix B3: Bulk imports and pre-charged equipment imports from 2006 to 201</w:t>
      </w:r>
      <w:r>
        <w:rPr>
          <w:rFonts w:ascii="Times New Roman" w:hAnsi="Times New Roman"/>
          <w:i/>
          <w:sz w:val="20"/>
          <w:szCs w:val="20"/>
        </w:rPr>
        <w:t>8</w:t>
      </w:r>
      <w:r w:rsidRPr="00C1021A">
        <w:rPr>
          <w:rFonts w:ascii="Times New Roman" w:hAnsi="Times New Roman"/>
          <w:i/>
          <w:sz w:val="20"/>
          <w:szCs w:val="20"/>
        </w:rPr>
        <w:t xml:space="preserve">, </w:t>
      </w:r>
      <w:r w:rsidRPr="00912F5A">
        <w:rPr>
          <w:rFonts w:ascii="Times New Roman" w:hAnsi="Times New Roman"/>
          <w:sz w:val="20"/>
          <w:szCs w:val="20"/>
        </w:rPr>
        <w:t>for tabulated data</w:t>
      </w:r>
      <w:r>
        <w:rPr>
          <w:rFonts w:ascii="Times New Roman" w:hAnsi="Times New Roman"/>
          <w:sz w:val="20"/>
          <w:szCs w:val="20"/>
        </w:rPr>
        <w:t xml:space="preserve"> in tonnes and CO</w:t>
      </w:r>
      <w:r w:rsidRPr="00912F5A">
        <w:rPr>
          <w:rFonts w:ascii="Times New Roman" w:hAnsi="Times New Roman"/>
          <w:sz w:val="20"/>
          <w:szCs w:val="20"/>
          <w:vertAlign w:val="subscript"/>
        </w:rPr>
        <w:t>2</w:t>
      </w:r>
      <w:r>
        <w:rPr>
          <w:rFonts w:ascii="Times New Roman" w:hAnsi="Times New Roman"/>
          <w:sz w:val="20"/>
          <w:szCs w:val="20"/>
        </w:rPr>
        <w:t>e</w:t>
      </w:r>
      <w:r w:rsidRPr="00912F5A">
        <w:rPr>
          <w:rFonts w:ascii="Times New Roman" w:hAnsi="Times New Roman"/>
          <w:sz w:val="20"/>
          <w:szCs w:val="20"/>
        </w:rPr>
        <w:t>.</w:t>
      </w:r>
    </w:p>
    <w:p w14:paraId="62ED4147" w14:textId="77777777" w:rsidR="00B2087D" w:rsidRDefault="00B2087D" w:rsidP="009A23AA">
      <w:pPr>
        <w:rPr>
          <w:szCs w:val="22"/>
        </w:rPr>
      </w:pPr>
    </w:p>
    <w:p w14:paraId="4C4FD280" w14:textId="53642990" w:rsidR="00B2087D" w:rsidRPr="00CD1657" w:rsidRDefault="00B2087D" w:rsidP="009A23AA">
      <w:pPr>
        <w:rPr>
          <w:szCs w:val="22"/>
        </w:rPr>
      </w:pPr>
      <w:r w:rsidRPr="00CD1657">
        <w:rPr>
          <w:szCs w:val="22"/>
        </w:rPr>
        <w:t>Bulk refrigerant import data up to 2016 shows that the predicted import volume recovery did not occur until the 2015-16 financial year, partly due to lower demand for service</w:t>
      </w:r>
      <w:r>
        <w:rPr>
          <w:szCs w:val="22"/>
        </w:rPr>
        <w:t xml:space="preserve"> gas. This reduced demand for service gas is thought to be a direct result of the price increases experienced in the market following the implementation of the carbon tax. </w:t>
      </w:r>
      <w:r w:rsidR="009C47C7">
        <w:rPr>
          <w:szCs w:val="22"/>
        </w:rPr>
        <w:t>T</w:t>
      </w:r>
      <w:r>
        <w:rPr>
          <w:szCs w:val="22"/>
        </w:rPr>
        <w:t>he market saw much higher prices for most major gas species, and many large consumers took action to improve maintenance on RAC equipment, and to identify and eliminate leaks as far as possible.</w:t>
      </w:r>
      <w:r w:rsidRPr="00CD1657">
        <w:rPr>
          <w:szCs w:val="22"/>
        </w:rPr>
        <w:t xml:space="preserve"> </w:t>
      </w:r>
      <w:r>
        <w:rPr>
          <w:szCs w:val="22"/>
        </w:rPr>
        <w:t xml:space="preserve">Since 2012-13 some major consumers have reported </w:t>
      </w:r>
      <w:r w:rsidRPr="00CD1657">
        <w:rPr>
          <w:szCs w:val="22"/>
        </w:rPr>
        <w:t xml:space="preserve">dramatic reductions in leak rates in some equipment categories. </w:t>
      </w:r>
    </w:p>
    <w:p w14:paraId="2D4B4B72" w14:textId="446AB910" w:rsidR="00B2087D" w:rsidRPr="00CD1657" w:rsidRDefault="00CB1C2D" w:rsidP="009A23AA">
      <w:pPr>
        <w:rPr>
          <w:szCs w:val="22"/>
        </w:rPr>
      </w:pPr>
      <w:r>
        <w:rPr>
          <w:szCs w:val="22"/>
        </w:rPr>
        <w:t>R</w:t>
      </w:r>
      <w:r w:rsidR="00B2087D" w:rsidRPr="00CD1657">
        <w:rPr>
          <w:szCs w:val="22"/>
        </w:rPr>
        <w:t>ecovery and reclamation of HCFCs has become a fixture in the Australian supply chains as the value of HCFCs has steadily risen</w:t>
      </w:r>
      <w:r>
        <w:rPr>
          <w:szCs w:val="22"/>
        </w:rPr>
        <w:t>.</w:t>
      </w:r>
      <w:r w:rsidR="00B2087D" w:rsidRPr="00CD1657">
        <w:rPr>
          <w:szCs w:val="22"/>
        </w:rPr>
        <w:t xml:space="preserve"> </w:t>
      </w:r>
      <w:r>
        <w:rPr>
          <w:szCs w:val="22"/>
        </w:rPr>
        <w:t>The r</w:t>
      </w:r>
      <w:r w:rsidR="00B2087D" w:rsidRPr="00CD1657">
        <w:rPr>
          <w:szCs w:val="22"/>
        </w:rPr>
        <w:t xml:space="preserve">ecovery and recycling of </w:t>
      </w:r>
      <w:r w:rsidRPr="00CD1657">
        <w:rPr>
          <w:szCs w:val="22"/>
        </w:rPr>
        <w:t>HFCs</w:t>
      </w:r>
      <w:r w:rsidR="00285682">
        <w:rPr>
          <w:szCs w:val="22"/>
        </w:rPr>
        <w:t>,</w:t>
      </w:r>
      <w:r w:rsidRPr="00CD1657">
        <w:rPr>
          <w:szCs w:val="22"/>
        </w:rPr>
        <w:t xml:space="preserve"> </w:t>
      </w:r>
      <w:r>
        <w:rPr>
          <w:szCs w:val="22"/>
        </w:rPr>
        <w:t>which</w:t>
      </w:r>
      <w:r w:rsidRPr="00CD1657">
        <w:rPr>
          <w:szCs w:val="22"/>
        </w:rPr>
        <w:t xml:space="preserve"> was reported in some instances soon after the introduction of the carbon tax</w:t>
      </w:r>
      <w:r w:rsidR="00285682">
        <w:rPr>
          <w:szCs w:val="22"/>
        </w:rPr>
        <w:t>,</w:t>
      </w:r>
      <w:r w:rsidR="00B2087D" w:rsidRPr="00CD1657">
        <w:rPr>
          <w:szCs w:val="22"/>
        </w:rPr>
        <w:t xml:space="preserve"> declined following the repeal of the legislation. The removal of the carbon tax coupled with the multi-year stockpiles of HFCs in the country quickly returned most HFC wholesale prices to </w:t>
      </w:r>
      <w:r w:rsidR="00B2087D">
        <w:rPr>
          <w:szCs w:val="22"/>
        </w:rPr>
        <w:t>similar prices to prior to the carbon tax</w:t>
      </w:r>
      <w:r w:rsidR="00B2087D" w:rsidRPr="00CD1657">
        <w:rPr>
          <w:szCs w:val="22"/>
        </w:rPr>
        <w:t>, making recovery and recycling of HFCs largely uneconomic.</w:t>
      </w:r>
    </w:p>
    <w:p w14:paraId="3C9A312D" w14:textId="1D82ED5E" w:rsidR="00B2087D" w:rsidRPr="00CD1657" w:rsidRDefault="00CB1C2D" w:rsidP="009A23AA">
      <w:pPr>
        <w:rPr>
          <w:szCs w:val="22"/>
        </w:rPr>
      </w:pPr>
      <w:r>
        <w:rPr>
          <w:szCs w:val="22"/>
        </w:rPr>
        <w:t>A</w:t>
      </w:r>
      <w:r w:rsidR="00B2087D" w:rsidRPr="00CD1657">
        <w:rPr>
          <w:szCs w:val="22"/>
        </w:rPr>
        <w:t xml:space="preserve"> better comparison of changes in the trends in bulk imports </w:t>
      </w:r>
      <w:r>
        <w:rPr>
          <w:szCs w:val="22"/>
        </w:rPr>
        <w:t>might be</w:t>
      </w:r>
      <w:r w:rsidR="00B2087D" w:rsidRPr="00CD1657">
        <w:rPr>
          <w:szCs w:val="22"/>
        </w:rPr>
        <w:t xml:space="preserve"> made by comparing average annual imports over a longer timeframe. </w:t>
      </w:r>
      <w:r w:rsidRPr="00CD1657">
        <w:rPr>
          <w:szCs w:val="22"/>
        </w:rPr>
        <w:t>T</w:t>
      </w:r>
      <w:r>
        <w:rPr>
          <w:szCs w:val="22"/>
        </w:rPr>
        <w:t>his</w:t>
      </w:r>
      <w:r w:rsidRPr="00CD1657">
        <w:rPr>
          <w:szCs w:val="22"/>
        </w:rPr>
        <w:t xml:space="preserve"> normalise</w:t>
      </w:r>
      <w:r>
        <w:rPr>
          <w:szCs w:val="22"/>
        </w:rPr>
        <w:t>s</w:t>
      </w:r>
      <w:r w:rsidRPr="00CD1657">
        <w:rPr>
          <w:szCs w:val="22"/>
        </w:rPr>
        <w:t xml:space="preserve"> the effects of 2012 and 2017 stockpiling</w:t>
      </w:r>
      <w:r>
        <w:rPr>
          <w:szCs w:val="22"/>
        </w:rPr>
        <w:t>.</w:t>
      </w:r>
    </w:p>
    <w:p w14:paraId="025D603F" w14:textId="46DE668B" w:rsidR="00B2087D" w:rsidRDefault="00B2087D" w:rsidP="009A23AA">
      <w:pPr>
        <w:rPr>
          <w:szCs w:val="22"/>
        </w:rPr>
      </w:pPr>
      <w:r>
        <w:rPr>
          <w:szCs w:val="22"/>
        </w:rPr>
        <w:t>In the seven years from 2012 to 2018 an</w:t>
      </w:r>
      <w:r w:rsidRPr="007F3EA8">
        <w:rPr>
          <w:szCs w:val="22"/>
        </w:rPr>
        <w:t xml:space="preserve"> average </w:t>
      </w:r>
      <w:r>
        <w:rPr>
          <w:szCs w:val="22"/>
        </w:rPr>
        <w:t>of 3,633</w:t>
      </w:r>
      <w:r w:rsidRPr="007F3EA8">
        <w:rPr>
          <w:szCs w:val="22"/>
        </w:rPr>
        <w:t xml:space="preserve"> tonnes of HFCs</w:t>
      </w:r>
      <w:r>
        <w:rPr>
          <w:szCs w:val="22"/>
        </w:rPr>
        <w:t>, and 297 tonnes of HCFCs</w:t>
      </w:r>
      <w:r w:rsidRPr="007F3EA8">
        <w:rPr>
          <w:szCs w:val="22"/>
        </w:rPr>
        <w:t xml:space="preserve"> were imported</w:t>
      </w:r>
      <w:r>
        <w:rPr>
          <w:szCs w:val="22"/>
        </w:rPr>
        <w:t xml:space="preserve"> as bulk refrigerant (a total of 3,930 tonnes per annum on average). This compares with </w:t>
      </w:r>
      <w:r>
        <w:rPr>
          <w:szCs w:val="22"/>
          <w:lang w:val="en-US"/>
        </w:rPr>
        <w:t xml:space="preserve">bulk imports for the 6 previous years from 2006 to 2011 averaging about 2,900 </w:t>
      </w:r>
      <w:proofErr w:type="spellStart"/>
      <w:r>
        <w:rPr>
          <w:szCs w:val="22"/>
          <w:lang w:val="en-US"/>
        </w:rPr>
        <w:t>tonnes</w:t>
      </w:r>
      <w:proofErr w:type="spellEnd"/>
      <w:r>
        <w:rPr>
          <w:szCs w:val="22"/>
          <w:lang w:val="en-US"/>
        </w:rPr>
        <w:t xml:space="preserve"> per annum of HFCs</w:t>
      </w:r>
      <w:r w:rsidRPr="007F3EA8">
        <w:rPr>
          <w:szCs w:val="22"/>
        </w:rPr>
        <w:t xml:space="preserve">, </w:t>
      </w:r>
      <w:r>
        <w:rPr>
          <w:szCs w:val="22"/>
        </w:rPr>
        <w:t>and around 1,600 tonnes per annum of HCFCs (a total of 4,500 tonnes per annum on average).</w:t>
      </w:r>
      <w:r w:rsidR="000D1BE9">
        <w:rPr>
          <w:szCs w:val="22"/>
        </w:rPr>
        <w:t xml:space="preserve"> </w:t>
      </w:r>
      <w:r w:rsidR="000D1BE9" w:rsidRPr="000D1BE9">
        <w:rPr>
          <w:szCs w:val="22"/>
        </w:rPr>
        <w:t>Average bulk imports for the past 7 years are well below the average for the period 2006 to 2011 and tend to confirm industry reporting that the overall trend of bulk imports is down.</w:t>
      </w:r>
    </w:p>
    <w:p w14:paraId="5341FCA5" w14:textId="256A7D4B" w:rsidR="00B2087D" w:rsidRPr="00CE131E" w:rsidRDefault="004E40E3" w:rsidP="009A23AA">
      <w:pPr>
        <w:rPr>
          <w:i/>
          <w:szCs w:val="22"/>
        </w:rPr>
      </w:pPr>
      <w:r>
        <w:rPr>
          <w:szCs w:val="22"/>
        </w:rPr>
        <w:t>T</w:t>
      </w:r>
      <w:r w:rsidR="00B2087D" w:rsidRPr="00BB16C6">
        <w:rPr>
          <w:szCs w:val="22"/>
        </w:rPr>
        <w:t>his decade</w:t>
      </w:r>
      <w:r w:rsidR="00B2087D">
        <w:rPr>
          <w:szCs w:val="22"/>
        </w:rPr>
        <w:t>-</w:t>
      </w:r>
      <w:r w:rsidR="00B2087D" w:rsidRPr="00BB16C6">
        <w:rPr>
          <w:szCs w:val="22"/>
        </w:rPr>
        <w:t xml:space="preserve">long trend in bulk imports of HFCs </w:t>
      </w:r>
      <w:r w:rsidR="00B2087D" w:rsidRPr="00761EEF">
        <w:rPr>
          <w:szCs w:val="22"/>
        </w:rPr>
        <w:t>and HCFCs</w:t>
      </w:r>
      <w:r>
        <w:rPr>
          <w:szCs w:val="22"/>
        </w:rPr>
        <w:t xml:space="preserve"> is </w:t>
      </w:r>
      <w:r w:rsidR="00B2087D" w:rsidRPr="00761EEF">
        <w:rPr>
          <w:szCs w:val="22"/>
        </w:rPr>
        <w:t>illustrated in</w:t>
      </w:r>
      <w:r w:rsidR="00B2087D" w:rsidRPr="00761EEF">
        <w:rPr>
          <w:i/>
          <w:szCs w:val="22"/>
        </w:rPr>
        <w:t xml:space="preserve"> Figure </w:t>
      </w:r>
      <w:r w:rsidR="00761EEF" w:rsidRPr="00761EEF">
        <w:rPr>
          <w:i/>
          <w:szCs w:val="22"/>
        </w:rPr>
        <w:t>27</w:t>
      </w:r>
      <w:r w:rsidR="00B2087D" w:rsidRPr="00761EEF">
        <w:rPr>
          <w:szCs w:val="22"/>
        </w:rPr>
        <w:t xml:space="preserve"> below</w:t>
      </w:r>
      <w:r>
        <w:rPr>
          <w:szCs w:val="22"/>
        </w:rPr>
        <w:t xml:space="preserve"> in </w:t>
      </w:r>
      <w:proofErr w:type="spellStart"/>
      <w:r w:rsidR="00B2087D" w:rsidRPr="007F3EA8">
        <w:rPr>
          <w:szCs w:val="22"/>
        </w:rPr>
        <w:t>kilotonnes</w:t>
      </w:r>
      <w:proofErr w:type="spellEnd"/>
      <w:r w:rsidR="00B2087D" w:rsidRPr="007F3EA8">
        <w:rPr>
          <w:szCs w:val="22"/>
        </w:rPr>
        <w:t xml:space="preserve"> </w:t>
      </w:r>
      <w:r w:rsidR="00B2087D">
        <w:rPr>
          <w:szCs w:val="22"/>
        </w:rPr>
        <w:t>(</w:t>
      </w:r>
      <w:proofErr w:type="spellStart"/>
      <w:r w:rsidR="00B2087D">
        <w:rPr>
          <w:szCs w:val="22"/>
        </w:rPr>
        <w:t>kt</w:t>
      </w:r>
      <w:proofErr w:type="spellEnd"/>
      <w:r w:rsidR="00B2087D">
        <w:rPr>
          <w:szCs w:val="22"/>
        </w:rPr>
        <w:t xml:space="preserve"> or 1,000 tonnes) </w:t>
      </w:r>
      <w:r w:rsidR="00B2087D" w:rsidRPr="007F3EA8">
        <w:rPr>
          <w:szCs w:val="22"/>
        </w:rPr>
        <w:t>of CO</w:t>
      </w:r>
      <w:r w:rsidR="00B2087D" w:rsidRPr="007F3EA8">
        <w:rPr>
          <w:szCs w:val="22"/>
          <w:vertAlign w:val="subscript"/>
        </w:rPr>
        <w:t>2</w:t>
      </w:r>
      <w:r w:rsidR="00B2087D" w:rsidRPr="007F3EA8">
        <w:rPr>
          <w:szCs w:val="22"/>
        </w:rPr>
        <w:t>e</w:t>
      </w:r>
      <w:r w:rsidR="00B2087D">
        <w:rPr>
          <w:szCs w:val="22"/>
        </w:rPr>
        <w:t xml:space="preserve"> of the HFC bulk imports over the last 7 years. The average over the period was 8,077 </w:t>
      </w:r>
      <w:proofErr w:type="spellStart"/>
      <w:r w:rsidR="00B2087D">
        <w:rPr>
          <w:szCs w:val="22"/>
        </w:rPr>
        <w:t>kt</w:t>
      </w:r>
      <w:proofErr w:type="spellEnd"/>
      <w:r w:rsidR="00B2087D">
        <w:rPr>
          <w:szCs w:val="22"/>
        </w:rPr>
        <w:t xml:space="preserve"> CO</w:t>
      </w:r>
      <w:r w:rsidR="00B2087D" w:rsidRPr="00601E81">
        <w:rPr>
          <w:szCs w:val="22"/>
          <w:vertAlign w:val="subscript"/>
        </w:rPr>
        <w:t>2</w:t>
      </w:r>
      <w:r w:rsidR="00B2087D">
        <w:rPr>
          <w:szCs w:val="22"/>
        </w:rPr>
        <w:t>e of HFCs including the two stock piling events.</w:t>
      </w:r>
    </w:p>
    <w:p w14:paraId="258622C8" w14:textId="42D8EB77" w:rsidR="00B2087D" w:rsidRDefault="00B2087D" w:rsidP="009A23AA">
      <w:pPr>
        <w:rPr>
          <w:szCs w:val="22"/>
        </w:rPr>
      </w:pPr>
    </w:p>
    <w:p w14:paraId="16CE168A" w14:textId="7B436B98" w:rsidR="00285682" w:rsidRDefault="00285682" w:rsidP="009A23AA">
      <w:pPr>
        <w:rPr>
          <w:szCs w:val="22"/>
        </w:rPr>
      </w:pPr>
    </w:p>
    <w:p w14:paraId="6483A0A6" w14:textId="28B6F904" w:rsidR="00285682" w:rsidRDefault="00285682" w:rsidP="009A23AA">
      <w:pPr>
        <w:rPr>
          <w:szCs w:val="22"/>
        </w:rPr>
      </w:pPr>
    </w:p>
    <w:p w14:paraId="0E7BD9D6" w14:textId="40608FE1" w:rsidR="00285682" w:rsidRDefault="00285682" w:rsidP="009A23AA">
      <w:pPr>
        <w:rPr>
          <w:szCs w:val="22"/>
        </w:rPr>
      </w:pPr>
    </w:p>
    <w:p w14:paraId="537C79DD" w14:textId="695BE5EE" w:rsidR="00285682" w:rsidRDefault="00285682" w:rsidP="009A23AA">
      <w:pPr>
        <w:rPr>
          <w:szCs w:val="22"/>
        </w:rPr>
      </w:pPr>
    </w:p>
    <w:p w14:paraId="0590C2B7" w14:textId="1D8AA57F" w:rsidR="00285682" w:rsidRDefault="00285682" w:rsidP="009A23AA">
      <w:pPr>
        <w:rPr>
          <w:szCs w:val="22"/>
        </w:rPr>
      </w:pPr>
    </w:p>
    <w:p w14:paraId="6AFBC9C2" w14:textId="58780266" w:rsidR="00285682" w:rsidRDefault="00285682" w:rsidP="009A23AA">
      <w:pPr>
        <w:rPr>
          <w:szCs w:val="22"/>
        </w:rPr>
      </w:pPr>
    </w:p>
    <w:p w14:paraId="0F00E4B1" w14:textId="3052016A" w:rsidR="00285682" w:rsidRDefault="00285682" w:rsidP="009A23AA">
      <w:pPr>
        <w:rPr>
          <w:szCs w:val="22"/>
        </w:rPr>
      </w:pPr>
    </w:p>
    <w:p w14:paraId="550D124D" w14:textId="71840928" w:rsidR="00285682" w:rsidRDefault="00285682" w:rsidP="009A23AA">
      <w:pPr>
        <w:rPr>
          <w:szCs w:val="22"/>
        </w:rPr>
      </w:pPr>
    </w:p>
    <w:p w14:paraId="71604707" w14:textId="1591CF5B" w:rsidR="00285682" w:rsidRDefault="00285682" w:rsidP="009A23AA">
      <w:pPr>
        <w:rPr>
          <w:szCs w:val="22"/>
        </w:rPr>
      </w:pPr>
    </w:p>
    <w:p w14:paraId="15CC9A9F" w14:textId="0155790C" w:rsidR="004E40E3" w:rsidRDefault="004E40E3">
      <w:pPr>
        <w:spacing w:before="0"/>
        <w:jc w:val="left"/>
        <w:rPr>
          <w:szCs w:val="22"/>
        </w:rPr>
      </w:pPr>
      <w:r>
        <w:rPr>
          <w:szCs w:val="22"/>
        </w:rPr>
        <w:br w:type="page"/>
      </w: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0"/>
      </w:tblGrid>
      <w:tr w:rsidR="00B2087D" w:rsidRPr="005D159D" w14:paraId="2E452CD4" w14:textId="77777777" w:rsidTr="00D306E9">
        <w:tc>
          <w:tcPr>
            <w:tcW w:w="9490" w:type="dxa"/>
            <w:vAlign w:val="center"/>
          </w:tcPr>
          <w:p w14:paraId="25F11F29" w14:textId="77777777" w:rsidR="00B2087D" w:rsidRPr="005D159D" w:rsidRDefault="00B2087D" w:rsidP="00761EEF">
            <w:pPr>
              <w:spacing w:after="120"/>
              <w:jc w:val="center"/>
              <w:rPr>
                <w:b/>
                <w:sz w:val="24"/>
              </w:rPr>
            </w:pPr>
            <w:r w:rsidRPr="005D159D">
              <w:rPr>
                <w:b/>
                <w:sz w:val="24"/>
              </w:rPr>
              <w:br w:type="page"/>
            </w:r>
            <w:r w:rsidRPr="006F0C7A">
              <w:rPr>
                <w:b/>
                <w:sz w:val="24"/>
              </w:rPr>
              <w:t xml:space="preserve">Trend of </w:t>
            </w:r>
            <w:r>
              <w:rPr>
                <w:b/>
                <w:sz w:val="24"/>
              </w:rPr>
              <w:t xml:space="preserve">HFC </w:t>
            </w:r>
            <w:r w:rsidRPr="006F0C7A">
              <w:rPr>
                <w:b/>
                <w:sz w:val="24"/>
              </w:rPr>
              <w:t xml:space="preserve">bulk imports in </w:t>
            </w:r>
            <w:proofErr w:type="spellStart"/>
            <w:r w:rsidRPr="006F0C7A">
              <w:rPr>
                <w:b/>
                <w:sz w:val="24"/>
              </w:rPr>
              <w:t>kt</w:t>
            </w:r>
            <w:proofErr w:type="spellEnd"/>
            <w:r w:rsidRPr="006F0C7A">
              <w:rPr>
                <w:b/>
                <w:sz w:val="24"/>
              </w:rPr>
              <w:t xml:space="preserve"> CO</w:t>
            </w:r>
            <w:r w:rsidRPr="006F0C7A">
              <w:rPr>
                <w:b/>
                <w:sz w:val="24"/>
                <w:vertAlign w:val="subscript"/>
              </w:rPr>
              <w:t>2</w:t>
            </w:r>
            <w:r w:rsidRPr="006F0C7A">
              <w:rPr>
                <w:b/>
                <w:sz w:val="24"/>
              </w:rPr>
              <w:t>e</w:t>
            </w:r>
          </w:p>
        </w:tc>
      </w:tr>
      <w:tr w:rsidR="00B2087D" w:rsidRPr="00BD20BC" w14:paraId="4086E53C" w14:textId="77777777" w:rsidTr="00D306E9">
        <w:tc>
          <w:tcPr>
            <w:tcW w:w="9490" w:type="dxa"/>
            <w:vAlign w:val="center"/>
          </w:tcPr>
          <w:p w14:paraId="2ED59F0D" w14:textId="77777777" w:rsidR="00B2087D" w:rsidRDefault="00B2087D" w:rsidP="00761EEF">
            <w:pPr>
              <w:spacing w:before="60" w:after="60"/>
              <w:jc w:val="center"/>
              <w:rPr>
                <w:sz w:val="16"/>
                <w:szCs w:val="16"/>
              </w:rPr>
            </w:pPr>
          </w:p>
          <w:p w14:paraId="54438DFD" w14:textId="77777777" w:rsidR="00B2087D" w:rsidRDefault="00B2087D" w:rsidP="00761EEF">
            <w:pPr>
              <w:spacing w:before="60" w:after="60"/>
              <w:jc w:val="center"/>
              <w:rPr>
                <w:sz w:val="16"/>
                <w:szCs w:val="16"/>
              </w:rPr>
            </w:pPr>
            <w:r>
              <w:rPr>
                <w:noProof/>
                <w:lang w:val="en-AU" w:eastAsia="en-AU"/>
              </w:rPr>
              <w:drawing>
                <wp:inline distT="0" distB="0" distL="0" distR="0" wp14:anchorId="45D1362C" wp14:editId="5987E183">
                  <wp:extent cx="5853448" cy="2674620"/>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6565" cy="2676044"/>
                          </a:xfrm>
                          <a:prstGeom prst="rect">
                            <a:avLst/>
                          </a:prstGeom>
                        </pic:spPr>
                      </pic:pic>
                    </a:graphicData>
                  </a:graphic>
                </wp:inline>
              </w:drawing>
            </w:r>
          </w:p>
          <w:p w14:paraId="3EAAFBB3" w14:textId="77777777" w:rsidR="00B2087D" w:rsidRPr="00BD20BC" w:rsidRDefault="00B2087D" w:rsidP="00761EEF">
            <w:pPr>
              <w:spacing w:before="60" w:after="60"/>
              <w:jc w:val="center"/>
              <w:rPr>
                <w:sz w:val="16"/>
                <w:szCs w:val="16"/>
              </w:rPr>
            </w:pPr>
          </w:p>
        </w:tc>
      </w:tr>
      <w:tr w:rsidR="00B2087D" w:rsidRPr="00042727" w14:paraId="490DC883" w14:textId="77777777" w:rsidTr="00D306E9">
        <w:tc>
          <w:tcPr>
            <w:tcW w:w="9490" w:type="dxa"/>
            <w:vAlign w:val="center"/>
          </w:tcPr>
          <w:p w14:paraId="1214F528" w14:textId="3DB97EDA" w:rsidR="00B2087D" w:rsidRPr="00BB16C6" w:rsidRDefault="00B2087D" w:rsidP="009A23AA">
            <w:pPr>
              <w:pStyle w:val="Caption"/>
              <w:rPr>
                <w:szCs w:val="22"/>
              </w:rPr>
            </w:pPr>
            <w:bookmarkStart w:id="126" w:name="_Toc19601349"/>
            <w:r w:rsidRPr="00BB16C6">
              <w:rPr>
                <w:szCs w:val="22"/>
              </w:rPr>
              <w:t xml:space="preserve">Figure </w:t>
            </w:r>
            <w:r w:rsidRPr="00BB16C6">
              <w:rPr>
                <w:szCs w:val="22"/>
              </w:rPr>
              <w:fldChar w:fldCharType="begin"/>
            </w:r>
            <w:r w:rsidRPr="00BB16C6">
              <w:rPr>
                <w:szCs w:val="22"/>
              </w:rPr>
              <w:instrText xml:space="preserve"> SEQ Figure \* ARABIC </w:instrText>
            </w:r>
            <w:r w:rsidRPr="00BB16C6">
              <w:rPr>
                <w:szCs w:val="22"/>
              </w:rPr>
              <w:fldChar w:fldCharType="separate"/>
            </w:r>
            <w:r w:rsidR="001D0DA3">
              <w:rPr>
                <w:noProof/>
                <w:szCs w:val="22"/>
              </w:rPr>
              <w:t>27</w:t>
            </w:r>
            <w:r w:rsidRPr="00BB16C6">
              <w:rPr>
                <w:szCs w:val="22"/>
              </w:rPr>
              <w:fldChar w:fldCharType="end"/>
            </w:r>
            <w:r w:rsidRPr="00BB16C6">
              <w:rPr>
                <w:szCs w:val="22"/>
              </w:rPr>
              <w:t xml:space="preserve">: Trend of HFC bulk imports in </w:t>
            </w:r>
            <w:proofErr w:type="spellStart"/>
            <w:r w:rsidRPr="00BB16C6">
              <w:rPr>
                <w:szCs w:val="22"/>
              </w:rPr>
              <w:t>kt</w:t>
            </w:r>
            <w:proofErr w:type="spellEnd"/>
            <w:r w:rsidRPr="00BB16C6">
              <w:rPr>
                <w:szCs w:val="22"/>
              </w:rPr>
              <w:t xml:space="preserve"> CO</w:t>
            </w:r>
            <w:r w:rsidRPr="00BB16C6">
              <w:rPr>
                <w:szCs w:val="22"/>
                <w:vertAlign w:val="subscript"/>
              </w:rPr>
              <w:t>2</w:t>
            </w:r>
            <w:r w:rsidRPr="00BB16C6">
              <w:rPr>
                <w:szCs w:val="22"/>
              </w:rPr>
              <w:t>e from 20</w:t>
            </w:r>
            <w:r>
              <w:rPr>
                <w:szCs w:val="22"/>
              </w:rPr>
              <w:t>12</w:t>
            </w:r>
            <w:r w:rsidRPr="00BB16C6">
              <w:rPr>
                <w:szCs w:val="22"/>
              </w:rPr>
              <w:t xml:space="preserve"> to 201</w:t>
            </w:r>
            <w:r>
              <w:rPr>
                <w:szCs w:val="22"/>
              </w:rPr>
              <w:t>8</w:t>
            </w:r>
            <w:r w:rsidRPr="00BB16C6">
              <w:rPr>
                <w:szCs w:val="22"/>
              </w:rPr>
              <w:t>.</w:t>
            </w:r>
            <w:bookmarkEnd w:id="126"/>
          </w:p>
        </w:tc>
      </w:tr>
    </w:tbl>
    <w:p w14:paraId="30D22048" w14:textId="77777777" w:rsidR="00B2087D" w:rsidRDefault="00B2087D" w:rsidP="009A23AA">
      <w:pPr>
        <w:spacing w:before="0"/>
        <w:rPr>
          <w:sz w:val="20"/>
          <w:szCs w:val="20"/>
        </w:rPr>
      </w:pPr>
      <w:r w:rsidRPr="00116557">
        <w:rPr>
          <w:sz w:val="20"/>
          <w:szCs w:val="20"/>
        </w:rPr>
        <w:t xml:space="preserve">(Source: </w:t>
      </w:r>
      <w:proofErr w:type="spellStart"/>
      <w:r>
        <w:rPr>
          <w:sz w:val="20"/>
          <w:szCs w:val="20"/>
        </w:rPr>
        <w:t>DoEE</w:t>
      </w:r>
      <w:proofErr w:type="spellEnd"/>
      <w:r>
        <w:rPr>
          <w:sz w:val="20"/>
          <w:szCs w:val="20"/>
        </w:rPr>
        <w:t xml:space="preserve"> 2019)</w:t>
      </w:r>
    </w:p>
    <w:p w14:paraId="082D4A11" w14:textId="77777777" w:rsidR="00B2087D" w:rsidRDefault="00B2087D" w:rsidP="009A23AA">
      <w:pPr>
        <w:rPr>
          <w:szCs w:val="22"/>
        </w:rPr>
      </w:pPr>
    </w:p>
    <w:p w14:paraId="66812801" w14:textId="41A713FA" w:rsidR="00B2087D" w:rsidRDefault="00B2087D" w:rsidP="009A23AA">
      <w:pPr>
        <w:rPr>
          <w:szCs w:val="22"/>
        </w:rPr>
      </w:pPr>
      <w:r w:rsidRPr="00CD1657">
        <w:rPr>
          <w:szCs w:val="22"/>
        </w:rPr>
        <w:t>Some of the decline in bulk imports from 2006 to 2016 can be attributed to reductions in OEM usage as manufacturing of air conditioning and refrigeration equipment</w:t>
      </w:r>
      <w:r>
        <w:rPr>
          <w:szCs w:val="22"/>
        </w:rPr>
        <w:t xml:space="preserve"> declined</w:t>
      </w:r>
      <w:r w:rsidRPr="00CD1657">
        <w:rPr>
          <w:szCs w:val="22"/>
        </w:rPr>
        <w:t xml:space="preserve">. Smaller stationary AC moved off shore (i.e. Kelvinator-Electrolux) </w:t>
      </w:r>
      <w:r w:rsidR="004E40E3">
        <w:rPr>
          <w:szCs w:val="22"/>
        </w:rPr>
        <w:t xml:space="preserve">and </w:t>
      </w:r>
      <w:r w:rsidRPr="00CD1657">
        <w:rPr>
          <w:szCs w:val="22"/>
        </w:rPr>
        <w:t>manufacturers of ducted system</w:t>
      </w:r>
      <w:r w:rsidR="004E40E3">
        <w:rPr>
          <w:szCs w:val="22"/>
        </w:rPr>
        <w:t>s</w:t>
      </w:r>
      <w:r w:rsidRPr="00CD1657">
        <w:rPr>
          <w:szCs w:val="22"/>
        </w:rPr>
        <w:t xml:space="preserve"> </w:t>
      </w:r>
      <w:r w:rsidR="004E40E3">
        <w:rPr>
          <w:szCs w:val="22"/>
        </w:rPr>
        <w:t xml:space="preserve">closed </w:t>
      </w:r>
      <w:r w:rsidRPr="00CD1657">
        <w:rPr>
          <w:szCs w:val="22"/>
        </w:rPr>
        <w:t>(i.e. Carrier-</w:t>
      </w:r>
      <w:proofErr w:type="spellStart"/>
      <w:r w:rsidRPr="00CD1657">
        <w:rPr>
          <w:szCs w:val="22"/>
        </w:rPr>
        <w:t>Apac</w:t>
      </w:r>
      <w:proofErr w:type="spellEnd"/>
      <w:r w:rsidRPr="00CD1657">
        <w:rPr>
          <w:szCs w:val="22"/>
        </w:rPr>
        <w:t xml:space="preserve">, </w:t>
      </w:r>
      <w:proofErr w:type="spellStart"/>
      <w:r w:rsidRPr="00CD1657">
        <w:rPr>
          <w:szCs w:val="22"/>
        </w:rPr>
        <w:t>Uni-Arie</w:t>
      </w:r>
      <w:proofErr w:type="spellEnd"/>
      <w:r w:rsidRPr="00CD1657">
        <w:rPr>
          <w:szCs w:val="22"/>
        </w:rPr>
        <w:t xml:space="preserve"> and others). </w:t>
      </w:r>
    </w:p>
    <w:p w14:paraId="03E88FC6" w14:textId="77777777" w:rsidR="00B2087D" w:rsidRDefault="00B2087D" w:rsidP="009A23AA">
      <w:pPr>
        <w:rPr>
          <w:szCs w:val="22"/>
        </w:rPr>
      </w:pPr>
      <w:r w:rsidRPr="0082630F">
        <w:rPr>
          <w:szCs w:val="22"/>
        </w:rPr>
        <w:t xml:space="preserve">Following a steady decline in </w:t>
      </w:r>
      <w:r>
        <w:rPr>
          <w:szCs w:val="22"/>
        </w:rPr>
        <w:t xml:space="preserve">AC </w:t>
      </w:r>
      <w:r w:rsidRPr="0082630F">
        <w:rPr>
          <w:szCs w:val="22"/>
        </w:rPr>
        <w:t xml:space="preserve">manufacturing capacity </w:t>
      </w:r>
      <w:r>
        <w:rPr>
          <w:szCs w:val="22"/>
        </w:rPr>
        <w:t>from</w:t>
      </w:r>
      <w:r w:rsidRPr="0082630F">
        <w:rPr>
          <w:szCs w:val="22"/>
        </w:rPr>
        <w:t xml:space="preserve"> the turn of the century, manufacturing of </w:t>
      </w:r>
      <w:r>
        <w:rPr>
          <w:szCs w:val="22"/>
        </w:rPr>
        <w:t xml:space="preserve">ducted systems and large chillers </w:t>
      </w:r>
      <w:r w:rsidRPr="0082630F">
        <w:rPr>
          <w:szCs w:val="22"/>
        </w:rPr>
        <w:t xml:space="preserve">has remained fairly stable since 2010. </w:t>
      </w:r>
    </w:p>
    <w:p w14:paraId="0BE05781" w14:textId="4D4A66F0" w:rsidR="00B2087D" w:rsidRPr="00CD1657" w:rsidRDefault="00903235" w:rsidP="009A23AA">
      <w:pPr>
        <w:rPr>
          <w:szCs w:val="22"/>
        </w:rPr>
      </w:pPr>
      <w:r>
        <w:rPr>
          <w:szCs w:val="22"/>
        </w:rPr>
        <w:t>M</w:t>
      </w:r>
      <w:r w:rsidR="00B2087D" w:rsidRPr="00CD1657">
        <w:rPr>
          <w:szCs w:val="22"/>
        </w:rPr>
        <w:t xml:space="preserve">ajor manufacturers of refrigeration display cases </w:t>
      </w:r>
      <w:proofErr w:type="spellStart"/>
      <w:r w:rsidRPr="00CD1657">
        <w:rPr>
          <w:szCs w:val="22"/>
        </w:rPr>
        <w:t>Fr</w:t>
      </w:r>
      <w:r>
        <w:rPr>
          <w:szCs w:val="22"/>
        </w:rPr>
        <w:t>igrite</w:t>
      </w:r>
      <w:proofErr w:type="spellEnd"/>
      <w:r>
        <w:rPr>
          <w:szCs w:val="22"/>
        </w:rPr>
        <w:t xml:space="preserve"> and Orford Refrigeration</w:t>
      </w:r>
      <w:r w:rsidRPr="00CD1657">
        <w:rPr>
          <w:szCs w:val="22"/>
        </w:rPr>
        <w:t xml:space="preserve"> </w:t>
      </w:r>
      <w:r w:rsidR="00B2087D" w:rsidRPr="00CD1657">
        <w:rPr>
          <w:szCs w:val="22"/>
        </w:rPr>
        <w:t>closed down</w:t>
      </w:r>
      <w:r>
        <w:rPr>
          <w:szCs w:val="22"/>
        </w:rPr>
        <w:t>.</w:t>
      </w:r>
      <w:r w:rsidR="00B2087D" w:rsidRPr="00CD1657">
        <w:rPr>
          <w:szCs w:val="22"/>
        </w:rPr>
        <w:t xml:space="preserve"> </w:t>
      </w:r>
      <w:r>
        <w:rPr>
          <w:szCs w:val="22"/>
        </w:rPr>
        <w:t>D</w:t>
      </w:r>
      <w:r w:rsidR="00B2087D" w:rsidRPr="00CD1657">
        <w:rPr>
          <w:szCs w:val="22"/>
        </w:rPr>
        <w:t>omestic refrigeration (i.e. Electrolux and Fisher &amp; Paykel) moved off shore and transitioned to the use of HC refrigerant. Vehicle manufacturing halved before eventually ceasing in October 2017</w:t>
      </w:r>
      <w:r w:rsidR="00B2087D">
        <w:rPr>
          <w:szCs w:val="22"/>
        </w:rPr>
        <w:t xml:space="preserve"> with the </w:t>
      </w:r>
      <w:r w:rsidR="00B2087D" w:rsidRPr="00CD1657">
        <w:rPr>
          <w:szCs w:val="22"/>
        </w:rPr>
        <w:t>closure of the Mitsubishi, Holden, Ford and Toyota factories</w:t>
      </w:r>
      <w:r w:rsidR="00B2087D">
        <w:rPr>
          <w:szCs w:val="22"/>
        </w:rPr>
        <w:t xml:space="preserve"> during the period</w:t>
      </w:r>
      <w:r w:rsidR="00B2087D" w:rsidRPr="00CD1657">
        <w:rPr>
          <w:szCs w:val="22"/>
        </w:rPr>
        <w:t>.</w:t>
      </w:r>
    </w:p>
    <w:p w14:paraId="3889A8A9" w14:textId="7FE97B80" w:rsidR="00B2087D" w:rsidRPr="00CD1657" w:rsidRDefault="00B2087D" w:rsidP="009A23AA">
      <w:pPr>
        <w:rPr>
          <w:szCs w:val="22"/>
        </w:rPr>
      </w:pPr>
      <w:r w:rsidRPr="00CD1657">
        <w:rPr>
          <w:szCs w:val="22"/>
        </w:rPr>
        <w:t xml:space="preserve">Some of the decline in demand for bulk imports may be attributed to better refrigerant management in some sectors, notably in the refrigerated cold food chain and in large commercial AC where a focus on leak reduction has been delivering greatly reduced direct emissions across categories of large, </w:t>
      </w:r>
      <w:r w:rsidR="00903235" w:rsidRPr="00CD1657">
        <w:rPr>
          <w:szCs w:val="22"/>
        </w:rPr>
        <w:t>hardworking</w:t>
      </w:r>
      <w:r w:rsidRPr="00CD1657">
        <w:rPr>
          <w:szCs w:val="22"/>
        </w:rPr>
        <w:t xml:space="preserve"> commercial equipment. </w:t>
      </w:r>
    </w:p>
    <w:p w14:paraId="14182919" w14:textId="70DC9B2E" w:rsidR="00B2087D" w:rsidRPr="008866A6" w:rsidRDefault="004E40E3" w:rsidP="009A23AA">
      <w:pPr>
        <w:rPr>
          <w:szCs w:val="22"/>
        </w:rPr>
      </w:pPr>
      <w:r>
        <w:rPr>
          <w:szCs w:val="22"/>
        </w:rPr>
        <w:t>B</w:t>
      </w:r>
      <w:r w:rsidR="00B2087D" w:rsidRPr="008866A6">
        <w:rPr>
          <w:szCs w:val="22"/>
        </w:rPr>
        <w:t xml:space="preserve">etter designed and manufactured equipment, in particular in small and medium AC, has contributed to significant drops in direct emissions as well. Small AC split systems </w:t>
      </w:r>
      <w:r w:rsidR="00B2087D">
        <w:rPr>
          <w:szCs w:val="22"/>
        </w:rPr>
        <w:t xml:space="preserve">now </w:t>
      </w:r>
      <w:r w:rsidR="00B2087D" w:rsidRPr="008866A6">
        <w:rPr>
          <w:szCs w:val="22"/>
        </w:rPr>
        <w:t xml:space="preserve">have annual leak rates of around 3.5% and service rate as low as 2.5% </w:t>
      </w:r>
      <w:r w:rsidR="00B2087D">
        <w:rPr>
          <w:szCs w:val="22"/>
        </w:rPr>
        <w:t>in</w:t>
      </w:r>
      <w:r w:rsidR="00B2087D" w:rsidRPr="008866A6">
        <w:rPr>
          <w:szCs w:val="22"/>
        </w:rPr>
        <w:t xml:space="preserve"> the existing stock of HFC-410A models, and </w:t>
      </w:r>
      <w:r w:rsidR="00B2087D">
        <w:rPr>
          <w:szCs w:val="22"/>
        </w:rPr>
        <w:t xml:space="preserve">even </w:t>
      </w:r>
      <w:r w:rsidR="00B2087D" w:rsidRPr="008866A6">
        <w:rPr>
          <w:szCs w:val="22"/>
        </w:rPr>
        <w:t>lower rates on new HFC-32 equipment entering the fleet.</w:t>
      </w:r>
      <w:r w:rsidR="00B2087D">
        <w:rPr>
          <w:szCs w:val="22"/>
        </w:rPr>
        <w:t xml:space="preserve"> This compares to historical leak rates for small and medium split systems of 10% to 15% for most models manufactured between 1990 and 2005.</w:t>
      </w:r>
    </w:p>
    <w:p w14:paraId="7DED656B" w14:textId="2AD00D83" w:rsidR="00B2087D" w:rsidRDefault="00B2087D" w:rsidP="009A23AA">
      <w:pPr>
        <w:rPr>
          <w:szCs w:val="22"/>
        </w:rPr>
      </w:pPr>
      <w:r w:rsidRPr="008866A6">
        <w:rPr>
          <w:szCs w:val="22"/>
        </w:rPr>
        <w:t>During the same period illustrated above, the steadily declining cap on HCFC imports, representing the</w:t>
      </w:r>
      <w:r>
        <w:rPr>
          <w:szCs w:val="22"/>
        </w:rPr>
        <w:t xml:space="preserve"> import</w:t>
      </w:r>
      <w:r w:rsidRPr="008866A6">
        <w:rPr>
          <w:szCs w:val="22"/>
        </w:rPr>
        <w:t xml:space="preserve"> limits Australia committed to under the Montreal Protocol, saw annual</w:t>
      </w:r>
      <w:r>
        <w:rPr>
          <w:szCs w:val="22"/>
        </w:rPr>
        <w:t xml:space="preserve"> HCFC</w:t>
      </w:r>
      <w:r w:rsidRPr="008866A6">
        <w:rPr>
          <w:szCs w:val="22"/>
        </w:rPr>
        <w:t xml:space="preserve"> imports fall from 786 tonnes in 2012 to just 45 tonnes in 2016.</w:t>
      </w:r>
    </w:p>
    <w:p w14:paraId="0AA31C9B" w14:textId="3003FBB7" w:rsidR="00285682" w:rsidRPr="008866A6" w:rsidRDefault="00285682" w:rsidP="002E711D">
      <w:pPr>
        <w:rPr>
          <w:szCs w:val="22"/>
        </w:rPr>
      </w:pPr>
      <w:r w:rsidRPr="00BC1483">
        <w:rPr>
          <w:szCs w:val="22"/>
        </w:rPr>
        <w:t>During the period from 2006 to 2012 the use of HFC-134a, by far the most commonly used HFC up to that time, maintained a steady level of around 1,650 tonnes of bulk imports per annum over that period. Following changes in market behaviour arising from the carbon tax, primarily improved containment, as well as the decline in OEM usage, the five-year average of bulk imports from 201</w:t>
      </w:r>
      <w:r w:rsidR="00E0007B" w:rsidRPr="00BC1483">
        <w:rPr>
          <w:szCs w:val="22"/>
        </w:rPr>
        <w:t>4</w:t>
      </w:r>
      <w:r w:rsidRPr="00BC1483">
        <w:rPr>
          <w:szCs w:val="22"/>
        </w:rPr>
        <w:t xml:space="preserve"> to 201</w:t>
      </w:r>
      <w:r w:rsidR="00E0007B" w:rsidRPr="00BC1483">
        <w:rPr>
          <w:szCs w:val="22"/>
        </w:rPr>
        <w:t>8</w:t>
      </w:r>
      <w:r w:rsidRPr="00BC1483">
        <w:rPr>
          <w:szCs w:val="22"/>
        </w:rPr>
        <w:t xml:space="preserve"> was 1</w:t>
      </w:r>
      <w:r w:rsidR="00E0007B" w:rsidRPr="00BC1483">
        <w:rPr>
          <w:szCs w:val="22"/>
        </w:rPr>
        <w:t>8</w:t>
      </w:r>
      <w:r w:rsidRPr="00BC1483">
        <w:rPr>
          <w:szCs w:val="22"/>
        </w:rPr>
        <w:t>% lower at approximately 1,</w:t>
      </w:r>
      <w:r w:rsidR="00E0007B" w:rsidRPr="00BC1483">
        <w:rPr>
          <w:szCs w:val="22"/>
        </w:rPr>
        <w:t>352</w:t>
      </w:r>
      <w:r w:rsidRPr="00BC1483">
        <w:rPr>
          <w:szCs w:val="22"/>
        </w:rPr>
        <w:t xml:space="preserve"> tonnes per annum.</w:t>
      </w:r>
      <w:r w:rsidRPr="0082630F">
        <w:rPr>
          <w:szCs w:val="22"/>
        </w:rPr>
        <w:t xml:space="preserve"> </w:t>
      </w:r>
    </w:p>
    <w:p w14:paraId="0FEE20B6" w14:textId="3B33E9FE" w:rsidR="00B2087D" w:rsidRPr="008866A6" w:rsidRDefault="00B2087D" w:rsidP="002E711D"/>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B2087D" w:rsidRPr="005D159D" w14:paraId="17EB45BF" w14:textId="77777777" w:rsidTr="00D306E9">
        <w:tc>
          <w:tcPr>
            <w:tcW w:w="9492" w:type="dxa"/>
            <w:vAlign w:val="center"/>
          </w:tcPr>
          <w:p w14:paraId="3D699E50" w14:textId="77777777" w:rsidR="00B2087D" w:rsidRPr="005D159D" w:rsidRDefault="00B2087D" w:rsidP="00D306E9">
            <w:pPr>
              <w:spacing w:after="120"/>
              <w:jc w:val="center"/>
              <w:rPr>
                <w:b/>
                <w:sz w:val="24"/>
              </w:rPr>
            </w:pPr>
            <w:r w:rsidRPr="005D159D">
              <w:rPr>
                <w:b/>
                <w:sz w:val="24"/>
              </w:rPr>
              <w:br w:type="page"/>
            </w:r>
            <w:r>
              <w:rPr>
                <w:b/>
                <w:sz w:val="24"/>
              </w:rPr>
              <w:t>5 Year average HFC bulk imports by species 2014-2018</w:t>
            </w:r>
            <w:r w:rsidRPr="005D159D">
              <w:rPr>
                <w:b/>
                <w:sz w:val="24"/>
              </w:rPr>
              <w:t xml:space="preserve"> </w:t>
            </w:r>
            <w:r>
              <w:rPr>
                <w:b/>
                <w:sz w:val="24"/>
              </w:rPr>
              <w:t>(tonnes and %)</w:t>
            </w:r>
          </w:p>
        </w:tc>
      </w:tr>
      <w:tr w:rsidR="00B2087D" w:rsidRPr="00BD20BC" w14:paraId="13653DD5" w14:textId="77777777" w:rsidTr="00D306E9">
        <w:tc>
          <w:tcPr>
            <w:tcW w:w="9492" w:type="dxa"/>
            <w:vAlign w:val="center"/>
          </w:tcPr>
          <w:p w14:paraId="37DF6C55" w14:textId="77777777" w:rsidR="00B2087D" w:rsidRDefault="00B2087D" w:rsidP="00D306E9">
            <w:pPr>
              <w:spacing w:before="60" w:after="60"/>
              <w:jc w:val="center"/>
              <w:rPr>
                <w:sz w:val="16"/>
                <w:szCs w:val="16"/>
              </w:rPr>
            </w:pPr>
          </w:p>
          <w:p w14:paraId="114BB859" w14:textId="77777777" w:rsidR="00B2087D" w:rsidRDefault="00B2087D" w:rsidP="00D306E9">
            <w:pPr>
              <w:spacing w:before="60" w:after="60"/>
              <w:jc w:val="center"/>
              <w:rPr>
                <w:sz w:val="16"/>
                <w:szCs w:val="16"/>
              </w:rPr>
            </w:pPr>
            <w:r>
              <w:rPr>
                <w:noProof/>
                <w:lang w:val="en-AU" w:eastAsia="en-AU"/>
              </w:rPr>
              <w:drawing>
                <wp:inline distT="0" distB="0" distL="0" distR="0" wp14:anchorId="62B3F3E0" wp14:editId="2C9FCE8A">
                  <wp:extent cx="5429207" cy="396000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29207" cy="3960000"/>
                          </a:xfrm>
                          <a:prstGeom prst="rect">
                            <a:avLst/>
                          </a:prstGeom>
                        </pic:spPr>
                      </pic:pic>
                    </a:graphicData>
                  </a:graphic>
                </wp:inline>
              </w:drawing>
            </w:r>
          </w:p>
          <w:p w14:paraId="20EBDC0A" w14:textId="77777777" w:rsidR="00B2087D" w:rsidRPr="00BD20BC" w:rsidRDefault="00B2087D" w:rsidP="00D306E9">
            <w:pPr>
              <w:spacing w:before="60" w:after="60"/>
              <w:jc w:val="center"/>
              <w:rPr>
                <w:sz w:val="16"/>
                <w:szCs w:val="16"/>
              </w:rPr>
            </w:pPr>
          </w:p>
        </w:tc>
      </w:tr>
      <w:tr w:rsidR="00B2087D" w:rsidRPr="00042727" w14:paraId="16DB3D08" w14:textId="77777777" w:rsidTr="00A60CDA">
        <w:tc>
          <w:tcPr>
            <w:tcW w:w="9492" w:type="dxa"/>
            <w:vAlign w:val="center"/>
          </w:tcPr>
          <w:p w14:paraId="2E01D1D2" w14:textId="028A9656" w:rsidR="00B2087D" w:rsidRPr="00445950" w:rsidRDefault="00445950" w:rsidP="009A23AA">
            <w:pPr>
              <w:pStyle w:val="Caption"/>
              <w:rPr>
                <w:szCs w:val="22"/>
              </w:rPr>
            </w:pPr>
            <w:bookmarkStart w:id="127" w:name="_Toc19601350"/>
            <w:r>
              <w:t xml:space="preserve">Figure </w:t>
            </w:r>
            <w:r w:rsidR="00492675">
              <w:rPr>
                <w:noProof/>
              </w:rPr>
              <w:fldChar w:fldCharType="begin"/>
            </w:r>
            <w:r w:rsidR="00492675">
              <w:rPr>
                <w:noProof/>
              </w:rPr>
              <w:instrText xml:space="preserve"> SEQ Figure \* ARABIC </w:instrText>
            </w:r>
            <w:r w:rsidR="00492675">
              <w:rPr>
                <w:noProof/>
              </w:rPr>
              <w:fldChar w:fldCharType="separate"/>
            </w:r>
            <w:r w:rsidR="001D0DA3">
              <w:rPr>
                <w:noProof/>
              </w:rPr>
              <w:t>28</w:t>
            </w:r>
            <w:r w:rsidR="00492675">
              <w:rPr>
                <w:noProof/>
              </w:rPr>
              <w:fldChar w:fldCharType="end"/>
            </w:r>
            <w:r w:rsidRPr="00445950">
              <w:rPr>
                <w:szCs w:val="22"/>
              </w:rPr>
              <w:t xml:space="preserve">: Five year average HFC bulk imports by species in </w:t>
            </w:r>
            <w:proofErr w:type="spellStart"/>
            <w:r w:rsidRPr="00445950">
              <w:rPr>
                <w:szCs w:val="22"/>
              </w:rPr>
              <w:t>tonnes</w:t>
            </w:r>
            <w:proofErr w:type="spellEnd"/>
            <w:r w:rsidRPr="00445950">
              <w:rPr>
                <w:szCs w:val="22"/>
              </w:rPr>
              <w:t xml:space="preserve"> and percent.</w:t>
            </w:r>
            <w:bookmarkEnd w:id="127"/>
          </w:p>
        </w:tc>
      </w:tr>
    </w:tbl>
    <w:p w14:paraId="73C12A47" w14:textId="5E92A2D0" w:rsidR="00B2087D" w:rsidRDefault="00445950" w:rsidP="009A23AA">
      <w:pPr>
        <w:spacing w:before="0"/>
        <w:rPr>
          <w:szCs w:val="22"/>
        </w:rPr>
      </w:pPr>
      <w:r w:rsidRPr="00116557">
        <w:rPr>
          <w:sz w:val="20"/>
          <w:szCs w:val="20"/>
        </w:rPr>
        <w:t xml:space="preserve"> </w:t>
      </w:r>
      <w:r w:rsidR="00B2087D" w:rsidRPr="00116557">
        <w:rPr>
          <w:sz w:val="20"/>
          <w:szCs w:val="20"/>
        </w:rPr>
        <w:t>(Sources:</w:t>
      </w:r>
      <w:r w:rsidR="00B2087D">
        <w:rPr>
          <w:sz w:val="20"/>
          <w:szCs w:val="20"/>
        </w:rPr>
        <w:t xml:space="preserve"> </w:t>
      </w:r>
      <w:proofErr w:type="spellStart"/>
      <w:r w:rsidR="00B2087D">
        <w:rPr>
          <w:sz w:val="20"/>
          <w:szCs w:val="20"/>
        </w:rPr>
        <w:t>DoEE</w:t>
      </w:r>
      <w:proofErr w:type="spellEnd"/>
      <w:r w:rsidR="00B2087D">
        <w:rPr>
          <w:sz w:val="20"/>
          <w:szCs w:val="20"/>
        </w:rPr>
        <w:t xml:space="preserve"> 2019)</w:t>
      </w:r>
    </w:p>
    <w:p w14:paraId="547FE5D8" w14:textId="33ACC401" w:rsidR="00B2087D" w:rsidRDefault="00E0007B" w:rsidP="009A23AA">
      <w:pPr>
        <w:snapToGrid w:val="0"/>
        <w:rPr>
          <w:szCs w:val="22"/>
        </w:rPr>
      </w:pPr>
      <w:r w:rsidRPr="00921FF5">
        <w:rPr>
          <w:szCs w:val="22"/>
        </w:rPr>
        <w:t>Replacing refrigerant that has been lost through leaks and charging new equipment (mostly in RCFC) is estimated to account for approximately 3,</w:t>
      </w:r>
      <w:r w:rsidR="00921FF5" w:rsidRPr="00921FF5">
        <w:rPr>
          <w:szCs w:val="22"/>
        </w:rPr>
        <w:t>308</w:t>
      </w:r>
      <w:r w:rsidRPr="00921FF5">
        <w:rPr>
          <w:szCs w:val="22"/>
        </w:rPr>
        <w:t xml:space="preserve"> tonnes (3,5</w:t>
      </w:r>
      <w:r w:rsidR="00921FF5" w:rsidRPr="00921FF5">
        <w:rPr>
          <w:szCs w:val="22"/>
        </w:rPr>
        <w:t>73</w:t>
      </w:r>
      <w:r w:rsidRPr="00921FF5">
        <w:rPr>
          <w:szCs w:val="22"/>
        </w:rPr>
        <w:t xml:space="preserve"> tonnes less OEM of </w:t>
      </w:r>
      <w:r w:rsidR="00BC1483" w:rsidRPr="00921FF5">
        <w:rPr>
          <w:szCs w:val="22"/>
        </w:rPr>
        <w:t>265</w:t>
      </w:r>
      <w:r w:rsidRPr="00921FF5">
        <w:rPr>
          <w:szCs w:val="22"/>
        </w:rPr>
        <w:t xml:space="preserve"> tonnes), or 8</w:t>
      </w:r>
      <w:r w:rsidR="00921FF5" w:rsidRPr="00921FF5">
        <w:rPr>
          <w:szCs w:val="22"/>
        </w:rPr>
        <w:t>8</w:t>
      </w:r>
      <w:r w:rsidRPr="00921FF5">
        <w:rPr>
          <w:szCs w:val="22"/>
        </w:rPr>
        <w:t>% of all bulk imports of 3,757 tonnes in 2018.</w:t>
      </w:r>
    </w:p>
    <w:p w14:paraId="2FB34E59" w14:textId="32100913" w:rsidR="00B2087D" w:rsidRDefault="00B2087D" w:rsidP="009A23AA">
      <w:pPr>
        <w:snapToGrid w:val="0"/>
        <w:rPr>
          <w:szCs w:val="22"/>
        </w:rPr>
      </w:pPr>
      <w:r w:rsidRPr="00921FF5">
        <w:rPr>
          <w:szCs w:val="22"/>
        </w:rPr>
        <w:t xml:space="preserve">Servicing MAC, the second largest stock of equipment after stationary AC, is estimated to account for </w:t>
      </w:r>
      <w:r w:rsidR="00921FF5" w:rsidRPr="00921FF5">
        <w:rPr>
          <w:szCs w:val="22"/>
        </w:rPr>
        <w:t>636</w:t>
      </w:r>
      <w:r w:rsidRPr="00921FF5">
        <w:rPr>
          <w:szCs w:val="22"/>
        </w:rPr>
        <w:t xml:space="preserve"> tonnes, or almost 1</w:t>
      </w:r>
      <w:r w:rsidR="00921FF5" w:rsidRPr="00921FF5">
        <w:rPr>
          <w:szCs w:val="22"/>
        </w:rPr>
        <w:t>7</w:t>
      </w:r>
      <w:r w:rsidRPr="00921FF5">
        <w:rPr>
          <w:szCs w:val="22"/>
        </w:rPr>
        <w:t>% of all bulk imports in 201</w:t>
      </w:r>
      <w:r w:rsidR="00F02B17" w:rsidRPr="00921FF5">
        <w:rPr>
          <w:szCs w:val="22"/>
        </w:rPr>
        <w:t>8</w:t>
      </w:r>
      <w:r w:rsidRPr="007F3EA8">
        <w:rPr>
          <w:szCs w:val="22"/>
        </w:rPr>
        <w:t>.</w:t>
      </w:r>
      <w:r>
        <w:rPr>
          <w:szCs w:val="22"/>
        </w:rPr>
        <w:t xml:space="preserve"> </w:t>
      </w:r>
      <w:r w:rsidRPr="00921FF5">
        <w:rPr>
          <w:szCs w:val="22"/>
        </w:rPr>
        <w:t xml:space="preserve">Refer to </w:t>
      </w:r>
      <w:r w:rsidRPr="00921FF5">
        <w:rPr>
          <w:i/>
          <w:szCs w:val="22"/>
        </w:rPr>
        <w:t xml:space="preserve">Table </w:t>
      </w:r>
      <w:r w:rsidR="00BC1483" w:rsidRPr="00921FF5">
        <w:rPr>
          <w:i/>
          <w:szCs w:val="22"/>
        </w:rPr>
        <w:t>8</w:t>
      </w:r>
      <w:r w:rsidRPr="00921FF5">
        <w:rPr>
          <w:i/>
          <w:szCs w:val="22"/>
        </w:rPr>
        <w:t>: Volumes of HFC-134a sold by calendar year (</w:t>
      </w:r>
      <w:proofErr w:type="spellStart"/>
      <w:r w:rsidRPr="00921FF5">
        <w:rPr>
          <w:i/>
          <w:szCs w:val="22"/>
        </w:rPr>
        <w:t>kgs</w:t>
      </w:r>
      <w:proofErr w:type="spellEnd"/>
      <w:r w:rsidRPr="00921FF5">
        <w:rPr>
          <w:i/>
          <w:szCs w:val="22"/>
        </w:rPr>
        <w:t>) based on aftermarket supplier survey</w:t>
      </w:r>
      <w:r w:rsidRPr="00921FF5">
        <w:rPr>
          <w:szCs w:val="22"/>
        </w:rPr>
        <w:t>.</w:t>
      </w:r>
    </w:p>
    <w:p w14:paraId="013D37FF" w14:textId="77777777" w:rsidR="00BC1483" w:rsidRPr="009E0BBC" w:rsidRDefault="00BC1483" w:rsidP="009A23AA">
      <w:pPr>
        <w:snapToGrid w:val="0"/>
        <w:rPr>
          <w:szCs w:val="22"/>
        </w:rPr>
      </w:pPr>
    </w:p>
    <w:p w14:paraId="59FB572F" w14:textId="77777777" w:rsidR="00B2087D" w:rsidRPr="004E5550" w:rsidRDefault="00B2087D" w:rsidP="009A23AA">
      <w:pPr>
        <w:pStyle w:val="Heading2"/>
        <w:jc w:val="both"/>
      </w:pPr>
      <w:bookmarkStart w:id="128" w:name="_Toc525141290"/>
      <w:bookmarkStart w:id="129" w:name="_Toc19601312"/>
      <w:r>
        <w:t>Refrigerant usage</w:t>
      </w:r>
      <w:bookmarkEnd w:id="128"/>
      <w:r>
        <w:t xml:space="preserve"> – HCFCs and HFCs</w:t>
      </w:r>
      <w:bookmarkEnd w:id="129"/>
    </w:p>
    <w:p w14:paraId="1A4C87B5" w14:textId="77777777" w:rsidR="00B2087D" w:rsidRPr="00E46C29" w:rsidRDefault="00B2087D" w:rsidP="009A23AA">
      <w:pPr>
        <w:rPr>
          <w:szCs w:val="22"/>
        </w:rPr>
      </w:pPr>
      <w:r w:rsidRPr="00E46C29">
        <w:rPr>
          <w:szCs w:val="22"/>
        </w:rPr>
        <w:t xml:space="preserve">Insight </w:t>
      </w:r>
      <w:r>
        <w:rPr>
          <w:szCs w:val="22"/>
        </w:rPr>
        <w:t xml:space="preserve">into </w:t>
      </w:r>
      <w:r w:rsidRPr="00E46C29">
        <w:rPr>
          <w:szCs w:val="22"/>
        </w:rPr>
        <w:t>refrigerant</w:t>
      </w:r>
      <w:r>
        <w:rPr>
          <w:szCs w:val="22"/>
        </w:rPr>
        <w:t xml:space="preserve"> usage</w:t>
      </w:r>
      <w:r w:rsidRPr="00E46C29">
        <w:rPr>
          <w:szCs w:val="22"/>
        </w:rPr>
        <w:t xml:space="preserve"> in the Australian economy has been </w:t>
      </w:r>
      <w:r>
        <w:rPr>
          <w:szCs w:val="22"/>
        </w:rPr>
        <w:t>significantly</w:t>
      </w:r>
      <w:r w:rsidRPr="00E46C29">
        <w:rPr>
          <w:szCs w:val="22"/>
        </w:rPr>
        <w:t xml:space="preserve"> improved over the course of the last decade and is now informed by a quarterly annual survey of refrigerant wholesalers that provides robust data that can be reconciled against annual bulk imports.</w:t>
      </w:r>
    </w:p>
    <w:p w14:paraId="04FEF83C" w14:textId="77777777" w:rsidR="00B2087D" w:rsidRDefault="00B2087D" w:rsidP="009A23AA">
      <w:pPr>
        <w:rPr>
          <w:szCs w:val="22"/>
        </w:rPr>
      </w:pPr>
      <w:r w:rsidRPr="00E46C29">
        <w:rPr>
          <w:szCs w:val="22"/>
        </w:rPr>
        <w:t>Refrigerant is used for</w:t>
      </w:r>
      <w:r>
        <w:rPr>
          <w:szCs w:val="22"/>
        </w:rPr>
        <w:t xml:space="preserve"> several purposes including:</w:t>
      </w:r>
    </w:p>
    <w:p w14:paraId="4485C23B" w14:textId="77777777" w:rsidR="00B2087D" w:rsidRPr="00B750DF" w:rsidRDefault="00B2087D" w:rsidP="009A23AA">
      <w:pPr>
        <w:pStyle w:val="ListParagraph"/>
        <w:numPr>
          <w:ilvl w:val="0"/>
          <w:numId w:val="15"/>
        </w:numPr>
        <w:snapToGrid w:val="0"/>
        <w:spacing w:before="120" w:after="0" w:line="240" w:lineRule="auto"/>
        <w:ind w:left="357" w:hanging="357"/>
        <w:contextualSpacing w:val="0"/>
        <w:jc w:val="both"/>
        <w:rPr>
          <w:rFonts w:ascii="Times New Roman" w:hAnsi="Times New Roman"/>
        </w:rPr>
      </w:pPr>
      <w:r>
        <w:rPr>
          <w:rFonts w:ascii="Times New Roman" w:hAnsi="Times New Roman"/>
        </w:rPr>
        <w:t>Local e</w:t>
      </w:r>
      <w:r w:rsidRPr="00B750DF">
        <w:rPr>
          <w:rFonts w:ascii="Times New Roman" w:hAnsi="Times New Roman"/>
        </w:rPr>
        <w:t>quipment manufacturing, particularly in medium commercial AC</w:t>
      </w:r>
      <w:r>
        <w:rPr>
          <w:rFonts w:ascii="Times New Roman" w:hAnsi="Times New Roman"/>
        </w:rPr>
        <w:t>, large chillers, hot water heat pumps</w:t>
      </w:r>
      <w:r w:rsidRPr="00B750DF">
        <w:rPr>
          <w:rFonts w:ascii="Times New Roman" w:hAnsi="Times New Roman"/>
        </w:rPr>
        <w:t xml:space="preserve"> and refrigerated display cabinets</w:t>
      </w:r>
      <w:r>
        <w:rPr>
          <w:rFonts w:ascii="Times New Roman" w:hAnsi="Times New Roman"/>
        </w:rPr>
        <w:t>. These are equipment segments</w:t>
      </w:r>
      <w:r w:rsidRPr="00B750DF">
        <w:rPr>
          <w:rFonts w:ascii="Times New Roman" w:hAnsi="Times New Roman"/>
        </w:rPr>
        <w:t xml:space="preserve"> where Australia retains some successful manufacturers;</w:t>
      </w:r>
    </w:p>
    <w:p w14:paraId="5A792042" w14:textId="78C43532" w:rsidR="00B2087D" w:rsidRPr="00B750DF" w:rsidRDefault="00B2087D" w:rsidP="009A23AA">
      <w:pPr>
        <w:pStyle w:val="ListParagraph"/>
        <w:numPr>
          <w:ilvl w:val="0"/>
          <w:numId w:val="15"/>
        </w:numPr>
        <w:snapToGrid w:val="0"/>
        <w:spacing w:before="120" w:after="0" w:line="240" w:lineRule="auto"/>
        <w:ind w:left="357" w:hanging="357"/>
        <w:contextualSpacing w:val="0"/>
        <w:jc w:val="both"/>
        <w:rPr>
          <w:rFonts w:ascii="Times New Roman" w:hAnsi="Times New Roman"/>
        </w:rPr>
      </w:pPr>
      <w:r w:rsidRPr="00B750DF">
        <w:rPr>
          <w:rFonts w:ascii="Times New Roman" w:hAnsi="Times New Roman"/>
        </w:rPr>
        <w:t>Charging</w:t>
      </w:r>
      <w:r>
        <w:rPr>
          <w:rFonts w:ascii="Times New Roman" w:hAnsi="Times New Roman"/>
        </w:rPr>
        <w:t>,</w:t>
      </w:r>
      <w:r w:rsidRPr="00B750DF">
        <w:rPr>
          <w:rFonts w:ascii="Times New Roman" w:hAnsi="Times New Roman"/>
        </w:rPr>
        <w:t xml:space="preserve"> or </w:t>
      </w:r>
      <w:r>
        <w:rPr>
          <w:rFonts w:ascii="Times New Roman" w:hAnsi="Times New Roman"/>
        </w:rPr>
        <w:t xml:space="preserve">adding to a partial charge, for </w:t>
      </w:r>
      <w:r w:rsidRPr="00B750DF">
        <w:rPr>
          <w:rFonts w:ascii="Times New Roman" w:hAnsi="Times New Roman"/>
        </w:rPr>
        <w:t>new equipment at point of installation where the device may have been imported without any refrigerant charge</w:t>
      </w:r>
      <w:r>
        <w:rPr>
          <w:rFonts w:ascii="Times New Roman" w:hAnsi="Times New Roman"/>
        </w:rPr>
        <w:t xml:space="preserve"> (or partial charge)</w:t>
      </w:r>
      <w:r w:rsidRPr="00B750DF">
        <w:rPr>
          <w:rFonts w:ascii="Times New Roman" w:hAnsi="Times New Roman"/>
        </w:rPr>
        <w:t>, or needs an addition to its pre-charged volume when installed and commissioned</w:t>
      </w:r>
      <w:r w:rsidR="004E40E3">
        <w:rPr>
          <w:rFonts w:ascii="Times New Roman" w:hAnsi="Times New Roman"/>
        </w:rPr>
        <w:t xml:space="preserve"> to accommodate applications with longer pipe runs</w:t>
      </w:r>
      <w:r w:rsidRPr="00B750DF">
        <w:rPr>
          <w:rFonts w:ascii="Times New Roman" w:hAnsi="Times New Roman"/>
        </w:rPr>
        <w:t>;</w:t>
      </w:r>
    </w:p>
    <w:p w14:paraId="73D7611C" w14:textId="2B2784AD" w:rsidR="00B2087D" w:rsidRPr="00B750DF" w:rsidRDefault="00B2087D" w:rsidP="009A23AA">
      <w:pPr>
        <w:pStyle w:val="ListParagraph"/>
        <w:numPr>
          <w:ilvl w:val="0"/>
          <w:numId w:val="15"/>
        </w:numPr>
        <w:snapToGrid w:val="0"/>
        <w:spacing w:before="120" w:after="0" w:line="240" w:lineRule="auto"/>
        <w:ind w:left="357" w:hanging="357"/>
        <w:contextualSpacing w:val="0"/>
        <w:jc w:val="both"/>
        <w:rPr>
          <w:rFonts w:ascii="Times New Roman" w:hAnsi="Times New Roman"/>
        </w:rPr>
      </w:pPr>
      <w:r w:rsidRPr="00B750DF">
        <w:rPr>
          <w:rFonts w:ascii="Times New Roman" w:hAnsi="Times New Roman"/>
        </w:rPr>
        <w:t xml:space="preserve">Retrofitting existing equipment with a new refrigerant, for instance in cases where equipment originally designed and installed to </w:t>
      </w:r>
      <w:r>
        <w:rPr>
          <w:rFonts w:ascii="Times New Roman" w:hAnsi="Times New Roman"/>
        </w:rPr>
        <w:t xml:space="preserve">operate </w:t>
      </w:r>
      <w:r w:rsidRPr="00B750DF">
        <w:rPr>
          <w:rFonts w:ascii="Times New Roman" w:hAnsi="Times New Roman"/>
        </w:rPr>
        <w:t xml:space="preserve">on HCFC-22 is able to be retrofitted </w:t>
      </w:r>
      <w:r>
        <w:rPr>
          <w:rFonts w:ascii="Times New Roman" w:hAnsi="Times New Roman"/>
        </w:rPr>
        <w:t>with drop in replacements</w:t>
      </w:r>
      <w:r>
        <w:rPr>
          <w:rStyle w:val="FootnoteReference"/>
          <w:rFonts w:ascii="Times New Roman" w:hAnsi="Times New Roman"/>
        </w:rPr>
        <w:footnoteReference w:id="31"/>
      </w:r>
      <w:r>
        <w:rPr>
          <w:rFonts w:ascii="Times New Roman" w:hAnsi="Times New Roman"/>
        </w:rPr>
        <w:t xml:space="preserve">. Refrigerants such as </w:t>
      </w:r>
      <w:r w:rsidR="008C12B7">
        <w:rPr>
          <w:rFonts w:ascii="Times New Roman" w:hAnsi="Times New Roman"/>
        </w:rPr>
        <w:t>HFO/HFC blends R4</w:t>
      </w:r>
      <w:r>
        <w:rPr>
          <w:rFonts w:ascii="Times New Roman" w:hAnsi="Times New Roman"/>
        </w:rPr>
        <w:t xml:space="preserve">48A and </w:t>
      </w:r>
      <w:r w:rsidR="008C12B7">
        <w:rPr>
          <w:rFonts w:ascii="Times New Roman" w:hAnsi="Times New Roman"/>
        </w:rPr>
        <w:t>R4</w:t>
      </w:r>
      <w:r>
        <w:rPr>
          <w:rFonts w:ascii="Times New Roman" w:hAnsi="Times New Roman"/>
        </w:rPr>
        <w:t>49A are now being considered as retrofit replacements for HFC-404A;</w:t>
      </w:r>
    </w:p>
    <w:p w14:paraId="28B566E9" w14:textId="77777777" w:rsidR="00B2087D" w:rsidRDefault="00B2087D" w:rsidP="009A23AA">
      <w:pPr>
        <w:pStyle w:val="ListParagraph"/>
        <w:numPr>
          <w:ilvl w:val="0"/>
          <w:numId w:val="15"/>
        </w:numPr>
        <w:snapToGrid w:val="0"/>
        <w:spacing w:before="120" w:after="0" w:line="240" w:lineRule="auto"/>
        <w:ind w:left="357" w:hanging="357"/>
        <w:contextualSpacing w:val="0"/>
        <w:jc w:val="both"/>
        <w:rPr>
          <w:rFonts w:ascii="Times New Roman" w:hAnsi="Times New Roman"/>
        </w:rPr>
      </w:pPr>
      <w:r w:rsidRPr="00B750DF">
        <w:rPr>
          <w:rFonts w:ascii="Times New Roman" w:hAnsi="Times New Roman"/>
        </w:rPr>
        <w:t>Servicing the stock of equipment to maintain charge levels as a result of leaks or catastrophic losses of refrigerant</w:t>
      </w:r>
      <w:r>
        <w:rPr>
          <w:rFonts w:ascii="Times New Roman" w:hAnsi="Times New Roman"/>
        </w:rPr>
        <w:t>; and,</w:t>
      </w:r>
    </w:p>
    <w:p w14:paraId="5239B64F" w14:textId="77777777" w:rsidR="00B2087D" w:rsidRPr="00B750DF" w:rsidRDefault="00B2087D" w:rsidP="009A23AA">
      <w:pPr>
        <w:pStyle w:val="ListParagraph"/>
        <w:numPr>
          <w:ilvl w:val="0"/>
          <w:numId w:val="15"/>
        </w:numPr>
        <w:snapToGrid w:val="0"/>
        <w:spacing w:before="120" w:after="0" w:line="240" w:lineRule="auto"/>
        <w:ind w:left="357" w:hanging="357"/>
        <w:contextualSpacing w:val="0"/>
        <w:jc w:val="both"/>
        <w:rPr>
          <w:rFonts w:ascii="Times New Roman" w:hAnsi="Times New Roman"/>
        </w:rPr>
      </w:pPr>
      <w:r>
        <w:rPr>
          <w:rFonts w:ascii="Times New Roman" w:hAnsi="Times New Roman"/>
        </w:rPr>
        <w:t xml:space="preserve">Handling </w:t>
      </w:r>
      <w:r w:rsidRPr="002B1026">
        <w:rPr>
          <w:rFonts w:ascii="Times New Roman" w:hAnsi="Times New Roman"/>
        </w:rPr>
        <w:t>losses across the supply lines</w:t>
      </w:r>
      <w:r w:rsidRPr="00B750DF">
        <w:rPr>
          <w:rFonts w:ascii="Times New Roman" w:hAnsi="Times New Roman"/>
        </w:rPr>
        <w:t>.</w:t>
      </w:r>
    </w:p>
    <w:p w14:paraId="14B8D559" w14:textId="77777777" w:rsidR="00B2087D" w:rsidRDefault="00B2087D" w:rsidP="009A23AA"/>
    <w:p w14:paraId="11DD6BC9" w14:textId="2EA87A6D" w:rsidR="00B2087D" w:rsidRPr="005A6A77" w:rsidRDefault="00B2087D" w:rsidP="009A23AA">
      <w:pPr>
        <w:pStyle w:val="Caption"/>
        <w:keepNext/>
        <w:rPr>
          <w:szCs w:val="22"/>
        </w:rPr>
      </w:pPr>
      <w:bookmarkStart w:id="130" w:name="_Toc19601367"/>
      <w:r w:rsidRPr="005A6A77">
        <w:t xml:space="preserve">Table </w:t>
      </w:r>
      <w:r>
        <w:rPr>
          <w:noProof/>
        </w:rPr>
        <w:fldChar w:fldCharType="begin"/>
      </w:r>
      <w:r>
        <w:rPr>
          <w:noProof/>
        </w:rPr>
        <w:instrText xml:space="preserve"> SEQ Table \* ARABIC </w:instrText>
      </w:r>
      <w:r>
        <w:rPr>
          <w:noProof/>
        </w:rPr>
        <w:fldChar w:fldCharType="separate"/>
      </w:r>
      <w:r w:rsidR="001D0DA3">
        <w:rPr>
          <w:noProof/>
        </w:rPr>
        <w:t>15</w:t>
      </w:r>
      <w:r>
        <w:rPr>
          <w:noProof/>
        </w:rPr>
        <w:fldChar w:fldCharType="end"/>
      </w:r>
      <w:r w:rsidRPr="005A6A77">
        <w:t xml:space="preserve">: </w:t>
      </w:r>
      <w:r w:rsidR="008C12B7">
        <w:t xml:space="preserve">HCFC and HFC </w:t>
      </w:r>
      <w:r w:rsidRPr="005A6A77">
        <w:rPr>
          <w:szCs w:val="22"/>
        </w:rPr>
        <w:t>refrigerant us</w:t>
      </w:r>
      <w:r>
        <w:rPr>
          <w:szCs w:val="22"/>
        </w:rPr>
        <w:t>ag</w:t>
      </w:r>
      <w:r w:rsidRPr="005A6A77">
        <w:rPr>
          <w:szCs w:val="22"/>
        </w:rPr>
        <w:t>e</w:t>
      </w:r>
      <w:r>
        <w:rPr>
          <w:szCs w:val="22"/>
        </w:rPr>
        <w:t xml:space="preserve"> in </w:t>
      </w:r>
      <w:proofErr w:type="spellStart"/>
      <w:r w:rsidRPr="005A6A77">
        <w:rPr>
          <w:szCs w:val="22"/>
        </w:rPr>
        <w:t>tonnes</w:t>
      </w:r>
      <w:proofErr w:type="spellEnd"/>
      <w:r w:rsidRPr="005A6A77">
        <w:rPr>
          <w:szCs w:val="22"/>
        </w:rPr>
        <w:t>.</w:t>
      </w:r>
      <w:bookmarkEnd w:id="130"/>
    </w:p>
    <w:tbl>
      <w:tblPr>
        <w:tblW w:w="949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2126"/>
        <w:gridCol w:w="2126"/>
        <w:gridCol w:w="2127"/>
      </w:tblGrid>
      <w:tr w:rsidR="00B2087D" w:rsidRPr="009C0BC1" w14:paraId="33381435" w14:textId="77777777" w:rsidTr="00D306E9">
        <w:trPr>
          <w:trHeight w:val="684"/>
        </w:trPr>
        <w:tc>
          <w:tcPr>
            <w:tcW w:w="3119" w:type="dxa"/>
            <w:tcBorders>
              <w:top w:val="single" w:sz="8" w:space="0" w:color="auto"/>
              <w:left w:val="single" w:sz="8" w:space="0" w:color="auto"/>
              <w:bottom w:val="single" w:sz="8" w:space="0" w:color="auto"/>
              <w:right w:val="single" w:sz="8" w:space="0" w:color="000000" w:themeColor="text1"/>
            </w:tcBorders>
            <w:shd w:val="clear" w:color="auto" w:fill="B6DDE8" w:themeFill="accent5" w:themeFillTint="66"/>
            <w:vAlign w:val="center"/>
          </w:tcPr>
          <w:p w14:paraId="767CB730" w14:textId="77777777" w:rsidR="00B2087D" w:rsidRPr="00A45804" w:rsidRDefault="00B2087D" w:rsidP="009A23AA">
            <w:pPr>
              <w:spacing w:after="120"/>
              <w:ind w:left="284"/>
              <w:rPr>
                <w:color w:val="000000" w:themeColor="text1"/>
                <w:szCs w:val="22"/>
              </w:rPr>
            </w:pPr>
            <w:r w:rsidRPr="00A45804">
              <w:rPr>
                <w:color w:val="000000" w:themeColor="text1"/>
                <w:szCs w:val="22"/>
              </w:rPr>
              <w:t>Species</w:t>
            </w:r>
          </w:p>
        </w:tc>
        <w:tc>
          <w:tcPr>
            <w:tcW w:w="2126" w:type="dxa"/>
            <w:tcBorders>
              <w:top w:val="single" w:sz="8" w:space="0" w:color="auto"/>
              <w:left w:val="single" w:sz="8" w:space="0" w:color="000000" w:themeColor="text1"/>
              <w:bottom w:val="single" w:sz="4" w:space="0" w:color="000000"/>
              <w:right w:val="single" w:sz="8" w:space="0" w:color="auto"/>
            </w:tcBorders>
            <w:shd w:val="clear" w:color="auto" w:fill="B6DDE8" w:themeFill="accent5" w:themeFillTint="66"/>
            <w:vAlign w:val="center"/>
          </w:tcPr>
          <w:p w14:paraId="298C9CFB" w14:textId="77777777" w:rsidR="00B2087D" w:rsidRPr="00A45804" w:rsidRDefault="00B2087D" w:rsidP="00921FF5">
            <w:pPr>
              <w:spacing w:after="120"/>
              <w:jc w:val="center"/>
              <w:rPr>
                <w:color w:val="000000" w:themeColor="text1"/>
                <w:szCs w:val="22"/>
              </w:rPr>
            </w:pPr>
            <w:r w:rsidRPr="00A45804">
              <w:rPr>
                <w:color w:val="000000" w:themeColor="text1"/>
                <w:szCs w:val="22"/>
              </w:rPr>
              <w:t>2016</w:t>
            </w:r>
          </w:p>
        </w:tc>
        <w:tc>
          <w:tcPr>
            <w:tcW w:w="2126" w:type="dxa"/>
            <w:tcBorders>
              <w:top w:val="single" w:sz="8" w:space="0" w:color="auto"/>
              <w:left w:val="single" w:sz="8" w:space="0" w:color="000000" w:themeColor="text1"/>
              <w:bottom w:val="single" w:sz="4" w:space="0" w:color="000000"/>
              <w:right w:val="single" w:sz="8" w:space="0" w:color="auto"/>
            </w:tcBorders>
            <w:shd w:val="clear" w:color="auto" w:fill="B6DDE8" w:themeFill="accent5" w:themeFillTint="66"/>
            <w:vAlign w:val="center"/>
          </w:tcPr>
          <w:p w14:paraId="126F1C6F" w14:textId="77777777" w:rsidR="00B2087D" w:rsidRPr="00A45804" w:rsidRDefault="00B2087D" w:rsidP="00921FF5">
            <w:pPr>
              <w:spacing w:before="60" w:after="60"/>
              <w:jc w:val="center"/>
              <w:rPr>
                <w:rFonts w:cs="Times New Roman"/>
                <w:szCs w:val="22"/>
              </w:rPr>
            </w:pPr>
            <w:r w:rsidRPr="00A45804">
              <w:rPr>
                <w:rFonts w:cs="Times New Roman"/>
                <w:szCs w:val="22"/>
              </w:rPr>
              <w:t>2017</w:t>
            </w:r>
          </w:p>
        </w:tc>
        <w:tc>
          <w:tcPr>
            <w:tcW w:w="2127" w:type="dxa"/>
            <w:tcBorders>
              <w:top w:val="single" w:sz="8" w:space="0" w:color="auto"/>
              <w:left w:val="single" w:sz="8" w:space="0" w:color="000000" w:themeColor="text1"/>
              <w:bottom w:val="single" w:sz="4" w:space="0" w:color="000000"/>
              <w:right w:val="single" w:sz="8" w:space="0" w:color="auto"/>
            </w:tcBorders>
            <w:shd w:val="clear" w:color="auto" w:fill="B6DDE8" w:themeFill="accent5" w:themeFillTint="66"/>
            <w:vAlign w:val="center"/>
          </w:tcPr>
          <w:p w14:paraId="4BA27A3B" w14:textId="77777777" w:rsidR="00B2087D" w:rsidRPr="00A45804" w:rsidRDefault="00B2087D" w:rsidP="00921FF5">
            <w:pPr>
              <w:spacing w:before="60" w:after="60"/>
              <w:jc w:val="center"/>
              <w:rPr>
                <w:color w:val="000000" w:themeColor="text1"/>
                <w:szCs w:val="22"/>
              </w:rPr>
            </w:pPr>
            <w:r w:rsidRPr="00A45804">
              <w:rPr>
                <w:color w:val="000000" w:themeColor="text1"/>
                <w:szCs w:val="22"/>
              </w:rPr>
              <w:t>2018</w:t>
            </w:r>
          </w:p>
        </w:tc>
      </w:tr>
      <w:tr w:rsidR="00B2087D" w:rsidRPr="00923150" w14:paraId="547975BD" w14:textId="77777777" w:rsidTr="00D306E9">
        <w:trPr>
          <w:trHeight w:val="456"/>
        </w:trPr>
        <w:tc>
          <w:tcPr>
            <w:tcW w:w="3119" w:type="dxa"/>
            <w:tcBorders>
              <w:top w:val="single" w:sz="8" w:space="0" w:color="auto"/>
              <w:right w:val="single" w:sz="8" w:space="0" w:color="000000" w:themeColor="text1"/>
            </w:tcBorders>
            <w:vAlign w:val="center"/>
          </w:tcPr>
          <w:p w14:paraId="096C08E1" w14:textId="77777777" w:rsidR="00B2087D" w:rsidRPr="00A45804" w:rsidRDefault="00B2087D" w:rsidP="009A23AA">
            <w:pPr>
              <w:spacing w:before="60" w:after="60"/>
              <w:ind w:left="284"/>
              <w:rPr>
                <w:rFonts w:cs="Times New Roman"/>
                <w:szCs w:val="22"/>
              </w:rPr>
            </w:pPr>
            <w:r w:rsidRPr="00A45804">
              <w:rPr>
                <w:rFonts w:cs="Times New Roman"/>
                <w:szCs w:val="22"/>
              </w:rPr>
              <w:t xml:space="preserve">HCFC-22 </w:t>
            </w:r>
            <w:r w:rsidRPr="00A45804">
              <w:rPr>
                <w:rFonts w:cs="Times New Roman"/>
                <w:szCs w:val="22"/>
                <w:vertAlign w:val="superscript"/>
              </w:rPr>
              <w:t>(1)</w:t>
            </w:r>
          </w:p>
        </w:tc>
        <w:tc>
          <w:tcPr>
            <w:tcW w:w="2126" w:type="dxa"/>
            <w:tcBorders>
              <w:left w:val="single" w:sz="8" w:space="0" w:color="000000" w:themeColor="text1"/>
              <w:right w:val="single" w:sz="8" w:space="0" w:color="auto"/>
            </w:tcBorders>
            <w:shd w:val="clear" w:color="auto" w:fill="auto"/>
            <w:vAlign w:val="center"/>
          </w:tcPr>
          <w:p w14:paraId="109D4821" w14:textId="77777777" w:rsidR="00B2087D" w:rsidRPr="00A45804" w:rsidRDefault="00B2087D" w:rsidP="00921FF5">
            <w:pPr>
              <w:spacing w:before="60" w:after="60"/>
              <w:jc w:val="center"/>
              <w:rPr>
                <w:rFonts w:cs="Times New Roman"/>
                <w:szCs w:val="22"/>
              </w:rPr>
            </w:pPr>
            <w:r w:rsidRPr="00A45804">
              <w:rPr>
                <w:rFonts w:cs="Times New Roman"/>
                <w:szCs w:val="22"/>
              </w:rPr>
              <w:t>255</w:t>
            </w:r>
          </w:p>
        </w:tc>
        <w:tc>
          <w:tcPr>
            <w:tcW w:w="2126" w:type="dxa"/>
            <w:tcBorders>
              <w:left w:val="single" w:sz="8" w:space="0" w:color="000000" w:themeColor="text1"/>
              <w:right w:val="single" w:sz="8" w:space="0" w:color="auto"/>
            </w:tcBorders>
            <w:shd w:val="clear" w:color="auto" w:fill="auto"/>
            <w:vAlign w:val="center"/>
          </w:tcPr>
          <w:p w14:paraId="7CE4C9CA" w14:textId="77777777" w:rsidR="00B2087D" w:rsidRPr="00A45804" w:rsidRDefault="00B2087D" w:rsidP="00921FF5">
            <w:pPr>
              <w:spacing w:before="60" w:after="60"/>
              <w:jc w:val="center"/>
              <w:rPr>
                <w:rFonts w:cs="Times New Roman"/>
                <w:szCs w:val="22"/>
              </w:rPr>
            </w:pPr>
            <w:r w:rsidRPr="00A45804">
              <w:rPr>
                <w:rFonts w:cs="Times New Roman"/>
                <w:szCs w:val="22"/>
              </w:rPr>
              <w:t>224</w:t>
            </w:r>
          </w:p>
        </w:tc>
        <w:tc>
          <w:tcPr>
            <w:tcW w:w="2127" w:type="dxa"/>
            <w:tcBorders>
              <w:left w:val="single" w:sz="8" w:space="0" w:color="000000" w:themeColor="text1"/>
              <w:right w:val="single" w:sz="8" w:space="0" w:color="auto"/>
            </w:tcBorders>
            <w:shd w:val="clear" w:color="auto" w:fill="auto"/>
            <w:vAlign w:val="center"/>
          </w:tcPr>
          <w:p w14:paraId="701E463D" w14:textId="77777777" w:rsidR="00B2087D" w:rsidRPr="00A45804" w:rsidRDefault="00B2087D" w:rsidP="00921FF5">
            <w:pPr>
              <w:spacing w:before="60" w:after="60"/>
              <w:jc w:val="center"/>
              <w:rPr>
                <w:rFonts w:cs="Times New Roman"/>
                <w:szCs w:val="22"/>
              </w:rPr>
            </w:pPr>
            <w:r w:rsidRPr="00A45804">
              <w:rPr>
                <w:rFonts w:cs="Times New Roman"/>
                <w:szCs w:val="22"/>
              </w:rPr>
              <w:t>162</w:t>
            </w:r>
          </w:p>
        </w:tc>
      </w:tr>
      <w:tr w:rsidR="00B2087D" w:rsidRPr="00923150" w14:paraId="6FA3C25C" w14:textId="77777777" w:rsidTr="00D306E9">
        <w:trPr>
          <w:trHeight w:val="456"/>
        </w:trPr>
        <w:tc>
          <w:tcPr>
            <w:tcW w:w="3119" w:type="dxa"/>
            <w:tcBorders>
              <w:right w:val="single" w:sz="8" w:space="0" w:color="000000" w:themeColor="text1"/>
            </w:tcBorders>
            <w:vAlign w:val="center"/>
          </w:tcPr>
          <w:p w14:paraId="52A6BCEF" w14:textId="77777777" w:rsidR="00B2087D" w:rsidRPr="00A45804" w:rsidRDefault="00B2087D" w:rsidP="009A23AA">
            <w:pPr>
              <w:spacing w:before="60" w:after="60"/>
              <w:ind w:left="284"/>
              <w:rPr>
                <w:rFonts w:cs="Times New Roman"/>
                <w:szCs w:val="22"/>
              </w:rPr>
            </w:pPr>
            <w:r w:rsidRPr="00A45804">
              <w:rPr>
                <w:rFonts w:cs="Times New Roman"/>
                <w:szCs w:val="22"/>
              </w:rPr>
              <w:t>HFC-134a</w:t>
            </w:r>
          </w:p>
        </w:tc>
        <w:tc>
          <w:tcPr>
            <w:tcW w:w="2126" w:type="dxa"/>
            <w:tcBorders>
              <w:left w:val="single" w:sz="8" w:space="0" w:color="000000" w:themeColor="text1"/>
              <w:right w:val="single" w:sz="8" w:space="0" w:color="auto"/>
            </w:tcBorders>
            <w:shd w:val="clear" w:color="auto" w:fill="auto"/>
            <w:vAlign w:val="center"/>
          </w:tcPr>
          <w:p w14:paraId="61AAFE87" w14:textId="77777777" w:rsidR="00B2087D" w:rsidRPr="00A45804" w:rsidRDefault="00B2087D" w:rsidP="00921FF5">
            <w:pPr>
              <w:spacing w:before="60" w:after="60"/>
              <w:jc w:val="center"/>
              <w:rPr>
                <w:rFonts w:cs="Times New Roman"/>
                <w:szCs w:val="22"/>
              </w:rPr>
            </w:pPr>
            <w:r w:rsidRPr="00A45804">
              <w:rPr>
                <w:rFonts w:cs="Times New Roman"/>
                <w:szCs w:val="22"/>
              </w:rPr>
              <w:t>1,276</w:t>
            </w:r>
          </w:p>
        </w:tc>
        <w:tc>
          <w:tcPr>
            <w:tcW w:w="2126" w:type="dxa"/>
            <w:tcBorders>
              <w:left w:val="single" w:sz="8" w:space="0" w:color="000000" w:themeColor="text1"/>
              <w:right w:val="single" w:sz="8" w:space="0" w:color="auto"/>
            </w:tcBorders>
            <w:shd w:val="clear" w:color="auto" w:fill="auto"/>
            <w:vAlign w:val="center"/>
          </w:tcPr>
          <w:p w14:paraId="77F37BD9" w14:textId="2F5E1A72" w:rsidR="00B2087D" w:rsidRPr="00A45804" w:rsidRDefault="00B2087D" w:rsidP="00921FF5">
            <w:pPr>
              <w:spacing w:before="60" w:after="60"/>
              <w:jc w:val="center"/>
              <w:rPr>
                <w:rFonts w:cs="Times New Roman"/>
                <w:szCs w:val="22"/>
              </w:rPr>
            </w:pPr>
            <w:r w:rsidRPr="00A45804">
              <w:rPr>
                <w:rFonts w:cs="Times New Roman"/>
                <w:szCs w:val="22"/>
              </w:rPr>
              <w:t>1,</w:t>
            </w:r>
            <w:r w:rsidR="0053388B" w:rsidRPr="00A45804">
              <w:rPr>
                <w:rFonts w:cs="Times New Roman"/>
                <w:szCs w:val="22"/>
              </w:rPr>
              <w:t>428</w:t>
            </w:r>
          </w:p>
        </w:tc>
        <w:tc>
          <w:tcPr>
            <w:tcW w:w="2127" w:type="dxa"/>
            <w:tcBorders>
              <w:left w:val="single" w:sz="8" w:space="0" w:color="000000" w:themeColor="text1"/>
              <w:right w:val="single" w:sz="8" w:space="0" w:color="auto"/>
            </w:tcBorders>
            <w:shd w:val="clear" w:color="auto" w:fill="auto"/>
            <w:vAlign w:val="center"/>
          </w:tcPr>
          <w:p w14:paraId="52E328DF" w14:textId="249D5A49" w:rsidR="00B2087D" w:rsidRPr="00A45804" w:rsidRDefault="00B2087D" w:rsidP="00921FF5">
            <w:pPr>
              <w:spacing w:before="60" w:after="60"/>
              <w:jc w:val="center"/>
              <w:rPr>
                <w:rFonts w:cs="Times New Roman"/>
                <w:szCs w:val="22"/>
              </w:rPr>
            </w:pPr>
            <w:r w:rsidRPr="00A45804">
              <w:rPr>
                <w:rFonts w:cs="Times New Roman"/>
                <w:szCs w:val="22"/>
              </w:rPr>
              <w:t>1,3</w:t>
            </w:r>
            <w:r w:rsidR="0053388B" w:rsidRPr="00A45804">
              <w:rPr>
                <w:rFonts w:cs="Times New Roman"/>
                <w:szCs w:val="22"/>
              </w:rPr>
              <w:t>44</w:t>
            </w:r>
          </w:p>
        </w:tc>
      </w:tr>
      <w:tr w:rsidR="00B2087D" w:rsidRPr="00923150" w14:paraId="758F2637" w14:textId="77777777" w:rsidTr="00D306E9">
        <w:trPr>
          <w:trHeight w:val="456"/>
        </w:trPr>
        <w:tc>
          <w:tcPr>
            <w:tcW w:w="3119" w:type="dxa"/>
            <w:tcBorders>
              <w:right w:val="single" w:sz="8" w:space="0" w:color="000000" w:themeColor="text1"/>
            </w:tcBorders>
            <w:vAlign w:val="center"/>
          </w:tcPr>
          <w:p w14:paraId="78642AF8" w14:textId="77777777" w:rsidR="00B2087D" w:rsidRPr="00A45804" w:rsidRDefault="00B2087D" w:rsidP="009A23AA">
            <w:pPr>
              <w:spacing w:before="60" w:after="60"/>
              <w:ind w:left="284"/>
              <w:rPr>
                <w:rFonts w:cs="Times New Roman"/>
                <w:szCs w:val="22"/>
              </w:rPr>
            </w:pPr>
            <w:r w:rsidRPr="00A45804">
              <w:rPr>
                <w:rFonts w:cs="Times New Roman"/>
                <w:szCs w:val="22"/>
              </w:rPr>
              <w:t>HFC-404A</w:t>
            </w:r>
          </w:p>
        </w:tc>
        <w:tc>
          <w:tcPr>
            <w:tcW w:w="2126" w:type="dxa"/>
            <w:tcBorders>
              <w:left w:val="single" w:sz="8" w:space="0" w:color="000000" w:themeColor="text1"/>
              <w:right w:val="single" w:sz="8" w:space="0" w:color="auto"/>
            </w:tcBorders>
            <w:shd w:val="clear" w:color="auto" w:fill="auto"/>
            <w:vAlign w:val="center"/>
          </w:tcPr>
          <w:p w14:paraId="35D16D7F" w14:textId="77777777" w:rsidR="00B2087D" w:rsidRPr="00A45804" w:rsidRDefault="00B2087D" w:rsidP="00921FF5">
            <w:pPr>
              <w:spacing w:before="60" w:after="60"/>
              <w:jc w:val="center"/>
              <w:rPr>
                <w:rFonts w:cs="Times New Roman"/>
                <w:szCs w:val="22"/>
              </w:rPr>
            </w:pPr>
            <w:r w:rsidRPr="00A45804">
              <w:rPr>
                <w:rFonts w:cs="Times New Roman"/>
                <w:szCs w:val="22"/>
              </w:rPr>
              <w:t>800</w:t>
            </w:r>
          </w:p>
        </w:tc>
        <w:tc>
          <w:tcPr>
            <w:tcW w:w="2126" w:type="dxa"/>
            <w:tcBorders>
              <w:left w:val="single" w:sz="8" w:space="0" w:color="000000" w:themeColor="text1"/>
              <w:right w:val="single" w:sz="8" w:space="0" w:color="auto"/>
            </w:tcBorders>
            <w:shd w:val="clear" w:color="auto" w:fill="auto"/>
            <w:vAlign w:val="center"/>
          </w:tcPr>
          <w:p w14:paraId="3E626F4A" w14:textId="77777777" w:rsidR="00B2087D" w:rsidRPr="00A45804" w:rsidRDefault="00B2087D" w:rsidP="00921FF5">
            <w:pPr>
              <w:spacing w:before="60" w:after="60"/>
              <w:jc w:val="center"/>
              <w:rPr>
                <w:rFonts w:cs="Times New Roman"/>
                <w:szCs w:val="22"/>
              </w:rPr>
            </w:pPr>
            <w:r w:rsidRPr="00A45804">
              <w:rPr>
                <w:rFonts w:cs="Times New Roman"/>
                <w:szCs w:val="22"/>
              </w:rPr>
              <w:t>878</w:t>
            </w:r>
          </w:p>
        </w:tc>
        <w:tc>
          <w:tcPr>
            <w:tcW w:w="2127" w:type="dxa"/>
            <w:tcBorders>
              <w:left w:val="single" w:sz="8" w:space="0" w:color="000000" w:themeColor="text1"/>
              <w:right w:val="single" w:sz="8" w:space="0" w:color="auto"/>
            </w:tcBorders>
            <w:shd w:val="clear" w:color="auto" w:fill="auto"/>
            <w:vAlign w:val="center"/>
          </w:tcPr>
          <w:p w14:paraId="61542EAA" w14:textId="77777777" w:rsidR="00B2087D" w:rsidRPr="00A45804" w:rsidRDefault="00B2087D" w:rsidP="00921FF5">
            <w:pPr>
              <w:spacing w:before="60" w:after="60"/>
              <w:jc w:val="center"/>
              <w:rPr>
                <w:rFonts w:cs="Times New Roman"/>
                <w:szCs w:val="22"/>
              </w:rPr>
            </w:pPr>
            <w:r w:rsidRPr="00A45804">
              <w:rPr>
                <w:rFonts w:cs="Times New Roman"/>
                <w:szCs w:val="22"/>
              </w:rPr>
              <w:t>800</w:t>
            </w:r>
          </w:p>
        </w:tc>
      </w:tr>
      <w:tr w:rsidR="00B2087D" w:rsidRPr="00923150" w14:paraId="256FC9A7" w14:textId="77777777" w:rsidTr="00D306E9">
        <w:trPr>
          <w:trHeight w:val="456"/>
        </w:trPr>
        <w:tc>
          <w:tcPr>
            <w:tcW w:w="3119" w:type="dxa"/>
            <w:tcBorders>
              <w:bottom w:val="single" w:sz="4" w:space="0" w:color="000000"/>
              <w:right w:val="single" w:sz="8" w:space="0" w:color="000000" w:themeColor="text1"/>
            </w:tcBorders>
            <w:vAlign w:val="center"/>
          </w:tcPr>
          <w:p w14:paraId="0FBA12DB" w14:textId="77777777" w:rsidR="00B2087D" w:rsidRPr="00A45804" w:rsidRDefault="00B2087D" w:rsidP="009A23AA">
            <w:pPr>
              <w:spacing w:before="60" w:after="60"/>
              <w:ind w:left="284"/>
              <w:rPr>
                <w:rFonts w:cs="Times New Roman"/>
                <w:szCs w:val="22"/>
              </w:rPr>
            </w:pPr>
            <w:r w:rsidRPr="00A45804">
              <w:rPr>
                <w:rFonts w:cs="Times New Roman"/>
                <w:szCs w:val="22"/>
              </w:rPr>
              <w:t>HFC-407C</w:t>
            </w:r>
          </w:p>
        </w:tc>
        <w:tc>
          <w:tcPr>
            <w:tcW w:w="2126" w:type="dxa"/>
            <w:tcBorders>
              <w:left w:val="single" w:sz="8" w:space="0" w:color="000000" w:themeColor="text1"/>
              <w:right w:val="single" w:sz="8" w:space="0" w:color="auto"/>
            </w:tcBorders>
            <w:shd w:val="clear" w:color="auto" w:fill="auto"/>
            <w:vAlign w:val="center"/>
          </w:tcPr>
          <w:p w14:paraId="70720D3C" w14:textId="77777777" w:rsidR="00B2087D" w:rsidRPr="00A45804" w:rsidRDefault="00B2087D" w:rsidP="00921FF5">
            <w:pPr>
              <w:spacing w:before="60" w:after="60"/>
              <w:jc w:val="center"/>
              <w:rPr>
                <w:rFonts w:cs="Times New Roman"/>
                <w:szCs w:val="22"/>
              </w:rPr>
            </w:pPr>
            <w:r w:rsidRPr="00A45804">
              <w:rPr>
                <w:rFonts w:cs="Times New Roman"/>
                <w:szCs w:val="22"/>
              </w:rPr>
              <w:t>168</w:t>
            </w:r>
          </w:p>
        </w:tc>
        <w:tc>
          <w:tcPr>
            <w:tcW w:w="2126" w:type="dxa"/>
            <w:tcBorders>
              <w:left w:val="single" w:sz="8" w:space="0" w:color="000000" w:themeColor="text1"/>
              <w:right w:val="single" w:sz="8" w:space="0" w:color="auto"/>
            </w:tcBorders>
            <w:shd w:val="clear" w:color="auto" w:fill="auto"/>
            <w:vAlign w:val="center"/>
          </w:tcPr>
          <w:p w14:paraId="6272A10B" w14:textId="77777777" w:rsidR="00B2087D" w:rsidRPr="00A45804" w:rsidRDefault="00B2087D" w:rsidP="00921FF5">
            <w:pPr>
              <w:spacing w:before="60" w:after="60"/>
              <w:jc w:val="center"/>
              <w:rPr>
                <w:rFonts w:cs="Times New Roman"/>
                <w:szCs w:val="22"/>
              </w:rPr>
            </w:pPr>
            <w:r w:rsidRPr="00A45804">
              <w:rPr>
                <w:rFonts w:cs="Times New Roman"/>
                <w:szCs w:val="22"/>
              </w:rPr>
              <w:t>173</w:t>
            </w:r>
          </w:p>
        </w:tc>
        <w:tc>
          <w:tcPr>
            <w:tcW w:w="2127" w:type="dxa"/>
            <w:tcBorders>
              <w:left w:val="single" w:sz="8" w:space="0" w:color="000000" w:themeColor="text1"/>
              <w:right w:val="single" w:sz="8" w:space="0" w:color="auto"/>
            </w:tcBorders>
            <w:shd w:val="clear" w:color="auto" w:fill="auto"/>
            <w:vAlign w:val="center"/>
          </w:tcPr>
          <w:p w14:paraId="629912B6" w14:textId="77777777" w:rsidR="00B2087D" w:rsidRPr="00A45804" w:rsidRDefault="00B2087D" w:rsidP="00921FF5">
            <w:pPr>
              <w:spacing w:before="60" w:after="60"/>
              <w:jc w:val="center"/>
              <w:rPr>
                <w:rFonts w:cs="Times New Roman"/>
                <w:szCs w:val="22"/>
              </w:rPr>
            </w:pPr>
            <w:r w:rsidRPr="00A45804">
              <w:rPr>
                <w:rFonts w:cs="Times New Roman"/>
                <w:szCs w:val="22"/>
              </w:rPr>
              <w:t>174</w:t>
            </w:r>
          </w:p>
        </w:tc>
      </w:tr>
      <w:tr w:rsidR="00B2087D" w:rsidRPr="00923150" w14:paraId="610DA61D" w14:textId="77777777" w:rsidTr="00D306E9">
        <w:trPr>
          <w:trHeight w:val="456"/>
        </w:trPr>
        <w:tc>
          <w:tcPr>
            <w:tcW w:w="3119" w:type="dxa"/>
            <w:tcBorders>
              <w:bottom w:val="single" w:sz="4" w:space="0" w:color="000000"/>
              <w:right w:val="single" w:sz="8" w:space="0" w:color="000000" w:themeColor="text1"/>
            </w:tcBorders>
            <w:vAlign w:val="center"/>
          </w:tcPr>
          <w:p w14:paraId="4C97D6F8" w14:textId="77777777" w:rsidR="00B2087D" w:rsidRPr="00A45804" w:rsidRDefault="00B2087D" w:rsidP="009A23AA">
            <w:pPr>
              <w:spacing w:before="60" w:after="60"/>
              <w:ind w:left="284"/>
              <w:rPr>
                <w:rFonts w:cs="Times New Roman"/>
                <w:szCs w:val="22"/>
              </w:rPr>
            </w:pPr>
            <w:r w:rsidRPr="00A45804">
              <w:rPr>
                <w:rFonts w:cs="Times New Roman"/>
                <w:szCs w:val="22"/>
              </w:rPr>
              <w:t>HFC-407A/F</w:t>
            </w:r>
          </w:p>
        </w:tc>
        <w:tc>
          <w:tcPr>
            <w:tcW w:w="2126" w:type="dxa"/>
            <w:tcBorders>
              <w:left w:val="single" w:sz="8" w:space="0" w:color="000000" w:themeColor="text1"/>
              <w:right w:val="single" w:sz="8" w:space="0" w:color="auto"/>
            </w:tcBorders>
            <w:shd w:val="clear" w:color="auto" w:fill="auto"/>
            <w:vAlign w:val="center"/>
          </w:tcPr>
          <w:p w14:paraId="781ED6FC" w14:textId="77777777" w:rsidR="00B2087D" w:rsidRPr="00A45804" w:rsidRDefault="00B2087D" w:rsidP="00921FF5">
            <w:pPr>
              <w:spacing w:before="60" w:after="60"/>
              <w:jc w:val="center"/>
              <w:rPr>
                <w:rFonts w:cs="Times New Roman"/>
                <w:szCs w:val="22"/>
              </w:rPr>
            </w:pPr>
            <w:r w:rsidRPr="00A45804">
              <w:rPr>
                <w:rFonts w:cs="Times New Roman"/>
                <w:szCs w:val="22"/>
              </w:rPr>
              <w:t>33</w:t>
            </w:r>
          </w:p>
        </w:tc>
        <w:tc>
          <w:tcPr>
            <w:tcW w:w="2126" w:type="dxa"/>
            <w:tcBorders>
              <w:left w:val="single" w:sz="8" w:space="0" w:color="000000" w:themeColor="text1"/>
              <w:right w:val="single" w:sz="8" w:space="0" w:color="auto"/>
            </w:tcBorders>
            <w:shd w:val="clear" w:color="auto" w:fill="auto"/>
            <w:vAlign w:val="center"/>
          </w:tcPr>
          <w:p w14:paraId="522A7B28" w14:textId="77777777" w:rsidR="00B2087D" w:rsidRPr="00A45804" w:rsidRDefault="00B2087D" w:rsidP="00921FF5">
            <w:pPr>
              <w:spacing w:before="60" w:after="60"/>
              <w:jc w:val="center"/>
              <w:rPr>
                <w:rFonts w:cs="Times New Roman"/>
                <w:szCs w:val="22"/>
              </w:rPr>
            </w:pPr>
            <w:r w:rsidRPr="00A45804">
              <w:rPr>
                <w:rFonts w:cs="Times New Roman"/>
                <w:szCs w:val="22"/>
              </w:rPr>
              <w:t>31</w:t>
            </w:r>
          </w:p>
        </w:tc>
        <w:tc>
          <w:tcPr>
            <w:tcW w:w="2127" w:type="dxa"/>
            <w:tcBorders>
              <w:left w:val="single" w:sz="8" w:space="0" w:color="000000" w:themeColor="text1"/>
              <w:right w:val="single" w:sz="8" w:space="0" w:color="auto"/>
            </w:tcBorders>
            <w:shd w:val="clear" w:color="auto" w:fill="auto"/>
            <w:vAlign w:val="center"/>
          </w:tcPr>
          <w:p w14:paraId="42C37FE1" w14:textId="77777777" w:rsidR="00B2087D" w:rsidRPr="00A45804" w:rsidRDefault="00B2087D" w:rsidP="00921FF5">
            <w:pPr>
              <w:spacing w:before="60" w:after="60"/>
              <w:jc w:val="center"/>
              <w:rPr>
                <w:rFonts w:cs="Times New Roman"/>
                <w:szCs w:val="22"/>
              </w:rPr>
            </w:pPr>
            <w:r w:rsidRPr="00A45804">
              <w:rPr>
                <w:rFonts w:cs="Times New Roman"/>
                <w:szCs w:val="22"/>
              </w:rPr>
              <w:t>28</w:t>
            </w:r>
          </w:p>
        </w:tc>
      </w:tr>
      <w:tr w:rsidR="00B2087D" w:rsidRPr="00923150" w14:paraId="03286115" w14:textId="77777777" w:rsidTr="00D306E9">
        <w:trPr>
          <w:trHeight w:val="456"/>
        </w:trPr>
        <w:tc>
          <w:tcPr>
            <w:tcW w:w="3119" w:type="dxa"/>
            <w:tcBorders>
              <w:bottom w:val="single" w:sz="4" w:space="0" w:color="000000"/>
              <w:right w:val="single" w:sz="8" w:space="0" w:color="000000" w:themeColor="text1"/>
            </w:tcBorders>
            <w:vAlign w:val="bottom"/>
          </w:tcPr>
          <w:p w14:paraId="63AA9C65" w14:textId="77777777" w:rsidR="00B2087D" w:rsidRPr="00A45804" w:rsidRDefault="00B2087D" w:rsidP="009A23AA">
            <w:pPr>
              <w:spacing w:before="60" w:after="60"/>
              <w:ind w:left="284"/>
              <w:rPr>
                <w:rFonts w:eastAsia="Times New Roman" w:cs="Times New Roman"/>
                <w:color w:val="000000"/>
                <w:szCs w:val="22"/>
              </w:rPr>
            </w:pPr>
            <w:r w:rsidRPr="00A45804">
              <w:rPr>
                <w:rFonts w:cs="Times New Roman"/>
                <w:szCs w:val="22"/>
              </w:rPr>
              <w:t>HFC-410A</w:t>
            </w:r>
          </w:p>
        </w:tc>
        <w:tc>
          <w:tcPr>
            <w:tcW w:w="2126" w:type="dxa"/>
            <w:tcBorders>
              <w:left w:val="single" w:sz="8" w:space="0" w:color="000000" w:themeColor="text1"/>
              <w:right w:val="single" w:sz="8" w:space="0" w:color="auto"/>
            </w:tcBorders>
            <w:shd w:val="clear" w:color="auto" w:fill="auto"/>
            <w:vAlign w:val="center"/>
          </w:tcPr>
          <w:p w14:paraId="233EC42E" w14:textId="77777777" w:rsidR="00B2087D" w:rsidRPr="00A45804" w:rsidRDefault="00B2087D" w:rsidP="00921FF5">
            <w:pPr>
              <w:spacing w:before="60" w:after="60"/>
              <w:jc w:val="center"/>
              <w:rPr>
                <w:rFonts w:cs="Times New Roman"/>
                <w:szCs w:val="22"/>
              </w:rPr>
            </w:pPr>
            <w:r w:rsidRPr="00A45804">
              <w:rPr>
                <w:rFonts w:cs="Times New Roman"/>
                <w:szCs w:val="22"/>
              </w:rPr>
              <w:t>612</w:t>
            </w:r>
          </w:p>
        </w:tc>
        <w:tc>
          <w:tcPr>
            <w:tcW w:w="2126" w:type="dxa"/>
            <w:tcBorders>
              <w:left w:val="single" w:sz="8" w:space="0" w:color="000000" w:themeColor="text1"/>
              <w:right w:val="single" w:sz="8" w:space="0" w:color="auto"/>
            </w:tcBorders>
            <w:shd w:val="clear" w:color="auto" w:fill="auto"/>
            <w:vAlign w:val="center"/>
          </w:tcPr>
          <w:p w14:paraId="39F8EB5C" w14:textId="77777777" w:rsidR="00B2087D" w:rsidRPr="00A45804" w:rsidRDefault="00B2087D" w:rsidP="00921FF5">
            <w:pPr>
              <w:spacing w:before="60" w:after="60"/>
              <w:jc w:val="center"/>
              <w:rPr>
                <w:rFonts w:cs="Times New Roman"/>
                <w:szCs w:val="22"/>
              </w:rPr>
            </w:pPr>
            <w:r w:rsidRPr="00A45804">
              <w:rPr>
                <w:rFonts w:cs="Times New Roman"/>
                <w:szCs w:val="22"/>
              </w:rPr>
              <w:t>711</w:t>
            </w:r>
          </w:p>
        </w:tc>
        <w:tc>
          <w:tcPr>
            <w:tcW w:w="2127" w:type="dxa"/>
            <w:tcBorders>
              <w:left w:val="single" w:sz="8" w:space="0" w:color="000000" w:themeColor="text1"/>
              <w:right w:val="single" w:sz="8" w:space="0" w:color="auto"/>
            </w:tcBorders>
            <w:shd w:val="clear" w:color="auto" w:fill="auto"/>
            <w:vAlign w:val="center"/>
          </w:tcPr>
          <w:p w14:paraId="1D69E950" w14:textId="77777777" w:rsidR="00B2087D" w:rsidRPr="00A45804" w:rsidRDefault="00B2087D" w:rsidP="00921FF5">
            <w:pPr>
              <w:spacing w:before="60" w:after="60"/>
              <w:jc w:val="center"/>
              <w:rPr>
                <w:rFonts w:cs="Times New Roman"/>
                <w:szCs w:val="22"/>
              </w:rPr>
            </w:pPr>
            <w:r w:rsidRPr="00A45804">
              <w:rPr>
                <w:rFonts w:cs="Times New Roman"/>
                <w:szCs w:val="22"/>
              </w:rPr>
              <w:t>733</w:t>
            </w:r>
          </w:p>
        </w:tc>
      </w:tr>
      <w:tr w:rsidR="00B2087D" w:rsidRPr="00923150" w14:paraId="624899A8" w14:textId="77777777" w:rsidTr="00D306E9">
        <w:trPr>
          <w:trHeight w:val="456"/>
        </w:trPr>
        <w:tc>
          <w:tcPr>
            <w:tcW w:w="3119" w:type="dxa"/>
            <w:tcBorders>
              <w:bottom w:val="single" w:sz="4" w:space="0" w:color="000000"/>
              <w:right w:val="single" w:sz="8" w:space="0" w:color="000000" w:themeColor="text1"/>
            </w:tcBorders>
            <w:vAlign w:val="bottom"/>
          </w:tcPr>
          <w:p w14:paraId="3F210CE4" w14:textId="77777777" w:rsidR="00B2087D" w:rsidRPr="00A45804" w:rsidRDefault="00B2087D" w:rsidP="009A23AA">
            <w:pPr>
              <w:spacing w:before="60" w:after="60"/>
              <w:ind w:left="284"/>
              <w:rPr>
                <w:rFonts w:cs="Times New Roman"/>
                <w:szCs w:val="22"/>
              </w:rPr>
            </w:pPr>
            <w:r w:rsidRPr="00A45804">
              <w:rPr>
                <w:rFonts w:eastAsia="Times New Roman" w:cs="Times New Roman"/>
                <w:color w:val="000000"/>
                <w:szCs w:val="22"/>
              </w:rPr>
              <w:t>HCFC/CFC Replacements</w:t>
            </w:r>
          </w:p>
        </w:tc>
        <w:tc>
          <w:tcPr>
            <w:tcW w:w="2126" w:type="dxa"/>
            <w:tcBorders>
              <w:left w:val="single" w:sz="8" w:space="0" w:color="000000" w:themeColor="text1"/>
              <w:right w:val="single" w:sz="8" w:space="0" w:color="auto"/>
            </w:tcBorders>
            <w:shd w:val="clear" w:color="auto" w:fill="auto"/>
            <w:vAlign w:val="center"/>
          </w:tcPr>
          <w:p w14:paraId="71F84B63" w14:textId="77777777" w:rsidR="00B2087D" w:rsidRPr="00A45804" w:rsidRDefault="00B2087D" w:rsidP="00921FF5">
            <w:pPr>
              <w:spacing w:before="60" w:after="60"/>
              <w:jc w:val="center"/>
              <w:rPr>
                <w:rFonts w:cs="Times New Roman"/>
                <w:szCs w:val="22"/>
              </w:rPr>
            </w:pPr>
            <w:r w:rsidRPr="00A45804">
              <w:rPr>
                <w:rFonts w:cs="Times New Roman"/>
                <w:szCs w:val="22"/>
              </w:rPr>
              <w:t>99</w:t>
            </w:r>
          </w:p>
        </w:tc>
        <w:tc>
          <w:tcPr>
            <w:tcW w:w="2126" w:type="dxa"/>
            <w:tcBorders>
              <w:left w:val="single" w:sz="8" w:space="0" w:color="000000" w:themeColor="text1"/>
              <w:right w:val="single" w:sz="8" w:space="0" w:color="auto"/>
            </w:tcBorders>
            <w:shd w:val="clear" w:color="auto" w:fill="auto"/>
            <w:vAlign w:val="center"/>
          </w:tcPr>
          <w:p w14:paraId="5D710D86" w14:textId="77777777" w:rsidR="00B2087D" w:rsidRPr="00A45804" w:rsidRDefault="00B2087D" w:rsidP="00921FF5">
            <w:pPr>
              <w:spacing w:before="60" w:after="60"/>
              <w:jc w:val="center"/>
              <w:rPr>
                <w:rFonts w:cs="Times New Roman"/>
                <w:szCs w:val="22"/>
              </w:rPr>
            </w:pPr>
            <w:r w:rsidRPr="00A45804">
              <w:rPr>
                <w:rFonts w:cs="Times New Roman"/>
                <w:szCs w:val="22"/>
              </w:rPr>
              <w:t>96</w:t>
            </w:r>
          </w:p>
        </w:tc>
        <w:tc>
          <w:tcPr>
            <w:tcW w:w="2127" w:type="dxa"/>
            <w:tcBorders>
              <w:left w:val="single" w:sz="8" w:space="0" w:color="000000" w:themeColor="text1"/>
              <w:right w:val="single" w:sz="8" w:space="0" w:color="auto"/>
            </w:tcBorders>
            <w:shd w:val="clear" w:color="auto" w:fill="auto"/>
            <w:vAlign w:val="center"/>
          </w:tcPr>
          <w:p w14:paraId="5520B18F" w14:textId="77777777" w:rsidR="00B2087D" w:rsidRPr="00A45804" w:rsidRDefault="00B2087D" w:rsidP="00921FF5">
            <w:pPr>
              <w:spacing w:before="60" w:after="60"/>
              <w:jc w:val="center"/>
              <w:rPr>
                <w:rFonts w:cs="Times New Roman"/>
                <w:szCs w:val="22"/>
              </w:rPr>
            </w:pPr>
            <w:r w:rsidRPr="00A45804">
              <w:rPr>
                <w:rFonts w:cs="Times New Roman"/>
                <w:szCs w:val="22"/>
              </w:rPr>
              <w:t>95</w:t>
            </w:r>
          </w:p>
        </w:tc>
      </w:tr>
      <w:tr w:rsidR="00B2087D" w:rsidRPr="00923150" w14:paraId="751508EE" w14:textId="77777777" w:rsidTr="00D306E9">
        <w:trPr>
          <w:trHeight w:val="456"/>
        </w:trPr>
        <w:tc>
          <w:tcPr>
            <w:tcW w:w="3119" w:type="dxa"/>
            <w:tcBorders>
              <w:bottom w:val="single" w:sz="4" w:space="0" w:color="000000"/>
              <w:right w:val="single" w:sz="8" w:space="0" w:color="000000" w:themeColor="text1"/>
            </w:tcBorders>
            <w:vAlign w:val="bottom"/>
          </w:tcPr>
          <w:p w14:paraId="163BB2A7" w14:textId="77777777" w:rsidR="00B2087D" w:rsidRPr="00A45804" w:rsidRDefault="00B2087D" w:rsidP="009A23AA">
            <w:pPr>
              <w:spacing w:before="60" w:after="60"/>
              <w:ind w:left="284"/>
              <w:rPr>
                <w:rFonts w:cs="Times New Roman"/>
                <w:szCs w:val="22"/>
              </w:rPr>
            </w:pPr>
            <w:r w:rsidRPr="00A45804">
              <w:rPr>
                <w:rFonts w:eastAsia="Times New Roman" w:cs="Times New Roman"/>
                <w:color w:val="000000"/>
                <w:szCs w:val="22"/>
              </w:rPr>
              <w:t>HFC-32</w:t>
            </w:r>
          </w:p>
        </w:tc>
        <w:tc>
          <w:tcPr>
            <w:tcW w:w="2126" w:type="dxa"/>
            <w:tcBorders>
              <w:left w:val="single" w:sz="8" w:space="0" w:color="000000" w:themeColor="text1"/>
              <w:right w:val="single" w:sz="8" w:space="0" w:color="auto"/>
            </w:tcBorders>
            <w:shd w:val="clear" w:color="auto" w:fill="auto"/>
            <w:vAlign w:val="center"/>
          </w:tcPr>
          <w:p w14:paraId="0B41645F" w14:textId="77777777" w:rsidR="00B2087D" w:rsidRPr="00A45804" w:rsidRDefault="00B2087D" w:rsidP="00921FF5">
            <w:pPr>
              <w:spacing w:before="60" w:after="60"/>
              <w:jc w:val="center"/>
              <w:rPr>
                <w:rFonts w:cs="Times New Roman"/>
                <w:szCs w:val="22"/>
              </w:rPr>
            </w:pPr>
            <w:r w:rsidRPr="00A45804">
              <w:rPr>
                <w:rFonts w:cs="Times New Roman"/>
                <w:szCs w:val="22"/>
              </w:rPr>
              <w:t>16</w:t>
            </w:r>
          </w:p>
        </w:tc>
        <w:tc>
          <w:tcPr>
            <w:tcW w:w="2126" w:type="dxa"/>
            <w:tcBorders>
              <w:left w:val="single" w:sz="8" w:space="0" w:color="000000" w:themeColor="text1"/>
              <w:right w:val="single" w:sz="8" w:space="0" w:color="auto"/>
            </w:tcBorders>
            <w:shd w:val="clear" w:color="auto" w:fill="auto"/>
            <w:vAlign w:val="center"/>
          </w:tcPr>
          <w:p w14:paraId="66B450B9" w14:textId="77777777" w:rsidR="00B2087D" w:rsidRPr="00A45804" w:rsidRDefault="00B2087D" w:rsidP="00921FF5">
            <w:pPr>
              <w:spacing w:before="60" w:after="60"/>
              <w:jc w:val="center"/>
              <w:rPr>
                <w:rFonts w:cs="Times New Roman"/>
                <w:szCs w:val="22"/>
              </w:rPr>
            </w:pPr>
            <w:r w:rsidRPr="00A45804">
              <w:rPr>
                <w:rFonts w:cs="Times New Roman"/>
                <w:szCs w:val="22"/>
              </w:rPr>
              <w:t>32</w:t>
            </w:r>
          </w:p>
        </w:tc>
        <w:tc>
          <w:tcPr>
            <w:tcW w:w="2127" w:type="dxa"/>
            <w:tcBorders>
              <w:left w:val="single" w:sz="8" w:space="0" w:color="000000" w:themeColor="text1"/>
              <w:right w:val="single" w:sz="8" w:space="0" w:color="auto"/>
            </w:tcBorders>
            <w:shd w:val="clear" w:color="auto" w:fill="auto"/>
            <w:vAlign w:val="center"/>
          </w:tcPr>
          <w:p w14:paraId="2E89BC99" w14:textId="77777777" w:rsidR="00B2087D" w:rsidRPr="00A45804" w:rsidRDefault="00B2087D" w:rsidP="00921FF5">
            <w:pPr>
              <w:spacing w:before="60" w:after="60"/>
              <w:jc w:val="center"/>
              <w:rPr>
                <w:rFonts w:cs="Times New Roman"/>
                <w:szCs w:val="22"/>
              </w:rPr>
            </w:pPr>
            <w:r w:rsidRPr="00A45804">
              <w:rPr>
                <w:rFonts w:cs="Times New Roman"/>
                <w:szCs w:val="22"/>
              </w:rPr>
              <w:t>42</w:t>
            </w:r>
          </w:p>
        </w:tc>
      </w:tr>
      <w:tr w:rsidR="00B2087D" w:rsidRPr="00923150" w14:paraId="4A36497E" w14:textId="77777777" w:rsidTr="00D306E9">
        <w:trPr>
          <w:trHeight w:val="456"/>
        </w:trPr>
        <w:tc>
          <w:tcPr>
            <w:tcW w:w="3119" w:type="dxa"/>
            <w:tcBorders>
              <w:bottom w:val="double" w:sz="4" w:space="0" w:color="000000"/>
              <w:right w:val="single" w:sz="8" w:space="0" w:color="000000" w:themeColor="text1"/>
            </w:tcBorders>
            <w:vAlign w:val="center"/>
          </w:tcPr>
          <w:p w14:paraId="43047A03" w14:textId="77777777" w:rsidR="00B2087D" w:rsidRPr="00A45804" w:rsidRDefault="00B2087D" w:rsidP="009A23AA">
            <w:pPr>
              <w:spacing w:before="60" w:after="60"/>
              <w:ind w:left="284"/>
              <w:rPr>
                <w:rFonts w:cs="Times New Roman"/>
                <w:szCs w:val="22"/>
              </w:rPr>
            </w:pPr>
            <w:r w:rsidRPr="00A45804">
              <w:rPr>
                <w:rFonts w:cs="Times New Roman"/>
                <w:szCs w:val="22"/>
              </w:rPr>
              <w:t>HFC-Mix</w:t>
            </w:r>
          </w:p>
        </w:tc>
        <w:tc>
          <w:tcPr>
            <w:tcW w:w="2126" w:type="dxa"/>
            <w:tcBorders>
              <w:left w:val="single" w:sz="8" w:space="0" w:color="000000" w:themeColor="text1"/>
              <w:bottom w:val="double" w:sz="4" w:space="0" w:color="000000"/>
              <w:right w:val="single" w:sz="8" w:space="0" w:color="auto"/>
            </w:tcBorders>
            <w:shd w:val="clear" w:color="auto" w:fill="auto"/>
            <w:vAlign w:val="center"/>
          </w:tcPr>
          <w:p w14:paraId="1DC9A021" w14:textId="637B659B" w:rsidR="00B2087D" w:rsidRPr="00A45804" w:rsidRDefault="00B2087D" w:rsidP="00921FF5">
            <w:pPr>
              <w:spacing w:before="60" w:after="60"/>
              <w:jc w:val="center"/>
              <w:rPr>
                <w:rFonts w:cs="Times New Roman"/>
                <w:szCs w:val="22"/>
              </w:rPr>
            </w:pPr>
            <w:r w:rsidRPr="00A45804">
              <w:rPr>
                <w:rFonts w:cs="Times New Roman"/>
                <w:szCs w:val="22"/>
              </w:rPr>
              <w:t xml:space="preserve">190 </w:t>
            </w:r>
            <w:r w:rsidRPr="00A45804">
              <w:rPr>
                <w:rFonts w:cs="Times New Roman"/>
                <w:szCs w:val="22"/>
                <w:vertAlign w:val="superscript"/>
              </w:rPr>
              <w:t>(2)</w:t>
            </w:r>
          </w:p>
        </w:tc>
        <w:tc>
          <w:tcPr>
            <w:tcW w:w="2126" w:type="dxa"/>
            <w:tcBorders>
              <w:left w:val="single" w:sz="8" w:space="0" w:color="000000" w:themeColor="text1"/>
              <w:bottom w:val="double" w:sz="4" w:space="0" w:color="000000"/>
              <w:right w:val="single" w:sz="8" w:space="0" w:color="auto"/>
            </w:tcBorders>
            <w:shd w:val="clear" w:color="auto" w:fill="auto"/>
            <w:vAlign w:val="center"/>
          </w:tcPr>
          <w:p w14:paraId="5B10E010" w14:textId="2ABFF995" w:rsidR="00B2087D" w:rsidRPr="00A45804" w:rsidRDefault="00A45804" w:rsidP="00921FF5">
            <w:pPr>
              <w:spacing w:before="60" w:after="60"/>
              <w:jc w:val="center"/>
              <w:rPr>
                <w:rFonts w:cs="Times New Roman"/>
                <w:szCs w:val="22"/>
              </w:rPr>
            </w:pPr>
            <w:r w:rsidRPr="00A45804">
              <w:rPr>
                <w:rFonts w:cs="Times New Roman"/>
                <w:szCs w:val="22"/>
              </w:rPr>
              <w:t>195</w:t>
            </w:r>
          </w:p>
        </w:tc>
        <w:tc>
          <w:tcPr>
            <w:tcW w:w="2127" w:type="dxa"/>
            <w:tcBorders>
              <w:left w:val="single" w:sz="8" w:space="0" w:color="000000" w:themeColor="text1"/>
              <w:bottom w:val="double" w:sz="4" w:space="0" w:color="000000"/>
              <w:right w:val="single" w:sz="8" w:space="0" w:color="auto"/>
            </w:tcBorders>
            <w:shd w:val="clear" w:color="auto" w:fill="auto"/>
            <w:vAlign w:val="center"/>
          </w:tcPr>
          <w:p w14:paraId="3170A9FE" w14:textId="346572F7" w:rsidR="00B2087D" w:rsidRPr="00A45804" w:rsidRDefault="00A45804" w:rsidP="00921FF5">
            <w:pPr>
              <w:spacing w:before="60" w:after="60"/>
              <w:jc w:val="center"/>
              <w:rPr>
                <w:rFonts w:cs="Times New Roman"/>
                <w:szCs w:val="22"/>
              </w:rPr>
            </w:pPr>
            <w:r w:rsidRPr="00A45804">
              <w:rPr>
                <w:rFonts w:cs="Times New Roman"/>
                <w:szCs w:val="22"/>
              </w:rPr>
              <w:t>195</w:t>
            </w:r>
          </w:p>
        </w:tc>
      </w:tr>
      <w:tr w:rsidR="00B2087D" w:rsidRPr="00923150" w14:paraId="607FC4BD" w14:textId="77777777" w:rsidTr="00D306E9">
        <w:trPr>
          <w:trHeight w:val="456"/>
        </w:trPr>
        <w:tc>
          <w:tcPr>
            <w:tcW w:w="3119" w:type="dxa"/>
            <w:tcBorders>
              <w:top w:val="double" w:sz="4" w:space="0" w:color="000000"/>
              <w:right w:val="single" w:sz="8" w:space="0" w:color="000000" w:themeColor="text1"/>
            </w:tcBorders>
            <w:vAlign w:val="center"/>
          </w:tcPr>
          <w:p w14:paraId="1FAE46E9" w14:textId="77777777" w:rsidR="00B2087D" w:rsidRPr="00A45804" w:rsidRDefault="00B2087D" w:rsidP="009A23AA">
            <w:pPr>
              <w:spacing w:before="60" w:after="60"/>
              <w:ind w:left="284"/>
              <w:rPr>
                <w:szCs w:val="22"/>
              </w:rPr>
            </w:pPr>
            <w:r w:rsidRPr="00A45804">
              <w:rPr>
                <w:szCs w:val="22"/>
              </w:rPr>
              <w:t xml:space="preserve"> Total</w:t>
            </w:r>
          </w:p>
        </w:tc>
        <w:tc>
          <w:tcPr>
            <w:tcW w:w="2126" w:type="dxa"/>
            <w:tcBorders>
              <w:top w:val="double" w:sz="4" w:space="0" w:color="000000"/>
              <w:left w:val="single" w:sz="8" w:space="0" w:color="000000" w:themeColor="text1"/>
              <w:right w:val="single" w:sz="8" w:space="0" w:color="auto"/>
            </w:tcBorders>
            <w:shd w:val="clear" w:color="auto" w:fill="auto"/>
            <w:vAlign w:val="center"/>
          </w:tcPr>
          <w:p w14:paraId="7BE30DD7" w14:textId="77777777" w:rsidR="00B2087D" w:rsidRPr="00A45804" w:rsidRDefault="00B2087D" w:rsidP="00921FF5">
            <w:pPr>
              <w:spacing w:before="60" w:after="60"/>
              <w:jc w:val="center"/>
              <w:rPr>
                <w:szCs w:val="22"/>
              </w:rPr>
            </w:pPr>
            <w:r w:rsidRPr="00A45804">
              <w:rPr>
                <w:szCs w:val="22"/>
              </w:rPr>
              <w:t>3,449</w:t>
            </w:r>
          </w:p>
        </w:tc>
        <w:tc>
          <w:tcPr>
            <w:tcW w:w="2126" w:type="dxa"/>
            <w:tcBorders>
              <w:top w:val="double" w:sz="4" w:space="0" w:color="000000"/>
              <w:left w:val="single" w:sz="8" w:space="0" w:color="000000" w:themeColor="text1"/>
              <w:right w:val="single" w:sz="8" w:space="0" w:color="auto"/>
            </w:tcBorders>
            <w:shd w:val="clear" w:color="auto" w:fill="auto"/>
            <w:vAlign w:val="center"/>
          </w:tcPr>
          <w:p w14:paraId="5096EFF5" w14:textId="1DB7F7E3" w:rsidR="00B2087D" w:rsidRPr="00A45804" w:rsidRDefault="00B2087D" w:rsidP="00921FF5">
            <w:pPr>
              <w:spacing w:before="60" w:after="60"/>
              <w:jc w:val="center"/>
              <w:rPr>
                <w:szCs w:val="22"/>
              </w:rPr>
            </w:pPr>
            <w:r w:rsidRPr="00A45804">
              <w:rPr>
                <w:szCs w:val="22"/>
              </w:rPr>
              <w:t>3,7</w:t>
            </w:r>
            <w:r w:rsidR="00A45804" w:rsidRPr="00A45804">
              <w:rPr>
                <w:szCs w:val="22"/>
              </w:rPr>
              <w:t>68</w:t>
            </w:r>
          </w:p>
        </w:tc>
        <w:tc>
          <w:tcPr>
            <w:tcW w:w="2127" w:type="dxa"/>
            <w:tcBorders>
              <w:top w:val="double" w:sz="4" w:space="0" w:color="000000"/>
              <w:left w:val="single" w:sz="8" w:space="0" w:color="000000" w:themeColor="text1"/>
              <w:right w:val="single" w:sz="8" w:space="0" w:color="auto"/>
            </w:tcBorders>
            <w:shd w:val="clear" w:color="auto" w:fill="auto"/>
            <w:vAlign w:val="center"/>
          </w:tcPr>
          <w:p w14:paraId="498077C6" w14:textId="69CA0389" w:rsidR="00B2087D" w:rsidRPr="00A45804" w:rsidRDefault="00B2087D" w:rsidP="00921FF5">
            <w:pPr>
              <w:spacing w:before="60" w:after="60"/>
              <w:jc w:val="center"/>
              <w:rPr>
                <w:szCs w:val="22"/>
              </w:rPr>
            </w:pPr>
            <w:r w:rsidRPr="00A45804">
              <w:rPr>
                <w:szCs w:val="22"/>
              </w:rPr>
              <w:t>3,5</w:t>
            </w:r>
            <w:r w:rsidR="00A45804" w:rsidRPr="00A45804">
              <w:rPr>
                <w:szCs w:val="22"/>
              </w:rPr>
              <w:t>73</w:t>
            </w:r>
          </w:p>
        </w:tc>
      </w:tr>
    </w:tbl>
    <w:p w14:paraId="20AB7063" w14:textId="0CA1373C" w:rsidR="00B2087D" w:rsidRPr="007545CC" w:rsidRDefault="00B2087D" w:rsidP="009A23AA">
      <w:pPr>
        <w:pStyle w:val="ListParagraph"/>
        <w:numPr>
          <w:ilvl w:val="0"/>
          <w:numId w:val="8"/>
        </w:numPr>
        <w:spacing w:before="120" w:after="0" w:line="240" w:lineRule="auto"/>
        <w:contextualSpacing w:val="0"/>
        <w:jc w:val="both"/>
        <w:rPr>
          <w:rFonts w:ascii="Times New Roman" w:hAnsi="Times New Roman"/>
          <w:sz w:val="20"/>
          <w:szCs w:val="20"/>
        </w:rPr>
      </w:pPr>
      <w:r>
        <w:rPr>
          <w:rFonts w:ascii="Times New Roman" w:hAnsi="Times New Roman"/>
          <w:sz w:val="20"/>
          <w:szCs w:val="20"/>
        </w:rPr>
        <w:t>Maximum imports of HCFCs for 2016, 2017 and 2018 are capped at 2.5</w:t>
      </w:r>
      <w:r w:rsidRPr="007545CC">
        <w:rPr>
          <w:rFonts w:ascii="Times New Roman" w:hAnsi="Times New Roman"/>
          <w:sz w:val="20"/>
          <w:szCs w:val="20"/>
        </w:rPr>
        <w:t xml:space="preserve"> ODP tonnes</w:t>
      </w:r>
      <w:r>
        <w:rPr>
          <w:rFonts w:ascii="Times New Roman" w:hAnsi="Times New Roman"/>
          <w:sz w:val="20"/>
          <w:szCs w:val="20"/>
        </w:rPr>
        <w:t xml:space="preserve"> per annum</w:t>
      </w:r>
      <w:r w:rsidRPr="007545CC">
        <w:rPr>
          <w:rFonts w:ascii="Times New Roman" w:hAnsi="Times New Roman"/>
          <w:sz w:val="20"/>
          <w:szCs w:val="20"/>
        </w:rPr>
        <w:t xml:space="preserve">, which equates to 45.5 </w:t>
      </w:r>
      <w:r>
        <w:rPr>
          <w:rFonts w:ascii="Times New Roman" w:hAnsi="Times New Roman"/>
          <w:sz w:val="20"/>
          <w:szCs w:val="20"/>
        </w:rPr>
        <w:t xml:space="preserve">metric </w:t>
      </w:r>
      <w:r w:rsidRPr="007545CC">
        <w:rPr>
          <w:rFonts w:ascii="Times New Roman" w:hAnsi="Times New Roman"/>
          <w:sz w:val="20"/>
          <w:szCs w:val="20"/>
        </w:rPr>
        <w:t xml:space="preserve">tonnes of HCFC-22. The additional </w:t>
      </w:r>
      <w:r>
        <w:rPr>
          <w:rFonts w:ascii="Times New Roman" w:hAnsi="Times New Roman"/>
          <w:sz w:val="20"/>
          <w:szCs w:val="20"/>
        </w:rPr>
        <w:t>usage in those years of 210, 179 and 117</w:t>
      </w:r>
      <w:r w:rsidRPr="007545CC">
        <w:rPr>
          <w:rFonts w:ascii="Times New Roman" w:hAnsi="Times New Roman"/>
          <w:sz w:val="20"/>
          <w:szCs w:val="20"/>
        </w:rPr>
        <w:t xml:space="preserve"> tonnes </w:t>
      </w:r>
      <w:r>
        <w:rPr>
          <w:rFonts w:ascii="Times New Roman" w:hAnsi="Times New Roman"/>
          <w:sz w:val="20"/>
          <w:szCs w:val="20"/>
        </w:rPr>
        <w:t xml:space="preserve">of HCFC </w:t>
      </w:r>
      <w:r w:rsidRPr="007545CC">
        <w:rPr>
          <w:rFonts w:ascii="Times New Roman" w:hAnsi="Times New Roman"/>
          <w:sz w:val="20"/>
          <w:szCs w:val="20"/>
        </w:rPr>
        <w:t>refrigerant</w:t>
      </w:r>
      <w:r>
        <w:rPr>
          <w:rFonts w:ascii="Times New Roman" w:hAnsi="Times New Roman"/>
          <w:sz w:val="20"/>
          <w:szCs w:val="20"/>
        </w:rPr>
        <w:t>s</w:t>
      </w:r>
      <w:r w:rsidRPr="007545CC">
        <w:rPr>
          <w:rFonts w:ascii="Times New Roman" w:hAnsi="Times New Roman"/>
          <w:sz w:val="20"/>
          <w:szCs w:val="20"/>
        </w:rPr>
        <w:t xml:space="preserve"> </w:t>
      </w:r>
      <w:r>
        <w:rPr>
          <w:rFonts w:ascii="Times New Roman" w:hAnsi="Times New Roman"/>
          <w:sz w:val="20"/>
          <w:szCs w:val="20"/>
        </w:rPr>
        <w:t>is possible because the material</w:t>
      </w:r>
      <w:r w:rsidRPr="007545CC">
        <w:rPr>
          <w:rFonts w:ascii="Times New Roman" w:hAnsi="Times New Roman"/>
          <w:sz w:val="20"/>
          <w:szCs w:val="20"/>
        </w:rPr>
        <w:t xml:space="preserve"> </w:t>
      </w:r>
      <w:r w:rsidR="004E40E3">
        <w:rPr>
          <w:rFonts w:ascii="Times New Roman" w:hAnsi="Times New Roman"/>
          <w:sz w:val="20"/>
          <w:szCs w:val="20"/>
        </w:rPr>
        <w:t xml:space="preserve">has </w:t>
      </w:r>
      <w:r w:rsidRPr="007545CC">
        <w:rPr>
          <w:rFonts w:ascii="Times New Roman" w:hAnsi="Times New Roman"/>
          <w:sz w:val="20"/>
          <w:szCs w:val="20"/>
        </w:rPr>
        <w:t xml:space="preserve">been </w:t>
      </w:r>
      <w:r>
        <w:rPr>
          <w:rFonts w:ascii="Times New Roman" w:hAnsi="Times New Roman"/>
          <w:sz w:val="20"/>
          <w:szCs w:val="20"/>
        </w:rPr>
        <w:t>reclaimed</w:t>
      </w:r>
      <w:r w:rsidRPr="007545CC">
        <w:rPr>
          <w:rFonts w:ascii="Times New Roman" w:hAnsi="Times New Roman"/>
          <w:sz w:val="20"/>
          <w:szCs w:val="20"/>
        </w:rPr>
        <w:t xml:space="preserve"> </w:t>
      </w:r>
      <w:r w:rsidR="00700A74">
        <w:rPr>
          <w:rFonts w:ascii="Times New Roman" w:hAnsi="Times New Roman"/>
          <w:sz w:val="20"/>
          <w:szCs w:val="20"/>
        </w:rPr>
        <w:t>and</w:t>
      </w:r>
      <w:r>
        <w:rPr>
          <w:rFonts w:ascii="Times New Roman" w:hAnsi="Times New Roman"/>
          <w:sz w:val="20"/>
          <w:szCs w:val="20"/>
        </w:rPr>
        <w:t xml:space="preserve"> reconditioned to</w:t>
      </w:r>
      <w:r w:rsidRPr="007545CC">
        <w:rPr>
          <w:rFonts w:ascii="Times New Roman" w:hAnsi="Times New Roman"/>
          <w:sz w:val="20"/>
          <w:szCs w:val="20"/>
        </w:rPr>
        <w:t xml:space="preserve"> AHRI 700 standard </w:t>
      </w:r>
      <w:r>
        <w:rPr>
          <w:rFonts w:ascii="Times New Roman" w:hAnsi="Times New Roman"/>
          <w:sz w:val="20"/>
          <w:szCs w:val="20"/>
        </w:rPr>
        <w:t>so that it can be</w:t>
      </w:r>
      <w:r w:rsidRPr="007545CC">
        <w:rPr>
          <w:rFonts w:ascii="Times New Roman" w:hAnsi="Times New Roman"/>
          <w:sz w:val="20"/>
          <w:szCs w:val="20"/>
        </w:rPr>
        <w:t xml:space="preserve"> resold. There would be additional HCFC-22 recovered by contractors and re-used.</w:t>
      </w:r>
    </w:p>
    <w:p w14:paraId="6C0344C1" w14:textId="77777777" w:rsidR="00B2087D" w:rsidRPr="007545CC" w:rsidRDefault="00B2087D" w:rsidP="009A23AA">
      <w:pPr>
        <w:pStyle w:val="ListParagraph"/>
        <w:numPr>
          <w:ilvl w:val="0"/>
          <w:numId w:val="8"/>
        </w:numPr>
        <w:spacing w:before="120" w:after="0" w:line="240" w:lineRule="auto"/>
        <w:contextualSpacing w:val="0"/>
        <w:jc w:val="both"/>
        <w:rPr>
          <w:rFonts w:ascii="Times New Roman" w:hAnsi="Times New Roman"/>
          <w:sz w:val="20"/>
          <w:szCs w:val="20"/>
        </w:rPr>
      </w:pPr>
      <w:r w:rsidRPr="007545CC">
        <w:rPr>
          <w:rFonts w:ascii="Times New Roman" w:hAnsi="Times New Roman"/>
          <w:sz w:val="20"/>
          <w:szCs w:val="20"/>
        </w:rPr>
        <w:t xml:space="preserve">Majority used in </w:t>
      </w:r>
      <w:r>
        <w:rPr>
          <w:rFonts w:ascii="Times New Roman" w:hAnsi="Times New Roman"/>
          <w:sz w:val="20"/>
          <w:szCs w:val="20"/>
        </w:rPr>
        <w:t>f</w:t>
      </w:r>
      <w:r w:rsidRPr="007545CC">
        <w:rPr>
          <w:rFonts w:ascii="Times New Roman" w:hAnsi="Times New Roman"/>
          <w:sz w:val="20"/>
          <w:szCs w:val="20"/>
        </w:rPr>
        <w:t xml:space="preserve">oam and </w:t>
      </w:r>
      <w:r>
        <w:rPr>
          <w:rFonts w:ascii="Times New Roman" w:hAnsi="Times New Roman"/>
          <w:sz w:val="20"/>
          <w:szCs w:val="20"/>
        </w:rPr>
        <w:t>f</w:t>
      </w:r>
      <w:r w:rsidRPr="007545CC">
        <w:rPr>
          <w:rFonts w:ascii="Times New Roman" w:hAnsi="Times New Roman"/>
          <w:sz w:val="20"/>
          <w:szCs w:val="20"/>
        </w:rPr>
        <w:t xml:space="preserve">ire </w:t>
      </w:r>
      <w:r>
        <w:rPr>
          <w:rFonts w:ascii="Times New Roman" w:hAnsi="Times New Roman"/>
          <w:sz w:val="20"/>
          <w:szCs w:val="20"/>
        </w:rPr>
        <w:t>p</w:t>
      </w:r>
      <w:r w:rsidRPr="007545CC">
        <w:rPr>
          <w:rFonts w:ascii="Times New Roman" w:hAnsi="Times New Roman"/>
          <w:sz w:val="20"/>
          <w:szCs w:val="20"/>
        </w:rPr>
        <w:t>rotection applications as well as HFC-125</w:t>
      </w:r>
      <w:r>
        <w:rPr>
          <w:rFonts w:ascii="Times New Roman" w:hAnsi="Times New Roman"/>
          <w:sz w:val="20"/>
          <w:szCs w:val="20"/>
        </w:rPr>
        <w:t xml:space="preserve"> that could be used in refrigerant blends</w:t>
      </w:r>
      <w:r w:rsidRPr="007545CC">
        <w:rPr>
          <w:rFonts w:ascii="Times New Roman" w:hAnsi="Times New Roman"/>
          <w:sz w:val="20"/>
          <w:szCs w:val="20"/>
        </w:rPr>
        <w:t xml:space="preserve">. </w:t>
      </w:r>
    </w:p>
    <w:p w14:paraId="54718232" w14:textId="77777777" w:rsidR="00B2087D" w:rsidRDefault="00B2087D" w:rsidP="009A23AA">
      <w:pPr>
        <w:rPr>
          <w:szCs w:val="22"/>
        </w:rPr>
      </w:pPr>
    </w:p>
    <w:p w14:paraId="219C892A" w14:textId="77777777" w:rsidR="00B2087D" w:rsidRPr="008229CB" w:rsidRDefault="00B2087D" w:rsidP="009A23AA">
      <w:pPr>
        <w:rPr>
          <w:szCs w:val="22"/>
        </w:rPr>
      </w:pPr>
      <w:r w:rsidRPr="008229CB">
        <w:rPr>
          <w:szCs w:val="22"/>
        </w:rPr>
        <w:t xml:space="preserve">A very small proportion (&lt;2%) of bulk imports are used in applications that are not refrigeration or air conditioning and do not form part of the refrigerant bank, such as in fire protection systems and in aerosols. </w:t>
      </w:r>
    </w:p>
    <w:p w14:paraId="0D46D14D" w14:textId="248C35A2" w:rsidR="00B2087D" w:rsidRPr="008229CB" w:rsidRDefault="00B2087D" w:rsidP="009A23AA">
      <w:pPr>
        <w:rPr>
          <w:szCs w:val="22"/>
        </w:rPr>
      </w:pPr>
      <w:r w:rsidRPr="008229CB">
        <w:rPr>
          <w:szCs w:val="22"/>
        </w:rPr>
        <w:t xml:space="preserve">Additionally, it is estimated that around </w:t>
      </w:r>
      <w:r w:rsidR="008C12B7">
        <w:rPr>
          <w:szCs w:val="22"/>
        </w:rPr>
        <w:t>50</w:t>
      </w:r>
      <w:r w:rsidRPr="008229CB">
        <w:rPr>
          <w:szCs w:val="22"/>
        </w:rPr>
        <w:t xml:space="preserve"> tonnes of HFCs are re-exported, mostly in shipping vessels and in pre-charged equipment.</w:t>
      </w:r>
    </w:p>
    <w:p w14:paraId="45FBEFE5" w14:textId="77777777" w:rsidR="008B20BC" w:rsidRDefault="008B20BC" w:rsidP="009A23AA">
      <w:pPr>
        <w:spacing w:before="0"/>
        <w:rPr>
          <w:szCs w:val="22"/>
        </w:rPr>
      </w:pPr>
      <w:bookmarkStart w:id="131" w:name="_Toc525141414"/>
    </w:p>
    <w:p w14:paraId="5A62A31F" w14:textId="0578EE79" w:rsidR="00B2087D" w:rsidRDefault="00B2087D" w:rsidP="009A23AA">
      <w:pPr>
        <w:pStyle w:val="Heading2"/>
        <w:jc w:val="both"/>
      </w:pPr>
      <w:bookmarkStart w:id="132" w:name="_Toc19601313"/>
      <w:proofErr w:type="spellStart"/>
      <w:r w:rsidRPr="00B55C99">
        <w:t>Hydroflu</w:t>
      </w:r>
      <w:r w:rsidR="00B518DB">
        <w:t>o</w:t>
      </w:r>
      <w:r w:rsidRPr="00B55C99">
        <w:t>ro</w:t>
      </w:r>
      <w:proofErr w:type="spellEnd"/>
      <w:r w:rsidRPr="00B55C99">
        <w:t>-</w:t>
      </w:r>
      <w:r>
        <w:t>o</w:t>
      </w:r>
      <w:r w:rsidRPr="00B55C99">
        <w:t>lefin</w:t>
      </w:r>
      <w:r>
        <w:t xml:space="preserve"> refrigerants</w:t>
      </w:r>
      <w:bookmarkEnd w:id="132"/>
    </w:p>
    <w:p w14:paraId="1518C4B7" w14:textId="30A8BBB4" w:rsidR="00B2087D" w:rsidRDefault="00B2087D" w:rsidP="009A23AA">
      <w:r>
        <w:t>The HFO refrigerants with a GWP less than 10 are HFO-1234yf, HFO-1234ze</w:t>
      </w:r>
      <w:r w:rsidR="00966E14">
        <w:t xml:space="preserve">, </w:t>
      </w:r>
      <w:r>
        <w:t>HFO-1233zd</w:t>
      </w:r>
      <w:r w:rsidR="00966E14">
        <w:t xml:space="preserve"> and HFO-514A</w:t>
      </w:r>
      <w:r>
        <w:t>. The main applications for these refrigerants in Australia in 2018 are supplies to the automotive supply chain and for charging space chillers. Volumes of these refrigerants imported to date is estimated at less than 5 tonnes.</w:t>
      </w:r>
    </w:p>
    <w:p w14:paraId="723F5BE5" w14:textId="64EFED65" w:rsidR="00B2087D" w:rsidRDefault="004E40E3" w:rsidP="009A23AA">
      <w:r>
        <w:t>I</w:t>
      </w:r>
      <w:r w:rsidR="00B2087D">
        <w:t xml:space="preserve">t is expected that trends in global vehicle and equipment manufacturing will see HFO volumes </w:t>
      </w:r>
      <w:proofErr w:type="spellStart"/>
      <w:r w:rsidR="00B2087D">
        <w:t>increase</w:t>
      </w:r>
      <w:proofErr w:type="spellEnd"/>
      <w:r w:rsidR="00B2087D">
        <w:t xml:space="preserve"> markedly, delivering a corresponding decrease in </w:t>
      </w:r>
      <w:r w:rsidR="00A72D1B">
        <w:t xml:space="preserve">volumes of </w:t>
      </w:r>
      <w:r w:rsidR="00B2087D">
        <w:t>some of the high GWP HFCs, particularly HFC</w:t>
      </w:r>
      <w:r w:rsidR="00CA6C25">
        <w:noBreakHyphen/>
      </w:r>
      <w:r w:rsidR="00B2087D">
        <w:t>134a</w:t>
      </w:r>
      <w:r>
        <w:t>. A</w:t>
      </w:r>
      <w:r w:rsidR="00B2087D">
        <w:t>s imports of HFO PCE or bulk HFOs are not reportable under current regulatory arrangements, high quality sources of data on import and use of HFOs are still being developed with industry players.</w:t>
      </w:r>
    </w:p>
    <w:p w14:paraId="03B561F9" w14:textId="77777777" w:rsidR="00B2087D" w:rsidRPr="0082630F" w:rsidRDefault="00B2087D" w:rsidP="009A23AA">
      <w:pPr>
        <w:spacing w:before="0"/>
      </w:pPr>
    </w:p>
    <w:p w14:paraId="68B9E216" w14:textId="77777777" w:rsidR="00B2087D" w:rsidRPr="00B23FC5" w:rsidRDefault="00B2087D" w:rsidP="009A23AA">
      <w:pPr>
        <w:pStyle w:val="Heading2"/>
        <w:jc w:val="both"/>
      </w:pPr>
      <w:bookmarkStart w:id="133" w:name="_Toc19601314"/>
      <w:bookmarkEnd w:id="131"/>
      <w:r w:rsidRPr="002A2E16">
        <w:t>Refrigerant us</w:t>
      </w:r>
      <w:r>
        <w:t>age</w:t>
      </w:r>
      <w:r w:rsidRPr="002A2E16">
        <w:t xml:space="preserve"> projection and the </w:t>
      </w:r>
      <w:r>
        <w:t xml:space="preserve">HFC </w:t>
      </w:r>
      <w:r w:rsidRPr="002A2E16">
        <w:t>phase down</w:t>
      </w:r>
      <w:bookmarkEnd w:id="133"/>
    </w:p>
    <w:p w14:paraId="3E234274" w14:textId="4C1BC216" w:rsidR="00B2087D" w:rsidRDefault="00B2087D" w:rsidP="009A23AA">
      <w:pPr>
        <w:rPr>
          <w:szCs w:val="22"/>
        </w:rPr>
      </w:pPr>
      <w:r w:rsidRPr="00A52215">
        <w:rPr>
          <w:szCs w:val="22"/>
        </w:rPr>
        <w:t>In 2018 total refrigerant use was approximately 3,</w:t>
      </w:r>
      <w:r w:rsidR="00D61629" w:rsidRPr="00A52215">
        <w:rPr>
          <w:szCs w:val="22"/>
        </w:rPr>
        <w:t>630</w:t>
      </w:r>
      <w:r w:rsidRPr="00A52215">
        <w:rPr>
          <w:szCs w:val="22"/>
        </w:rPr>
        <w:t xml:space="preserve"> tonnes of HCFCs and HFCs, plus around </w:t>
      </w:r>
      <w:r w:rsidR="00A52215" w:rsidRPr="00A52215">
        <w:rPr>
          <w:szCs w:val="22"/>
        </w:rPr>
        <w:t>901</w:t>
      </w:r>
      <w:r w:rsidRPr="00A52215">
        <w:rPr>
          <w:szCs w:val="22"/>
        </w:rPr>
        <w:t xml:space="preserve"> tonnes of natural refrigerants (</w:t>
      </w:r>
      <w:r w:rsidR="00D61629" w:rsidRPr="00A52215">
        <w:rPr>
          <w:szCs w:val="22"/>
        </w:rPr>
        <w:t>643</w:t>
      </w:r>
      <w:r w:rsidRPr="00A52215">
        <w:rPr>
          <w:szCs w:val="22"/>
        </w:rPr>
        <w:t xml:space="preserve"> tonnes of ammonia, 1</w:t>
      </w:r>
      <w:r w:rsidR="00A52215" w:rsidRPr="00A52215">
        <w:rPr>
          <w:szCs w:val="22"/>
        </w:rPr>
        <w:t>7</w:t>
      </w:r>
      <w:r w:rsidRPr="00A52215">
        <w:rPr>
          <w:szCs w:val="22"/>
        </w:rPr>
        <w:t>0 tonnes of CO</w:t>
      </w:r>
      <w:r w:rsidRPr="00A52215">
        <w:rPr>
          <w:szCs w:val="22"/>
          <w:vertAlign w:val="subscript"/>
        </w:rPr>
        <w:t>2</w:t>
      </w:r>
      <w:r w:rsidRPr="00A52215">
        <w:rPr>
          <w:szCs w:val="22"/>
        </w:rPr>
        <w:t xml:space="preserve"> and </w:t>
      </w:r>
      <w:r w:rsidR="00A52215" w:rsidRPr="00A52215">
        <w:rPr>
          <w:szCs w:val="22"/>
        </w:rPr>
        <w:t>88</w:t>
      </w:r>
      <w:r w:rsidRPr="00A52215">
        <w:rPr>
          <w:szCs w:val="22"/>
        </w:rPr>
        <w:t xml:space="preserve"> tonnes of HC).</w:t>
      </w:r>
    </w:p>
    <w:p w14:paraId="69B93B86" w14:textId="2A224525" w:rsidR="00B2087D" w:rsidRPr="009C0BC1" w:rsidRDefault="00B2087D" w:rsidP="009A23AA">
      <w:pPr>
        <w:rPr>
          <w:szCs w:val="22"/>
        </w:rPr>
      </w:pPr>
      <w:r w:rsidRPr="00D61629">
        <w:rPr>
          <w:szCs w:val="22"/>
        </w:rPr>
        <w:t>This use of HCFCs and HFCs is projected to decline by almost 2</w:t>
      </w:r>
      <w:r w:rsidR="00D61629" w:rsidRPr="00D61629">
        <w:rPr>
          <w:szCs w:val="22"/>
        </w:rPr>
        <w:t>0</w:t>
      </w:r>
      <w:r w:rsidRPr="00D61629">
        <w:rPr>
          <w:szCs w:val="22"/>
        </w:rPr>
        <w:t>% to around 2,</w:t>
      </w:r>
      <w:r w:rsidR="00D61629" w:rsidRPr="00D61629">
        <w:rPr>
          <w:szCs w:val="22"/>
        </w:rPr>
        <w:t>930</w:t>
      </w:r>
      <w:r w:rsidRPr="00D61629">
        <w:rPr>
          <w:szCs w:val="22"/>
        </w:rPr>
        <w:t xml:space="preserve"> tonnes of refrigerants in 2030. Overall refrigerant use is projected to </w:t>
      </w:r>
      <w:r w:rsidR="004E40E3">
        <w:rPr>
          <w:szCs w:val="22"/>
        </w:rPr>
        <w:t>re</w:t>
      </w:r>
      <w:r w:rsidR="0020042A">
        <w:rPr>
          <w:szCs w:val="22"/>
        </w:rPr>
        <w:t>main steady</w:t>
      </w:r>
      <w:r w:rsidRPr="00D61629">
        <w:rPr>
          <w:szCs w:val="22"/>
        </w:rPr>
        <w:t xml:space="preserve"> over the projection period with HFOs and natural refrigerants accounting for the growth.</w:t>
      </w:r>
    </w:p>
    <w:p w14:paraId="022D664A" w14:textId="77777777" w:rsidR="00B2087D" w:rsidRDefault="00B2087D" w:rsidP="009A23AA">
      <w:pPr>
        <w:rPr>
          <w:szCs w:val="22"/>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B2087D" w:rsidRPr="00613398" w14:paraId="4EE79082" w14:textId="77777777" w:rsidTr="00A60CDA">
        <w:tc>
          <w:tcPr>
            <w:tcW w:w="9759" w:type="dxa"/>
            <w:vAlign w:val="center"/>
          </w:tcPr>
          <w:p w14:paraId="22B9D9DC" w14:textId="77777777" w:rsidR="00B2087D" w:rsidRPr="000A23F9" w:rsidRDefault="00B2087D" w:rsidP="00700A74">
            <w:pPr>
              <w:spacing w:after="120"/>
              <w:jc w:val="center"/>
              <w:rPr>
                <w:rFonts w:cs="Times New Roman"/>
                <w:b/>
              </w:rPr>
            </w:pPr>
            <w:r>
              <w:rPr>
                <w:rFonts w:cs="Times New Roman"/>
              </w:rPr>
              <w:br w:type="page"/>
            </w:r>
            <w:r w:rsidRPr="000A23F9">
              <w:rPr>
                <w:rFonts w:cs="Times New Roman"/>
                <w:b/>
              </w:rPr>
              <w:br w:type="page"/>
            </w:r>
            <w:r>
              <w:rPr>
                <w:rFonts w:cs="Times New Roman"/>
                <w:b/>
              </w:rPr>
              <w:t xml:space="preserve">Projection of refrigerant use by species </w:t>
            </w:r>
            <w:r w:rsidRPr="000A23F9">
              <w:rPr>
                <w:rFonts w:cs="Times New Roman"/>
                <w:b/>
              </w:rPr>
              <w:t>201</w:t>
            </w:r>
            <w:r>
              <w:rPr>
                <w:rFonts w:cs="Times New Roman"/>
                <w:b/>
              </w:rPr>
              <w:t>8</w:t>
            </w:r>
            <w:r w:rsidRPr="000A23F9">
              <w:rPr>
                <w:rFonts w:cs="Times New Roman"/>
                <w:b/>
              </w:rPr>
              <w:t xml:space="preserve"> </w:t>
            </w:r>
            <w:r>
              <w:rPr>
                <w:rFonts w:cs="Times New Roman"/>
                <w:b/>
              </w:rPr>
              <w:t xml:space="preserve">- </w:t>
            </w:r>
            <w:r w:rsidRPr="000A23F9">
              <w:rPr>
                <w:rFonts w:cs="Times New Roman"/>
                <w:b/>
              </w:rPr>
              <w:t>20</w:t>
            </w:r>
            <w:r>
              <w:rPr>
                <w:rFonts w:cs="Times New Roman"/>
                <w:b/>
              </w:rPr>
              <w:t>30</w:t>
            </w:r>
            <w:r w:rsidRPr="000A23F9">
              <w:rPr>
                <w:rFonts w:cs="Times New Roman"/>
                <w:b/>
              </w:rPr>
              <w:t xml:space="preserve"> (</w:t>
            </w:r>
            <w:r>
              <w:rPr>
                <w:rFonts w:cs="Times New Roman"/>
                <w:b/>
              </w:rPr>
              <w:t>t</w:t>
            </w:r>
            <w:r w:rsidRPr="000A23F9">
              <w:rPr>
                <w:rFonts w:cs="Times New Roman"/>
                <w:b/>
              </w:rPr>
              <w:t>onnes)</w:t>
            </w:r>
          </w:p>
        </w:tc>
      </w:tr>
      <w:tr w:rsidR="00B2087D" w:rsidRPr="000A23F9" w14:paraId="05563A8F" w14:textId="77777777" w:rsidTr="00D61629">
        <w:tc>
          <w:tcPr>
            <w:tcW w:w="9759" w:type="dxa"/>
            <w:vAlign w:val="center"/>
          </w:tcPr>
          <w:p w14:paraId="249FB5ED" w14:textId="77777777" w:rsidR="00B2087D" w:rsidRPr="000A23F9" w:rsidRDefault="00B2087D" w:rsidP="00700A74">
            <w:pPr>
              <w:spacing w:before="60" w:after="60"/>
              <w:jc w:val="center"/>
              <w:rPr>
                <w:rFonts w:cs="Times New Roman"/>
                <w:sz w:val="16"/>
                <w:szCs w:val="16"/>
              </w:rPr>
            </w:pPr>
          </w:p>
          <w:p w14:paraId="1E1311C0" w14:textId="2A913903" w:rsidR="00B2087D" w:rsidRPr="000A23F9" w:rsidRDefault="00D61629" w:rsidP="00700A74">
            <w:pPr>
              <w:spacing w:before="60" w:after="60"/>
              <w:jc w:val="center"/>
              <w:rPr>
                <w:rFonts w:cs="Times New Roman"/>
                <w:sz w:val="16"/>
                <w:szCs w:val="16"/>
              </w:rPr>
            </w:pPr>
            <w:r>
              <w:rPr>
                <w:noProof/>
                <w:lang w:val="en-AU" w:eastAsia="en-AU"/>
              </w:rPr>
              <w:drawing>
                <wp:inline distT="0" distB="0" distL="0" distR="0" wp14:anchorId="2044F771" wp14:editId="10D56B3E">
                  <wp:extent cx="6030595" cy="226568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30595" cy="2265680"/>
                          </a:xfrm>
                          <a:prstGeom prst="rect">
                            <a:avLst/>
                          </a:prstGeom>
                        </pic:spPr>
                      </pic:pic>
                    </a:graphicData>
                  </a:graphic>
                </wp:inline>
              </w:drawing>
            </w:r>
          </w:p>
          <w:p w14:paraId="5C9CC59F" w14:textId="77777777" w:rsidR="00B2087D" w:rsidRPr="000A23F9" w:rsidRDefault="00B2087D" w:rsidP="00700A74">
            <w:pPr>
              <w:spacing w:before="60" w:after="60"/>
              <w:jc w:val="center"/>
              <w:rPr>
                <w:rFonts w:cs="Times New Roman"/>
                <w:sz w:val="16"/>
                <w:szCs w:val="16"/>
              </w:rPr>
            </w:pPr>
          </w:p>
        </w:tc>
      </w:tr>
      <w:tr w:rsidR="00B2087D" w:rsidRPr="000A23F9" w14:paraId="26CF0FB2" w14:textId="77777777" w:rsidTr="00A60CDA">
        <w:tc>
          <w:tcPr>
            <w:tcW w:w="9759" w:type="dxa"/>
            <w:vAlign w:val="center"/>
          </w:tcPr>
          <w:p w14:paraId="58113299" w14:textId="6F153561" w:rsidR="00B2087D" w:rsidRPr="0023612A" w:rsidRDefault="00B2087D" w:rsidP="009A23AA">
            <w:pPr>
              <w:pStyle w:val="Caption"/>
            </w:pPr>
            <w:bookmarkStart w:id="134" w:name="_Toc525141367"/>
            <w:bookmarkStart w:id="135" w:name="_Toc19601351"/>
            <w:r w:rsidRPr="0023612A">
              <w:t xml:space="preserve">Figure </w:t>
            </w:r>
            <w:r>
              <w:rPr>
                <w:noProof/>
              </w:rPr>
              <w:fldChar w:fldCharType="begin"/>
            </w:r>
            <w:r>
              <w:rPr>
                <w:noProof/>
              </w:rPr>
              <w:instrText xml:space="preserve"> SEQ Figure \* ARABIC </w:instrText>
            </w:r>
            <w:r>
              <w:rPr>
                <w:noProof/>
              </w:rPr>
              <w:fldChar w:fldCharType="separate"/>
            </w:r>
            <w:r w:rsidR="001D0DA3">
              <w:rPr>
                <w:noProof/>
              </w:rPr>
              <w:t>29</w:t>
            </w:r>
            <w:r>
              <w:rPr>
                <w:noProof/>
              </w:rPr>
              <w:fldChar w:fldCharType="end"/>
            </w:r>
            <w:r w:rsidRPr="0023612A">
              <w:rPr>
                <w:bCs w:val="0"/>
              </w:rPr>
              <w:t>: Refrigerant use by species from 201</w:t>
            </w:r>
            <w:r>
              <w:rPr>
                <w:bCs w:val="0"/>
              </w:rPr>
              <w:t>8</w:t>
            </w:r>
            <w:r w:rsidRPr="0023612A">
              <w:rPr>
                <w:bCs w:val="0"/>
              </w:rPr>
              <w:t xml:space="preserve"> to 2030 in </w:t>
            </w:r>
            <w:proofErr w:type="spellStart"/>
            <w:r w:rsidRPr="0023612A">
              <w:rPr>
                <w:bCs w:val="0"/>
              </w:rPr>
              <w:t>tonnes</w:t>
            </w:r>
            <w:proofErr w:type="spellEnd"/>
            <w:r w:rsidRPr="0023612A">
              <w:rPr>
                <w:bCs w:val="0"/>
              </w:rPr>
              <w:t>.</w:t>
            </w:r>
            <w:bookmarkEnd w:id="134"/>
            <w:bookmarkEnd w:id="135"/>
          </w:p>
        </w:tc>
      </w:tr>
    </w:tbl>
    <w:p w14:paraId="4D84FCD8" w14:textId="77777777" w:rsidR="00D61629" w:rsidRPr="00573A8B" w:rsidRDefault="00D61629" w:rsidP="00D61629">
      <w:pPr>
        <w:spacing w:before="0"/>
        <w:rPr>
          <w:rFonts w:cs="Times New Roman"/>
          <w:sz w:val="20"/>
          <w:szCs w:val="20"/>
          <w:lang w:val="en-US"/>
        </w:rPr>
      </w:pPr>
      <w:r w:rsidRPr="00573A8B">
        <w:rPr>
          <w:rFonts w:cs="Times New Roman"/>
          <w:sz w:val="20"/>
          <w:szCs w:val="20"/>
          <w:lang w:val="en-US"/>
        </w:rPr>
        <w:t xml:space="preserve">(Source: </w:t>
      </w:r>
      <w:r>
        <w:rPr>
          <w:rFonts w:cs="Times New Roman"/>
          <w:sz w:val="20"/>
          <w:szCs w:val="20"/>
        </w:rPr>
        <w:t>CHF 2019 RAC Stock model</w:t>
      </w:r>
      <w:r w:rsidRPr="00573A8B">
        <w:rPr>
          <w:rFonts w:cs="Times New Roman"/>
          <w:sz w:val="20"/>
          <w:szCs w:val="20"/>
          <w:lang w:val="en-US"/>
        </w:rPr>
        <w:t>)</w:t>
      </w:r>
    </w:p>
    <w:p w14:paraId="593FF27F" w14:textId="77777777" w:rsidR="00B2087D" w:rsidRDefault="00B2087D" w:rsidP="009A23AA">
      <w:pPr>
        <w:rPr>
          <w:rFonts w:cs="Times New Roman"/>
        </w:rPr>
      </w:pPr>
    </w:p>
    <w:p w14:paraId="0546E4B5" w14:textId="21DBA5C2" w:rsidR="00B2087D" w:rsidRDefault="00B2087D" w:rsidP="009A23AA">
      <w:pPr>
        <w:rPr>
          <w:szCs w:val="22"/>
        </w:rPr>
      </w:pPr>
      <w:r>
        <w:rPr>
          <w:szCs w:val="22"/>
        </w:rPr>
        <w:t xml:space="preserve">Australia commenced a </w:t>
      </w:r>
      <w:r w:rsidRPr="002E5113">
        <w:rPr>
          <w:szCs w:val="22"/>
        </w:rPr>
        <w:t xml:space="preserve">phase-down </w:t>
      </w:r>
      <w:r>
        <w:rPr>
          <w:szCs w:val="22"/>
        </w:rPr>
        <w:t>of HFC</w:t>
      </w:r>
      <w:r w:rsidR="00CA6C25">
        <w:rPr>
          <w:szCs w:val="22"/>
        </w:rPr>
        <w:t xml:space="preserve"> imports</w:t>
      </w:r>
      <w:r>
        <w:rPr>
          <w:szCs w:val="22"/>
        </w:rPr>
        <w:t xml:space="preserve"> on </w:t>
      </w:r>
      <w:r w:rsidRPr="002F76B0">
        <w:rPr>
          <w:szCs w:val="22"/>
        </w:rPr>
        <w:t xml:space="preserve">January 1, 2018 </w:t>
      </w:r>
      <w:r>
        <w:rPr>
          <w:szCs w:val="22"/>
        </w:rPr>
        <w:t>with</w:t>
      </w:r>
      <w:r w:rsidRPr="002E5113">
        <w:rPr>
          <w:szCs w:val="22"/>
        </w:rPr>
        <w:t xml:space="preserve"> a gradual reduction in the maximum amount of bulk HFCs permitted to be imported into Australia</w:t>
      </w:r>
      <w:r>
        <w:rPr>
          <w:szCs w:val="22"/>
        </w:rPr>
        <w:t xml:space="preserve"> in any calendar year, as measured in </w:t>
      </w:r>
      <w:r w:rsidRPr="002F76B0">
        <w:rPr>
          <w:szCs w:val="22"/>
        </w:rPr>
        <w:t>mega</w:t>
      </w:r>
      <w:r>
        <w:rPr>
          <w:szCs w:val="22"/>
        </w:rPr>
        <w:t xml:space="preserve"> </w:t>
      </w:r>
      <w:r w:rsidRPr="002F76B0">
        <w:rPr>
          <w:szCs w:val="22"/>
        </w:rPr>
        <w:t>tonnes (Mt) CO</w:t>
      </w:r>
      <w:r w:rsidRPr="002E5113">
        <w:rPr>
          <w:szCs w:val="22"/>
          <w:vertAlign w:val="subscript"/>
        </w:rPr>
        <w:t>2</w:t>
      </w:r>
      <w:r w:rsidRPr="002F76B0">
        <w:rPr>
          <w:szCs w:val="22"/>
        </w:rPr>
        <w:t>-e per year</w:t>
      </w:r>
      <w:r>
        <w:rPr>
          <w:szCs w:val="22"/>
        </w:rPr>
        <w:t xml:space="preserve">. </w:t>
      </w:r>
      <w:r w:rsidRPr="002E5113">
        <w:rPr>
          <w:szCs w:val="22"/>
        </w:rPr>
        <w:t>Th</w:t>
      </w:r>
      <w:r>
        <w:rPr>
          <w:szCs w:val="22"/>
        </w:rPr>
        <w:t>e process of the HFC phase down is</w:t>
      </w:r>
      <w:r w:rsidRPr="002E5113">
        <w:rPr>
          <w:szCs w:val="22"/>
        </w:rPr>
        <w:t xml:space="preserve"> being managed through a quota system on imports of bulk gases</w:t>
      </w:r>
      <w:r>
        <w:rPr>
          <w:szCs w:val="22"/>
        </w:rPr>
        <w:t xml:space="preserve"> by the licen</w:t>
      </w:r>
      <w:r w:rsidR="00CA6C25">
        <w:rPr>
          <w:szCs w:val="22"/>
        </w:rPr>
        <w:t>s</w:t>
      </w:r>
      <w:r>
        <w:rPr>
          <w:szCs w:val="22"/>
        </w:rPr>
        <w:t>ed importers</w:t>
      </w:r>
      <w:r w:rsidRPr="002E5113">
        <w:rPr>
          <w:szCs w:val="22"/>
        </w:rPr>
        <w:t>.</w:t>
      </w:r>
    </w:p>
    <w:p w14:paraId="0BC09CD1" w14:textId="212F50FD" w:rsidR="00B2087D" w:rsidRDefault="00B2087D" w:rsidP="009A23AA">
      <w:pPr>
        <w:rPr>
          <w:szCs w:val="22"/>
        </w:rPr>
      </w:pPr>
      <w:r>
        <w:rPr>
          <w:szCs w:val="22"/>
        </w:rPr>
        <w:t xml:space="preserve">The </w:t>
      </w:r>
      <w:r w:rsidRPr="002F76B0">
        <w:rPr>
          <w:szCs w:val="22"/>
        </w:rPr>
        <w:t xml:space="preserve">2018 annual import limit </w:t>
      </w:r>
      <w:r>
        <w:rPr>
          <w:szCs w:val="22"/>
        </w:rPr>
        <w:t>was</w:t>
      </w:r>
      <w:r w:rsidRPr="002F76B0">
        <w:rPr>
          <w:szCs w:val="22"/>
        </w:rPr>
        <w:t xml:space="preserve"> 8 m</w:t>
      </w:r>
      <w:r w:rsidR="00A72D1B">
        <w:rPr>
          <w:szCs w:val="22"/>
        </w:rPr>
        <w:t>illion</w:t>
      </w:r>
      <w:r>
        <w:rPr>
          <w:szCs w:val="22"/>
        </w:rPr>
        <w:t xml:space="preserve"> </w:t>
      </w:r>
      <w:r w:rsidR="00F23888">
        <w:rPr>
          <w:szCs w:val="22"/>
        </w:rPr>
        <w:t xml:space="preserve">or mega </w:t>
      </w:r>
      <w:r w:rsidRPr="002F76B0">
        <w:rPr>
          <w:szCs w:val="22"/>
        </w:rPr>
        <w:t>tonnes (Mt) CO</w:t>
      </w:r>
      <w:r w:rsidRPr="002E5113">
        <w:rPr>
          <w:szCs w:val="22"/>
          <w:vertAlign w:val="subscript"/>
        </w:rPr>
        <w:t>2</w:t>
      </w:r>
      <w:r w:rsidRPr="002F76B0">
        <w:rPr>
          <w:szCs w:val="22"/>
        </w:rPr>
        <w:t xml:space="preserve">-e per year. </w:t>
      </w:r>
      <w:r>
        <w:rPr>
          <w:szCs w:val="22"/>
        </w:rPr>
        <w:t xml:space="preserve">Data reported to </w:t>
      </w:r>
      <w:proofErr w:type="spellStart"/>
      <w:r>
        <w:rPr>
          <w:szCs w:val="22"/>
        </w:rPr>
        <w:t>DoEE</w:t>
      </w:r>
      <w:proofErr w:type="spellEnd"/>
      <w:r>
        <w:rPr>
          <w:szCs w:val="22"/>
        </w:rPr>
        <w:t xml:space="preserve"> and analysed by the Expert Group indicates that total imports in 2018 were equivalent to </w:t>
      </w:r>
      <w:r w:rsidRPr="009C0BC1">
        <w:rPr>
          <w:szCs w:val="22"/>
        </w:rPr>
        <w:t xml:space="preserve">around </w:t>
      </w:r>
      <w:r>
        <w:rPr>
          <w:szCs w:val="22"/>
        </w:rPr>
        <w:t>7.</w:t>
      </w:r>
      <w:r w:rsidR="00CA6C25">
        <w:rPr>
          <w:szCs w:val="22"/>
        </w:rPr>
        <w:t xml:space="preserve">89 </w:t>
      </w:r>
      <w:r w:rsidR="00A72D1B">
        <w:rPr>
          <w:szCs w:val="22"/>
        </w:rPr>
        <w:t xml:space="preserve">Mt </w:t>
      </w:r>
      <w:r w:rsidRPr="009C0BC1">
        <w:rPr>
          <w:szCs w:val="22"/>
        </w:rPr>
        <w:t>CO</w:t>
      </w:r>
      <w:r w:rsidRPr="009C0BC1">
        <w:rPr>
          <w:szCs w:val="22"/>
          <w:vertAlign w:val="subscript"/>
        </w:rPr>
        <w:t>2</w:t>
      </w:r>
      <w:r>
        <w:rPr>
          <w:szCs w:val="22"/>
        </w:rPr>
        <w:t xml:space="preserve">. </w:t>
      </w:r>
    </w:p>
    <w:p w14:paraId="774CC614" w14:textId="2717A55F" w:rsidR="00B2087D" w:rsidRDefault="00B2087D" w:rsidP="009A23AA">
      <w:pPr>
        <w:rPr>
          <w:szCs w:val="22"/>
        </w:rPr>
      </w:pPr>
      <w:r w:rsidRPr="002E5113">
        <w:rPr>
          <w:szCs w:val="22"/>
        </w:rPr>
        <w:t xml:space="preserve">The phase-down </w:t>
      </w:r>
      <w:r>
        <w:rPr>
          <w:szCs w:val="22"/>
        </w:rPr>
        <w:t xml:space="preserve">introduces new </w:t>
      </w:r>
      <w:r w:rsidRPr="002E5113">
        <w:rPr>
          <w:szCs w:val="22"/>
        </w:rPr>
        <w:t>reductions at the start of each two-yearly quota period, aligned with licensing periods under the OPSGGM Act</w:t>
      </w:r>
      <w:r>
        <w:rPr>
          <w:szCs w:val="22"/>
        </w:rPr>
        <w:t xml:space="preserve">. The phase down has an end point of </w:t>
      </w:r>
      <w:r w:rsidRPr="002E5113">
        <w:rPr>
          <w:szCs w:val="22"/>
        </w:rPr>
        <w:t>1.607 Mt CO</w:t>
      </w:r>
      <w:r w:rsidRPr="002E5113">
        <w:rPr>
          <w:szCs w:val="22"/>
          <w:vertAlign w:val="subscript"/>
        </w:rPr>
        <w:t>2</w:t>
      </w:r>
      <w:r w:rsidRPr="002E5113">
        <w:rPr>
          <w:szCs w:val="22"/>
        </w:rPr>
        <w:t xml:space="preserve">e on </w:t>
      </w:r>
      <w:r w:rsidR="00761EEF">
        <w:rPr>
          <w:szCs w:val="22"/>
        </w:rPr>
        <w:t>31 </w:t>
      </w:r>
      <w:r w:rsidR="00761EEF" w:rsidRPr="002E5113">
        <w:rPr>
          <w:szCs w:val="22"/>
        </w:rPr>
        <w:t>December 2035 and</w:t>
      </w:r>
      <w:r w:rsidRPr="002E5113">
        <w:rPr>
          <w:szCs w:val="22"/>
        </w:rPr>
        <w:t xml:space="preserve"> will remain at 1.607 Mt CO</w:t>
      </w:r>
      <w:r w:rsidRPr="002E5113">
        <w:rPr>
          <w:szCs w:val="22"/>
          <w:vertAlign w:val="subscript"/>
        </w:rPr>
        <w:t>2</w:t>
      </w:r>
      <w:r w:rsidRPr="002E5113">
        <w:rPr>
          <w:szCs w:val="22"/>
        </w:rPr>
        <w:t>e for each quota period from then on</w:t>
      </w:r>
      <w:r>
        <w:rPr>
          <w:szCs w:val="22"/>
        </w:rPr>
        <w:t xml:space="preserve">. </w:t>
      </w:r>
    </w:p>
    <w:p w14:paraId="5757EA65" w14:textId="26AF125C" w:rsidR="00B2087D" w:rsidRDefault="00B2087D" w:rsidP="009A23AA">
      <w:pPr>
        <w:rPr>
          <w:szCs w:val="22"/>
        </w:rPr>
      </w:pPr>
      <w:r w:rsidRPr="00700A74">
        <w:rPr>
          <w:i/>
          <w:szCs w:val="22"/>
        </w:rPr>
        <w:t xml:space="preserve">Figure </w:t>
      </w:r>
      <w:r w:rsidR="00700A74" w:rsidRPr="00700A74">
        <w:rPr>
          <w:i/>
          <w:szCs w:val="22"/>
        </w:rPr>
        <w:t>30</w:t>
      </w:r>
      <w:r w:rsidRPr="00700A74">
        <w:rPr>
          <w:szCs w:val="22"/>
        </w:rPr>
        <w:t xml:space="preserve"> illustrates</w:t>
      </w:r>
      <w:r>
        <w:rPr>
          <w:szCs w:val="22"/>
        </w:rPr>
        <w:t xml:space="preserve"> the HFC phase-down steps to 2030 relative to the projected refrigerant use by </w:t>
      </w:r>
      <w:r w:rsidRPr="00123EE3">
        <w:rPr>
          <w:szCs w:val="22"/>
        </w:rPr>
        <w:t xml:space="preserve">species in </w:t>
      </w:r>
      <w:r w:rsidRPr="00123EE3">
        <w:rPr>
          <w:rFonts w:cs="Times New Roman"/>
        </w:rPr>
        <w:t>Mt CO</w:t>
      </w:r>
      <w:r w:rsidRPr="00123EE3">
        <w:rPr>
          <w:rFonts w:cs="Times New Roman"/>
          <w:vertAlign w:val="subscript"/>
        </w:rPr>
        <w:t>2</w:t>
      </w:r>
      <w:r w:rsidRPr="00123EE3">
        <w:rPr>
          <w:rFonts w:cs="Times New Roman"/>
        </w:rPr>
        <w:t>e</w:t>
      </w:r>
      <w:r>
        <w:rPr>
          <w:rFonts w:cs="Times New Roman"/>
        </w:rPr>
        <w:t xml:space="preserve">. </w:t>
      </w:r>
      <w:r w:rsidRPr="009C0BC1">
        <w:rPr>
          <w:szCs w:val="22"/>
        </w:rPr>
        <w:t xml:space="preserve">In line with the </w:t>
      </w:r>
      <w:r>
        <w:rPr>
          <w:szCs w:val="22"/>
        </w:rPr>
        <w:t xml:space="preserve">expected </w:t>
      </w:r>
      <w:r w:rsidRPr="009C0BC1">
        <w:rPr>
          <w:szCs w:val="22"/>
        </w:rPr>
        <w:t>decrease of the CO</w:t>
      </w:r>
      <w:r w:rsidRPr="009C0BC1">
        <w:rPr>
          <w:szCs w:val="22"/>
          <w:vertAlign w:val="subscript"/>
        </w:rPr>
        <w:t>2</w:t>
      </w:r>
      <w:r w:rsidRPr="009C0BC1">
        <w:rPr>
          <w:szCs w:val="22"/>
        </w:rPr>
        <w:t>e value of the bank and direct emissions, the CO</w:t>
      </w:r>
      <w:r w:rsidRPr="009C0BC1">
        <w:rPr>
          <w:szCs w:val="22"/>
          <w:vertAlign w:val="subscript"/>
        </w:rPr>
        <w:t>2</w:t>
      </w:r>
      <w:r w:rsidRPr="009C0BC1">
        <w:rPr>
          <w:szCs w:val="22"/>
        </w:rPr>
        <w:t xml:space="preserve">e </w:t>
      </w:r>
      <w:r w:rsidRPr="00FA6C50">
        <w:rPr>
          <w:szCs w:val="22"/>
        </w:rPr>
        <w:t>value of refrigerants used is expected to drop by more than 4</w:t>
      </w:r>
      <w:r w:rsidR="00FA6C50" w:rsidRPr="00FA6C50">
        <w:rPr>
          <w:szCs w:val="22"/>
        </w:rPr>
        <w:t>0</w:t>
      </w:r>
      <w:r w:rsidRPr="00FA6C50">
        <w:rPr>
          <w:szCs w:val="22"/>
        </w:rPr>
        <w:t>% from around 7.</w:t>
      </w:r>
      <w:r w:rsidR="00FA6C50" w:rsidRPr="00FA6C50">
        <w:rPr>
          <w:szCs w:val="22"/>
        </w:rPr>
        <w:t>9</w:t>
      </w:r>
      <w:r w:rsidRPr="00FA6C50">
        <w:rPr>
          <w:szCs w:val="22"/>
        </w:rPr>
        <w:t xml:space="preserve"> million tonnes CO</w:t>
      </w:r>
      <w:r w:rsidRPr="00FA6C50">
        <w:rPr>
          <w:szCs w:val="22"/>
          <w:vertAlign w:val="subscript"/>
        </w:rPr>
        <w:t>2</w:t>
      </w:r>
      <w:r w:rsidRPr="00FA6C50">
        <w:rPr>
          <w:szCs w:val="22"/>
        </w:rPr>
        <w:t>e in 2018 to around 4.</w:t>
      </w:r>
      <w:r w:rsidR="00FA6C50" w:rsidRPr="00FA6C50">
        <w:rPr>
          <w:szCs w:val="22"/>
        </w:rPr>
        <w:t>6</w:t>
      </w:r>
      <w:r w:rsidRPr="00FA6C50">
        <w:rPr>
          <w:szCs w:val="22"/>
        </w:rPr>
        <w:t xml:space="preserve"> million tonnes CO</w:t>
      </w:r>
      <w:r w:rsidRPr="00FA6C50">
        <w:rPr>
          <w:szCs w:val="22"/>
          <w:vertAlign w:val="subscript"/>
        </w:rPr>
        <w:t>2</w:t>
      </w:r>
      <w:r w:rsidRPr="00FA6C50">
        <w:rPr>
          <w:szCs w:val="22"/>
        </w:rPr>
        <w:t>e in 2030, five years prior to the final year of the phase down schedule.</w:t>
      </w:r>
      <w:r>
        <w:rPr>
          <w:szCs w:val="22"/>
        </w:rPr>
        <w:t xml:space="preserve"> </w:t>
      </w:r>
    </w:p>
    <w:p w14:paraId="62C80BB7" w14:textId="64B7033F" w:rsidR="00B2087D" w:rsidRDefault="00B2087D" w:rsidP="009A23AA">
      <w:pPr>
        <w:rPr>
          <w:szCs w:val="22"/>
        </w:rPr>
      </w:pPr>
      <w:r>
        <w:rPr>
          <w:szCs w:val="22"/>
        </w:rPr>
        <w:t xml:space="preserve">The </w:t>
      </w:r>
      <w:r w:rsidR="00E0007B">
        <w:rPr>
          <w:szCs w:val="22"/>
        </w:rPr>
        <w:t xml:space="preserve">starting point of the </w:t>
      </w:r>
      <w:r>
        <w:rPr>
          <w:szCs w:val="22"/>
        </w:rPr>
        <w:t xml:space="preserve">Australian </w:t>
      </w:r>
      <w:r w:rsidRPr="00644D72">
        <w:rPr>
          <w:szCs w:val="22"/>
        </w:rPr>
        <w:t>phase-down</w:t>
      </w:r>
      <w:r>
        <w:rPr>
          <w:szCs w:val="22"/>
        </w:rPr>
        <w:t xml:space="preserve"> </w:t>
      </w:r>
      <w:r w:rsidR="00E0007B">
        <w:rPr>
          <w:szCs w:val="22"/>
        </w:rPr>
        <w:t>is</w:t>
      </w:r>
      <w:r>
        <w:rPr>
          <w:szCs w:val="22"/>
        </w:rPr>
        <w:t xml:space="preserve"> </w:t>
      </w:r>
      <w:r w:rsidRPr="00644D72">
        <w:rPr>
          <w:szCs w:val="22"/>
        </w:rPr>
        <w:t>2</w:t>
      </w:r>
      <w:r w:rsidR="00CA6C25">
        <w:rPr>
          <w:szCs w:val="22"/>
        </w:rPr>
        <w:t>5</w:t>
      </w:r>
      <w:r w:rsidRPr="00644D72">
        <w:rPr>
          <w:szCs w:val="22"/>
        </w:rPr>
        <w:t xml:space="preserve">% lower than </w:t>
      </w:r>
      <w:r>
        <w:rPr>
          <w:szCs w:val="22"/>
        </w:rPr>
        <w:t xml:space="preserve">the starting level </w:t>
      </w:r>
      <w:r w:rsidRPr="00644D72">
        <w:rPr>
          <w:szCs w:val="22"/>
        </w:rPr>
        <w:t xml:space="preserve">adopted in the </w:t>
      </w:r>
      <w:r w:rsidR="00CA6C25">
        <w:rPr>
          <w:szCs w:val="22"/>
        </w:rPr>
        <w:t>Montreal Protocol</w:t>
      </w:r>
      <w:r>
        <w:rPr>
          <w:szCs w:val="22"/>
        </w:rPr>
        <w:t xml:space="preserve">, and </w:t>
      </w:r>
      <w:r w:rsidRPr="00644D72">
        <w:rPr>
          <w:szCs w:val="22"/>
        </w:rPr>
        <w:t>stipulate</w:t>
      </w:r>
      <w:r>
        <w:rPr>
          <w:szCs w:val="22"/>
        </w:rPr>
        <w:t>s</w:t>
      </w:r>
      <w:r w:rsidRPr="00644D72">
        <w:rPr>
          <w:szCs w:val="22"/>
        </w:rPr>
        <w:t xml:space="preserve"> reasonably consistently sized steps </w:t>
      </w:r>
      <w:r w:rsidR="00E0007B">
        <w:rPr>
          <w:szCs w:val="22"/>
        </w:rPr>
        <w:t xml:space="preserve">down </w:t>
      </w:r>
      <w:r w:rsidRPr="00644D72">
        <w:rPr>
          <w:szCs w:val="22"/>
        </w:rPr>
        <w:t>every two years</w:t>
      </w:r>
      <w:r>
        <w:rPr>
          <w:szCs w:val="22"/>
        </w:rPr>
        <w:t xml:space="preserve"> to soften market shocks</w:t>
      </w:r>
      <w:r w:rsidR="00920BB2">
        <w:rPr>
          <w:szCs w:val="22"/>
        </w:rPr>
        <w:t xml:space="preserve">. The phase down </w:t>
      </w:r>
      <w:r w:rsidR="00E0007B">
        <w:rPr>
          <w:szCs w:val="22"/>
        </w:rPr>
        <w:t>bottoms out</w:t>
      </w:r>
      <w:r w:rsidR="00920BB2">
        <w:rPr>
          <w:szCs w:val="22"/>
        </w:rPr>
        <w:t xml:space="preserve"> in 2036 </w:t>
      </w:r>
      <w:r w:rsidRPr="00644D72">
        <w:rPr>
          <w:szCs w:val="22"/>
        </w:rPr>
        <w:t xml:space="preserve">at the same </w:t>
      </w:r>
      <w:r>
        <w:rPr>
          <w:szCs w:val="22"/>
        </w:rPr>
        <w:t xml:space="preserve">final point </w:t>
      </w:r>
      <w:r w:rsidR="00920BB2">
        <w:rPr>
          <w:szCs w:val="22"/>
        </w:rPr>
        <w:t xml:space="preserve">as agreed under the </w:t>
      </w:r>
      <w:r w:rsidR="00CA6C25">
        <w:rPr>
          <w:szCs w:val="22"/>
        </w:rPr>
        <w:t>Montreal Protocol</w:t>
      </w:r>
      <w:r w:rsidR="00920BB2">
        <w:rPr>
          <w:szCs w:val="22"/>
        </w:rPr>
        <w:t>.</w:t>
      </w:r>
      <w:r>
        <w:rPr>
          <w:szCs w:val="22"/>
        </w:rPr>
        <w:t xml:space="preserve"> </w:t>
      </w:r>
    </w:p>
    <w:p w14:paraId="6BA69A69" w14:textId="77777777" w:rsidR="00B2087D" w:rsidRDefault="00B2087D" w:rsidP="009A23AA">
      <w:pPr>
        <w:rPr>
          <w:rFonts w:cs="Times New Roman"/>
        </w:rPr>
      </w:pP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B2087D" w:rsidRPr="00613398" w14:paraId="2097E4AD" w14:textId="77777777" w:rsidTr="00A60CDA">
        <w:tc>
          <w:tcPr>
            <w:tcW w:w="9759" w:type="dxa"/>
            <w:vAlign w:val="center"/>
          </w:tcPr>
          <w:p w14:paraId="717E97F1" w14:textId="77777777" w:rsidR="00B2087D" w:rsidRPr="000A23F9" w:rsidRDefault="00B2087D" w:rsidP="00700A74">
            <w:pPr>
              <w:spacing w:after="120"/>
              <w:jc w:val="center"/>
              <w:rPr>
                <w:rFonts w:cs="Times New Roman"/>
                <w:b/>
              </w:rPr>
            </w:pPr>
            <w:r w:rsidRPr="000A23F9">
              <w:rPr>
                <w:rFonts w:cs="Times New Roman"/>
                <w:b/>
              </w:rPr>
              <w:br w:type="page"/>
            </w:r>
            <w:r>
              <w:rPr>
                <w:rFonts w:cs="Times New Roman"/>
                <w:b/>
              </w:rPr>
              <w:t xml:space="preserve">Phase down steps and refrigerant usage by species </w:t>
            </w:r>
            <w:r w:rsidRPr="000A23F9">
              <w:rPr>
                <w:rFonts w:cs="Times New Roman"/>
                <w:b/>
              </w:rPr>
              <w:t>(</w:t>
            </w:r>
            <w:r>
              <w:rPr>
                <w:rFonts w:cs="Times New Roman"/>
                <w:b/>
              </w:rPr>
              <w:t>Mt CO</w:t>
            </w:r>
            <w:r w:rsidRPr="00B918A6">
              <w:rPr>
                <w:rFonts w:cs="Times New Roman"/>
                <w:b/>
                <w:vertAlign w:val="subscript"/>
              </w:rPr>
              <w:t>2</w:t>
            </w:r>
            <w:r>
              <w:rPr>
                <w:rFonts w:cs="Times New Roman"/>
                <w:b/>
              </w:rPr>
              <w:t>e</w:t>
            </w:r>
            <w:r w:rsidRPr="000A23F9">
              <w:rPr>
                <w:rFonts w:cs="Times New Roman"/>
                <w:b/>
              </w:rPr>
              <w:t>)</w:t>
            </w:r>
          </w:p>
        </w:tc>
      </w:tr>
      <w:tr w:rsidR="00B2087D" w:rsidRPr="000A23F9" w14:paraId="050CA452" w14:textId="77777777" w:rsidTr="00D61629">
        <w:tc>
          <w:tcPr>
            <w:tcW w:w="9759" w:type="dxa"/>
            <w:vAlign w:val="center"/>
          </w:tcPr>
          <w:p w14:paraId="7E2C7884" w14:textId="77777777" w:rsidR="00B2087D" w:rsidRPr="000A23F9" w:rsidRDefault="00B2087D" w:rsidP="00700A74">
            <w:pPr>
              <w:spacing w:before="60" w:after="60"/>
              <w:jc w:val="center"/>
              <w:rPr>
                <w:rFonts w:cs="Times New Roman"/>
                <w:sz w:val="16"/>
                <w:szCs w:val="16"/>
              </w:rPr>
            </w:pPr>
          </w:p>
          <w:p w14:paraId="0B185E96" w14:textId="2B8681AB" w:rsidR="00B2087D" w:rsidRPr="000A23F9" w:rsidRDefault="00D61629" w:rsidP="00700A74">
            <w:pPr>
              <w:spacing w:before="60" w:after="60"/>
              <w:jc w:val="center"/>
              <w:rPr>
                <w:rFonts w:cs="Times New Roman"/>
                <w:sz w:val="16"/>
                <w:szCs w:val="16"/>
              </w:rPr>
            </w:pPr>
            <w:r>
              <w:rPr>
                <w:noProof/>
                <w:lang w:val="en-AU" w:eastAsia="en-AU"/>
              </w:rPr>
              <w:drawing>
                <wp:inline distT="0" distB="0" distL="0" distR="0" wp14:anchorId="62293A30" wp14:editId="62AA1EB3">
                  <wp:extent cx="6030595" cy="220218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30595" cy="2202180"/>
                          </a:xfrm>
                          <a:prstGeom prst="rect">
                            <a:avLst/>
                          </a:prstGeom>
                        </pic:spPr>
                      </pic:pic>
                    </a:graphicData>
                  </a:graphic>
                </wp:inline>
              </w:drawing>
            </w:r>
          </w:p>
          <w:p w14:paraId="40F15312" w14:textId="77777777" w:rsidR="00B2087D" w:rsidRPr="000A23F9" w:rsidRDefault="00B2087D" w:rsidP="00700A74">
            <w:pPr>
              <w:spacing w:before="60" w:after="60"/>
              <w:jc w:val="center"/>
              <w:rPr>
                <w:rFonts w:cs="Times New Roman"/>
                <w:sz w:val="16"/>
                <w:szCs w:val="16"/>
              </w:rPr>
            </w:pPr>
          </w:p>
        </w:tc>
      </w:tr>
      <w:tr w:rsidR="00B2087D" w:rsidRPr="000A23F9" w14:paraId="5251DD03" w14:textId="77777777" w:rsidTr="00A60CDA">
        <w:tc>
          <w:tcPr>
            <w:tcW w:w="9759" w:type="dxa"/>
            <w:vAlign w:val="center"/>
          </w:tcPr>
          <w:p w14:paraId="51089BE7" w14:textId="075A73E3" w:rsidR="00B2087D" w:rsidRPr="0023612A" w:rsidRDefault="00B2087D" w:rsidP="009A23AA">
            <w:pPr>
              <w:pStyle w:val="Caption"/>
            </w:pPr>
            <w:bookmarkStart w:id="136" w:name="_Toc525141368"/>
            <w:bookmarkStart w:id="137" w:name="_Toc19601352"/>
            <w:r w:rsidRPr="0023612A">
              <w:t xml:space="preserve">Figure </w:t>
            </w:r>
            <w:r>
              <w:rPr>
                <w:noProof/>
              </w:rPr>
              <w:fldChar w:fldCharType="begin"/>
            </w:r>
            <w:r>
              <w:rPr>
                <w:noProof/>
              </w:rPr>
              <w:instrText xml:space="preserve"> SEQ Figure \* ARABIC </w:instrText>
            </w:r>
            <w:r>
              <w:rPr>
                <w:noProof/>
              </w:rPr>
              <w:fldChar w:fldCharType="separate"/>
            </w:r>
            <w:r w:rsidR="001D0DA3">
              <w:rPr>
                <w:noProof/>
              </w:rPr>
              <w:t>30</w:t>
            </w:r>
            <w:r>
              <w:rPr>
                <w:noProof/>
              </w:rPr>
              <w:fldChar w:fldCharType="end"/>
            </w:r>
            <w:r w:rsidRPr="0023612A">
              <w:rPr>
                <w:bCs w:val="0"/>
              </w:rPr>
              <w:t xml:space="preserve">: </w:t>
            </w:r>
            <w:r w:rsidRPr="00B61DB6">
              <w:rPr>
                <w:bCs w:val="0"/>
              </w:rPr>
              <w:t xml:space="preserve">Phase down steps </w:t>
            </w:r>
            <w:r>
              <w:rPr>
                <w:bCs w:val="0"/>
              </w:rPr>
              <w:t>and r</w:t>
            </w:r>
            <w:r w:rsidRPr="0023612A">
              <w:rPr>
                <w:bCs w:val="0"/>
              </w:rPr>
              <w:t>efrigerant usage by species from 201</w:t>
            </w:r>
            <w:r>
              <w:rPr>
                <w:bCs w:val="0"/>
              </w:rPr>
              <w:t>8</w:t>
            </w:r>
            <w:r w:rsidRPr="0023612A">
              <w:rPr>
                <w:bCs w:val="0"/>
              </w:rPr>
              <w:t xml:space="preserve"> to 2030 in Mt CO</w:t>
            </w:r>
            <w:r w:rsidRPr="0023612A">
              <w:rPr>
                <w:bCs w:val="0"/>
                <w:vertAlign w:val="subscript"/>
              </w:rPr>
              <w:t>2</w:t>
            </w:r>
            <w:r w:rsidRPr="0023612A">
              <w:rPr>
                <w:bCs w:val="0"/>
              </w:rPr>
              <w:t>e.</w:t>
            </w:r>
            <w:bookmarkEnd w:id="136"/>
            <w:bookmarkEnd w:id="137"/>
          </w:p>
        </w:tc>
      </w:tr>
    </w:tbl>
    <w:p w14:paraId="01E4BF84" w14:textId="77777777" w:rsidR="00D61629" w:rsidRPr="00573A8B" w:rsidRDefault="00D61629" w:rsidP="00D61629">
      <w:pPr>
        <w:spacing w:before="0"/>
        <w:rPr>
          <w:rFonts w:cs="Times New Roman"/>
          <w:sz w:val="20"/>
          <w:szCs w:val="20"/>
          <w:lang w:val="en-US"/>
        </w:rPr>
      </w:pPr>
      <w:r w:rsidRPr="00573A8B">
        <w:rPr>
          <w:rFonts w:cs="Times New Roman"/>
          <w:sz w:val="20"/>
          <w:szCs w:val="20"/>
          <w:lang w:val="en-US"/>
        </w:rPr>
        <w:t xml:space="preserve">(Source: </w:t>
      </w:r>
      <w:r>
        <w:rPr>
          <w:rFonts w:cs="Times New Roman"/>
          <w:sz w:val="20"/>
          <w:szCs w:val="20"/>
        </w:rPr>
        <w:t>CHF 2019 RAC Stock model</w:t>
      </w:r>
      <w:r w:rsidRPr="00573A8B">
        <w:rPr>
          <w:rFonts w:cs="Times New Roman"/>
          <w:sz w:val="20"/>
          <w:szCs w:val="20"/>
          <w:lang w:val="en-US"/>
        </w:rPr>
        <w:t>)</w:t>
      </w:r>
    </w:p>
    <w:p w14:paraId="5C35AEB8" w14:textId="77777777" w:rsidR="00B2087D" w:rsidRDefault="00B2087D" w:rsidP="009A23AA">
      <w:pPr>
        <w:rPr>
          <w:szCs w:val="22"/>
        </w:rPr>
      </w:pPr>
    </w:p>
    <w:p w14:paraId="55E97DAC" w14:textId="77777777" w:rsidR="00B2087D" w:rsidRPr="00063B48" w:rsidRDefault="00B2087D" w:rsidP="009A23AA">
      <w:pPr>
        <w:rPr>
          <w:szCs w:val="22"/>
        </w:rPr>
      </w:pPr>
      <w:r w:rsidRPr="00063B48">
        <w:rPr>
          <w:szCs w:val="22"/>
        </w:rPr>
        <w:t>As older equipment tends to leak more than new equipment, to some extent annual use is a lagging indicator of the nature of the stock of equipment and the composition of the bank.</w:t>
      </w:r>
      <w:r>
        <w:rPr>
          <w:szCs w:val="22"/>
        </w:rPr>
        <w:t xml:space="preserve"> </w:t>
      </w:r>
    </w:p>
    <w:p w14:paraId="79870DD1" w14:textId="383CC87C" w:rsidR="00B2087D" w:rsidRPr="004C11B3" w:rsidRDefault="00B2087D" w:rsidP="009A23AA">
      <w:pPr>
        <w:rPr>
          <w:szCs w:val="22"/>
        </w:rPr>
      </w:pPr>
      <w:r w:rsidRPr="00FA6C50">
        <w:rPr>
          <w:szCs w:val="22"/>
        </w:rPr>
        <w:t xml:space="preserve">For instance, while HFC-32 has increased its share of the bank to </w:t>
      </w:r>
      <w:r w:rsidR="00FA6C50" w:rsidRPr="00FA6C50">
        <w:rPr>
          <w:szCs w:val="22"/>
        </w:rPr>
        <w:t xml:space="preserve">around </w:t>
      </w:r>
      <w:r w:rsidR="00E0007B" w:rsidRPr="00FA6C50">
        <w:rPr>
          <w:szCs w:val="22"/>
        </w:rPr>
        <w:t>2</w:t>
      </w:r>
      <w:r w:rsidRPr="00FA6C50">
        <w:rPr>
          <w:szCs w:val="22"/>
        </w:rPr>
        <w:t>,</w:t>
      </w:r>
      <w:r w:rsidR="00FA6C50" w:rsidRPr="00FA6C50">
        <w:rPr>
          <w:szCs w:val="22"/>
        </w:rPr>
        <w:t>3</w:t>
      </w:r>
      <w:r w:rsidRPr="00FA6C50">
        <w:rPr>
          <w:szCs w:val="22"/>
        </w:rPr>
        <w:t>00 tonnes in just the few years prior to 201</w:t>
      </w:r>
      <w:r w:rsidR="00E0007B" w:rsidRPr="00FA6C50">
        <w:rPr>
          <w:szCs w:val="22"/>
        </w:rPr>
        <w:t>8</w:t>
      </w:r>
      <w:r w:rsidRPr="00FA6C50">
        <w:rPr>
          <w:szCs w:val="22"/>
        </w:rPr>
        <w:t xml:space="preserve">, annual usage of HFC-32 is estimated to have been </w:t>
      </w:r>
      <w:r w:rsidR="00FA6C50" w:rsidRPr="00FA6C50">
        <w:rPr>
          <w:szCs w:val="22"/>
        </w:rPr>
        <w:t>around 42</w:t>
      </w:r>
      <w:r w:rsidRPr="00FA6C50">
        <w:rPr>
          <w:szCs w:val="22"/>
        </w:rPr>
        <w:t xml:space="preserve"> tonnes (including filling supply</w:t>
      </w:r>
      <w:r w:rsidRPr="004C11B3">
        <w:rPr>
          <w:szCs w:val="22"/>
        </w:rPr>
        <w:t xml:space="preserve"> lines) in that year as this refrigerant is employed in an entirely new stock of equipment</w:t>
      </w:r>
      <w:r>
        <w:rPr>
          <w:szCs w:val="22"/>
        </w:rPr>
        <w:t>, with better containment (and less years of operation and wear) than earlier generations of small split systems.</w:t>
      </w:r>
    </w:p>
    <w:p w14:paraId="5F2AF7A1" w14:textId="5D0479FB" w:rsidR="00B2087D" w:rsidRPr="004C11B3" w:rsidRDefault="00B2087D" w:rsidP="009A23AA">
      <w:pPr>
        <w:rPr>
          <w:szCs w:val="22"/>
        </w:rPr>
      </w:pPr>
      <w:r w:rsidRPr="004C11B3">
        <w:rPr>
          <w:szCs w:val="22"/>
        </w:rPr>
        <w:t>Notably HFC-32 is projected to be the only HFC in which annual usage increases by the end of the period, rising from near zero to more than 4</w:t>
      </w:r>
      <w:r w:rsidR="00FA6C50">
        <w:rPr>
          <w:szCs w:val="22"/>
        </w:rPr>
        <w:t>1</w:t>
      </w:r>
      <w:r w:rsidRPr="004C11B3">
        <w:rPr>
          <w:szCs w:val="22"/>
        </w:rPr>
        <w:t>0 tonnes by 2030. Annual usage of all of the other HFCs is expected to decline significantly by the end of the period as the impacts of the HFC phase-down accelerate a predicted shift away from high GWP HFCs across all classes of equipment. Reductions in annual usage predicted include:</w:t>
      </w:r>
    </w:p>
    <w:p w14:paraId="0E6ACE22" w14:textId="53E3724B" w:rsidR="00B2087D" w:rsidRPr="004C11B3" w:rsidRDefault="0020042A" w:rsidP="009A23AA">
      <w:pPr>
        <w:pStyle w:val="ListParagraph"/>
        <w:numPr>
          <w:ilvl w:val="0"/>
          <w:numId w:val="15"/>
        </w:numPr>
        <w:snapToGrid w:val="0"/>
        <w:spacing w:before="120" w:after="0" w:line="240" w:lineRule="auto"/>
        <w:ind w:left="357" w:hanging="357"/>
        <w:contextualSpacing w:val="0"/>
        <w:jc w:val="both"/>
        <w:rPr>
          <w:rFonts w:ascii="Times New Roman" w:hAnsi="Times New Roman"/>
        </w:rPr>
      </w:pPr>
      <w:r w:rsidRPr="0020042A">
        <w:rPr>
          <w:rFonts w:ascii="Times New Roman" w:hAnsi="Times New Roman"/>
        </w:rPr>
        <w:t>HFC-410A, falling 19% from its 2018 estimate of 733 tonnes to stay high at more than 545 tonnes in 2030, reflecting the relatively young stock of equipment it is contained in and the lack of alternatives for some HFC-410A applications;</w:t>
      </w:r>
    </w:p>
    <w:p w14:paraId="32729E62" w14:textId="12D634D2" w:rsidR="00B2087D" w:rsidRPr="004C11B3" w:rsidRDefault="00B2087D" w:rsidP="009A23AA">
      <w:pPr>
        <w:pStyle w:val="ListParagraph"/>
        <w:numPr>
          <w:ilvl w:val="0"/>
          <w:numId w:val="15"/>
        </w:numPr>
        <w:snapToGrid w:val="0"/>
        <w:spacing w:before="120" w:after="0" w:line="240" w:lineRule="auto"/>
        <w:ind w:left="357" w:hanging="357"/>
        <w:contextualSpacing w:val="0"/>
        <w:jc w:val="both"/>
        <w:rPr>
          <w:rFonts w:ascii="Times New Roman" w:hAnsi="Times New Roman"/>
        </w:rPr>
      </w:pPr>
      <w:r w:rsidRPr="004C11B3">
        <w:rPr>
          <w:rFonts w:ascii="Times New Roman" w:hAnsi="Times New Roman"/>
        </w:rPr>
        <w:t xml:space="preserve">HFC-134a, presently servicing the second largest portion of the bank by species, falling by </w:t>
      </w:r>
      <w:r w:rsidR="008F78E8">
        <w:rPr>
          <w:rFonts w:ascii="Times New Roman" w:hAnsi="Times New Roman"/>
        </w:rPr>
        <w:t>38</w:t>
      </w:r>
      <w:r w:rsidRPr="004C11B3">
        <w:rPr>
          <w:rFonts w:ascii="Times New Roman" w:hAnsi="Times New Roman"/>
        </w:rPr>
        <w:t>% from 1,</w:t>
      </w:r>
      <w:r w:rsidR="008F78E8">
        <w:rPr>
          <w:rFonts w:ascii="Times New Roman" w:hAnsi="Times New Roman"/>
        </w:rPr>
        <w:t>344</w:t>
      </w:r>
      <w:r w:rsidRPr="004C11B3">
        <w:rPr>
          <w:rFonts w:ascii="Times New Roman" w:hAnsi="Times New Roman"/>
        </w:rPr>
        <w:t xml:space="preserve"> tonnes </w:t>
      </w:r>
      <w:r w:rsidR="008F78E8">
        <w:rPr>
          <w:rFonts w:ascii="Times New Roman" w:hAnsi="Times New Roman"/>
        </w:rPr>
        <w:t xml:space="preserve">in 2018 (1,428 tonnes in 2017) </w:t>
      </w:r>
      <w:r w:rsidRPr="004C11B3">
        <w:rPr>
          <w:rFonts w:ascii="Times New Roman" w:hAnsi="Times New Roman"/>
        </w:rPr>
        <w:t xml:space="preserve">to a 2030 estimate of </w:t>
      </w:r>
      <w:r w:rsidR="008F78E8">
        <w:rPr>
          <w:rFonts w:ascii="Times New Roman" w:hAnsi="Times New Roman"/>
        </w:rPr>
        <w:t>833</w:t>
      </w:r>
      <w:r w:rsidRPr="004C11B3">
        <w:rPr>
          <w:rFonts w:ascii="Times New Roman" w:hAnsi="Times New Roman"/>
        </w:rPr>
        <w:t xml:space="preserve"> tonnes;</w:t>
      </w:r>
    </w:p>
    <w:p w14:paraId="7232D9A2" w14:textId="4632566B" w:rsidR="00B2087D" w:rsidRPr="004C11B3" w:rsidRDefault="00B2087D" w:rsidP="009A23AA">
      <w:pPr>
        <w:pStyle w:val="ListParagraph"/>
        <w:numPr>
          <w:ilvl w:val="0"/>
          <w:numId w:val="15"/>
        </w:numPr>
        <w:snapToGrid w:val="0"/>
        <w:spacing w:before="120" w:after="0" w:line="240" w:lineRule="auto"/>
        <w:ind w:left="357" w:hanging="357"/>
        <w:contextualSpacing w:val="0"/>
        <w:jc w:val="both"/>
        <w:rPr>
          <w:rFonts w:ascii="Times New Roman" w:hAnsi="Times New Roman"/>
        </w:rPr>
      </w:pPr>
      <w:r w:rsidRPr="004C11B3">
        <w:rPr>
          <w:rFonts w:ascii="Times New Roman" w:hAnsi="Times New Roman"/>
        </w:rPr>
        <w:t>HFC-404A falling by 6</w:t>
      </w:r>
      <w:r w:rsidR="008F78E8">
        <w:rPr>
          <w:rFonts w:ascii="Times New Roman" w:hAnsi="Times New Roman"/>
        </w:rPr>
        <w:t>3</w:t>
      </w:r>
      <w:r w:rsidRPr="004C11B3">
        <w:rPr>
          <w:rFonts w:ascii="Times New Roman" w:hAnsi="Times New Roman"/>
        </w:rPr>
        <w:t>% from 8</w:t>
      </w:r>
      <w:r w:rsidR="008F78E8">
        <w:rPr>
          <w:rFonts w:ascii="Times New Roman" w:hAnsi="Times New Roman"/>
        </w:rPr>
        <w:t>0</w:t>
      </w:r>
      <w:r w:rsidRPr="004C11B3">
        <w:rPr>
          <w:rFonts w:ascii="Times New Roman" w:hAnsi="Times New Roman"/>
        </w:rPr>
        <w:t>0 tonnes in 201</w:t>
      </w:r>
      <w:r w:rsidR="008F78E8">
        <w:rPr>
          <w:rFonts w:ascii="Times New Roman" w:hAnsi="Times New Roman"/>
        </w:rPr>
        <w:t>8</w:t>
      </w:r>
      <w:r w:rsidRPr="004C11B3">
        <w:rPr>
          <w:rFonts w:ascii="Times New Roman" w:hAnsi="Times New Roman"/>
        </w:rPr>
        <w:t xml:space="preserve"> </w:t>
      </w:r>
      <w:r w:rsidR="008F78E8">
        <w:rPr>
          <w:rFonts w:ascii="Times New Roman" w:hAnsi="Times New Roman"/>
        </w:rPr>
        <w:t xml:space="preserve">(878 tonnes in 2017) </w:t>
      </w:r>
      <w:r w:rsidRPr="004C11B3">
        <w:rPr>
          <w:rFonts w:ascii="Times New Roman" w:hAnsi="Times New Roman"/>
        </w:rPr>
        <w:t>to around 2</w:t>
      </w:r>
      <w:r w:rsidR="008F78E8">
        <w:rPr>
          <w:rFonts w:ascii="Times New Roman" w:hAnsi="Times New Roman"/>
        </w:rPr>
        <w:t>93</w:t>
      </w:r>
      <w:r w:rsidRPr="004C11B3">
        <w:rPr>
          <w:rFonts w:ascii="Times New Roman" w:hAnsi="Times New Roman"/>
        </w:rPr>
        <w:t xml:space="preserve"> tonnes in 2030;</w:t>
      </w:r>
    </w:p>
    <w:p w14:paraId="23D4195C" w14:textId="4938BC75" w:rsidR="00B2087D" w:rsidRPr="004C11B3" w:rsidRDefault="00B2087D" w:rsidP="009A23AA">
      <w:pPr>
        <w:pStyle w:val="ListParagraph"/>
        <w:numPr>
          <w:ilvl w:val="0"/>
          <w:numId w:val="15"/>
        </w:numPr>
        <w:snapToGrid w:val="0"/>
        <w:spacing w:before="120" w:after="0" w:line="240" w:lineRule="auto"/>
        <w:ind w:left="357" w:hanging="357"/>
        <w:contextualSpacing w:val="0"/>
        <w:jc w:val="both"/>
        <w:rPr>
          <w:rFonts w:ascii="Times New Roman" w:hAnsi="Times New Roman"/>
        </w:rPr>
      </w:pPr>
      <w:r w:rsidRPr="004C11B3">
        <w:rPr>
          <w:rFonts w:ascii="Times New Roman" w:hAnsi="Times New Roman"/>
        </w:rPr>
        <w:t>HFC-407C falling by more than 61% from 1</w:t>
      </w:r>
      <w:r w:rsidR="008F78E8">
        <w:rPr>
          <w:rFonts w:ascii="Times New Roman" w:hAnsi="Times New Roman"/>
        </w:rPr>
        <w:t>74</w:t>
      </w:r>
      <w:r w:rsidRPr="004C11B3">
        <w:rPr>
          <w:rFonts w:ascii="Times New Roman" w:hAnsi="Times New Roman"/>
        </w:rPr>
        <w:t xml:space="preserve"> tonnes in 201</w:t>
      </w:r>
      <w:r w:rsidR="008F78E8">
        <w:rPr>
          <w:rFonts w:ascii="Times New Roman" w:hAnsi="Times New Roman"/>
        </w:rPr>
        <w:t>8</w:t>
      </w:r>
      <w:r w:rsidRPr="004C11B3">
        <w:rPr>
          <w:rFonts w:ascii="Times New Roman" w:hAnsi="Times New Roman"/>
        </w:rPr>
        <w:t xml:space="preserve"> to just 60 tonnes in 2030;</w:t>
      </w:r>
    </w:p>
    <w:p w14:paraId="1ADD9B7E" w14:textId="78C488AF" w:rsidR="00B2087D" w:rsidRPr="004C11B3" w:rsidRDefault="00B2087D" w:rsidP="009A23AA">
      <w:pPr>
        <w:pStyle w:val="ListParagraph"/>
        <w:numPr>
          <w:ilvl w:val="0"/>
          <w:numId w:val="15"/>
        </w:numPr>
        <w:snapToGrid w:val="0"/>
        <w:spacing w:before="120" w:after="0" w:line="240" w:lineRule="auto"/>
        <w:ind w:left="357" w:hanging="357"/>
        <w:contextualSpacing w:val="0"/>
        <w:jc w:val="both"/>
        <w:rPr>
          <w:rFonts w:ascii="Times New Roman" w:hAnsi="Times New Roman"/>
        </w:rPr>
      </w:pPr>
      <w:r w:rsidRPr="004C11B3">
        <w:rPr>
          <w:rFonts w:ascii="Times New Roman" w:hAnsi="Times New Roman"/>
        </w:rPr>
        <w:t xml:space="preserve">HFC mixes for specialist applications falling more than </w:t>
      </w:r>
      <w:r w:rsidR="008F78E8">
        <w:rPr>
          <w:rFonts w:ascii="Times New Roman" w:hAnsi="Times New Roman"/>
        </w:rPr>
        <w:t>58</w:t>
      </w:r>
      <w:r w:rsidRPr="004C11B3">
        <w:rPr>
          <w:rFonts w:ascii="Times New Roman" w:hAnsi="Times New Roman"/>
        </w:rPr>
        <w:t xml:space="preserve">% from 170 tonnes in 2016 to </w:t>
      </w:r>
      <w:r w:rsidR="008F78E8">
        <w:rPr>
          <w:rFonts w:ascii="Times New Roman" w:hAnsi="Times New Roman"/>
        </w:rPr>
        <w:t>around 70</w:t>
      </w:r>
      <w:r w:rsidRPr="004C11B3">
        <w:rPr>
          <w:rFonts w:ascii="Times New Roman" w:hAnsi="Times New Roman"/>
        </w:rPr>
        <w:t xml:space="preserve"> tonnes in 2030.</w:t>
      </w:r>
    </w:p>
    <w:p w14:paraId="42A2E5AC" w14:textId="77777777" w:rsidR="00B2087D" w:rsidRPr="004C11B3" w:rsidRDefault="00B2087D" w:rsidP="009A23AA">
      <w:r w:rsidRPr="004C11B3">
        <w:t>These falls are projected to be matched by significant rises in use of non-HFC and GWP&lt;1</w:t>
      </w:r>
      <w:r>
        <w:t>0</w:t>
      </w:r>
      <w:r w:rsidRPr="004C11B3">
        <w:t xml:space="preserve"> refrigerants</w:t>
      </w:r>
      <w:r>
        <w:t>,</w:t>
      </w:r>
      <w:r w:rsidRPr="004C11B3">
        <w:t xml:space="preserve"> following the lead of changes in the composition of the bank.</w:t>
      </w:r>
    </w:p>
    <w:p w14:paraId="7E51DA76" w14:textId="26BCA3BA" w:rsidR="00B2087D" w:rsidRPr="004C11B3" w:rsidRDefault="00B2087D" w:rsidP="009A23AA">
      <w:r w:rsidRPr="004C11B3">
        <w:t>The model also suggests a 30</w:t>
      </w:r>
      <w:r>
        <w:t>-</w:t>
      </w:r>
      <w:r w:rsidRPr="004C11B3">
        <w:t xml:space="preserve">fold rise in </w:t>
      </w:r>
      <w:r>
        <w:t xml:space="preserve">new </w:t>
      </w:r>
      <w:r w:rsidRPr="004C11B3">
        <w:t xml:space="preserve">refrigerants with GWPs&lt;1000, </w:t>
      </w:r>
      <w:r w:rsidRPr="004C11B3">
        <w:rPr>
          <w:i/>
        </w:rPr>
        <w:t>not including</w:t>
      </w:r>
      <w:r w:rsidRPr="004C11B3">
        <w:t xml:space="preserve"> HFC-32. These medium GWP refrigerants are expected to be HFO/HFC blends, some of which are already in the market and many </w:t>
      </w:r>
      <w:r>
        <w:t xml:space="preserve">more </w:t>
      </w:r>
      <w:r w:rsidRPr="004C11B3">
        <w:t xml:space="preserve">of which are being </w:t>
      </w:r>
      <w:r>
        <w:t xml:space="preserve">developed and </w:t>
      </w:r>
      <w:r w:rsidRPr="004C11B3">
        <w:t>tested</w:t>
      </w:r>
      <w:r>
        <w:t>. These new generation but still medium GWP blends</w:t>
      </w:r>
      <w:r w:rsidRPr="004C11B3">
        <w:t xml:space="preserve"> </w:t>
      </w:r>
      <w:r>
        <w:t xml:space="preserve">are </w:t>
      </w:r>
      <w:r w:rsidRPr="004C11B3">
        <w:t>expected</w:t>
      </w:r>
      <w:r>
        <w:t xml:space="preserve"> to </w:t>
      </w:r>
      <w:r w:rsidRPr="004C11B3">
        <w:t xml:space="preserve">allow retrofitting of </w:t>
      </w:r>
      <w:r>
        <w:t xml:space="preserve">some </w:t>
      </w:r>
      <w:r w:rsidRPr="004C11B3">
        <w:t xml:space="preserve">older </w:t>
      </w:r>
      <w:r>
        <w:t xml:space="preserve">categories of </w:t>
      </w:r>
      <w:r w:rsidRPr="004C11B3">
        <w:t>equipment and charging of new equipment with high performance refrigerants containing a small fraction of the HFCs presently employed to do the same task.</w:t>
      </w:r>
    </w:p>
    <w:p w14:paraId="2536DF0C" w14:textId="513BD1EA" w:rsidR="00B2087D" w:rsidRPr="004C11B3" w:rsidRDefault="008E23A3" w:rsidP="009A23AA">
      <w:pPr>
        <w:rPr>
          <w:szCs w:val="22"/>
        </w:rPr>
      </w:pPr>
      <w:r>
        <w:rPr>
          <w:szCs w:val="22"/>
        </w:rPr>
        <w:t>HCFC-22 is included in the data and graph for completeness</w:t>
      </w:r>
      <w:r w:rsidR="00E42FBD">
        <w:rPr>
          <w:szCs w:val="22"/>
        </w:rPr>
        <w:t xml:space="preserve"> due to its once significant presence in the bank as a refrigerant</w:t>
      </w:r>
      <w:r w:rsidR="00B2087D" w:rsidRPr="004C11B3">
        <w:rPr>
          <w:szCs w:val="22"/>
        </w:rPr>
        <w:t xml:space="preserve">. </w:t>
      </w:r>
    </w:p>
    <w:p w14:paraId="371662F6" w14:textId="77777777" w:rsidR="00B2087D" w:rsidRDefault="00B2087D" w:rsidP="009A23AA">
      <w:pPr>
        <w:spacing w:before="60"/>
        <w:rPr>
          <w:color w:val="00B0F0"/>
          <w:sz w:val="20"/>
          <w:szCs w:val="20"/>
        </w:rPr>
      </w:pPr>
    </w:p>
    <w:p w14:paraId="26BF3BDD" w14:textId="77777777" w:rsidR="00BD5045" w:rsidRDefault="00BD5045" w:rsidP="009A23AA">
      <w:pPr>
        <w:spacing w:before="0"/>
        <w:rPr>
          <w:rFonts w:ascii="Calibri" w:eastAsia="Times New Roman" w:hAnsi="Calibri" w:cs="Times New Roman"/>
          <w:b/>
          <w:bCs/>
          <w:kern w:val="32"/>
          <w:sz w:val="32"/>
          <w:szCs w:val="32"/>
          <w:lang w:val="en-US"/>
        </w:rPr>
      </w:pPr>
      <w:r>
        <w:br w:type="page"/>
      </w:r>
    </w:p>
    <w:p w14:paraId="64351D41" w14:textId="26B91DF6" w:rsidR="00B2087D" w:rsidRDefault="00B2087D" w:rsidP="009A23AA">
      <w:pPr>
        <w:pStyle w:val="Heading1"/>
        <w:jc w:val="both"/>
      </w:pPr>
      <w:bookmarkStart w:id="138" w:name="_Toc19601315"/>
      <w:r>
        <w:t>Natural refrigerants</w:t>
      </w:r>
      <w:bookmarkEnd w:id="138"/>
    </w:p>
    <w:p w14:paraId="686B75F6" w14:textId="739F435E" w:rsidR="00BD5045" w:rsidRDefault="00BD5045" w:rsidP="009A23AA">
      <w:pPr>
        <w:spacing w:before="60"/>
        <w:rPr>
          <w:color w:val="000000" w:themeColor="text1"/>
          <w:sz w:val="20"/>
          <w:szCs w:val="20"/>
        </w:rPr>
      </w:pPr>
      <w:bookmarkStart w:id="139" w:name="_Toc525141280"/>
      <w:r w:rsidRPr="007C2E9E">
        <w:rPr>
          <w:szCs w:val="22"/>
          <w:lang w:val="en-AU"/>
        </w:rPr>
        <w:t xml:space="preserve">Natural refrigerants </w:t>
      </w:r>
      <w:r>
        <w:rPr>
          <w:szCs w:val="22"/>
          <w:lang w:val="en-AU"/>
        </w:rPr>
        <w:t xml:space="preserve">are employed to some extent in </w:t>
      </w:r>
      <w:r w:rsidRPr="007C2E9E">
        <w:rPr>
          <w:szCs w:val="22"/>
          <w:lang w:val="en-AU"/>
        </w:rPr>
        <w:t xml:space="preserve">most </w:t>
      </w:r>
      <w:r>
        <w:rPr>
          <w:szCs w:val="22"/>
          <w:lang w:val="en-AU"/>
        </w:rPr>
        <w:t xml:space="preserve">RAC </w:t>
      </w:r>
      <w:r w:rsidRPr="007C2E9E">
        <w:rPr>
          <w:szCs w:val="22"/>
          <w:lang w:val="en-AU"/>
        </w:rPr>
        <w:t>technology se</w:t>
      </w:r>
      <w:r>
        <w:rPr>
          <w:szCs w:val="22"/>
          <w:lang w:val="en-AU"/>
        </w:rPr>
        <w:t xml:space="preserve">gments, with minimal applications in stationary </w:t>
      </w:r>
      <w:r w:rsidRPr="00700A74">
        <w:rPr>
          <w:szCs w:val="22"/>
          <w:lang w:val="en-AU"/>
        </w:rPr>
        <w:t>air conditioning. This section examines use of natural refrigerants ammonia, CO</w:t>
      </w:r>
      <w:r w:rsidRPr="00700A74">
        <w:rPr>
          <w:szCs w:val="22"/>
          <w:vertAlign w:val="subscript"/>
          <w:lang w:val="en-AU"/>
        </w:rPr>
        <w:t>2</w:t>
      </w:r>
      <w:r w:rsidRPr="00700A74">
        <w:rPr>
          <w:szCs w:val="22"/>
          <w:lang w:val="en-AU"/>
        </w:rPr>
        <w:t xml:space="preserve"> and hydrocarbons, the bank and trends</w:t>
      </w:r>
      <w:r>
        <w:rPr>
          <w:color w:val="000000" w:themeColor="text1"/>
          <w:sz w:val="20"/>
          <w:szCs w:val="20"/>
        </w:rPr>
        <w:t>.</w:t>
      </w:r>
    </w:p>
    <w:p w14:paraId="7D995C51" w14:textId="65E31AE8" w:rsidR="00BD5045" w:rsidRDefault="00BD5045" w:rsidP="009A23AA">
      <w:pPr>
        <w:spacing w:before="60"/>
        <w:rPr>
          <w:color w:val="000000" w:themeColor="text1"/>
          <w:szCs w:val="22"/>
        </w:rPr>
      </w:pPr>
      <w:r>
        <w:rPr>
          <w:color w:val="000000" w:themeColor="text1"/>
          <w:szCs w:val="22"/>
        </w:rPr>
        <w:t>Commercial and domestic refrigeration has led the way in the adoption of natural refrigerants. T</w:t>
      </w:r>
      <w:r w:rsidRPr="007C2E9E">
        <w:rPr>
          <w:color w:val="000000" w:themeColor="text1"/>
          <w:szCs w:val="22"/>
        </w:rPr>
        <w:t xml:space="preserve">he transition of domestic refrigeration </w:t>
      </w:r>
      <w:r>
        <w:rPr>
          <w:color w:val="000000" w:themeColor="text1"/>
          <w:szCs w:val="22"/>
        </w:rPr>
        <w:t xml:space="preserve">equipment </w:t>
      </w:r>
      <w:r w:rsidRPr="007C2E9E">
        <w:rPr>
          <w:color w:val="000000" w:themeColor="text1"/>
          <w:szCs w:val="22"/>
        </w:rPr>
        <w:t>to hydrocarbon</w:t>
      </w:r>
      <w:r>
        <w:rPr>
          <w:color w:val="000000" w:themeColor="text1"/>
          <w:szCs w:val="22"/>
        </w:rPr>
        <w:t>s</w:t>
      </w:r>
      <w:r w:rsidRPr="007C2E9E">
        <w:rPr>
          <w:color w:val="000000" w:themeColor="text1"/>
          <w:szCs w:val="22"/>
        </w:rPr>
        <w:t xml:space="preserve">, </w:t>
      </w:r>
      <w:r>
        <w:rPr>
          <w:color w:val="000000" w:themeColor="text1"/>
          <w:szCs w:val="22"/>
        </w:rPr>
        <w:t>a</w:t>
      </w:r>
      <w:r w:rsidRPr="007C2E9E">
        <w:rPr>
          <w:color w:val="000000" w:themeColor="text1"/>
          <w:szCs w:val="22"/>
        </w:rPr>
        <w:t xml:space="preserve"> trend that had barely started in 2012, is now </w:t>
      </w:r>
      <w:r>
        <w:rPr>
          <w:color w:val="000000" w:themeColor="text1"/>
          <w:szCs w:val="22"/>
        </w:rPr>
        <w:t xml:space="preserve">effectively complete, with 99% of all domestic refrigeration models examined in a retail survey now found to be charged with hydrocarbons. In more recent years this move to HCs in domestic refrigeration </w:t>
      </w:r>
      <w:r w:rsidRPr="004F3C3B">
        <w:rPr>
          <w:color w:val="000000" w:themeColor="text1"/>
          <w:szCs w:val="22"/>
        </w:rPr>
        <w:t>has extended to smaller commercial equipment in Australia with around 4% of the total bank in this segment now being hydrocarbon and expected to grow rapidly.</w:t>
      </w:r>
    </w:p>
    <w:p w14:paraId="7F779C96" w14:textId="5A680563" w:rsidR="00BD5045" w:rsidRDefault="00BD5045" w:rsidP="009A23AA">
      <w:pPr>
        <w:spacing w:before="60"/>
        <w:rPr>
          <w:szCs w:val="22"/>
          <w:lang w:val="en-AU"/>
        </w:rPr>
      </w:pPr>
      <w:r>
        <w:rPr>
          <w:color w:val="000000" w:themeColor="text1"/>
          <w:szCs w:val="22"/>
        </w:rPr>
        <w:t>N</w:t>
      </w:r>
      <w:r w:rsidRPr="007C2E9E">
        <w:rPr>
          <w:color w:val="000000" w:themeColor="text1"/>
          <w:szCs w:val="22"/>
        </w:rPr>
        <w:t>atural refrigerants</w:t>
      </w:r>
      <w:r w:rsidR="00E0007B">
        <w:rPr>
          <w:color w:val="000000" w:themeColor="text1"/>
          <w:szCs w:val="22"/>
        </w:rPr>
        <w:t xml:space="preserve"> are</w:t>
      </w:r>
      <w:r w:rsidRPr="007C2E9E">
        <w:rPr>
          <w:color w:val="000000" w:themeColor="text1"/>
          <w:szCs w:val="22"/>
        </w:rPr>
        <w:t xml:space="preserve"> firmly entrenched in </w:t>
      </w:r>
      <w:r w:rsidR="00E0007B">
        <w:rPr>
          <w:color w:val="000000" w:themeColor="text1"/>
          <w:szCs w:val="22"/>
        </w:rPr>
        <w:t xml:space="preserve">the </w:t>
      </w:r>
      <w:r w:rsidRPr="007C2E9E">
        <w:rPr>
          <w:color w:val="000000" w:themeColor="text1"/>
          <w:szCs w:val="22"/>
        </w:rPr>
        <w:t xml:space="preserve">mainstream supermarket </w:t>
      </w:r>
      <w:r>
        <w:rPr>
          <w:color w:val="000000" w:themeColor="text1"/>
          <w:szCs w:val="22"/>
        </w:rPr>
        <w:t xml:space="preserve">sector with </w:t>
      </w:r>
      <w:r>
        <w:rPr>
          <w:szCs w:val="22"/>
          <w:lang w:val="en-AU"/>
        </w:rPr>
        <w:t>larger commercial refrigeration systems</w:t>
      </w:r>
      <w:r w:rsidR="00E0007B">
        <w:rPr>
          <w:szCs w:val="22"/>
          <w:lang w:val="en-AU"/>
        </w:rPr>
        <w:t>. They are increasingly employed in</w:t>
      </w:r>
      <w:r>
        <w:rPr>
          <w:szCs w:val="22"/>
          <w:lang w:val="en-AU"/>
        </w:rPr>
        <w:t xml:space="preserve"> supermarket rack systems, now boasting a number of highly efficient options including </w:t>
      </w:r>
      <w:r w:rsidRPr="007C2E9E">
        <w:rPr>
          <w:szCs w:val="22"/>
          <w:lang w:val="en-AU"/>
        </w:rPr>
        <w:t>CO</w:t>
      </w:r>
      <w:r w:rsidRPr="007C2E9E">
        <w:rPr>
          <w:szCs w:val="22"/>
          <w:vertAlign w:val="subscript"/>
          <w:lang w:val="en-AU"/>
        </w:rPr>
        <w:t>2</w:t>
      </w:r>
      <w:r w:rsidRPr="007C2E9E">
        <w:rPr>
          <w:szCs w:val="22"/>
          <w:lang w:val="en-AU"/>
        </w:rPr>
        <w:t xml:space="preserve"> cascade systems; CO</w:t>
      </w:r>
      <w:r w:rsidRPr="007C2E9E">
        <w:rPr>
          <w:szCs w:val="22"/>
          <w:vertAlign w:val="subscript"/>
          <w:lang w:val="en-AU"/>
        </w:rPr>
        <w:t>2</w:t>
      </w:r>
      <w:r w:rsidRPr="007C2E9E">
        <w:rPr>
          <w:szCs w:val="22"/>
          <w:lang w:val="en-AU"/>
        </w:rPr>
        <w:t xml:space="preserve"> only trans-critical systems; CO</w:t>
      </w:r>
      <w:r w:rsidRPr="007C2E9E">
        <w:rPr>
          <w:szCs w:val="22"/>
          <w:vertAlign w:val="subscript"/>
          <w:lang w:val="en-AU"/>
        </w:rPr>
        <w:t>2</w:t>
      </w:r>
      <w:r w:rsidRPr="007C2E9E">
        <w:rPr>
          <w:szCs w:val="22"/>
          <w:lang w:val="en-AU"/>
        </w:rPr>
        <w:t>/ammonia chillers; CO</w:t>
      </w:r>
      <w:r w:rsidRPr="007C2E9E">
        <w:rPr>
          <w:szCs w:val="22"/>
          <w:vertAlign w:val="subscript"/>
          <w:lang w:val="en-AU"/>
        </w:rPr>
        <w:t>2</w:t>
      </w:r>
      <w:r w:rsidRPr="007C2E9E">
        <w:rPr>
          <w:szCs w:val="22"/>
          <w:lang w:val="en-AU"/>
        </w:rPr>
        <w:t xml:space="preserve">/brine; and other variations </w:t>
      </w:r>
      <w:r>
        <w:rPr>
          <w:szCs w:val="22"/>
          <w:lang w:val="en-AU"/>
        </w:rPr>
        <w:t xml:space="preserve">of two stage cascade refrigeration systems. </w:t>
      </w:r>
    </w:p>
    <w:p w14:paraId="2ABF2ECA" w14:textId="0EB1581B" w:rsidR="00BD5045" w:rsidRDefault="00034698" w:rsidP="009A23AA">
      <w:pPr>
        <w:spacing w:before="60"/>
        <w:rPr>
          <w:lang w:val="en-AU"/>
        </w:rPr>
      </w:pPr>
      <w:r>
        <w:rPr>
          <w:szCs w:val="22"/>
          <w:lang w:val="en-AU"/>
        </w:rPr>
        <w:t>T</w:t>
      </w:r>
      <w:r w:rsidR="00BD5045">
        <w:rPr>
          <w:szCs w:val="22"/>
          <w:lang w:val="en-AU"/>
        </w:rPr>
        <w:t xml:space="preserve">his trend is well established and accelerating in larger supermarkets, largely because of the significant </w:t>
      </w:r>
      <w:r>
        <w:rPr>
          <w:szCs w:val="22"/>
          <w:lang w:val="en-AU"/>
        </w:rPr>
        <w:t xml:space="preserve">associated </w:t>
      </w:r>
      <w:r w:rsidR="00BD5045">
        <w:rPr>
          <w:szCs w:val="22"/>
          <w:lang w:val="en-AU"/>
        </w:rPr>
        <w:t>energy efficiency gains</w:t>
      </w:r>
      <w:r>
        <w:rPr>
          <w:szCs w:val="22"/>
          <w:lang w:val="en-AU"/>
        </w:rPr>
        <w:t>.</w:t>
      </w:r>
      <w:r w:rsidR="00BD5045">
        <w:rPr>
          <w:szCs w:val="22"/>
          <w:lang w:val="en-AU"/>
        </w:rPr>
        <w:t xml:space="preserve"> </w:t>
      </w:r>
      <w:r w:rsidR="00BD5045">
        <w:rPr>
          <w:lang w:val="en-AU"/>
        </w:rPr>
        <w:t>CO</w:t>
      </w:r>
      <w:r w:rsidR="00BD5045" w:rsidRPr="00C3306A">
        <w:rPr>
          <w:vertAlign w:val="subscript"/>
          <w:lang w:val="en-AU"/>
        </w:rPr>
        <w:t xml:space="preserve">2 </w:t>
      </w:r>
      <w:r w:rsidR="00BD5045">
        <w:rPr>
          <w:lang w:val="en-AU"/>
        </w:rPr>
        <w:t>condensing unit c</w:t>
      </w:r>
      <w:r w:rsidR="00BD5045" w:rsidRPr="006F4463">
        <w:rPr>
          <w:lang w:val="en-AU"/>
        </w:rPr>
        <w:t>ombination</w:t>
      </w:r>
      <w:r w:rsidR="00BD5045">
        <w:rPr>
          <w:lang w:val="en-AU"/>
        </w:rPr>
        <w:t>s</w:t>
      </w:r>
      <w:r w:rsidR="00BD5045" w:rsidRPr="006F4463">
        <w:rPr>
          <w:lang w:val="en-AU"/>
        </w:rPr>
        <w:t xml:space="preserve"> </w:t>
      </w:r>
      <w:r w:rsidR="00BD5045">
        <w:rPr>
          <w:lang w:val="en-AU"/>
        </w:rPr>
        <w:t xml:space="preserve">up to 15 kW </w:t>
      </w:r>
      <w:r>
        <w:rPr>
          <w:lang w:val="en-AU"/>
        </w:rPr>
        <w:t>which are suitable for</w:t>
      </w:r>
      <w:r w:rsidRPr="006F4463">
        <w:rPr>
          <w:lang w:val="en-AU"/>
        </w:rPr>
        <w:t xml:space="preserve"> </w:t>
      </w:r>
      <w:r>
        <w:rPr>
          <w:lang w:val="en-AU"/>
        </w:rPr>
        <w:t xml:space="preserve">small format supermarkets, convenience stores, liquor outlets and fast food chains </w:t>
      </w:r>
      <w:r w:rsidR="00BD5045">
        <w:rPr>
          <w:lang w:val="en-AU"/>
        </w:rPr>
        <w:t>are also being developed.</w:t>
      </w:r>
    </w:p>
    <w:p w14:paraId="0372BE73" w14:textId="448DCE10" w:rsidR="00BD5045" w:rsidRDefault="00BD5045" w:rsidP="009A23AA">
      <w:pPr>
        <w:rPr>
          <w:lang w:val="en-AU"/>
        </w:rPr>
      </w:pPr>
      <w:r>
        <w:rPr>
          <w:szCs w:val="22"/>
          <w:lang w:val="en-AU"/>
        </w:rPr>
        <w:t>Ammonia is also finding broader applications outside the large cold storage distribution centres and industrial chillers where it has been traditionally used</w:t>
      </w:r>
      <w:r w:rsidR="00034698">
        <w:rPr>
          <w:szCs w:val="22"/>
          <w:lang w:val="en-AU"/>
        </w:rPr>
        <w:t>.</w:t>
      </w:r>
      <w:r>
        <w:rPr>
          <w:szCs w:val="22"/>
          <w:lang w:val="en-AU"/>
        </w:rPr>
        <w:t xml:space="preserve"> </w:t>
      </w:r>
      <w:r w:rsidR="00034698">
        <w:rPr>
          <w:szCs w:val="22"/>
          <w:lang w:val="en-AU"/>
        </w:rPr>
        <w:t xml:space="preserve">Other applications </w:t>
      </w:r>
      <w:r w:rsidRPr="007C2E9E">
        <w:rPr>
          <w:szCs w:val="22"/>
          <w:lang w:val="en-AU"/>
        </w:rPr>
        <w:t>includ</w:t>
      </w:r>
      <w:r w:rsidR="00034698">
        <w:rPr>
          <w:szCs w:val="22"/>
          <w:lang w:val="en-AU"/>
        </w:rPr>
        <w:t>e</w:t>
      </w:r>
      <w:r w:rsidRPr="007C2E9E">
        <w:rPr>
          <w:szCs w:val="22"/>
          <w:lang w:val="en-AU"/>
        </w:rPr>
        <w:t xml:space="preserve"> ammonia chillers</w:t>
      </w:r>
      <w:r>
        <w:rPr>
          <w:szCs w:val="22"/>
          <w:lang w:val="en-AU"/>
        </w:rPr>
        <w:t xml:space="preserve"> and </w:t>
      </w:r>
      <w:r w:rsidRPr="007C2E9E">
        <w:rPr>
          <w:szCs w:val="22"/>
          <w:lang w:val="en-AU"/>
        </w:rPr>
        <w:t>low charge ammonia chiller packages</w:t>
      </w:r>
      <w:r>
        <w:rPr>
          <w:szCs w:val="22"/>
          <w:lang w:val="en-AU"/>
        </w:rPr>
        <w:t>.</w:t>
      </w:r>
    </w:p>
    <w:p w14:paraId="6400E4B1" w14:textId="77777777" w:rsidR="00BD5045" w:rsidRDefault="00BD5045" w:rsidP="009A23AA">
      <w:pPr>
        <w:spacing w:before="60"/>
        <w:rPr>
          <w:color w:val="000000" w:themeColor="text1"/>
          <w:sz w:val="20"/>
          <w:szCs w:val="20"/>
        </w:rPr>
      </w:pPr>
    </w:p>
    <w:p w14:paraId="11524CDF" w14:textId="77777777" w:rsidR="00BD5045" w:rsidRPr="00DF5FA0" w:rsidRDefault="00BD5045" w:rsidP="009A23AA">
      <w:pPr>
        <w:pStyle w:val="Heading2"/>
        <w:jc w:val="both"/>
      </w:pPr>
      <w:bookmarkStart w:id="140" w:name="_Toc19601316"/>
      <w:r w:rsidRPr="00DF5FA0">
        <w:t>Ammonia refrigerant</w:t>
      </w:r>
      <w:bookmarkEnd w:id="139"/>
      <w:bookmarkEnd w:id="140"/>
    </w:p>
    <w:p w14:paraId="1D5BB013" w14:textId="77777777" w:rsidR="00BD5045" w:rsidRPr="00736C1E" w:rsidRDefault="00BD5045" w:rsidP="009A23AA">
      <w:pPr>
        <w:rPr>
          <w:rFonts w:cs="Times New Roman"/>
          <w:szCs w:val="22"/>
        </w:rPr>
      </w:pPr>
      <w:r w:rsidRPr="00736C1E">
        <w:rPr>
          <w:rFonts w:cs="Times New Roman"/>
          <w:szCs w:val="22"/>
        </w:rPr>
        <w:t>Ammonia, known in the industry as R717, makes up by far the largest portion of the natural refrigerants in the bank.</w:t>
      </w:r>
      <w:r w:rsidRPr="00736C1E">
        <w:rPr>
          <w:rStyle w:val="FootnoteReference"/>
          <w:rFonts w:cs="Times New Roman"/>
          <w:szCs w:val="22"/>
        </w:rPr>
        <w:footnoteReference w:id="32"/>
      </w:r>
      <w:r w:rsidRPr="00736C1E">
        <w:rPr>
          <w:rFonts w:cs="Times New Roman"/>
          <w:szCs w:val="22"/>
        </w:rPr>
        <w:t xml:space="preserve"> However, because ammonia is manufactured domestically and there is no requirement to report use of ammonia as a refrigerant, estimates of the total ammonia bank have to be derived from a combination of data sources including a survey of the key suppliers, a partial survey of operating facilities and secondary sources of information.</w:t>
      </w:r>
    </w:p>
    <w:p w14:paraId="617E910E" w14:textId="77777777" w:rsidR="00BD5045" w:rsidRPr="00736C1E" w:rsidRDefault="00BD5045" w:rsidP="009A23AA">
      <w:pPr>
        <w:rPr>
          <w:rFonts w:cs="Times New Roman"/>
          <w:szCs w:val="22"/>
        </w:rPr>
      </w:pPr>
      <w:r w:rsidRPr="00736C1E">
        <w:rPr>
          <w:rFonts w:cs="Times New Roman"/>
          <w:szCs w:val="22"/>
        </w:rPr>
        <w:t>The main applications where ammonia systems are found include cold storage facilities (typically 5,000 to 1,000,000 m</w:t>
      </w:r>
      <w:r w:rsidRPr="00736C1E">
        <w:rPr>
          <w:rFonts w:cs="Times New Roman"/>
          <w:szCs w:val="22"/>
          <w:vertAlign w:val="superscript"/>
        </w:rPr>
        <w:t>3</w:t>
      </w:r>
      <w:r w:rsidRPr="00736C1E">
        <w:rPr>
          <w:rFonts w:cs="Times New Roman"/>
          <w:szCs w:val="22"/>
        </w:rPr>
        <w:t>), large chilling</w:t>
      </w:r>
      <w:r>
        <w:rPr>
          <w:rFonts w:cs="Times New Roman"/>
          <w:szCs w:val="22"/>
        </w:rPr>
        <w:t xml:space="preserve"> systems</w:t>
      </w:r>
      <w:r w:rsidRPr="00736C1E">
        <w:rPr>
          <w:rFonts w:cs="Times New Roman"/>
          <w:szCs w:val="22"/>
        </w:rPr>
        <w:t xml:space="preserve">, blast freezing and ice making systems in the primary and secondary stages of the cold food chain, and some chemical processes and mining air conditioning applications. </w:t>
      </w:r>
    </w:p>
    <w:p w14:paraId="4F8FC337" w14:textId="77777777" w:rsidR="00BD5045" w:rsidRPr="00736C1E" w:rsidRDefault="00BD5045" w:rsidP="009A23AA">
      <w:pPr>
        <w:rPr>
          <w:rFonts w:cs="Times New Roman"/>
          <w:szCs w:val="22"/>
        </w:rPr>
      </w:pPr>
      <w:r w:rsidRPr="002F7FA6">
        <w:rPr>
          <w:rFonts w:cs="Times New Roman"/>
          <w:szCs w:val="22"/>
        </w:rPr>
        <w:t>There is an estimated 15.5 million m</w:t>
      </w:r>
      <w:r w:rsidRPr="002F7FA6">
        <w:rPr>
          <w:rFonts w:cs="Times New Roman"/>
          <w:szCs w:val="22"/>
          <w:vertAlign w:val="superscript"/>
        </w:rPr>
        <w:t>3</w:t>
      </w:r>
      <w:r w:rsidRPr="002F7FA6">
        <w:rPr>
          <w:rFonts w:cs="Times New Roman"/>
          <w:szCs w:val="22"/>
        </w:rPr>
        <w:t xml:space="preserve"> of cold storage space operating on ammonia systems. Assuming a benchmark obtained from industry sources of 29 kg per 1,000 m</w:t>
      </w:r>
      <w:r w:rsidRPr="002F7FA6">
        <w:rPr>
          <w:rFonts w:cs="Times New Roman"/>
          <w:szCs w:val="22"/>
          <w:vertAlign w:val="superscript"/>
        </w:rPr>
        <w:t>3</w:t>
      </w:r>
      <w:r w:rsidRPr="002F7FA6">
        <w:rPr>
          <w:rFonts w:cs="Times New Roman"/>
          <w:szCs w:val="22"/>
        </w:rPr>
        <w:t xml:space="preserve"> of storage space, this equates to around 440 to 460 tonnes of ammonia in cold stores.</w:t>
      </w:r>
      <w:r w:rsidRPr="002F7FA6">
        <w:rPr>
          <w:rStyle w:val="FootnoteReference"/>
          <w:rFonts w:cs="Times New Roman"/>
          <w:szCs w:val="22"/>
        </w:rPr>
        <w:footnoteReference w:id="33"/>
      </w:r>
      <w:r w:rsidRPr="00736C1E">
        <w:rPr>
          <w:rFonts w:cs="Times New Roman"/>
          <w:szCs w:val="22"/>
        </w:rPr>
        <w:t xml:space="preserve">  </w:t>
      </w:r>
    </w:p>
    <w:p w14:paraId="5940FBDB" w14:textId="77777777" w:rsidR="00BD5045" w:rsidRPr="00736C1E" w:rsidRDefault="00BD5045" w:rsidP="009A23AA">
      <w:pPr>
        <w:rPr>
          <w:rFonts w:cs="Times New Roman"/>
          <w:szCs w:val="22"/>
        </w:rPr>
      </w:pPr>
      <w:r w:rsidRPr="00736C1E">
        <w:rPr>
          <w:rFonts w:cs="Times New Roman"/>
          <w:szCs w:val="22"/>
        </w:rPr>
        <w:t xml:space="preserve">Other applications where large charges of ammonia systems can be found in single installations are in high volume blast freezing applications that are extremely energy intensive, requiring snap freezing of large masses of perishable goods such as in meat processing, poultry processing and other primary and secondary processes in the refrigerated cold food chain (i.e. vegetables, dairy, beverages, frozen foods). </w:t>
      </w:r>
    </w:p>
    <w:p w14:paraId="2D0AE976" w14:textId="77777777" w:rsidR="00BD5045" w:rsidRPr="00736C1E" w:rsidRDefault="00BD5045" w:rsidP="009A23AA">
      <w:pPr>
        <w:rPr>
          <w:rFonts w:cs="Times New Roman"/>
          <w:szCs w:val="22"/>
        </w:rPr>
      </w:pPr>
      <w:r w:rsidRPr="00821493">
        <w:rPr>
          <w:rFonts w:cs="Times New Roman"/>
          <w:szCs w:val="22"/>
        </w:rPr>
        <w:t>Some individual meat processing facilities are known to contain up to 150 tonnes of ammonia.</w:t>
      </w:r>
      <w:r w:rsidRPr="00821493">
        <w:rPr>
          <w:rStyle w:val="FootnoteReference"/>
          <w:rFonts w:cs="Times New Roman"/>
          <w:szCs w:val="22"/>
        </w:rPr>
        <w:footnoteReference w:id="34"/>
      </w:r>
      <w:r w:rsidRPr="00821493">
        <w:rPr>
          <w:rFonts w:cs="Times New Roman"/>
          <w:szCs w:val="22"/>
        </w:rPr>
        <w:t xml:space="preserve"> </w:t>
      </w:r>
      <w:r w:rsidRPr="00D00D67">
        <w:rPr>
          <w:rFonts w:cs="Times New Roman"/>
          <w:szCs w:val="22"/>
        </w:rPr>
        <w:t>In June 2018 there were 96 meat/poultry processing facilities in Australia that employ more than 20 and less than 200 people, and 52 that employ more than 200 people (ABS 8165.0).</w:t>
      </w:r>
      <w:r w:rsidRPr="00736C1E">
        <w:rPr>
          <w:rFonts w:cs="Times New Roman"/>
          <w:szCs w:val="22"/>
        </w:rPr>
        <w:t xml:space="preserve"> </w:t>
      </w:r>
    </w:p>
    <w:p w14:paraId="16AB12BC" w14:textId="77777777" w:rsidR="00BD5045" w:rsidRPr="00736C1E" w:rsidRDefault="00BD5045" w:rsidP="009A23AA">
      <w:pPr>
        <w:rPr>
          <w:rFonts w:cs="Times New Roman"/>
          <w:szCs w:val="22"/>
        </w:rPr>
      </w:pPr>
      <w:r w:rsidRPr="00736C1E">
        <w:rPr>
          <w:rFonts w:cs="Times New Roman"/>
          <w:szCs w:val="22"/>
        </w:rPr>
        <w:t>Large ammonia systems are also found in some industrial and mining applications where full</w:t>
      </w:r>
      <w:r>
        <w:rPr>
          <w:rFonts w:cs="Times New Roman"/>
          <w:szCs w:val="22"/>
        </w:rPr>
        <w:t>-</w:t>
      </w:r>
      <w:r w:rsidRPr="00736C1E">
        <w:rPr>
          <w:rFonts w:cs="Times New Roman"/>
          <w:szCs w:val="22"/>
        </w:rPr>
        <w:t>time engineering staff are at hand and overall cooling loads are high. For instance, in some fertiliser plants, metal processing facilities, and in providing chilled water for cooling underground mining operations.</w:t>
      </w:r>
    </w:p>
    <w:p w14:paraId="3BFA78FC" w14:textId="77777777" w:rsidR="00BD5045" w:rsidRDefault="00BD5045" w:rsidP="009A23AA">
      <w:pPr>
        <w:rPr>
          <w:rFonts w:cs="Times New Roman"/>
          <w:szCs w:val="22"/>
        </w:rPr>
      </w:pPr>
      <w:r w:rsidRPr="00263A62">
        <w:rPr>
          <w:rFonts w:cs="Times New Roman"/>
          <w:szCs w:val="22"/>
        </w:rPr>
        <w:t xml:space="preserve">A survey of suppliers of bulk ammonia </w:t>
      </w:r>
      <w:r>
        <w:rPr>
          <w:rFonts w:cs="Times New Roman"/>
          <w:szCs w:val="22"/>
        </w:rPr>
        <w:t xml:space="preserve">has been </w:t>
      </w:r>
      <w:r w:rsidRPr="00263A62">
        <w:rPr>
          <w:rFonts w:cs="Times New Roman"/>
          <w:szCs w:val="22"/>
        </w:rPr>
        <w:t>repeated annually from 2014 to 201</w:t>
      </w:r>
      <w:r>
        <w:rPr>
          <w:rFonts w:cs="Times New Roman"/>
          <w:szCs w:val="22"/>
        </w:rPr>
        <w:t>8 and</w:t>
      </w:r>
      <w:r w:rsidRPr="00263A62">
        <w:rPr>
          <w:rFonts w:cs="Times New Roman"/>
          <w:szCs w:val="22"/>
        </w:rPr>
        <w:t xml:space="preserve"> reported an average of </w:t>
      </w:r>
      <w:r>
        <w:rPr>
          <w:rFonts w:cs="Times New Roman"/>
          <w:szCs w:val="22"/>
        </w:rPr>
        <w:t>698</w:t>
      </w:r>
      <w:r w:rsidRPr="00263A62">
        <w:rPr>
          <w:rFonts w:cs="Times New Roman"/>
          <w:szCs w:val="22"/>
        </w:rPr>
        <w:t xml:space="preserve"> tonnes sold</w:t>
      </w:r>
      <w:r>
        <w:rPr>
          <w:rFonts w:cs="Times New Roman"/>
          <w:szCs w:val="22"/>
        </w:rPr>
        <w:t xml:space="preserve"> </w:t>
      </w:r>
      <w:r w:rsidRPr="00263A62">
        <w:rPr>
          <w:rFonts w:cs="Times New Roman"/>
          <w:szCs w:val="22"/>
        </w:rPr>
        <w:t>during</w:t>
      </w:r>
      <w:r>
        <w:rPr>
          <w:rFonts w:cs="Times New Roman"/>
          <w:szCs w:val="22"/>
        </w:rPr>
        <w:t xml:space="preserve"> each of</w:t>
      </w:r>
      <w:r w:rsidRPr="00263A62">
        <w:rPr>
          <w:rFonts w:cs="Times New Roman"/>
          <w:szCs w:val="22"/>
        </w:rPr>
        <w:t xml:space="preserve"> those </w:t>
      </w:r>
      <w:r>
        <w:rPr>
          <w:rFonts w:cs="Times New Roman"/>
          <w:szCs w:val="22"/>
        </w:rPr>
        <w:t xml:space="preserve">five </w:t>
      </w:r>
      <w:r w:rsidRPr="00263A62">
        <w:rPr>
          <w:rFonts w:cs="Times New Roman"/>
          <w:szCs w:val="22"/>
        </w:rPr>
        <w:t>years.</w:t>
      </w:r>
    </w:p>
    <w:p w14:paraId="1300285A" w14:textId="77777777" w:rsidR="00BD5045" w:rsidRPr="00263A62" w:rsidRDefault="00BD5045" w:rsidP="009A23AA">
      <w:pPr>
        <w:rPr>
          <w:rFonts w:cs="Times New Roman"/>
          <w:szCs w:val="22"/>
        </w:rPr>
      </w:pPr>
    </w:p>
    <w:p w14:paraId="0818BF25" w14:textId="1BA8C73B" w:rsidR="00BD5045" w:rsidRPr="005A6A77" w:rsidRDefault="00BD5045" w:rsidP="009A23AA">
      <w:pPr>
        <w:pStyle w:val="Caption"/>
        <w:keepNext/>
        <w:rPr>
          <w:szCs w:val="22"/>
          <w:lang w:val="en-AU"/>
        </w:rPr>
      </w:pPr>
      <w:bookmarkStart w:id="141" w:name="_Toc525141411"/>
      <w:bookmarkStart w:id="142" w:name="_Toc19601368"/>
      <w:r w:rsidRPr="005A6A77">
        <w:t xml:space="preserve">Table </w:t>
      </w:r>
      <w:r>
        <w:rPr>
          <w:noProof/>
        </w:rPr>
        <w:fldChar w:fldCharType="begin"/>
      </w:r>
      <w:r>
        <w:rPr>
          <w:noProof/>
        </w:rPr>
        <w:instrText xml:space="preserve"> SEQ Table \* ARABIC </w:instrText>
      </w:r>
      <w:r>
        <w:rPr>
          <w:noProof/>
        </w:rPr>
        <w:fldChar w:fldCharType="separate"/>
      </w:r>
      <w:r w:rsidR="001D0DA3">
        <w:rPr>
          <w:noProof/>
        </w:rPr>
        <w:t>16</w:t>
      </w:r>
      <w:r>
        <w:rPr>
          <w:noProof/>
        </w:rPr>
        <w:fldChar w:fldCharType="end"/>
      </w:r>
      <w:r w:rsidRPr="005A6A77">
        <w:t xml:space="preserve">: </w:t>
      </w:r>
      <w:r w:rsidRPr="005A6A77">
        <w:rPr>
          <w:szCs w:val="22"/>
          <w:lang w:val="en-AU"/>
        </w:rPr>
        <w:t>Volumes of ammonia sold by calendar year (tonnes) based on supplier survey.</w:t>
      </w:r>
      <w:bookmarkEnd w:id="141"/>
      <w:bookmarkEnd w:id="142"/>
    </w:p>
    <w:tbl>
      <w:tblPr>
        <w:tblStyle w:val="TableGrid"/>
        <w:tblW w:w="9498" w:type="dxa"/>
        <w:tblInd w:w="-5" w:type="dxa"/>
        <w:tblLook w:val="04A0" w:firstRow="1" w:lastRow="0" w:firstColumn="1" w:lastColumn="0" w:noHBand="0" w:noVBand="1"/>
      </w:tblPr>
      <w:tblGrid>
        <w:gridCol w:w="1899"/>
        <w:gridCol w:w="1900"/>
        <w:gridCol w:w="1899"/>
        <w:gridCol w:w="1900"/>
        <w:gridCol w:w="1900"/>
      </w:tblGrid>
      <w:tr w:rsidR="00BD5045" w:rsidRPr="00D6002F" w14:paraId="014692E9" w14:textId="77777777" w:rsidTr="0095284B">
        <w:tc>
          <w:tcPr>
            <w:tcW w:w="1899" w:type="dxa"/>
            <w:shd w:val="clear" w:color="auto" w:fill="B6DDE8" w:themeFill="accent5" w:themeFillTint="66"/>
            <w:vAlign w:val="center"/>
          </w:tcPr>
          <w:p w14:paraId="386995A1" w14:textId="77777777" w:rsidR="00BD5045" w:rsidRPr="00D6002F" w:rsidRDefault="00BD5045" w:rsidP="00D61629">
            <w:pPr>
              <w:spacing w:after="120"/>
              <w:jc w:val="center"/>
              <w:rPr>
                <w:color w:val="000000" w:themeColor="text1"/>
                <w:szCs w:val="22"/>
              </w:rPr>
            </w:pPr>
            <w:r w:rsidRPr="00D6002F">
              <w:rPr>
                <w:color w:val="000000" w:themeColor="text1"/>
                <w:szCs w:val="22"/>
              </w:rPr>
              <w:t>2014</w:t>
            </w:r>
          </w:p>
        </w:tc>
        <w:tc>
          <w:tcPr>
            <w:tcW w:w="1900" w:type="dxa"/>
            <w:shd w:val="clear" w:color="auto" w:fill="B6DDE8" w:themeFill="accent5" w:themeFillTint="66"/>
            <w:vAlign w:val="center"/>
          </w:tcPr>
          <w:p w14:paraId="459E1B41" w14:textId="77777777" w:rsidR="00BD5045" w:rsidRPr="00D6002F" w:rsidRDefault="00BD5045" w:rsidP="00D61629">
            <w:pPr>
              <w:spacing w:after="120"/>
              <w:jc w:val="center"/>
              <w:rPr>
                <w:color w:val="000000" w:themeColor="text1"/>
                <w:szCs w:val="22"/>
              </w:rPr>
            </w:pPr>
            <w:r w:rsidRPr="00D6002F">
              <w:rPr>
                <w:color w:val="000000" w:themeColor="text1"/>
                <w:szCs w:val="22"/>
              </w:rPr>
              <w:t>2015</w:t>
            </w:r>
          </w:p>
        </w:tc>
        <w:tc>
          <w:tcPr>
            <w:tcW w:w="1899" w:type="dxa"/>
            <w:tcBorders>
              <w:bottom w:val="single" w:sz="4" w:space="0" w:color="000000"/>
            </w:tcBorders>
            <w:shd w:val="clear" w:color="auto" w:fill="B6DDE8" w:themeFill="accent5" w:themeFillTint="66"/>
            <w:vAlign w:val="center"/>
          </w:tcPr>
          <w:p w14:paraId="5D885751" w14:textId="77777777" w:rsidR="00BD5045" w:rsidRPr="00D6002F" w:rsidRDefault="00BD5045" w:rsidP="00D61629">
            <w:pPr>
              <w:spacing w:after="120"/>
              <w:jc w:val="center"/>
              <w:rPr>
                <w:color w:val="000000" w:themeColor="text1"/>
                <w:szCs w:val="22"/>
              </w:rPr>
            </w:pPr>
            <w:r w:rsidRPr="00D6002F">
              <w:rPr>
                <w:color w:val="000000" w:themeColor="text1"/>
                <w:szCs w:val="22"/>
              </w:rPr>
              <w:t>2016</w:t>
            </w:r>
          </w:p>
        </w:tc>
        <w:tc>
          <w:tcPr>
            <w:tcW w:w="1900" w:type="dxa"/>
            <w:tcBorders>
              <w:bottom w:val="single" w:sz="4" w:space="0" w:color="000000"/>
            </w:tcBorders>
            <w:shd w:val="clear" w:color="auto" w:fill="B6DDE8" w:themeFill="accent5" w:themeFillTint="66"/>
            <w:vAlign w:val="center"/>
          </w:tcPr>
          <w:p w14:paraId="528A9BEF" w14:textId="77777777" w:rsidR="00BD5045" w:rsidRPr="00D6002F" w:rsidRDefault="00BD5045" w:rsidP="00D61629">
            <w:pPr>
              <w:spacing w:after="120"/>
              <w:jc w:val="center"/>
              <w:rPr>
                <w:color w:val="000000" w:themeColor="text1"/>
                <w:szCs w:val="22"/>
              </w:rPr>
            </w:pPr>
            <w:r>
              <w:rPr>
                <w:color w:val="000000" w:themeColor="text1"/>
                <w:szCs w:val="22"/>
              </w:rPr>
              <w:t>2017</w:t>
            </w:r>
          </w:p>
        </w:tc>
        <w:tc>
          <w:tcPr>
            <w:tcW w:w="1900" w:type="dxa"/>
            <w:tcBorders>
              <w:bottom w:val="single" w:sz="4" w:space="0" w:color="000000"/>
            </w:tcBorders>
            <w:shd w:val="clear" w:color="auto" w:fill="B6DDE8" w:themeFill="accent5" w:themeFillTint="66"/>
            <w:vAlign w:val="center"/>
          </w:tcPr>
          <w:p w14:paraId="2A8D140A" w14:textId="77777777" w:rsidR="00BD5045" w:rsidRPr="00D6002F" w:rsidRDefault="00BD5045" w:rsidP="00D61629">
            <w:pPr>
              <w:spacing w:after="120"/>
              <w:jc w:val="center"/>
              <w:rPr>
                <w:color w:val="000000" w:themeColor="text1"/>
                <w:szCs w:val="22"/>
              </w:rPr>
            </w:pPr>
            <w:r>
              <w:rPr>
                <w:color w:val="000000" w:themeColor="text1"/>
                <w:szCs w:val="22"/>
              </w:rPr>
              <w:t>2018</w:t>
            </w:r>
          </w:p>
        </w:tc>
      </w:tr>
      <w:tr w:rsidR="00BD5045" w:rsidRPr="00263A62" w14:paraId="575BFA68" w14:textId="77777777" w:rsidTr="0095284B">
        <w:tc>
          <w:tcPr>
            <w:tcW w:w="1899" w:type="dxa"/>
            <w:vAlign w:val="center"/>
          </w:tcPr>
          <w:p w14:paraId="0B7EAEDE" w14:textId="77777777" w:rsidR="00BD5045" w:rsidRPr="00263A62" w:rsidRDefault="00BD5045" w:rsidP="00D61629">
            <w:pPr>
              <w:spacing w:after="120"/>
              <w:jc w:val="center"/>
              <w:rPr>
                <w:szCs w:val="22"/>
                <w:lang w:val="en-AU"/>
              </w:rPr>
            </w:pPr>
            <w:r w:rsidRPr="00263A62">
              <w:rPr>
                <w:color w:val="000000"/>
                <w:szCs w:val="22"/>
              </w:rPr>
              <w:t>837.1</w:t>
            </w:r>
          </w:p>
        </w:tc>
        <w:tc>
          <w:tcPr>
            <w:tcW w:w="1900" w:type="dxa"/>
            <w:vAlign w:val="center"/>
          </w:tcPr>
          <w:p w14:paraId="1607334C" w14:textId="77777777" w:rsidR="00BD5045" w:rsidRPr="00263A62" w:rsidRDefault="00BD5045" w:rsidP="00D61629">
            <w:pPr>
              <w:spacing w:after="120"/>
              <w:jc w:val="center"/>
              <w:rPr>
                <w:szCs w:val="22"/>
                <w:lang w:val="en-AU"/>
              </w:rPr>
            </w:pPr>
            <w:r w:rsidRPr="00263A62">
              <w:rPr>
                <w:color w:val="000000"/>
                <w:szCs w:val="22"/>
              </w:rPr>
              <w:t>712.4</w:t>
            </w:r>
          </w:p>
        </w:tc>
        <w:tc>
          <w:tcPr>
            <w:tcW w:w="1899" w:type="dxa"/>
            <w:shd w:val="clear" w:color="auto" w:fill="auto"/>
            <w:vAlign w:val="center"/>
          </w:tcPr>
          <w:p w14:paraId="2D47B5E0" w14:textId="77777777" w:rsidR="00BD5045" w:rsidRPr="00263A62" w:rsidRDefault="00BD5045" w:rsidP="00D61629">
            <w:pPr>
              <w:spacing w:after="120"/>
              <w:jc w:val="center"/>
              <w:rPr>
                <w:szCs w:val="22"/>
                <w:lang w:val="en-AU"/>
              </w:rPr>
            </w:pPr>
            <w:r w:rsidRPr="00263A62">
              <w:rPr>
                <w:color w:val="000000"/>
                <w:szCs w:val="22"/>
              </w:rPr>
              <w:t>577.2</w:t>
            </w:r>
          </w:p>
        </w:tc>
        <w:tc>
          <w:tcPr>
            <w:tcW w:w="1900" w:type="dxa"/>
            <w:shd w:val="clear" w:color="auto" w:fill="auto"/>
            <w:vAlign w:val="center"/>
          </w:tcPr>
          <w:p w14:paraId="33192A9B" w14:textId="77777777" w:rsidR="00BD5045" w:rsidRPr="00263A62" w:rsidRDefault="00BD5045" w:rsidP="00D61629">
            <w:pPr>
              <w:spacing w:after="120"/>
              <w:jc w:val="center"/>
              <w:rPr>
                <w:szCs w:val="22"/>
                <w:lang w:val="en-AU"/>
              </w:rPr>
            </w:pPr>
            <w:r>
              <w:rPr>
                <w:szCs w:val="22"/>
                <w:lang w:val="en-AU"/>
              </w:rPr>
              <w:t>722</w:t>
            </w:r>
          </w:p>
        </w:tc>
        <w:tc>
          <w:tcPr>
            <w:tcW w:w="1900" w:type="dxa"/>
            <w:shd w:val="clear" w:color="auto" w:fill="auto"/>
            <w:vAlign w:val="center"/>
          </w:tcPr>
          <w:p w14:paraId="67843E6E" w14:textId="77777777" w:rsidR="00BD5045" w:rsidRPr="00263A62" w:rsidRDefault="00BD5045" w:rsidP="00D61629">
            <w:pPr>
              <w:spacing w:after="120"/>
              <w:jc w:val="center"/>
              <w:rPr>
                <w:szCs w:val="22"/>
                <w:lang w:val="en-AU"/>
              </w:rPr>
            </w:pPr>
            <w:r>
              <w:rPr>
                <w:szCs w:val="22"/>
                <w:lang w:val="en-AU"/>
              </w:rPr>
              <w:t>643</w:t>
            </w:r>
          </w:p>
        </w:tc>
      </w:tr>
    </w:tbl>
    <w:p w14:paraId="7EA25446" w14:textId="77777777" w:rsidR="00BD5045" w:rsidRPr="0034191A" w:rsidRDefault="00BD5045" w:rsidP="009A23AA">
      <w:pPr>
        <w:spacing w:before="60" w:after="60"/>
        <w:rPr>
          <w:rFonts w:cs="Times New Roman"/>
          <w:sz w:val="20"/>
          <w:szCs w:val="20"/>
          <w:lang w:val="en-AU"/>
        </w:rPr>
      </w:pPr>
      <w:r w:rsidRPr="0034191A">
        <w:rPr>
          <w:rFonts w:cs="Times New Roman"/>
          <w:sz w:val="20"/>
          <w:szCs w:val="20"/>
          <w:lang w:val="en-AU"/>
        </w:rPr>
        <w:t>Notes:</w:t>
      </w:r>
    </w:p>
    <w:p w14:paraId="3488023C" w14:textId="77777777" w:rsidR="00BD5045" w:rsidRPr="0034191A" w:rsidRDefault="00BD5045" w:rsidP="009A23AA">
      <w:pPr>
        <w:pStyle w:val="ListParagraph"/>
        <w:numPr>
          <w:ilvl w:val="0"/>
          <w:numId w:val="36"/>
        </w:numPr>
        <w:spacing w:before="60" w:after="60" w:line="240" w:lineRule="auto"/>
        <w:contextualSpacing w:val="0"/>
        <w:jc w:val="both"/>
        <w:rPr>
          <w:rFonts w:ascii="Times New Roman" w:hAnsi="Times New Roman"/>
          <w:sz w:val="20"/>
          <w:szCs w:val="20"/>
          <w:lang w:val="en-AU"/>
        </w:rPr>
      </w:pPr>
      <w:r w:rsidRPr="0034191A">
        <w:rPr>
          <w:rFonts w:ascii="Times New Roman" w:hAnsi="Times New Roman"/>
          <w:sz w:val="20"/>
          <w:szCs w:val="20"/>
          <w:lang w:val="en-AU"/>
        </w:rPr>
        <w:t>Volumes exclude non-HVAC&amp;R applications.</w:t>
      </w:r>
    </w:p>
    <w:p w14:paraId="60CA7490" w14:textId="77777777" w:rsidR="00BD5045" w:rsidRPr="0034191A" w:rsidRDefault="00BD5045" w:rsidP="009A23AA">
      <w:pPr>
        <w:pStyle w:val="ListParagraph"/>
        <w:numPr>
          <w:ilvl w:val="0"/>
          <w:numId w:val="36"/>
        </w:numPr>
        <w:spacing w:before="60" w:after="60" w:line="240" w:lineRule="auto"/>
        <w:contextualSpacing w:val="0"/>
        <w:jc w:val="both"/>
        <w:rPr>
          <w:rFonts w:ascii="Times New Roman" w:hAnsi="Times New Roman"/>
          <w:sz w:val="20"/>
          <w:szCs w:val="20"/>
          <w:lang w:val="en-AU"/>
        </w:rPr>
      </w:pPr>
      <w:r w:rsidRPr="0034191A">
        <w:rPr>
          <w:rFonts w:ascii="Times New Roman" w:hAnsi="Times New Roman"/>
          <w:sz w:val="20"/>
          <w:szCs w:val="20"/>
          <w:lang w:val="en-AU"/>
        </w:rPr>
        <w:t>Survey participants include major participants at the top of the supply chain as well as suppliers further down the supply chain, however these suppliers were not double counted.</w:t>
      </w:r>
    </w:p>
    <w:p w14:paraId="51E69E10" w14:textId="77777777" w:rsidR="00BD5045" w:rsidRDefault="00BD5045" w:rsidP="009A23AA">
      <w:pPr>
        <w:rPr>
          <w:rFonts w:cs="Times New Roman"/>
          <w:szCs w:val="22"/>
        </w:rPr>
      </w:pPr>
    </w:p>
    <w:p w14:paraId="174ABF48" w14:textId="0F2715E1" w:rsidR="00BD5045" w:rsidRPr="00736C1E" w:rsidRDefault="00BD5045" w:rsidP="009A23AA">
      <w:pPr>
        <w:rPr>
          <w:rFonts w:cs="Times New Roman"/>
          <w:szCs w:val="22"/>
        </w:rPr>
      </w:pPr>
      <w:r w:rsidRPr="00736C1E">
        <w:rPr>
          <w:rFonts w:cs="Times New Roman"/>
          <w:szCs w:val="22"/>
        </w:rPr>
        <w:t xml:space="preserve">Noting that ammonia systems, due to regulatory requirements and design considerations, </w:t>
      </w:r>
      <w:r w:rsidR="0005209B">
        <w:rPr>
          <w:rFonts w:cs="Times New Roman"/>
          <w:szCs w:val="22"/>
        </w:rPr>
        <w:t>have</w:t>
      </w:r>
      <w:r w:rsidR="0005209B" w:rsidRPr="00736C1E">
        <w:rPr>
          <w:rFonts w:cs="Times New Roman"/>
          <w:szCs w:val="22"/>
        </w:rPr>
        <w:t xml:space="preserve"> </w:t>
      </w:r>
      <w:r w:rsidRPr="00736C1E">
        <w:rPr>
          <w:rFonts w:cs="Times New Roman"/>
          <w:szCs w:val="22"/>
        </w:rPr>
        <w:t>very low leak rates, it can be concluded that a significant portion of the ammonia sold every year is being employed in new ammonia refrigeration systems.</w:t>
      </w:r>
    </w:p>
    <w:p w14:paraId="2998DD1D" w14:textId="4C31B11D" w:rsidR="00BD5045" w:rsidRPr="00736C1E" w:rsidRDefault="00BD5045" w:rsidP="009A23AA">
      <w:pPr>
        <w:rPr>
          <w:rFonts w:cs="Times New Roman"/>
          <w:szCs w:val="22"/>
        </w:rPr>
      </w:pPr>
      <w:r>
        <w:rPr>
          <w:rFonts w:cs="Times New Roman"/>
          <w:szCs w:val="22"/>
        </w:rPr>
        <w:t>However, t</w:t>
      </w:r>
      <w:r w:rsidRPr="00736C1E">
        <w:rPr>
          <w:rFonts w:cs="Times New Roman"/>
          <w:szCs w:val="22"/>
        </w:rPr>
        <w:t xml:space="preserve">he bank is estimated to have only grown by around </w:t>
      </w:r>
      <w:r w:rsidR="003C7BC5" w:rsidRPr="003C7BC5">
        <w:rPr>
          <w:rFonts w:cs="Times New Roman"/>
          <w:szCs w:val="22"/>
        </w:rPr>
        <w:t>1</w:t>
      </w:r>
      <w:r w:rsidRPr="003C7BC5">
        <w:rPr>
          <w:rFonts w:cs="Times New Roman"/>
          <w:szCs w:val="22"/>
        </w:rPr>
        <w:t>00 tonnes per annum from a 2012 estimate of 4,400 tonnes</w:t>
      </w:r>
      <w:r w:rsidR="00F376B9">
        <w:rPr>
          <w:rFonts w:cs="Times New Roman"/>
          <w:szCs w:val="22"/>
        </w:rPr>
        <w:t xml:space="preserve"> to 5,000 tonnes</w:t>
      </w:r>
      <w:r w:rsidRPr="003C7BC5">
        <w:rPr>
          <w:rFonts w:cs="Times New Roman"/>
          <w:szCs w:val="22"/>
        </w:rPr>
        <w:t>. Although this annual growth</w:t>
      </w:r>
      <w:r w:rsidR="004754BB" w:rsidRPr="003C7BC5">
        <w:rPr>
          <w:rFonts w:cs="Times New Roman"/>
          <w:szCs w:val="22"/>
        </w:rPr>
        <w:t xml:space="preserve"> is</w:t>
      </w:r>
      <w:r w:rsidRPr="003C7BC5">
        <w:rPr>
          <w:rFonts w:cs="Times New Roman"/>
          <w:szCs w:val="22"/>
        </w:rPr>
        <w:t xml:space="preserve"> considerably less than the annual volumes reporte</w:t>
      </w:r>
      <w:r w:rsidRPr="00736C1E">
        <w:rPr>
          <w:rFonts w:cs="Times New Roman"/>
          <w:szCs w:val="22"/>
        </w:rPr>
        <w:t xml:space="preserve">d as sold, market intelligence suggests that a significant proportion of ammonia sold in the past few years is going into new systems installed at existing enterprises, replacing old ammonia systems. </w:t>
      </w:r>
      <w:r w:rsidR="004754BB">
        <w:rPr>
          <w:rFonts w:cs="Times New Roman"/>
          <w:szCs w:val="22"/>
        </w:rPr>
        <w:t>N</w:t>
      </w:r>
      <w:r w:rsidRPr="00736C1E">
        <w:rPr>
          <w:rFonts w:cs="Times New Roman"/>
          <w:szCs w:val="22"/>
        </w:rPr>
        <w:t>ew systems have smaller refrigerant charges than the systems being replaced, contributing in part to the relatively slow growth of the bank</w:t>
      </w:r>
      <w:r w:rsidR="004754BB">
        <w:rPr>
          <w:rFonts w:cs="Times New Roman"/>
          <w:szCs w:val="22"/>
        </w:rPr>
        <w:t>.</w:t>
      </w:r>
      <w:r w:rsidRPr="00736C1E">
        <w:rPr>
          <w:rFonts w:cs="Times New Roman"/>
          <w:szCs w:val="22"/>
        </w:rPr>
        <w:t xml:space="preserve"> </w:t>
      </w:r>
      <w:r w:rsidR="004754BB">
        <w:rPr>
          <w:rFonts w:cs="Times New Roman"/>
          <w:szCs w:val="22"/>
        </w:rPr>
        <w:t>C</w:t>
      </w:r>
      <w:r>
        <w:rPr>
          <w:rFonts w:cs="Times New Roman"/>
          <w:szCs w:val="22"/>
        </w:rPr>
        <w:t>ontractors</w:t>
      </w:r>
      <w:r w:rsidRPr="00736C1E">
        <w:rPr>
          <w:rFonts w:cs="Times New Roman"/>
          <w:szCs w:val="22"/>
        </w:rPr>
        <w:t xml:space="preserve"> in this segment are reported to be operating at full capacity.</w:t>
      </w:r>
      <w:r>
        <w:rPr>
          <w:rFonts w:cs="Times New Roman"/>
          <w:szCs w:val="22"/>
        </w:rPr>
        <w:t xml:space="preserve"> </w:t>
      </w:r>
      <w:r w:rsidR="004754BB">
        <w:rPr>
          <w:rFonts w:cs="Times New Roman"/>
          <w:szCs w:val="22"/>
        </w:rPr>
        <w:t>T</w:t>
      </w:r>
      <w:r>
        <w:rPr>
          <w:rFonts w:cs="Times New Roman"/>
          <w:szCs w:val="22"/>
        </w:rPr>
        <w:t>he relative shortage of experienced contractors capable of designing and commissioning new ammonia systems is thought to be the main constraint on growth of new ammonia refrigeration.</w:t>
      </w:r>
    </w:p>
    <w:p w14:paraId="2E7AD6AA" w14:textId="77777777" w:rsidR="00AA5C8E" w:rsidRPr="00736C1E" w:rsidRDefault="00AA5C8E" w:rsidP="00AA5C8E">
      <w:pPr>
        <w:rPr>
          <w:rFonts w:cs="Times New Roman"/>
          <w:szCs w:val="22"/>
        </w:rPr>
      </w:pPr>
      <w:r w:rsidRPr="00736C1E">
        <w:rPr>
          <w:rFonts w:cs="Times New Roman"/>
          <w:szCs w:val="22"/>
        </w:rPr>
        <w:t xml:space="preserve">The capital cost of new </w:t>
      </w:r>
      <w:r>
        <w:rPr>
          <w:rFonts w:cs="Times New Roman"/>
          <w:szCs w:val="22"/>
        </w:rPr>
        <w:t xml:space="preserve">packaged ammonia </w:t>
      </w:r>
      <w:r w:rsidRPr="00736C1E">
        <w:rPr>
          <w:rFonts w:cs="Times New Roman"/>
          <w:szCs w:val="22"/>
        </w:rPr>
        <w:t xml:space="preserve">systems is substantially lower than traditional </w:t>
      </w:r>
      <w:r>
        <w:rPr>
          <w:rFonts w:cs="Times New Roman"/>
          <w:szCs w:val="22"/>
        </w:rPr>
        <w:t xml:space="preserve">ammonia </w:t>
      </w:r>
      <w:r w:rsidRPr="00736C1E">
        <w:rPr>
          <w:rFonts w:cs="Times New Roman"/>
          <w:szCs w:val="22"/>
        </w:rPr>
        <w:t>designs</w:t>
      </w:r>
      <w:r>
        <w:rPr>
          <w:rFonts w:cs="Times New Roman"/>
          <w:szCs w:val="22"/>
        </w:rPr>
        <w:t>.</w:t>
      </w:r>
      <w:r w:rsidRPr="00736C1E">
        <w:rPr>
          <w:rFonts w:cs="Times New Roman"/>
          <w:szCs w:val="22"/>
        </w:rPr>
        <w:t xml:space="preserve"> </w:t>
      </w:r>
      <w:r>
        <w:rPr>
          <w:rFonts w:cs="Times New Roman"/>
          <w:szCs w:val="22"/>
        </w:rPr>
        <w:t>S</w:t>
      </w:r>
      <w:r w:rsidRPr="00736C1E">
        <w:rPr>
          <w:rFonts w:cs="Times New Roman"/>
          <w:szCs w:val="22"/>
        </w:rPr>
        <w:t xml:space="preserve">maller ammonia plants </w:t>
      </w:r>
      <w:r>
        <w:rPr>
          <w:rFonts w:cs="Times New Roman"/>
          <w:szCs w:val="22"/>
        </w:rPr>
        <w:t xml:space="preserve">are </w:t>
      </w:r>
      <w:r w:rsidRPr="00736C1E">
        <w:rPr>
          <w:rFonts w:cs="Times New Roman"/>
          <w:szCs w:val="22"/>
        </w:rPr>
        <w:t xml:space="preserve">now able to compete head-to-head with </w:t>
      </w:r>
      <w:r>
        <w:rPr>
          <w:rFonts w:cs="Times New Roman"/>
          <w:szCs w:val="22"/>
        </w:rPr>
        <w:t xml:space="preserve">the installed cost of </w:t>
      </w:r>
      <w:r w:rsidRPr="00736C1E">
        <w:rPr>
          <w:rFonts w:cs="Times New Roman"/>
          <w:szCs w:val="22"/>
        </w:rPr>
        <w:t xml:space="preserve">100 </w:t>
      </w:r>
      <w:proofErr w:type="spellStart"/>
      <w:r w:rsidRPr="00736C1E">
        <w:rPr>
          <w:rFonts w:cs="Times New Roman"/>
          <w:szCs w:val="22"/>
        </w:rPr>
        <w:t>kWr</w:t>
      </w:r>
      <w:proofErr w:type="spellEnd"/>
      <w:r w:rsidRPr="00736C1E">
        <w:rPr>
          <w:rFonts w:cs="Times New Roman"/>
          <w:szCs w:val="22"/>
        </w:rPr>
        <w:t xml:space="preserve"> HFC-based systems</w:t>
      </w:r>
      <w:r>
        <w:rPr>
          <w:rFonts w:cs="Times New Roman"/>
          <w:szCs w:val="22"/>
        </w:rPr>
        <w:t>. S</w:t>
      </w:r>
      <w:r w:rsidRPr="00736C1E">
        <w:rPr>
          <w:rFonts w:cs="Times New Roman"/>
          <w:szCs w:val="22"/>
        </w:rPr>
        <w:t xml:space="preserve">mall charge packaged ammonia systems are </w:t>
      </w:r>
      <w:r>
        <w:rPr>
          <w:rFonts w:cs="Times New Roman"/>
          <w:szCs w:val="22"/>
        </w:rPr>
        <w:t xml:space="preserve">typically more energy efficient than traditional ammonia designs and can be more energy efficient than </w:t>
      </w:r>
      <w:r w:rsidRPr="00736C1E">
        <w:rPr>
          <w:rFonts w:cs="Times New Roman"/>
          <w:szCs w:val="22"/>
        </w:rPr>
        <w:t>HFC-based systems</w:t>
      </w:r>
      <w:r>
        <w:rPr>
          <w:rFonts w:cs="Times New Roman"/>
          <w:szCs w:val="22"/>
        </w:rPr>
        <w:t>.</w:t>
      </w:r>
    </w:p>
    <w:p w14:paraId="259F50E2" w14:textId="1C5A0C6C" w:rsidR="00BD5045" w:rsidRPr="00736C1E" w:rsidRDefault="0006102A" w:rsidP="003C7BC5">
      <w:pPr>
        <w:rPr>
          <w:rFonts w:cs="Times New Roman"/>
          <w:szCs w:val="22"/>
        </w:rPr>
      </w:pPr>
      <w:r>
        <w:rPr>
          <w:rFonts w:cs="Times New Roman"/>
          <w:szCs w:val="22"/>
        </w:rPr>
        <w:t>T</w:t>
      </w:r>
      <w:r w:rsidR="00BD5045" w:rsidRPr="00736C1E">
        <w:rPr>
          <w:rFonts w:cs="Times New Roman"/>
          <w:szCs w:val="22"/>
        </w:rPr>
        <w:t>he relative simplicity and safety of new ammonia designs make</w:t>
      </w:r>
      <w:r>
        <w:rPr>
          <w:rFonts w:cs="Times New Roman"/>
          <w:szCs w:val="22"/>
        </w:rPr>
        <w:t>s</w:t>
      </w:r>
      <w:r w:rsidR="00BD5045" w:rsidRPr="00736C1E">
        <w:rPr>
          <w:rFonts w:cs="Times New Roman"/>
          <w:szCs w:val="22"/>
        </w:rPr>
        <w:t xml:space="preserve"> it easier to train technicians</w:t>
      </w:r>
      <w:r>
        <w:rPr>
          <w:rFonts w:cs="Times New Roman"/>
          <w:szCs w:val="22"/>
        </w:rPr>
        <w:t>. Combined with</w:t>
      </w:r>
      <w:r w:rsidR="00BD5045" w:rsidRPr="00736C1E">
        <w:rPr>
          <w:rFonts w:cs="Times New Roman"/>
          <w:szCs w:val="22"/>
        </w:rPr>
        <w:t xml:space="preserve"> the trend to more compact, cheaper and safer systems </w:t>
      </w:r>
      <w:r>
        <w:rPr>
          <w:rFonts w:cs="Times New Roman"/>
          <w:szCs w:val="22"/>
        </w:rPr>
        <w:t>this</w:t>
      </w:r>
      <w:r w:rsidRPr="00736C1E">
        <w:rPr>
          <w:rFonts w:cs="Times New Roman"/>
          <w:szCs w:val="22"/>
        </w:rPr>
        <w:t xml:space="preserve"> </w:t>
      </w:r>
      <w:r w:rsidR="00BD5045" w:rsidRPr="00736C1E">
        <w:rPr>
          <w:rFonts w:cs="Times New Roman"/>
          <w:szCs w:val="22"/>
        </w:rPr>
        <w:t>mean</w:t>
      </w:r>
      <w:r>
        <w:rPr>
          <w:rFonts w:cs="Times New Roman"/>
          <w:szCs w:val="22"/>
        </w:rPr>
        <w:t>s</w:t>
      </w:r>
      <w:r w:rsidR="00BD5045" w:rsidRPr="00736C1E">
        <w:rPr>
          <w:rFonts w:cs="Times New Roman"/>
          <w:szCs w:val="22"/>
        </w:rPr>
        <w:t xml:space="preserve"> th</w:t>
      </w:r>
      <w:r>
        <w:rPr>
          <w:rFonts w:cs="Times New Roman"/>
          <w:szCs w:val="22"/>
        </w:rPr>
        <w:t>e</w:t>
      </w:r>
      <w:r w:rsidR="00BD5045" w:rsidRPr="00736C1E">
        <w:rPr>
          <w:rFonts w:cs="Times New Roman"/>
          <w:szCs w:val="22"/>
        </w:rPr>
        <w:t xml:space="preserve"> market could experience rising demand in </w:t>
      </w:r>
      <w:r>
        <w:rPr>
          <w:rFonts w:cs="Times New Roman"/>
          <w:szCs w:val="22"/>
        </w:rPr>
        <w:t xml:space="preserve">ammonia </w:t>
      </w:r>
      <w:r w:rsidR="00BD5045" w:rsidRPr="00736C1E">
        <w:rPr>
          <w:rFonts w:cs="Times New Roman"/>
          <w:szCs w:val="22"/>
        </w:rPr>
        <w:t>capacities below 50 kW</w:t>
      </w:r>
      <w:r>
        <w:rPr>
          <w:rFonts w:cs="Times New Roman"/>
          <w:szCs w:val="22"/>
        </w:rPr>
        <w:t>.</w:t>
      </w:r>
      <w:r w:rsidRPr="00736C1E">
        <w:rPr>
          <w:rFonts w:cs="Times New Roman"/>
          <w:szCs w:val="22"/>
        </w:rPr>
        <w:t xml:space="preserve"> </w:t>
      </w:r>
      <w:r>
        <w:rPr>
          <w:rFonts w:cs="Times New Roman"/>
          <w:szCs w:val="22"/>
        </w:rPr>
        <w:t xml:space="preserve">A </w:t>
      </w:r>
      <w:r w:rsidR="00BD5045" w:rsidRPr="00736C1E">
        <w:rPr>
          <w:rFonts w:cs="Times New Roman"/>
          <w:szCs w:val="22"/>
        </w:rPr>
        <w:t>wider range of applications along the cold food chain</w:t>
      </w:r>
      <w:r>
        <w:rPr>
          <w:rFonts w:cs="Times New Roman"/>
          <w:szCs w:val="22"/>
        </w:rPr>
        <w:t xml:space="preserve"> may develop</w:t>
      </w:r>
      <w:r w:rsidR="00BD5045" w:rsidRPr="00736C1E">
        <w:rPr>
          <w:rFonts w:cs="Times New Roman"/>
          <w:szCs w:val="22"/>
        </w:rPr>
        <w:t>. If this trend meets with a limited supply of qualified technicians, then industry constraints could limit an important opportunity for segments of the cold food chain to move away from the use of HFCs in the decade ahead.</w:t>
      </w:r>
    </w:p>
    <w:p w14:paraId="638BF9B5" w14:textId="135F2425" w:rsidR="00BD5045" w:rsidRDefault="00BD5045" w:rsidP="009A23AA">
      <w:pPr>
        <w:rPr>
          <w:rFonts w:cs="Times New Roman"/>
          <w:szCs w:val="22"/>
        </w:rPr>
      </w:pPr>
      <w:r w:rsidRPr="00736C1E">
        <w:rPr>
          <w:rFonts w:cs="Times New Roman"/>
          <w:szCs w:val="22"/>
        </w:rPr>
        <w:t xml:space="preserve">Wider demonstration of these systems could see substantial demand arising from other food industry trends such as the rise of ready-made meal businesses like </w:t>
      </w:r>
      <w:proofErr w:type="spellStart"/>
      <w:r w:rsidRPr="00736C1E">
        <w:rPr>
          <w:rFonts w:cs="Times New Roman"/>
          <w:szCs w:val="22"/>
        </w:rPr>
        <w:t>Lite</w:t>
      </w:r>
      <w:proofErr w:type="spellEnd"/>
      <w:r w:rsidR="0020042A">
        <w:rPr>
          <w:rFonts w:cs="Times New Roman"/>
          <w:szCs w:val="22"/>
        </w:rPr>
        <w:t>’</w:t>
      </w:r>
      <w:r w:rsidRPr="00736C1E">
        <w:rPr>
          <w:rFonts w:cs="Times New Roman"/>
          <w:szCs w:val="22"/>
        </w:rPr>
        <w:t xml:space="preserve"> n Easy. Other segments of the cold food chain that could move rapidly to these systems, where there is both new investment and existing plant being taken off HFC charged equipment, include beverage processors (e.g. dairy, beer, soft drinks), packaged frozen food producers, ice cream makers, and vegetable processing plants (e.g. potato chip lines, peas, broccoli, etc.)</w:t>
      </w:r>
      <w:r w:rsidR="0020042A">
        <w:rPr>
          <w:rFonts w:cs="Times New Roman"/>
          <w:szCs w:val="22"/>
        </w:rPr>
        <w:t>.</w:t>
      </w:r>
    </w:p>
    <w:p w14:paraId="2A97D997" w14:textId="77777777" w:rsidR="0020042A" w:rsidRPr="00263A62" w:rsidRDefault="0020042A" w:rsidP="009A23AA">
      <w:pPr>
        <w:rPr>
          <w:rFonts w:cs="Times New Roman"/>
          <w:szCs w:val="22"/>
        </w:rPr>
      </w:pPr>
    </w:p>
    <w:p w14:paraId="0BF7933D" w14:textId="77777777" w:rsidR="00BD5045" w:rsidRPr="00494690" w:rsidRDefault="00BD5045" w:rsidP="009A23AA">
      <w:pPr>
        <w:pStyle w:val="Heading2"/>
        <w:jc w:val="both"/>
      </w:pPr>
      <w:bookmarkStart w:id="143" w:name="_Toc525141281"/>
      <w:bookmarkStart w:id="144" w:name="_Toc19601317"/>
      <w:r>
        <w:t>Carbon dioxide r</w:t>
      </w:r>
      <w:r w:rsidRPr="00494690">
        <w:t>efrigerant</w:t>
      </w:r>
      <w:bookmarkEnd w:id="143"/>
      <w:bookmarkEnd w:id="144"/>
      <w:r w:rsidRPr="00494690">
        <w:t xml:space="preserve"> </w:t>
      </w:r>
    </w:p>
    <w:p w14:paraId="33D82FA7" w14:textId="5024BB15" w:rsidR="00BD5045" w:rsidRDefault="00BD5045" w:rsidP="009A23AA">
      <w:pPr>
        <w:rPr>
          <w:rFonts w:cs="Times New Roman"/>
          <w:lang w:val="en-AU"/>
        </w:rPr>
      </w:pPr>
      <w:r w:rsidRPr="003C7BC5">
        <w:rPr>
          <w:rFonts w:cs="Times New Roman"/>
          <w:szCs w:val="22"/>
        </w:rPr>
        <w:t>Commercial refrigeration systems employing CO</w:t>
      </w:r>
      <w:r w:rsidRPr="003C7BC5">
        <w:rPr>
          <w:rFonts w:cs="Times New Roman"/>
          <w:szCs w:val="22"/>
          <w:vertAlign w:val="subscript"/>
        </w:rPr>
        <w:t>2</w:t>
      </w:r>
      <w:r w:rsidRPr="003C7BC5">
        <w:rPr>
          <w:rFonts w:cs="Times New Roman"/>
          <w:szCs w:val="22"/>
        </w:rPr>
        <w:t xml:space="preserve"> refrigerant have </w:t>
      </w:r>
      <w:r w:rsidR="0005209B" w:rsidRPr="003C7BC5">
        <w:rPr>
          <w:rFonts w:cs="Times New Roman"/>
          <w:szCs w:val="22"/>
        </w:rPr>
        <w:t>rapidly increased</w:t>
      </w:r>
      <w:r w:rsidRPr="003C7BC5">
        <w:rPr>
          <w:rFonts w:cs="Times New Roman"/>
          <w:szCs w:val="22"/>
        </w:rPr>
        <w:t xml:space="preserve"> in Australia during the last decade. There are now more than 8</w:t>
      </w:r>
      <w:r w:rsidR="003C7BC5" w:rsidRPr="003C7BC5">
        <w:rPr>
          <w:rFonts w:cs="Times New Roman"/>
          <w:szCs w:val="22"/>
        </w:rPr>
        <w:t>5</w:t>
      </w:r>
      <w:r w:rsidRPr="003C7BC5">
        <w:rPr>
          <w:rFonts w:cs="Times New Roman"/>
          <w:szCs w:val="22"/>
        </w:rPr>
        <w:t>0 supermarket refrigeration systems containing CO</w:t>
      </w:r>
      <w:r w:rsidRPr="003C7BC5">
        <w:rPr>
          <w:rFonts w:cs="Times New Roman"/>
          <w:szCs w:val="22"/>
          <w:vertAlign w:val="subscript"/>
        </w:rPr>
        <w:t>2</w:t>
      </w:r>
      <w:r w:rsidRPr="003C7BC5">
        <w:rPr>
          <w:rFonts w:cs="Times New Roman"/>
          <w:szCs w:val="22"/>
        </w:rPr>
        <w:t>, the majority of these (&gt;95%) are HFC/CO</w:t>
      </w:r>
      <w:r w:rsidRPr="003C7BC5">
        <w:rPr>
          <w:rFonts w:cs="Times New Roman"/>
          <w:szCs w:val="22"/>
          <w:vertAlign w:val="subscript"/>
        </w:rPr>
        <w:t>2</w:t>
      </w:r>
      <w:r w:rsidRPr="003C7BC5">
        <w:rPr>
          <w:rFonts w:cs="Times New Roman"/>
          <w:szCs w:val="22"/>
        </w:rPr>
        <w:t xml:space="preserve"> cascade systems </w:t>
      </w:r>
      <w:r w:rsidRPr="003C7BC5">
        <w:rPr>
          <w:rFonts w:cs="Times New Roman"/>
          <w:lang w:val="en-AU"/>
        </w:rPr>
        <w:t>that employ a high GWP HFC in the primary cooling loop, and a charge of CO</w:t>
      </w:r>
      <w:r w:rsidRPr="003C7BC5">
        <w:rPr>
          <w:rFonts w:cs="Times New Roman"/>
          <w:vertAlign w:val="subscript"/>
          <w:lang w:val="en-AU"/>
        </w:rPr>
        <w:t>2</w:t>
      </w:r>
      <w:r w:rsidRPr="003C7BC5">
        <w:rPr>
          <w:rFonts w:cs="Times New Roman"/>
          <w:lang w:val="en-AU"/>
        </w:rPr>
        <w:t xml:space="preserve"> in a secondary refrigerant circuit. These systems employ as much as 1,000 kg of refrigerants, of which around two-thirds will be HFC-134a and one-third CO</w:t>
      </w:r>
      <w:r w:rsidRPr="003C7BC5">
        <w:rPr>
          <w:rFonts w:cs="Times New Roman"/>
          <w:vertAlign w:val="subscript"/>
          <w:lang w:val="en-AU"/>
        </w:rPr>
        <w:t>2</w:t>
      </w:r>
      <w:r w:rsidRPr="003C7BC5">
        <w:rPr>
          <w:rFonts w:cs="Times New Roman"/>
          <w:lang w:val="en-AU"/>
        </w:rPr>
        <w:t>.</w:t>
      </w:r>
      <w:r>
        <w:rPr>
          <w:rFonts w:cs="Times New Roman"/>
          <w:lang w:val="en-AU"/>
        </w:rPr>
        <w:t xml:space="preserve"> </w:t>
      </w:r>
    </w:p>
    <w:p w14:paraId="07A8DEC1" w14:textId="3AA18136" w:rsidR="00BD5045" w:rsidRDefault="00BD5045" w:rsidP="009A23AA">
      <w:pPr>
        <w:rPr>
          <w:rFonts w:cs="Times New Roman"/>
          <w:szCs w:val="22"/>
        </w:rPr>
      </w:pPr>
      <w:r>
        <w:rPr>
          <w:rFonts w:cs="Times New Roman"/>
          <w:szCs w:val="22"/>
        </w:rPr>
        <w:t>CO</w:t>
      </w:r>
      <w:r w:rsidRPr="00BD26A4">
        <w:rPr>
          <w:rFonts w:cs="Times New Roman"/>
          <w:szCs w:val="22"/>
          <w:vertAlign w:val="subscript"/>
        </w:rPr>
        <w:t>2</w:t>
      </w:r>
      <w:r>
        <w:rPr>
          <w:rFonts w:cs="Times New Roman"/>
          <w:szCs w:val="22"/>
        </w:rPr>
        <w:t xml:space="preserve"> cascade and ‘CO</w:t>
      </w:r>
      <w:r w:rsidRPr="00BD26A4">
        <w:rPr>
          <w:rFonts w:cs="Times New Roman"/>
          <w:szCs w:val="22"/>
          <w:vertAlign w:val="subscript"/>
        </w:rPr>
        <w:t>2</w:t>
      </w:r>
      <w:r>
        <w:rPr>
          <w:rFonts w:cs="Times New Roman"/>
          <w:szCs w:val="22"/>
        </w:rPr>
        <w:t xml:space="preserve"> only’ systems are displacing a considerable volume of HFC refrigerant use, particularly in supermarkets and applications where the energy efficiency of these systems makes them increasingly attractive </w:t>
      </w:r>
      <w:r w:rsidR="002723ED">
        <w:rPr>
          <w:rFonts w:cs="Times New Roman"/>
          <w:szCs w:val="22"/>
        </w:rPr>
        <w:t xml:space="preserve">in the majority of applications </w:t>
      </w:r>
      <w:r>
        <w:rPr>
          <w:rFonts w:cs="Times New Roman"/>
          <w:szCs w:val="22"/>
        </w:rPr>
        <w:t xml:space="preserve">as electricity prices rise. </w:t>
      </w:r>
    </w:p>
    <w:p w14:paraId="354AC4F9" w14:textId="6C458AD0" w:rsidR="00BD5045" w:rsidRPr="003A5D2D" w:rsidRDefault="00BD5045" w:rsidP="009A23AA">
      <w:pPr>
        <w:rPr>
          <w:rFonts w:cs="Times New Roman"/>
          <w:color w:val="000000" w:themeColor="text1"/>
          <w:szCs w:val="22"/>
        </w:rPr>
      </w:pPr>
      <w:r w:rsidRPr="003A5D2D">
        <w:rPr>
          <w:rFonts w:cs="Times New Roman"/>
          <w:color w:val="000000" w:themeColor="text1"/>
          <w:szCs w:val="22"/>
        </w:rPr>
        <w:t>The supply chain for CO</w:t>
      </w:r>
      <w:r w:rsidRPr="003A5D2D">
        <w:rPr>
          <w:rFonts w:cs="Times New Roman"/>
          <w:color w:val="000000" w:themeColor="text1"/>
          <w:szCs w:val="22"/>
          <w:vertAlign w:val="subscript"/>
        </w:rPr>
        <w:t>2</w:t>
      </w:r>
      <w:r w:rsidRPr="003A5D2D">
        <w:rPr>
          <w:rFonts w:cs="Times New Roman"/>
          <w:color w:val="000000" w:themeColor="text1"/>
          <w:szCs w:val="22"/>
        </w:rPr>
        <w:t xml:space="preserve"> is very complex with multiple steps, comprising many resellers, and suppliers sometimes going direct to end users, or with end users purchasing CO</w:t>
      </w:r>
      <w:r w:rsidRPr="003A5D2D">
        <w:rPr>
          <w:rFonts w:cs="Times New Roman"/>
          <w:color w:val="000000" w:themeColor="text1"/>
          <w:szCs w:val="22"/>
          <w:vertAlign w:val="subscript"/>
        </w:rPr>
        <w:t>2</w:t>
      </w:r>
      <w:r w:rsidRPr="003A5D2D">
        <w:rPr>
          <w:rFonts w:cs="Times New Roman"/>
          <w:color w:val="000000" w:themeColor="text1"/>
          <w:szCs w:val="22"/>
        </w:rPr>
        <w:t xml:space="preserve"> from further up the supply chain at the wholesale level as part of a project or new development. Expert Group collects sales data from many of the supply chain participants and estimates the sales volume </w:t>
      </w:r>
      <w:r w:rsidR="002723ED">
        <w:rPr>
          <w:rFonts w:cs="Times New Roman"/>
          <w:color w:val="000000" w:themeColor="text1"/>
          <w:szCs w:val="22"/>
        </w:rPr>
        <w:t>of CO</w:t>
      </w:r>
      <w:r w:rsidR="002723ED" w:rsidRPr="002723ED">
        <w:rPr>
          <w:rFonts w:cs="Times New Roman"/>
          <w:color w:val="000000" w:themeColor="text1"/>
          <w:szCs w:val="22"/>
          <w:vertAlign w:val="subscript"/>
        </w:rPr>
        <w:t>2</w:t>
      </w:r>
      <w:r w:rsidR="002723ED">
        <w:rPr>
          <w:rFonts w:cs="Times New Roman"/>
          <w:color w:val="000000" w:themeColor="text1"/>
          <w:szCs w:val="22"/>
        </w:rPr>
        <w:t xml:space="preserve"> in 2018 was around 170 tonnes </w:t>
      </w:r>
      <w:r w:rsidRPr="003A5D2D">
        <w:rPr>
          <w:rFonts w:cs="Times New Roman"/>
          <w:color w:val="000000" w:themeColor="text1"/>
          <w:szCs w:val="22"/>
        </w:rPr>
        <w:t>(</w:t>
      </w:r>
      <w:r w:rsidRPr="003A5D2D">
        <w:rPr>
          <w:rFonts w:cs="Times New Roman"/>
          <w:i/>
          <w:color w:val="000000" w:themeColor="text1"/>
          <w:szCs w:val="22"/>
        </w:rPr>
        <w:t>CHF</w:t>
      </w:r>
      <w:r>
        <w:rPr>
          <w:rFonts w:cs="Times New Roman"/>
          <w:i/>
          <w:color w:val="000000" w:themeColor="text1"/>
          <w:szCs w:val="22"/>
        </w:rPr>
        <w:t xml:space="preserve">3 2016, </w:t>
      </w:r>
      <w:r w:rsidRPr="003A5D2D">
        <w:rPr>
          <w:rFonts w:cs="Times New Roman"/>
          <w:i/>
          <w:color w:val="000000" w:themeColor="text1"/>
          <w:szCs w:val="22"/>
        </w:rPr>
        <w:t>~</w:t>
      </w:r>
      <w:r>
        <w:rPr>
          <w:rFonts w:cs="Times New Roman"/>
          <w:i/>
          <w:color w:val="000000" w:themeColor="text1"/>
          <w:szCs w:val="22"/>
        </w:rPr>
        <w:t>120</w:t>
      </w:r>
      <w:r w:rsidRPr="003A5D2D">
        <w:rPr>
          <w:rFonts w:cs="Times New Roman"/>
          <w:i/>
          <w:color w:val="000000" w:themeColor="text1"/>
          <w:szCs w:val="22"/>
        </w:rPr>
        <w:t xml:space="preserve"> tonnes per annum</w:t>
      </w:r>
      <w:r w:rsidRPr="003A5D2D">
        <w:rPr>
          <w:rFonts w:cs="Times New Roman"/>
          <w:color w:val="000000" w:themeColor="text1"/>
          <w:szCs w:val="22"/>
        </w:rPr>
        <w:t xml:space="preserve">).   </w:t>
      </w:r>
    </w:p>
    <w:p w14:paraId="107360B2" w14:textId="7E405F5E" w:rsidR="00BD5045" w:rsidRPr="00736C1E" w:rsidRDefault="00BD5045" w:rsidP="009A23AA">
      <w:pPr>
        <w:rPr>
          <w:rFonts w:cs="Times New Roman"/>
          <w:szCs w:val="22"/>
        </w:rPr>
      </w:pPr>
      <w:r w:rsidRPr="002723ED">
        <w:rPr>
          <w:rFonts w:cs="Times New Roman"/>
          <w:szCs w:val="22"/>
        </w:rPr>
        <w:t>Although aggregate supplies of CO</w:t>
      </w:r>
      <w:r w:rsidRPr="002723ED">
        <w:rPr>
          <w:rFonts w:cs="Times New Roman"/>
          <w:szCs w:val="22"/>
          <w:vertAlign w:val="subscript"/>
        </w:rPr>
        <w:t>2</w:t>
      </w:r>
      <w:r w:rsidRPr="002723ED">
        <w:rPr>
          <w:rFonts w:cs="Times New Roman"/>
          <w:szCs w:val="22"/>
        </w:rPr>
        <w:t xml:space="preserve"> were estimated to be 1</w:t>
      </w:r>
      <w:r w:rsidR="002723ED" w:rsidRPr="002723ED">
        <w:rPr>
          <w:rFonts w:cs="Times New Roman"/>
          <w:szCs w:val="22"/>
        </w:rPr>
        <w:t>7</w:t>
      </w:r>
      <w:r w:rsidRPr="002723ED">
        <w:rPr>
          <w:rFonts w:cs="Times New Roman"/>
          <w:szCs w:val="22"/>
        </w:rPr>
        <w:t>0 tonnes in 201</w:t>
      </w:r>
      <w:r w:rsidR="002723ED" w:rsidRPr="002723ED">
        <w:rPr>
          <w:rFonts w:cs="Times New Roman"/>
          <w:szCs w:val="22"/>
        </w:rPr>
        <w:t>8</w:t>
      </w:r>
      <w:r w:rsidR="00237440" w:rsidRPr="002723ED">
        <w:rPr>
          <w:rFonts w:cs="Times New Roman"/>
          <w:szCs w:val="22"/>
        </w:rPr>
        <w:t>,</w:t>
      </w:r>
      <w:r w:rsidRPr="002723ED">
        <w:rPr>
          <w:rFonts w:cs="Times New Roman"/>
          <w:szCs w:val="22"/>
        </w:rPr>
        <w:t xml:space="preserve"> the installed base of equipment suggests that a portion of this gas is carried in the supply line, and on site as back-up supplies in </w:t>
      </w:r>
      <w:proofErr w:type="spellStart"/>
      <w:r w:rsidRPr="002723ED">
        <w:rPr>
          <w:rFonts w:cs="Times New Roman"/>
          <w:szCs w:val="22"/>
        </w:rPr>
        <w:t>manifolded</w:t>
      </w:r>
      <w:proofErr w:type="spellEnd"/>
      <w:r w:rsidRPr="002723ED">
        <w:rPr>
          <w:rFonts w:cs="Times New Roman"/>
          <w:szCs w:val="22"/>
        </w:rPr>
        <w:t xml:space="preserve"> cylinder pallets (i.e. Manpacks) to cover catastrophic failures (i.e. compressor failures or ruptures of gas lines).</w:t>
      </w:r>
      <w:r w:rsidRPr="00736C1E">
        <w:rPr>
          <w:rFonts w:cs="Times New Roman"/>
          <w:szCs w:val="22"/>
        </w:rPr>
        <w:t xml:space="preserve"> </w:t>
      </w:r>
    </w:p>
    <w:p w14:paraId="35515725" w14:textId="5169F406" w:rsidR="00BD5045" w:rsidRPr="00736C1E" w:rsidRDefault="00BD5045" w:rsidP="009A23AA">
      <w:pPr>
        <w:rPr>
          <w:rFonts w:cs="Times New Roman"/>
          <w:szCs w:val="22"/>
        </w:rPr>
      </w:pPr>
      <w:r w:rsidRPr="00736C1E">
        <w:rPr>
          <w:rFonts w:cs="Times New Roman"/>
          <w:szCs w:val="22"/>
        </w:rPr>
        <w:t>While designs of CO</w:t>
      </w:r>
      <w:r w:rsidRPr="00736C1E">
        <w:rPr>
          <w:rFonts w:cs="Times New Roman"/>
          <w:szCs w:val="22"/>
          <w:vertAlign w:val="subscript"/>
        </w:rPr>
        <w:t>2</w:t>
      </w:r>
      <w:r w:rsidRPr="00736C1E">
        <w:rPr>
          <w:rFonts w:cs="Times New Roman"/>
          <w:szCs w:val="22"/>
        </w:rPr>
        <w:t xml:space="preserve"> systems are improving, owners and suppliers of CO</w:t>
      </w:r>
      <w:r w:rsidRPr="00736C1E">
        <w:rPr>
          <w:rFonts w:cs="Times New Roman"/>
          <w:szCs w:val="22"/>
          <w:vertAlign w:val="subscript"/>
        </w:rPr>
        <w:t>2</w:t>
      </w:r>
      <w:r w:rsidRPr="00736C1E">
        <w:rPr>
          <w:rFonts w:cs="Times New Roman"/>
          <w:szCs w:val="22"/>
        </w:rPr>
        <w:t xml:space="preserve"> refrigerant report the systems occasionally suffer gas line or seal failures and lose their entire charge, as CO</w:t>
      </w:r>
      <w:r w:rsidRPr="00736C1E">
        <w:rPr>
          <w:rFonts w:cs="Times New Roman"/>
          <w:szCs w:val="22"/>
          <w:vertAlign w:val="subscript"/>
        </w:rPr>
        <w:t>2</w:t>
      </w:r>
      <w:r w:rsidRPr="00736C1E">
        <w:rPr>
          <w:rFonts w:cs="Times New Roman"/>
          <w:szCs w:val="22"/>
        </w:rPr>
        <w:t xml:space="preserve"> systems have very high operating pressures. </w:t>
      </w:r>
      <w:r w:rsidRPr="002723ED">
        <w:rPr>
          <w:rFonts w:cs="Times New Roman"/>
          <w:szCs w:val="22"/>
        </w:rPr>
        <w:t>These factors lead to the current estimate of a relatively small refrigerant bank of CO</w:t>
      </w:r>
      <w:r w:rsidRPr="002723ED">
        <w:rPr>
          <w:rFonts w:cs="Times New Roman"/>
          <w:szCs w:val="22"/>
          <w:vertAlign w:val="subscript"/>
        </w:rPr>
        <w:t>2</w:t>
      </w:r>
      <w:r w:rsidRPr="002723ED">
        <w:rPr>
          <w:rFonts w:cs="Times New Roman"/>
          <w:szCs w:val="22"/>
        </w:rPr>
        <w:t xml:space="preserve"> refrigerant of around </w:t>
      </w:r>
      <w:r w:rsidR="002723ED" w:rsidRPr="002723ED">
        <w:rPr>
          <w:rFonts w:cs="Times New Roman"/>
          <w:szCs w:val="22"/>
        </w:rPr>
        <w:t>220</w:t>
      </w:r>
      <w:r w:rsidRPr="002723ED">
        <w:rPr>
          <w:rFonts w:cs="Times New Roman"/>
          <w:szCs w:val="22"/>
        </w:rPr>
        <w:t xml:space="preserve"> tonnes.</w:t>
      </w:r>
      <w:r w:rsidRPr="00736C1E">
        <w:rPr>
          <w:rFonts w:cs="Times New Roman"/>
          <w:szCs w:val="22"/>
        </w:rPr>
        <w:t xml:space="preserve"> </w:t>
      </w:r>
    </w:p>
    <w:p w14:paraId="0C88EF0D" w14:textId="77777777" w:rsidR="00BD5045" w:rsidRDefault="00BD5045" w:rsidP="009A23AA">
      <w:pPr>
        <w:rPr>
          <w:rFonts w:cs="Times New Roman"/>
          <w:szCs w:val="22"/>
        </w:rPr>
      </w:pPr>
      <w:r w:rsidRPr="00736C1E">
        <w:rPr>
          <w:rFonts w:cs="Times New Roman"/>
          <w:szCs w:val="22"/>
        </w:rPr>
        <w:t>It is expected that with the now extensive base of installed CO</w:t>
      </w:r>
      <w:r w:rsidRPr="00736C1E">
        <w:rPr>
          <w:rFonts w:cs="Times New Roman"/>
          <w:szCs w:val="22"/>
          <w:vertAlign w:val="subscript"/>
        </w:rPr>
        <w:t>2</w:t>
      </w:r>
      <w:r w:rsidRPr="00736C1E">
        <w:rPr>
          <w:rFonts w:cs="Times New Roman"/>
          <w:szCs w:val="22"/>
        </w:rPr>
        <w:t xml:space="preserve"> refrigerant technology in enterprises with full-time engineering support, the technology and the expertise to design and operate them will continue to evolve rapidly and be employed in a wider range of applications in the cold food chain, including large food processors.</w:t>
      </w:r>
    </w:p>
    <w:p w14:paraId="7C477992" w14:textId="7D35B324" w:rsidR="00BD5045" w:rsidRPr="00736C1E" w:rsidRDefault="00BD5045" w:rsidP="009A23AA">
      <w:pPr>
        <w:rPr>
          <w:rFonts w:cs="Times New Roman"/>
          <w:szCs w:val="22"/>
        </w:rPr>
      </w:pPr>
      <w:r w:rsidRPr="00736C1E">
        <w:rPr>
          <w:rFonts w:cs="Times New Roman"/>
          <w:szCs w:val="22"/>
        </w:rPr>
        <w:t>CO</w:t>
      </w:r>
      <w:r w:rsidRPr="00736C1E">
        <w:rPr>
          <w:rFonts w:cs="Times New Roman"/>
          <w:szCs w:val="22"/>
          <w:vertAlign w:val="subscript"/>
        </w:rPr>
        <w:t>2</w:t>
      </w:r>
      <w:r w:rsidRPr="00736C1E">
        <w:rPr>
          <w:rFonts w:cs="Times New Roman"/>
          <w:szCs w:val="22"/>
        </w:rPr>
        <w:t xml:space="preserve"> systems are also being used in truck and automotive air conditioning, small refrigerated vending machines and merchandisers, hot water heat pumps</w:t>
      </w:r>
      <w:r w:rsidR="00237440">
        <w:rPr>
          <w:rFonts w:cs="Times New Roman"/>
          <w:szCs w:val="22"/>
        </w:rPr>
        <w:t>,</w:t>
      </w:r>
      <w:r w:rsidRPr="00736C1E">
        <w:rPr>
          <w:rFonts w:cs="Times New Roman"/>
          <w:szCs w:val="22"/>
        </w:rPr>
        <w:t xml:space="preserve"> and for refrigerated containers known as reefers. One such new small scale example of a CO</w:t>
      </w:r>
      <w:r w:rsidRPr="00736C1E">
        <w:rPr>
          <w:rFonts w:cs="Times New Roman"/>
          <w:szCs w:val="22"/>
          <w:vertAlign w:val="subscript"/>
        </w:rPr>
        <w:t>2</w:t>
      </w:r>
      <w:r w:rsidRPr="00736C1E">
        <w:rPr>
          <w:rFonts w:cs="Times New Roman"/>
          <w:szCs w:val="22"/>
        </w:rPr>
        <w:t xml:space="preserve"> application is the </w:t>
      </w:r>
      <w:proofErr w:type="spellStart"/>
      <w:r w:rsidRPr="00736C1E">
        <w:rPr>
          <w:rFonts w:cs="Times New Roman"/>
          <w:szCs w:val="22"/>
        </w:rPr>
        <w:t>EcoCute</w:t>
      </w:r>
      <w:proofErr w:type="spellEnd"/>
      <w:r w:rsidRPr="00736C1E">
        <w:rPr>
          <w:rFonts w:cs="Times New Roman"/>
          <w:szCs w:val="22"/>
        </w:rPr>
        <w:t xml:space="preserve"> technology, widely available in Europe and Japan, that uses CO</w:t>
      </w:r>
      <w:r w:rsidRPr="00736C1E">
        <w:rPr>
          <w:rFonts w:cs="Times New Roman"/>
          <w:szCs w:val="22"/>
          <w:vertAlign w:val="subscript"/>
        </w:rPr>
        <w:t>2</w:t>
      </w:r>
      <w:r w:rsidRPr="00736C1E">
        <w:rPr>
          <w:rFonts w:cs="Times New Roman"/>
          <w:szCs w:val="22"/>
        </w:rPr>
        <w:t xml:space="preserve"> refrigerant technology on hot water heat pumps to achieve high efficiencies and lower running costs.</w:t>
      </w:r>
      <w:r w:rsidRPr="00736C1E">
        <w:rPr>
          <w:rStyle w:val="FootnoteReference"/>
          <w:rFonts w:cs="Times New Roman"/>
          <w:szCs w:val="22"/>
        </w:rPr>
        <w:footnoteReference w:id="35"/>
      </w:r>
      <w:r w:rsidRPr="00736C1E">
        <w:rPr>
          <w:rFonts w:cs="Times New Roman"/>
          <w:szCs w:val="22"/>
        </w:rPr>
        <w:t xml:space="preserve"> </w:t>
      </w:r>
    </w:p>
    <w:p w14:paraId="5D0FCA8D" w14:textId="77777777" w:rsidR="00BD5045" w:rsidRPr="00736C1E" w:rsidRDefault="00BD5045" w:rsidP="009A23AA">
      <w:pPr>
        <w:rPr>
          <w:rFonts w:cs="Times New Roman"/>
          <w:szCs w:val="22"/>
        </w:rPr>
      </w:pPr>
      <w:r w:rsidRPr="00736C1E">
        <w:rPr>
          <w:rFonts w:cs="Times New Roman"/>
          <w:szCs w:val="22"/>
        </w:rPr>
        <w:t>In Europe and the US some end users and manufacturers of CO</w:t>
      </w:r>
      <w:r w:rsidRPr="00736C1E">
        <w:rPr>
          <w:rFonts w:cs="Times New Roman"/>
          <w:szCs w:val="22"/>
          <w:vertAlign w:val="subscript"/>
        </w:rPr>
        <w:t>2</w:t>
      </w:r>
      <w:r w:rsidRPr="00736C1E">
        <w:rPr>
          <w:rFonts w:cs="Times New Roman"/>
          <w:szCs w:val="22"/>
        </w:rPr>
        <w:t xml:space="preserve"> equipment are predicting CO</w:t>
      </w:r>
      <w:r w:rsidRPr="00736C1E">
        <w:rPr>
          <w:rFonts w:cs="Times New Roman"/>
          <w:szCs w:val="22"/>
          <w:vertAlign w:val="subscript"/>
        </w:rPr>
        <w:t>2</w:t>
      </w:r>
      <w:r w:rsidRPr="00736C1E">
        <w:rPr>
          <w:rFonts w:cs="Times New Roman"/>
          <w:szCs w:val="22"/>
        </w:rPr>
        <w:t xml:space="preserve"> will increasingly enter the industrial arena and are expecting ammonia systems to face increased competition from CO</w:t>
      </w:r>
      <w:r w:rsidRPr="00736C1E">
        <w:rPr>
          <w:rFonts w:cs="Times New Roman"/>
          <w:szCs w:val="22"/>
          <w:vertAlign w:val="subscript"/>
        </w:rPr>
        <w:t>2</w:t>
      </w:r>
      <w:r w:rsidRPr="00736C1E">
        <w:rPr>
          <w:rFonts w:cs="Times New Roman"/>
          <w:szCs w:val="22"/>
        </w:rPr>
        <w:t xml:space="preserve"> trans-critical systems in the industrial sphere, while foreseeing strong growth in ammonia heat pumps (i.e. low-charge packaged ammonia systems).</w:t>
      </w:r>
      <w:r w:rsidRPr="00736C1E">
        <w:rPr>
          <w:rStyle w:val="FootnoteReference"/>
          <w:rFonts w:cs="Times New Roman"/>
          <w:szCs w:val="22"/>
        </w:rPr>
        <w:footnoteReference w:id="36"/>
      </w:r>
      <w:r w:rsidRPr="00736C1E">
        <w:rPr>
          <w:rFonts w:cs="Times New Roman"/>
          <w:szCs w:val="22"/>
        </w:rPr>
        <w:t xml:space="preserve"> </w:t>
      </w:r>
    </w:p>
    <w:p w14:paraId="41DA6E72" w14:textId="78119264" w:rsidR="00BD5045" w:rsidRPr="00736C1E" w:rsidRDefault="00BD5045" w:rsidP="009A23AA">
      <w:pPr>
        <w:rPr>
          <w:rFonts w:cs="Times New Roman"/>
          <w:szCs w:val="22"/>
        </w:rPr>
      </w:pPr>
      <w:r w:rsidRPr="00736C1E">
        <w:rPr>
          <w:rFonts w:cs="Times New Roman"/>
          <w:szCs w:val="22"/>
        </w:rPr>
        <w:t xml:space="preserve">Recent innovations developed by equipment suppliers include demonstrations of micro-cascade air-cooled condensing units available in capacities from as small as 2.5 </w:t>
      </w:r>
      <w:proofErr w:type="spellStart"/>
      <w:r w:rsidRPr="00736C1E">
        <w:rPr>
          <w:rFonts w:cs="Times New Roman"/>
          <w:szCs w:val="22"/>
        </w:rPr>
        <w:t>kWr</w:t>
      </w:r>
      <w:proofErr w:type="spellEnd"/>
      <w:r w:rsidRPr="00736C1E">
        <w:rPr>
          <w:rFonts w:cs="Times New Roman"/>
          <w:szCs w:val="22"/>
        </w:rPr>
        <w:t xml:space="preserve"> and upwards. These units offer hybrid refrigeration (HFC-134a/CO</w:t>
      </w:r>
      <w:r w:rsidRPr="00736C1E">
        <w:rPr>
          <w:rFonts w:cs="Times New Roman"/>
          <w:szCs w:val="22"/>
          <w:vertAlign w:val="subscript"/>
        </w:rPr>
        <w:t>2</w:t>
      </w:r>
      <w:r w:rsidRPr="00736C1E">
        <w:rPr>
          <w:rFonts w:cs="Times New Roman"/>
          <w:szCs w:val="22"/>
        </w:rPr>
        <w:t xml:space="preserve">) systems for use in smaller sites and have potential for application across a broad range of commercial refrigeration applications. </w:t>
      </w:r>
    </w:p>
    <w:p w14:paraId="73CBE27A" w14:textId="77777777" w:rsidR="00BD5045" w:rsidRPr="00736C1E" w:rsidRDefault="00BD5045" w:rsidP="009A23AA">
      <w:pPr>
        <w:rPr>
          <w:rFonts w:cs="Times New Roman"/>
          <w:szCs w:val="22"/>
        </w:rPr>
      </w:pPr>
    </w:p>
    <w:p w14:paraId="6FBC6511" w14:textId="77777777" w:rsidR="00BD5045" w:rsidRPr="00263A62" w:rsidRDefault="00BD5045" w:rsidP="009A23AA">
      <w:pPr>
        <w:pStyle w:val="Heading2"/>
        <w:jc w:val="both"/>
      </w:pPr>
      <w:bookmarkStart w:id="145" w:name="_Toc525141282"/>
      <w:bookmarkStart w:id="146" w:name="_Toc19601318"/>
      <w:r>
        <w:t>Hydrocarbon refrigerant</w:t>
      </w:r>
      <w:bookmarkEnd w:id="145"/>
      <w:bookmarkEnd w:id="146"/>
    </w:p>
    <w:p w14:paraId="297E3C08" w14:textId="77777777" w:rsidR="00BD5045" w:rsidRDefault="00BD5045" w:rsidP="009A23AA">
      <w:pPr>
        <w:rPr>
          <w:rFonts w:cs="Times New Roman"/>
          <w:szCs w:val="22"/>
        </w:rPr>
      </w:pPr>
      <w:r w:rsidRPr="00263A62">
        <w:rPr>
          <w:rFonts w:cs="Times New Roman"/>
          <w:szCs w:val="22"/>
        </w:rPr>
        <w:t xml:space="preserve">The majority of hydrocarbons are employed in </w:t>
      </w:r>
      <w:r>
        <w:rPr>
          <w:rFonts w:cs="Times New Roman"/>
          <w:szCs w:val="22"/>
        </w:rPr>
        <w:t xml:space="preserve">very </w:t>
      </w:r>
      <w:r w:rsidRPr="00263A62">
        <w:rPr>
          <w:rFonts w:cs="Times New Roman"/>
          <w:szCs w:val="22"/>
        </w:rPr>
        <w:t>small charge systems such as domestic refrigerators</w:t>
      </w:r>
      <w:r>
        <w:rPr>
          <w:rFonts w:cs="Times New Roman"/>
          <w:szCs w:val="22"/>
        </w:rPr>
        <w:t xml:space="preserve">, self-contained commercial refrigeration equipment, hot water heat pumps and retrofitted </w:t>
      </w:r>
      <w:r w:rsidRPr="00263A62">
        <w:rPr>
          <w:rFonts w:cs="Times New Roman"/>
          <w:szCs w:val="22"/>
        </w:rPr>
        <w:t xml:space="preserve">automotive systems. </w:t>
      </w:r>
    </w:p>
    <w:p w14:paraId="6AD1C650" w14:textId="4154B60C" w:rsidR="00BD5045" w:rsidRDefault="00BD5045" w:rsidP="009A23AA">
      <w:pPr>
        <w:rPr>
          <w:szCs w:val="22"/>
        </w:rPr>
      </w:pPr>
      <w:r>
        <w:rPr>
          <w:szCs w:val="22"/>
        </w:rPr>
        <w:t xml:space="preserve">The growth of hydrocarbon charged domestic refrigerators and freezers in the stock has accelerated dramatically since 2012, with around </w:t>
      </w:r>
      <w:r w:rsidR="002723ED">
        <w:rPr>
          <w:szCs w:val="22"/>
        </w:rPr>
        <w:t>6.8</w:t>
      </w:r>
      <w:r w:rsidRPr="00747B68">
        <w:rPr>
          <w:szCs w:val="22"/>
        </w:rPr>
        <w:t xml:space="preserve"> million devices (~</w:t>
      </w:r>
      <w:r>
        <w:rPr>
          <w:szCs w:val="22"/>
        </w:rPr>
        <w:t>3</w:t>
      </w:r>
      <w:r w:rsidR="002723ED">
        <w:rPr>
          <w:szCs w:val="22"/>
        </w:rPr>
        <w:t>5</w:t>
      </w:r>
      <w:r w:rsidRPr="00747B68">
        <w:rPr>
          <w:szCs w:val="22"/>
        </w:rPr>
        <w:t>%</w:t>
      </w:r>
      <w:r w:rsidR="002723ED">
        <w:rPr>
          <w:szCs w:val="22"/>
        </w:rPr>
        <w:t xml:space="preserve"> by units and 22% by mass</w:t>
      </w:r>
      <w:r w:rsidRPr="00747B68">
        <w:rPr>
          <w:szCs w:val="22"/>
        </w:rPr>
        <w:t>) containing HC-600a in 201</w:t>
      </w:r>
      <w:r>
        <w:rPr>
          <w:szCs w:val="22"/>
        </w:rPr>
        <w:t>8</w:t>
      </w:r>
      <w:r w:rsidRPr="00747B68">
        <w:rPr>
          <w:szCs w:val="22"/>
        </w:rPr>
        <w:t xml:space="preserve"> (</w:t>
      </w:r>
      <w:r w:rsidRPr="00747B68">
        <w:rPr>
          <w:i/>
          <w:szCs w:val="22"/>
        </w:rPr>
        <w:t>CHF</w:t>
      </w:r>
      <w:r>
        <w:rPr>
          <w:i/>
          <w:szCs w:val="22"/>
        </w:rPr>
        <w:t>3 2016</w:t>
      </w:r>
      <w:r w:rsidRPr="00747B68">
        <w:rPr>
          <w:i/>
          <w:szCs w:val="22"/>
        </w:rPr>
        <w:t xml:space="preserve">, </w:t>
      </w:r>
      <w:r>
        <w:rPr>
          <w:i/>
          <w:szCs w:val="22"/>
        </w:rPr>
        <w:t>4.7 </w:t>
      </w:r>
      <w:r w:rsidRPr="00747B68">
        <w:rPr>
          <w:i/>
          <w:szCs w:val="22"/>
        </w:rPr>
        <w:t>million, ~</w:t>
      </w:r>
      <w:r>
        <w:rPr>
          <w:i/>
          <w:szCs w:val="22"/>
        </w:rPr>
        <w:t>24</w:t>
      </w:r>
      <w:r w:rsidRPr="00747B68">
        <w:rPr>
          <w:i/>
          <w:szCs w:val="22"/>
        </w:rPr>
        <w:t>%</w:t>
      </w:r>
      <w:r w:rsidRPr="00747B68">
        <w:rPr>
          <w:szCs w:val="22"/>
        </w:rPr>
        <w:t>)</w:t>
      </w:r>
      <w:r>
        <w:rPr>
          <w:szCs w:val="22"/>
        </w:rPr>
        <w:t xml:space="preserve">.  </w:t>
      </w:r>
    </w:p>
    <w:p w14:paraId="0CB1C8E0" w14:textId="77777777" w:rsidR="00BD5045" w:rsidRDefault="00BD5045" w:rsidP="009A23AA">
      <w:pPr>
        <w:rPr>
          <w:szCs w:val="22"/>
        </w:rPr>
      </w:pPr>
      <w:r w:rsidRPr="00263A62">
        <w:rPr>
          <w:rFonts w:cs="Times New Roman"/>
          <w:szCs w:val="22"/>
        </w:rPr>
        <w:t>A small survey of 66 fridge-freezers in a large retail outlet was undertaken at the end of 201</w:t>
      </w:r>
      <w:r>
        <w:rPr>
          <w:rFonts w:cs="Times New Roman"/>
          <w:szCs w:val="22"/>
        </w:rPr>
        <w:t>0</w:t>
      </w:r>
      <w:r w:rsidRPr="00263A62">
        <w:rPr>
          <w:rFonts w:cs="Times New Roman"/>
          <w:szCs w:val="22"/>
        </w:rPr>
        <w:t>. Fifty-one products were found to contain HFC-134a</w:t>
      </w:r>
      <w:r>
        <w:rPr>
          <w:rFonts w:cs="Times New Roman"/>
          <w:szCs w:val="22"/>
        </w:rPr>
        <w:t xml:space="preserve"> and f</w:t>
      </w:r>
      <w:r w:rsidRPr="00263A62">
        <w:rPr>
          <w:rFonts w:cs="Times New Roman"/>
          <w:szCs w:val="22"/>
        </w:rPr>
        <w:t>ifteen products (29</w:t>
      </w:r>
      <w:r>
        <w:rPr>
          <w:rFonts w:cs="Times New Roman"/>
          <w:szCs w:val="22"/>
        </w:rPr>
        <w:t>%</w:t>
      </w:r>
      <w:r w:rsidRPr="00263A62">
        <w:rPr>
          <w:rFonts w:cs="Times New Roman"/>
          <w:szCs w:val="22"/>
        </w:rPr>
        <w:t>) contained HC-600a.</w:t>
      </w:r>
      <w:r>
        <w:rPr>
          <w:rFonts w:cs="Times New Roman"/>
          <w:szCs w:val="22"/>
        </w:rPr>
        <w:t xml:space="preserve"> Follow up surveys </w:t>
      </w:r>
      <w:r>
        <w:rPr>
          <w:szCs w:val="22"/>
        </w:rPr>
        <w:t>conducted in the same outlet in July 2017 found 117 models out of 123 inspected</w:t>
      </w:r>
      <w:r w:rsidRPr="00621489">
        <w:rPr>
          <w:szCs w:val="22"/>
        </w:rPr>
        <w:t xml:space="preserve"> </w:t>
      </w:r>
      <w:r>
        <w:rPr>
          <w:szCs w:val="22"/>
        </w:rPr>
        <w:t xml:space="preserve">(&gt;95%) were charged with </w:t>
      </w:r>
      <w:r w:rsidRPr="00263A62">
        <w:rPr>
          <w:rFonts w:cs="Times New Roman"/>
          <w:szCs w:val="22"/>
        </w:rPr>
        <w:t>HC-600a</w:t>
      </w:r>
      <w:r w:rsidRPr="00621489">
        <w:rPr>
          <w:szCs w:val="22"/>
        </w:rPr>
        <w:t xml:space="preserve">. </w:t>
      </w:r>
      <w:r>
        <w:rPr>
          <w:szCs w:val="22"/>
        </w:rPr>
        <w:t>A recent survey was conducted in February 2019 found 106 models out of 107 inspected (&gt;99%) charged with HC-600a, confirming the transition of domestic refrigerators from HFC-134a to HC-600a is now complete.</w:t>
      </w:r>
    </w:p>
    <w:p w14:paraId="1B73FCBD" w14:textId="3CC411C9" w:rsidR="00BD5045" w:rsidRDefault="00BD5045" w:rsidP="009A23AA">
      <w:pPr>
        <w:rPr>
          <w:rFonts w:cs="Times New Roman"/>
          <w:szCs w:val="22"/>
        </w:rPr>
      </w:pPr>
      <w:r w:rsidRPr="009058C2">
        <w:rPr>
          <w:rFonts w:cs="Times New Roman"/>
          <w:szCs w:val="22"/>
        </w:rPr>
        <w:t>The use of hydrocarbons (HC-600a and HC-290) is now also firmly established as an option for buyers of small commercial refrigeration equipment in Australia.</w:t>
      </w:r>
      <w:r w:rsidRPr="00736C1E">
        <w:rPr>
          <w:rFonts w:cs="Times New Roman"/>
          <w:szCs w:val="22"/>
        </w:rPr>
        <w:t xml:space="preserve"> </w:t>
      </w:r>
      <w:r>
        <w:rPr>
          <w:rFonts w:cs="Times New Roman"/>
          <w:szCs w:val="22"/>
        </w:rPr>
        <w:t>S</w:t>
      </w:r>
      <w:r w:rsidRPr="00736C1E">
        <w:rPr>
          <w:rFonts w:cs="Times New Roman"/>
          <w:szCs w:val="22"/>
        </w:rPr>
        <w:t>maller self-contained commercial refrigeration equipment is the</w:t>
      </w:r>
      <w:r>
        <w:rPr>
          <w:rFonts w:cs="Times New Roman"/>
          <w:szCs w:val="22"/>
        </w:rPr>
        <w:t xml:space="preserve"> </w:t>
      </w:r>
      <w:r w:rsidRPr="00736C1E">
        <w:rPr>
          <w:rFonts w:cs="Times New Roman"/>
          <w:szCs w:val="22"/>
        </w:rPr>
        <w:t xml:space="preserve">leader in this trend with sales of new HC charged equipment in this category </w:t>
      </w:r>
      <w:r>
        <w:rPr>
          <w:rFonts w:cs="Times New Roman"/>
          <w:szCs w:val="22"/>
        </w:rPr>
        <w:t xml:space="preserve">reaching </w:t>
      </w:r>
      <w:r w:rsidRPr="00736C1E">
        <w:rPr>
          <w:rFonts w:cs="Times New Roman"/>
          <w:szCs w:val="22"/>
        </w:rPr>
        <w:t xml:space="preserve">nearly </w:t>
      </w:r>
      <w:r w:rsidRPr="002723ED">
        <w:rPr>
          <w:rFonts w:cs="Times New Roman"/>
          <w:szCs w:val="22"/>
        </w:rPr>
        <w:t>30,000 units in 2018</w:t>
      </w:r>
      <w:r w:rsidR="00237440">
        <w:rPr>
          <w:rFonts w:cs="Times New Roman"/>
          <w:szCs w:val="22"/>
        </w:rPr>
        <w:t>,</w:t>
      </w:r>
      <w:r w:rsidRPr="00736C1E">
        <w:rPr>
          <w:rFonts w:cs="Times New Roman"/>
          <w:szCs w:val="22"/>
        </w:rPr>
        <w:t xml:space="preserve"> compared to</w:t>
      </w:r>
      <w:r w:rsidR="00237440">
        <w:rPr>
          <w:rFonts w:cs="Times New Roman"/>
          <w:szCs w:val="22"/>
        </w:rPr>
        <w:t xml:space="preserve"> </w:t>
      </w:r>
      <w:r>
        <w:rPr>
          <w:rFonts w:cs="Times New Roman"/>
          <w:szCs w:val="22"/>
        </w:rPr>
        <w:t>und</w:t>
      </w:r>
      <w:r w:rsidR="00237440">
        <w:rPr>
          <w:rFonts w:cs="Times New Roman"/>
          <w:szCs w:val="22"/>
        </w:rPr>
        <w:t xml:space="preserve">er </w:t>
      </w:r>
      <w:r>
        <w:rPr>
          <w:rFonts w:cs="Times New Roman"/>
          <w:szCs w:val="22"/>
        </w:rPr>
        <w:t>1,000</w:t>
      </w:r>
      <w:r w:rsidRPr="00736C1E">
        <w:rPr>
          <w:rFonts w:cs="Times New Roman"/>
          <w:szCs w:val="22"/>
        </w:rPr>
        <w:t xml:space="preserve"> units in 2012. The range of HC charged commercial refrigeration equipment being sold includes upright and horizontal freezer cabinets, refrigerated retail display cabinets, wine coolers and ice cream merchandisers. </w:t>
      </w:r>
    </w:p>
    <w:p w14:paraId="4BB39D73" w14:textId="10266D55" w:rsidR="00BD5045" w:rsidRDefault="00BD5045" w:rsidP="009A23AA">
      <w:pPr>
        <w:rPr>
          <w:rFonts w:cs="Times New Roman"/>
          <w:szCs w:val="22"/>
        </w:rPr>
      </w:pPr>
      <w:r w:rsidRPr="00736C1E">
        <w:rPr>
          <w:rFonts w:cs="Times New Roman"/>
          <w:szCs w:val="22"/>
        </w:rPr>
        <w:t xml:space="preserve">Self-contained refrigeration display cabinets containing small charges of hydrocarbon refrigerant can now be found in the majority of the </w:t>
      </w:r>
      <w:r>
        <w:rPr>
          <w:rFonts w:cs="Times New Roman"/>
          <w:szCs w:val="22"/>
        </w:rPr>
        <w:t>524</w:t>
      </w:r>
      <w:r w:rsidRPr="00736C1E">
        <w:rPr>
          <w:rFonts w:cs="Times New Roman"/>
          <w:szCs w:val="22"/>
        </w:rPr>
        <w:t xml:space="preserve"> Aldi supermarkets</w:t>
      </w:r>
      <w:r w:rsidRPr="00736C1E">
        <w:rPr>
          <w:rStyle w:val="FootnoteReference"/>
          <w:rFonts w:cs="Times New Roman"/>
          <w:szCs w:val="22"/>
        </w:rPr>
        <w:footnoteReference w:id="37"/>
      </w:r>
      <w:r w:rsidRPr="00736C1E">
        <w:rPr>
          <w:rFonts w:cs="Times New Roman"/>
          <w:szCs w:val="22"/>
        </w:rPr>
        <w:t xml:space="preserve"> (up to 36 individual cases per store with a charge equal to or less than 150 grams in each case) currently operating in Australia. </w:t>
      </w:r>
      <w:r w:rsidRPr="009058C2">
        <w:rPr>
          <w:rFonts w:cs="Times New Roman"/>
          <w:szCs w:val="22"/>
        </w:rPr>
        <w:t xml:space="preserve">This trend is expected to </w:t>
      </w:r>
      <w:r>
        <w:rPr>
          <w:rFonts w:cs="Times New Roman"/>
          <w:szCs w:val="22"/>
        </w:rPr>
        <w:t xml:space="preserve">accelerate </w:t>
      </w:r>
      <w:r w:rsidRPr="009058C2">
        <w:rPr>
          <w:rFonts w:cs="Times New Roman"/>
          <w:szCs w:val="22"/>
        </w:rPr>
        <w:t>rapidly</w:t>
      </w:r>
      <w:r w:rsidR="00A42E3E">
        <w:rPr>
          <w:rFonts w:cs="Times New Roman"/>
          <w:szCs w:val="22"/>
        </w:rPr>
        <w:t xml:space="preserve"> in this product range, including hydrocarbon charged </w:t>
      </w:r>
      <w:r w:rsidR="00A42E3E" w:rsidRPr="009058C2">
        <w:rPr>
          <w:rFonts w:cs="Times New Roman"/>
          <w:szCs w:val="22"/>
        </w:rPr>
        <w:t>refrigerated display and storage cabinets, and food catering equipment</w:t>
      </w:r>
      <w:r w:rsidR="00A42E3E">
        <w:rPr>
          <w:rFonts w:cs="Times New Roman"/>
          <w:szCs w:val="22"/>
        </w:rPr>
        <w:t xml:space="preserve"> </w:t>
      </w:r>
      <w:r w:rsidR="00A42E3E" w:rsidRPr="009058C2">
        <w:rPr>
          <w:rFonts w:cs="Times New Roman"/>
          <w:szCs w:val="22"/>
        </w:rPr>
        <w:t xml:space="preserve">(e.g. </w:t>
      </w:r>
      <w:proofErr w:type="spellStart"/>
      <w:r w:rsidR="00A42E3E" w:rsidRPr="009058C2">
        <w:rPr>
          <w:rFonts w:cs="Times New Roman"/>
          <w:szCs w:val="22"/>
        </w:rPr>
        <w:t>Skope</w:t>
      </w:r>
      <w:proofErr w:type="spellEnd"/>
      <w:r w:rsidR="00A42E3E" w:rsidRPr="009058C2">
        <w:rPr>
          <w:rFonts w:cs="Times New Roman"/>
          <w:szCs w:val="22"/>
        </w:rPr>
        <w:t xml:space="preserve"> Industries).</w:t>
      </w:r>
      <w:r w:rsidR="00A42E3E">
        <w:rPr>
          <w:rFonts w:cs="Times New Roman"/>
          <w:szCs w:val="22"/>
        </w:rPr>
        <w:t xml:space="preserve"> Product development may be driven by the </w:t>
      </w:r>
      <w:r w:rsidR="00A42E3E" w:rsidRPr="009058C2">
        <w:rPr>
          <w:rFonts w:cs="Times New Roman"/>
          <w:szCs w:val="22"/>
        </w:rPr>
        <w:t xml:space="preserve">influence of the </w:t>
      </w:r>
      <w:r w:rsidR="00A42E3E">
        <w:rPr>
          <w:rFonts w:cs="Times New Roman"/>
          <w:szCs w:val="22"/>
        </w:rPr>
        <w:t>rapid</w:t>
      </w:r>
      <w:r w:rsidR="00A42E3E" w:rsidRPr="009058C2">
        <w:rPr>
          <w:rFonts w:cs="Times New Roman"/>
          <w:szCs w:val="22"/>
        </w:rPr>
        <w:t xml:space="preserve"> HFC phase down in the EU</w:t>
      </w:r>
      <w:r w:rsidR="00A42E3E">
        <w:rPr>
          <w:rFonts w:cs="Times New Roman"/>
          <w:szCs w:val="22"/>
        </w:rPr>
        <w:t>,</w:t>
      </w:r>
      <w:r w:rsidR="00A42E3E" w:rsidRPr="00A42E3E">
        <w:rPr>
          <w:rFonts w:cs="Times New Roman"/>
          <w:szCs w:val="22"/>
        </w:rPr>
        <w:t xml:space="preserve"> </w:t>
      </w:r>
      <w:r w:rsidR="00A42E3E">
        <w:rPr>
          <w:rFonts w:cs="Times New Roman"/>
          <w:szCs w:val="22"/>
        </w:rPr>
        <w:t>and</w:t>
      </w:r>
      <w:r w:rsidR="00A42E3E" w:rsidRPr="009058C2">
        <w:rPr>
          <w:rFonts w:cs="Times New Roman"/>
          <w:szCs w:val="22"/>
        </w:rPr>
        <w:t xml:space="preserve"> </w:t>
      </w:r>
      <w:r w:rsidR="006A0ECC">
        <w:rPr>
          <w:rFonts w:cs="Times New Roman"/>
          <w:szCs w:val="22"/>
        </w:rPr>
        <w:t>retailers</w:t>
      </w:r>
      <w:r w:rsidR="00A42E3E" w:rsidRPr="009058C2">
        <w:rPr>
          <w:rFonts w:cs="Times New Roman"/>
          <w:szCs w:val="22"/>
        </w:rPr>
        <w:t xml:space="preserve"> seeking higher </w:t>
      </w:r>
      <w:r w:rsidR="00A42E3E">
        <w:rPr>
          <w:rFonts w:cs="Times New Roman"/>
          <w:szCs w:val="22"/>
        </w:rPr>
        <w:t xml:space="preserve">energy </w:t>
      </w:r>
      <w:r w:rsidR="00A42E3E" w:rsidRPr="009058C2">
        <w:rPr>
          <w:rFonts w:cs="Times New Roman"/>
          <w:szCs w:val="22"/>
        </w:rPr>
        <w:t>efficiencies</w:t>
      </w:r>
      <w:r w:rsidR="00A42E3E">
        <w:rPr>
          <w:rFonts w:cs="Times New Roman"/>
          <w:szCs w:val="22"/>
        </w:rPr>
        <w:t xml:space="preserve"> in these product ranges</w:t>
      </w:r>
      <w:r w:rsidR="006A0ECC">
        <w:rPr>
          <w:rFonts w:cs="Times New Roman"/>
          <w:szCs w:val="22"/>
        </w:rPr>
        <w:t>.</w:t>
      </w:r>
    </w:p>
    <w:p w14:paraId="44AC26DC" w14:textId="2D3D1618" w:rsidR="00BD5045" w:rsidRPr="00B86370" w:rsidRDefault="00DB490F" w:rsidP="009A23AA">
      <w:pPr>
        <w:pStyle w:val="PlainText"/>
        <w:spacing w:before="120"/>
        <w:jc w:val="both"/>
        <w:rPr>
          <w:rFonts w:ascii="Times New Roman" w:eastAsiaTheme="minorEastAsia" w:hAnsi="Times New Roman" w:cs="Times New Roman"/>
          <w:szCs w:val="22"/>
          <w:lang w:val="en-GB"/>
        </w:rPr>
      </w:pPr>
      <w:r>
        <w:rPr>
          <w:rFonts w:ascii="Times New Roman" w:eastAsiaTheme="minorEastAsia" w:hAnsi="Times New Roman" w:cs="Times New Roman"/>
          <w:szCs w:val="22"/>
          <w:lang w:val="en-GB"/>
        </w:rPr>
        <w:t>T</w:t>
      </w:r>
      <w:r w:rsidR="00BD5045">
        <w:rPr>
          <w:rFonts w:ascii="Times New Roman" w:eastAsiaTheme="minorEastAsia" w:hAnsi="Times New Roman" w:cs="Times New Roman"/>
          <w:szCs w:val="22"/>
          <w:lang w:val="en-GB"/>
        </w:rPr>
        <w:t xml:space="preserve">he </w:t>
      </w:r>
      <w:r w:rsidR="00BD5045" w:rsidRPr="00B86370">
        <w:rPr>
          <w:rFonts w:ascii="Times New Roman" w:eastAsiaTheme="minorEastAsia" w:hAnsi="Times New Roman" w:cs="Times New Roman"/>
          <w:szCs w:val="22"/>
          <w:lang w:val="en-GB"/>
        </w:rPr>
        <w:t xml:space="preserve">Queensland Government Department of Mines and Energy </w:t>
      </w:r>
      <w:r>
        <w:rPr>
          <w:rFonts w:ascii="Times New Roman" w:eastAsiaTheme="minorEastAsia" w:hAnsi="Times New Roman" w:cs="Times New Roman"/>
          <w:szCs w:val="22"/>
          <w:lang w:val="en-GB"/>
        </w:rPr>
        <w:t>r</w:t>
      </w:r>
      <w:r w:rsidR="00BD5045" w:rsidRPr="00B86370">
        <w:rPr>
          <w:rFonts w:ascii="Times New Roman" w:eastAsiaTheme="minorEastAsia" w:hAnsi="Times New Roman" w:cs="Times New Roman"/>
          <w:szCs w:val="22"/>
          <w:lang w:val="en-GB"/>
        </w:rPr>
        <w:t>egister of approved hydrocarbon refrigerant appliances</w:t>
      </w:r>
      <w:r w:rsidRPr="00DB490F">
        <w:rPr>
          <w:rFonts w:ascii="Times New Roman" w:eastAsiaTheme="minorEastAsia" w:hAnsi="Times New Roman" w:cs="Times New Roman"/>
          <w:szCs w:val="22"/>
          <w:lang w:val="en-GB"/>
        </w:rPr>
        <w:t xml:space="preserve"> </w:t>
      </w:r>
      <w:r>
        <w:rPr>
          <w:rFonts w:ascii="Times New Roman" w:eastAsiaTheme="minorEastAsia" w:hAnsi="Times New Roman" w:cs="Times New Roman"/>
          <w:szCs w:val="22"/>
          <w:lang w:val="en-GB"/>
        </w:rPr>
        <w:t>illustrates the rate of increase of HC charged systems</w:t>
      </w:r>
      <w:r w:rsidR="00BD5045" w:rsidRPr="00B86370">
        <w:rPr>
          <w:rFonts w:ascii="Times New Roman" w:eastAsiaTheme="minorEastAsia" w:hAnsi="Times New Roman" w:cs="Times New Roman"/>
          <w:szCs w:val="22"/>
          <w:lang w:val="en-GB"/>
        </w:rPr>
        <w:t xml:space="preserve">. In recent years the number of appliances registered has grown significantly to more than 2,000 models covering domestic refrigerators and freezers, bar refrigerators, laboratory freezers, wine coolers, refrigerated display cases and storage cabinets, hot water heat pumps and portable air conditioners (De </w:t>
      </w:r>
      <w:proofErr w:type="spellStart"/>
      <w:r w:rsidR="00BD5045" w:rsidRPr="00B86370">
        <w:rPr>
          <w:rFonts w:ascii="Times New Roman" w:eastAsiaTheme="minorEastAsia" w:hAnsi="Times New Roman" w:cs="Times New Roman"/>
          <w:szCs w:val="22"/>
          <w:lang w:val="en-GB"/>
        </w:rPr>
        <w:t>Longhi</w:t>
      </w:r>
      <w:proofErr w:type="spellEnd"/>
      <w:r w:rsidR="00BD5045" w:rsidRPr="00B86370">
        <w:rPr>
          <w:rFonts w:ascii="Times New Roman" w:eastAsiaTheme="minorEastAsia" w:hAnsi="Times New Roman" w:cs="Times New Roman"/>
          <w:szCs w:val="22"/>
          <w:lang w:val="en-GB"/>
        </w:rPr>
        <w:t>). There are no split system air conditioners registered (QGDME 2019).</w:t>
      </w:r>
    </w:p>
    <w:p w14:paraId="1B5B96D9" w14:textId="675065BC" w:rsidR="00BD5045" w:rsidRDefault="00BD5045" w:rsidP="009A23AA">
      <w:pPr>
        <w:rPr>
          <w:rFonts w:cs="Times New Roman"/>
          <w:szCs w:val="22"/>
        </w:rPr>
      </w:pPr>
      <w:r w:rsidRPr="00736C1E">
        <w:rPr>
          <w:rFonts w:cs="Times New Roman"/>
          <w:szCs w:val="22"/>
        </w:rPr>
        <w:t xml:space="preserve">Even with this rapid growth in </w:t>
      </w:r>
      <w:r>
        <w:rPr>
          <w:rFonts w:cs="Times New Roman"/>
          <w:szCs w:val="22"/>
        </w:rPr>
        <w:t xml:space="preserve">HC charged </w:t>
      </w:r>
      <w:r w:rsidRPr="00736C1E">
        <w:rPr>
          <w:rFonts w:cs="Times New Roman"/>
          <w:szCs w:val="22"/>
        </w:rPr>
        <w:t xml:space="preserve">refrigeration equipment, the high efficiency of the refrigerant and the </w:t>
      </w:r>
      <w:r>
        <w:rPr>
          <w:rFonts w:cs="Times New Roman"/>
          <w:szCs w:val="22"/>
        </w:rPr>
        <w:t xml:space="preserve">very </w:t>
      </w:r>
      <w:r w:rsidRPr="00736C1E">
        <w:rPr>
          <w:rFonts w:cs="Times New Roman"/>
          <w:szCs w:val="22"/>
        </w:rPr>
        <w:t>small charge sizes</w:t>
      </w:r>
      <w:r>
        <w:rPr>
          <w:rFonts w:cs="Times New Roman"/>
          <w:szCs w:val="22"/>
        </w:rPr>
        <w:t xml:space="preserve"> required per individual system</w:t>
      </w:r>
      <w:r w:rsidR="00C546B6">
        <w:rPr>
          <w:rFonts w:cs="Times New Roman"/>
          <w:szCs w:val="22"/>
        </w:rPr>
        <w:t>,</w:t>
      </w:r>
      <w:r w:rsidRPr="00736C1E">
        <w:rPr>
          <w:rFonts w:cs="Times New Roman"/>
          <w:szCs w:val="22"/>
        </w:rPr>
        <w:t xml:space="preserve"> </w:t>
      </w:r>
      <w:r w:rsidR="00C546B6">
        <w:rPr>
          <w:rFonts w:cs="Times New Roman"/>
          <w:szCs w:val="22"/>
        </w:rPr>
        <w:t>the</w:t>
      </w:r>
      <w:r w:rsidRPr="00736C1E">
        <w:rPr>
          <w:rFonts w:cs="Times New Roman"/>
          <w:szCs w:val="22"/>
        </w:rPr>
        <w:t xml:space="preserve"> 2018 estimate of the bank of HC employed in commercial refrigeration </w:t>
      </w:r>
      <w:r w:rsidR="00C546B6">
        <w:rPr>
          <w:rFonts w:cs="Times New Roman"/>
          <w:szCs w:val="22"/>
        </w:rPr>
        <w:t>is</w:t>
      </w:r>
      <w:r w:rsidRPr="00736C1E">
        <w:rPr>
          <w:rFonts w:cs="Times New Roman"/>
          <w:szCs w:val="22"/>
        </w:rPr>
        <w:t xml:space="preserve"> just </w:t>
      </w:r>
      <w:r>
        <w:rPr>
          <w:rFonts w:cs="Times New Roman"/>
          <w:szCs w:val="22"/>
        </w:rPr>
        <w:t>24</w:t>
      </w:r>
      <w:r w:rsidRPr="00736C1E">
        <w:rPr>
          <w:rFonts w:cs="Times New Roman"/>
          <w:szCs w:val="22"/>
        </w:rPr>
        <w:t xml:space="preserve"> tonnes.</w:t>
      </w:r>
    </w:p>
    <w:p w14:paraId="23B6BCE7" w14:textId="125BC4DA" w:rsidR="00BD5045" w:rsidRDefault="00BD5045" w:rsidP="009A23AA">
      <w:pPr>
        <w:rPr>
          <w:rFonts w:cs="Times New Roman"/>
          <w:szCs w:val="22"/>
        </w:rPr>
      </w:pPr>
      <w:r w:rsidRPr="00116773">
        <w:rPr>
          <w:rFonts w:cs="Times New Roman"/>
          <w:szCs w:val="22"/>
        </w:rPr>
        <w:t>The total actual hydrocarbon refrigerant bank is estimated at 670 tonnes</w:t>
      </w:r>
      <w:r w:rsidR="00DB490F">
        <w:rPr>
          <w:rFonts w:cs="Times New Roman"/>
          <w:szCs w:val="22"/>
        </w:rPr>
        <w:t xml:space="preserve">, comprised of </w:t>
      </w:r>
      <w:r w:rsidRPr="00116773">
        <w:rPr>
          <w:rFonts w:cs="Times New Roman"/>
          <w:szCs w:val="22"/>
        </w:rPr>
        <w:t>475 tonnes in Domestic Refrigeration, 165 tonnes in Mobile AC, 24 tonnes in commercial refrigeration, and 7 tonnes in Stationary AC, including hot water heat pumps.</w:t>
      </w:r>
    </w:p>
    <w:p w14:paraId="6C82F6AA" w14:textId="77777777" w:rsidR="00BD5045" w:rsidRPr="00263A62" w:rsidRDefault="00BD5045" w:rsidP="009A23AA">
      <w:pPr>
        <w:rPr>
          <w:rFonts w:cs="Times New Roman"/>
          <w:szCs w:val="22"/>
        </w:rPr>
      </w:pPr>
      <w:r w:rsidRPr="00263A62">
        <w:rPr>
          <w:rFonts w:cs="Times New Roman"/>
          <w:szCs w:val="22"/>
        </w:rPr>
        <w:t xml:space="preserve">A survey of the major suppliers of </w:t>
      </w:r>
      <w:r>
        <w:rPr>
          <w:rFonts w:cs="Times New Roman"/>
          <w:szCs w:val="22"/>
        </w:rPr>
        <w:t xml:space="preserve">hydrocarbon refrigerant </w:t>
      </w:r>
      <w:r w:rsidRPr="00263A62">
        <w:rPr>
          <w:rFonts w:cs="Times New Roman"/>
          <w:szCs w:val="22"/>
        </w:rPr>
        <w:t>from 2014 to 201</w:t>
      </w:r>
      <w:r>
        <w:rPr>
          <w:rFonts w:cs="Times New Roman"/>
          <w:szCs w:val="22"/>
        </w:rPr>
        <w:t>8</w:t>
      </w:r>
      <w:r w:rsidRPr="00263A62">
        <w:rPr>
          <w:rFonts w:cs="Times New Roman"/>
          <w:szCs w:val="22"/>
        </w:rPr>
        <w:t xml:space="preserve"> </w:t>
      </w:r>
      <w:r>
        <w:rPr>
          <w:rFonts w:cs="Times New Roman"/>
          <w:szCs w:val="22"/>
        </w:rPr>
        <w:t xml:space="preserve">shown in </w:t>
      </w:r>
      <w:r w:rsidRPr="00254E0F">
        <w:rPr>
          <w:rFonts w:cs="Times New Roman"/>
          <w:i/>
          <w:szCs w:val="22"/>
        </w:rPr>
        <w:t xml:space="preserve">Table </w:t>
      </w:r>
      <w:r>
        <w:rPr>
          <w:rFonts w:cs="Times New Roman"/>
          <w:i/>
          <w:szCs w:val="22"/>
        </w:rPr>
        <w:t>23</w:t>
      </w:r>
      <w:r>
        <w:rPr>
          <w:rFonts w:cs="Times New Roman"/>
          <w:szCs w:val="22"/>
        </w:rPr>
        <w:t xml:space="preserve"> </w:t>
      </w:r>
      <w:r w:rsidRPr="00263A62">
        <w:rPr>
          <w:rFonts w:cs="Times New Roman"/>
          <w:szCs w:val="22"/>
        </w:rPr>
        <w:t xml:space="preserve">reported an average of </w:t>
      </w:r>
      <w:r>
        <w:rPr>
          <w:rFonts w:cs="Times New Roman"/>
          <w:szCs w:val="22"/>
        </w:rPr>
        <w:t>79</w:t>
      </w:r>
      <w:r w:rsidRPr="00263A62">
        <w:rPr>
          <w:rFonts w:cs="Times New Roman"/>
          <w:szCs w:val="22"/>
        </w:rPr>
        <w:t xml:space="preserve"> tonnes sold annually during those </w:t>
      </w:r>
      <w:r>
        <w:rPr>
          <w:rFonts w:cs="Times New Roman"/>
          <w:szCs w:val="22"/>
        </w:rPr>
        <w:t xml:space="preserve">three </w:t>
      </w:r>
      <w:r w:rsidRPr="00263A62">
        <w:rPr>
          <w:rFonts w:cs="Times New Roman"/>
          <w:szCs w:val="22"/>
        </w:rPr>
        <w:t>years.</w:t>
      </w:r>
      <w:r>
        <w:rPr>
          <w:rFonts w:cs="Times New Roman"/>
          <w:szCs w:val="22"/>
        </w:rPr>
        <w:t xml:space="preserve"> Total bulk HC refrigerant sales have been impacted by two main factors, the closure of the Electrolux domestic refrigerator factory in Orange in April 2016, and the repeal of the carbon tax that resulted in a reversal of the high price of HFC-134a. Following the Electrolux closure, the majority of hydrocarbon refrigerant (&gt;70%) is supplied to the automotive aftermarket sector with around 15% in the Cold Food Chain, and less than 10% into Stationary AC applications including hot water heat pumps. </w:t>
      </w:r>
    </w:p>
    <w:p w14:paraId="773DBFE8" w14:textId="77777777" w:rsidR="00BD5045" w:rsidRPr="00263A62" w:rsidRDefault="00BD5045" w:rsidP="009A23AA">
      <w:pPr>
        <w:rPr>
          <w:rFonts w:cs="Times New Roman"/>
          <w:szCs w:val="22"/>
        </w:rPr>
      </w:pPr>
    </w:p>
    <w:p w14:paraId="16F813B5" w14:textId="1C023F91" w:rsidR="00BD5045" w:rsidRPr="005A6A77" w:rsidRDefault="00BD5045" w:rsidP="009A23AA">
      <w:pPr>
        <w:pStyle w:val="Caption"/>
        <w:keepNext/>
        <w:rPr>
          <w:szCs w:val="22"/>
          <w:lang w:val="en-AU"/>
        </w:rPr>
      </w:pPr>
      <w:bookmarkStart w:id="147" w:name="_Toc525141412"/>
      <w:bookmarkStart w:id="148" w:name="_Toc19601369"/>
      <w:r w:rsidRPr="005A6A77">
        <w:t xml:space="preserve">Table </w:t>
      </w:r>
      <w:r>
        <w:rPr>
          <w:noProof/>
        </w:rPr>
        <w:fldChar w:fldCharType="begin"/>
      </w:r>
      <w:r>
        <w:rPr>
          <w:noProof/>
        </w:rPr>
        <w:instrText xml:space="preserve"> SEQ Table \* ARABIC </w:instrText>
      </w:r>
      <w:r>
        <w:rPr>
          <w:noProof/>
        </w:rPr>
        <w:fldChar w:fldCharType="separate"/>
      </w:r>
      <w:r w:rsidR="001D0DA3">
        <w:rPr>
          <w:noProof/>
        </w:rPr>
        <w:t>17</w:t>
      </w:r>
      <w:r>
        <w:rPr>
          <w:noProof/>
        </w:rPr>
        <w:fldChar w:fldCharType="end"/>
      </w:r>
      <w:r w:rsidRPr="005A6A77">
        <w:t xml:space="preserve">: </w:t>
      </w:r>
      <w:r w:rsidR="0020042A">
        <w:t>H</w:t>
      </w:r>
      <w:proofErr w:type="spellStart"/>
      <w:r w:rsidRPr="005A6A77">
        <w:rPr>
          <w:szCs w:val="22"/>
          <w:lang w:val="en-AU"/>
        </w:rPr>
        <w:t>ydrocarbon</w:t>
      </w:r>
      <w:proofErr w:type="spellEnd"/>
      <w:r w:rsidRPr="005A6A77">
        <w:rPr>
          <w:szCs w:val="22"/>
          <w:lang w:val="en-AU"/>
        </w:rPr>
        <w:t xml:space="preserve"> </w:t>
      </w:r>
      <w:r w:rsidR="0020042A">
        <w:rPr>
          <w:szCs w:val="22"/>
          <w:lang w:val="en-AU"/>
        </w:rPr>
        <w:t xml:space="preserve">refrigerant </w:t>
      </w:r>
      <w:r w:rsidRPr="005A6A77">
        <w:rPr>
          <w:szCs w:val="22"/>
          <w:lang w:val="en-AU"/>
        </w:rPr>
        <w:t>sold by calendar year (tonnes) based on supplier survey.</w:t>
      </w:r>
      <w:bookmarkEnd w:id="147"/>
      <w:bookmarkEnd w:id="148"/>
    </w:p>
    <w:tbl>
      <w:tblPr>
        <w:tblStyle w:val="TableGrid"/>
        <w:tblW w:w="9498" w:type="dxa"/>
        <w:tblInd w:w="-5" w:type="dxa"/>
        <w:tblLook w:val="04A0" w:firstRow="1" w:lastRow="0" w:firstColumn="1" w:lastColumn="0" w:noHBand="0" w:noVBand="1"/>
      </w:tblPr>
      <w:tblGrid>
        <w:gridCol w:w="1899"/>
        <w:gridCol w:w="1900"/>
        <w:gridCol w:w="1899"/>
        <w:gridCol w:w="1900"/>
        <w:gridCol w:w="1900"/>
      </w:tblGrid>
      <w:tr w:rsidR="00BD5045" w:rsidRPr="00D6002F" w14:paraId="388FBD7C" w14:textId="77777777" w:rsidTr="0095284B">
        <w:tc>
          <w:tcPr>
            <w:tcW w:w="1899" w:type="dxa"/>
            <w:tcBorders>
              <w:bottom w:val="single" w:sz="4" w:space="0" w:color="000000"/>
              <w:right w:val="single" w:sz="4" w:space="0" w:color="000000"/>
            </w:tcBorders>
            <w:shd w:val="clear" w:color="auto" w:fill="B6DDE8" w:themeFill="accent5" w:themeFillTint="66"/>
            <w:vAlign w:val="center"/>
          </w:tcPr>
          <w:p w14:paraId="4618B3F0" w14:textId="77777777" w:rsidR="00BD5045" w:rsidRPr="00D6002F" w:rsidRDefault="00BD5045" w:rsidP="00A52215">
            <w:pPr>
              <w:spacing w:after="120"/>
              <w:jc w:val="center"/>
              <w:rPr>
                <w:color w:val="000000" w:themeColor="text1"/>
                <w:szCs w:val="22"/>
                <w:lang w:val="en-AU"/>
              </w:rPr>
            </w:pPr>
            <w:r w:rsidRPr="00D6002F">
              <w:rPr>
                <w:color w:val="000000" w:themeColor="text1"/>
                <w:szCs w:val="22"/>
                <w:lang w:val="en-AU"/>
              </w:rPr>
              <w:t>2014</w:t>
            </w:r>
          </w:p>
        </w:tc>
        <w:tc>
          <w:tcPr>
            <w:tcW w:w="1900" w:type="dxa"/>
            <w:tcBorders>
              <w:left w:val="single" w:sz="4" w:space="0" w:color="000000"/>
              <w:bottom w:val="single" w:sz="4" w:space="0" w:color="000000"/>
              <w:right w:val="single" w:sz="4" w:space="0" w:color="000000"/>
            </w:tcBorders>
            <w:shd w:val="clear" w:color="auto" w:fill="B6DDE8" w:themeFill="accent5" w:themeFillTint="66"/>
            <w:vAlign w:val="center"/>
          </w:tcPr>
          <w:p w14:paraId="3CBBC5F8" w14:textId="77777777" w:rsidR="00BD5045" w:rsidRPr="00D6002F" w:rsidRDefault="00BD5045" w:rsidP="00A52215">
            <w:pPr>
              <w:spacing w:after="120"/>
              <w:jc w:val="center"/>
              <w:rPr>
                <w:color w:val="000000" w:themeColor="text1"/>
                <w:szCs w:val="22"/>
                <w:lang w:val="en-AU"/>
              </w:rPr>
            </w:pPr>
            <w:r w:rsidRPr="00D6002F">
              <w:rPr>
                <w:color w:val="000000" w:themeColor="text1"/>
                <w:szCs w:val="22"/>
                <w:lang w:val="en-AU"/>
              </w:rPr>
              <w:t>2015</w:t>
            </w:r>
          </w:p>
        </w:tc>
        <w:tc>
          <w:tcPr>
            <w:tcW w:w="1899" w:type="dxa"/>
            <w:tcBorders>
              <w:left w:val="single" w:sz="4" w:space="0" w:color="000000"/>
              <w:bottom w:val="single" w:sz="4" w:space="0" w:color="000000"/>
            </w:tcBorders>
            <w:shd w:val="clear" w:color="auto" w:fill="B6DDE8" w:themeFill="accent5" w:themeFillTint="66"/>
            <w:vAlign w:val="center"/>
          </w:tcPr>
          <w:p w14:paraId="0AA69563" w14:textId="77777777" w:rsidR="00BD5045" w:rsidRPr="00D6002F" w:rsidRDefault="00BD5045" w:rsidP="00A52215">
            <w:pPr>
              <w:spacing w:after="120"/>
              <w:jc w:val="center"/>
              <w:rPr>
                <w:color w:val="000000" w:themeColor="text1"/>
                <w:szCs w:val="22"/>
                <w:lang w:val="en-AU"/>
              </w:rPr>
            </w:pPr>
            <w:r w:rsidRPr="00D6002F">
              <w:rPr>
                <w:color w:val="000000" w:themeColor="text1"/>
                <w:szCs w:val="22"/>
                <w:lang w:val="en-AU"/>
              </w:rPr>
              <w:t>2016</w:t>
            </w:r>
          </w:p>
        </w:tc>
        <w:tc>
          <w:tcPr>
            <w:tcW w:w="1900" w:type="dxa"/>
            <w:tcBorders>
              <w:left w:val="single" w:sz="4" w:space="0" w:color="000000"/>
              <w:bottom w:val="single" w:sz="4" w:space="0" w:color="000000"/>
            </w:tcBorders>
            <w:shd w:val="clear" w:color="auto" w:fill="B6DDE8" w:themeFill="accent5" w:themeFillTint="66"/>
            <w:vAlign w:val="center"/>
          </w:tcPr>
          <w:p w14:paraId="33BDA5B9" w14:textId="77777777" w:rsidR="00BD5045" w:rsidRPr="00D6002F" w:rsidRDefault="00BD5045" w:rsidP="00A52215">
            <w:pPr>
              <w:spacing w:after="120"/>
              <w:jc w:val="center"/>
              <w:rPr>
                <w:color w:val="000000" w:themeColor="text1"/>
                <w:szCs w:val="22"/>
                <w:lang w:val="en-AU"/>
              </w:rPr>
            </w:pPr>
            <w:r>
              <w:rPr>
                <w:szCs w:val="22"/>
              </w:rPr>
              <w:t>2017</w:t>
            </w:r>
          </w:p>
        </w:tc>
        <w:tc>
          <w:tcPr>
            <w:tcW w:w="1900" w:type="dxa"/>
            <w:tcBorders>
              <w:left w:val="single" w:sz="4" w:space="0" w:color="000000"/>
              <w:bottom w:val="single" w:sz="4" w:space="0" w:color="000000"/>
            </w:tcBorders>
            <w:shd w:val="clear" w:color="auto" w:fill="B6DDE8" w:themeFill="accent5" w:themeFillTint="66"/>
            <w:vAlign w:val="center"/>
          </w:tcPr>
          <w:p w14:paraId="0D8B6AE0" w14:textId="77777777" w:rsidR="00BD5045" w:rsidRPr="00D6002F" w:rsidRDefault="00BD5045" w:rsidP="00A52215">
            <w:pPr>
              <w:spacing w:after="120"/>
              <w:jc w:val="center"/>
              <w:rPr>
                <w:color w:val="000000" w:themeColor="text1"/>
                <w:szCs w:val="22"/>
                <w:lang w:val="en-AU"/>
              </w:rPr>
            </w:pPr>
            <w:r>
              <w:rPr>
                <w:color w:val="000000" w:themeColor="text1"/>
                <w:szCs w:val="22"/>
                <w:lang w:val="en-AU"/>
              </w:rPr>
              <w:t>2018</w:t>
            </w:r>
          </w:p>
        </w:tc>
      </w:tr>
      <w:tr w:rsidR="00BD5045" w:rsidRPr="00263A62" w14:paraId="718EC03A" w14:textId="77777777" w:rsidTr="0095284B">
        <w:tc>
          <w:tcPr>
            <w:tcW w:w="1899" w:type="dxa"/>
            <w:vAlign w:val="center"/>
          </w:tcPr>
          <w:p w14:paraId="7D651B08" w14:textId="77777777" w:rsidR="00BD5045" w:rsidRPr="00263A62" w:rsidRDefault="00BD5045" w:rsidP="00A52215">
            <w:pPr>
              <w:spacing w:after="120"/>
              <w:jc w:val="center"/>
              <w:rPr>
                <w:szCs w:val="22"/>
                <w:lang w:val="en-AU"/>
              </w:rPr>
            </w:pPr>
            <w:r w:rsidRPr="00263A62">
              <w:rPr>
                <w:szCs w:val="22"/>
              </w:rPr>
              <w:t>82.</w:t>
            </w:r>
            <w:r>
              <w:rPr>
                <w:szCs w:val="22"/>
              </w:rPr>
              <w:t>0</w:t>
            </w:r>
          </w:p>
        </w:tc>
        <w:tc>
          <w:tcPr>
            <w:tcW w:w="1900" w:type="dxa"/>
            <w:tcBorders>
              <w:right w:val="single" w:sz="4" w:space="0" w:color="000000"/>
            </w:tcBorders>
            <w:vAlign w:val="center"/>
          </w:tcPr>
          <w:p w14:paraId="2ACAEBB5" w14:textId="77777777" w:rsidR="00BD5045" w:rsidRPr="00263A62" w:rsidRDefault="00BD5045" w:rsidP="00A52215">
            <w:pPr>
              <w:spacing w:after="120"/>
              <w:jc w:val="center"/>
              <w:rPr>
                <w:szCs w:val="22"/>
                <w:lang w:val="en-AU"/>
              </w:rPr>
            </w:pPr>
            <w:r w:rsidRPr="00263A62">
              <w:rPr>
                <w:szCs w:val="22"/>
              </w:rPr>
              <w:t>75.</w:t>
            </w:r>
            <w:r>
              <w:rPr>
                <w:szCs w:val="22"/>
              </w:rPr>
              <w:t>0</w:t>
            </w:r>
          </w:p>
        </w:tc>
        <w:tc>
          <w:tcPr>
            <w:tcW w:w="1899" w:type="dxa"/>
            <w:tcBorders>
              <w:left w:val="single" w:sz="4" w:space="0" w:color="000000"/>
            </w:tcBorders>
            <w:shd w:val="clear" w:color="auto" w:fill="auto"/>
            <w:vAlign w:val="center"/>
          </w:tcPr>
          <w:p w14:paraId="45C14483" w14:textId="77777777" w:rsidR="00BD5045" w:rsidRPr="00263A62" w:rsidRDefault="00BD5045" w:rsidP="00A52215">
            <w:pPr>
              <w:spacing w:after="120"/>
              <w:jc w:val="center"/>
              <w:rPr>
                <w:szCs w:val="22"/>
                <w:lang w:val="en-AU"/>
              </w:rPr>
            </w:pPr>
            <w:r>
              <w:rPr>
                <w:szCs w:val="22"/>
                <w:lang w:val="en-AU"/>
              </w:rPr>
              <w:t>72.0</w:t>
            </w:r>
          </w:p>
        </w:tc>
        <w:tc>
          <w:tcPr>
            <w:tcW w:w="1900" w:type="dxa"/>
            <w:tcBorders>
              <w:left w:val="single" w:sz="4" w:space="0" w:color="000000"/>
            </w:tcBorders>
            <w:shd w:val="clear" w:color="auto" w:fill="auto"/>
            <w:vAlign w:val="center"/>
          </w:tcPr>
          <w:p w14:paraId="226E338D" w14:textId="77777777" w:rsidR="00BD5045" w:rsidRPr="00263A62" w:rsidRDefault="00BD5045" w:rsidP="00A52215">
            <w:pPr>
              <w:spacing w:after="120"/>
              <w:jc w:val="center"/>
              <w:rPr>
                <w:szCs w:val="22"/>
                <w:lang w:val="en-AU"/>
              </w:rPr>
            </w:pPr>
            <w:r>
              <w:rPr>
                <w:szCs w:val="22"/>
                <w:lang w:val="en-AU"/>
              </w:rPr>
              <w:t>78.0</w:t>
            </w:r>
          </w:p>
        </w:tc>
        <w:tc>
          <w:tcPr>
            <w:tcW w:w="1900" w:type="dxa"/>
            <w:tcBorders>
              <w:left w:val="single" w:sz="4" w:space="0" w:color="000000"/>
            </w:tcBorders>
            <w:shd w:val="clear" w:color="auto" w:fill="auto"/>
            <w:vAlign w:val="center"/>
          </w:tcPr>
          <w:p w14:paraId="78BC7984" w14:textId="77777777" w:rsidR="00BD5045" w:rsidRPr="00263A62" w:rsidRDefault="00BD5045" w:rsidP="00A52215">
            <w:pPr>
              <w:spacing w:after="120"/>
              <w:jc w:val="center"/>
              <w:rPr>
                <w:szCs w:val="22"/>
                <w:lang w:val="en-AU"/>
              </w:rPr>
            </w:pPr>
            <w:r>
              <w:rPr>
                <w:szCs w:val="22"/>
                <w:lang w:val="en-AU"/>
              </w:rPr>
              <w:t>88.0</w:t>
            </w:r>
          </w:p>
        </w:tc>
      </w:tr>
    </w:tbl>
    <w:p w14:paraId="00722750" w14:textId="580B69C9" w:rsidR="00FE2EE0" w:rsidRPr="00263A62" w:rsidRDefault="00FE2EE0" w:rsidP="00FE2EE0">
      <w:pPr>
        <w:pStyle w:val="Heading2"/>
        <w:jc w:val="both"/>
      </w:pPr>
      <w:bookmarkStart w:id="149" w:name="_Toc19601319"/>
      <w:r>
        <w:t>Natural refrigerant bank</w:t>
      </w:r>
      <w:bookmarkEnd w:id="149"/>
    </w:p>
    <w:p w14:paraId="72AC8EDF" w14:textId="77777777" w:rsidR="00BD5045" w:rsidRPr="00821493" w:rsidRDefault="00BD5045" w:rsidP="009A23AA">
      <w:pPr>
        <w:rPr>
          <w:rFonts w:cs="Times New Roman"/>
          <w:szCs w:val="22"/>
        </w:rPr>
      </w:pPr>
      <w:r w:rsidRPr="00821493">
        <w:rPr>
          <w:rFonts w:cs="Times New Roman"/>
          <w:szCs w:val="22"/>
        </w:rPr>
        <w:t xml:space="preserve">The total mass of natural refrigerants employed in the bank for refrigeration and air conditioning would otherwise require approximately 6,000 tonnes of high GWP refrigerants to deliver the same amount of cooling services, equivalent to as much as 8% of the total GWP bank. </w:t>
      </w:r>
    </w:p>
    <w:p w14:paraId="60F1E590" w14:textId="39BE104C" w:rsidR="00BD5045" w:rsidRPr="00821493" w:rsidRDefault="00BD5045" w:rsidP="009A23AA">
      <w:pPr>
        <w:rPr>
          <w:rFonts w:cs="Times New Roman"/>
          <w:szCs w:val="22"/>
        </w:rPr>
      </w:pPr>
      <w:r w:rsidRPr="00821493">
        <w:rPr>
          <w:rFonts w:cs="Times New Roman"/>
          <w:szCs w:val="22"/>
        </w:rPr>
        <w:t>Growth has been observed in the use of all natural refrigerants between 2012 and 2018. The growth is particularly notable in the</w:t>
      </w:r>
      <w:r w:rsidRPr="003A5D2D">
        <w:rPr>
          <w:color w:val="00B0F0"/>
          <w:szCs w:val="22"/>
        </w:rPr>
        <w:t xml:space="preserve"> </w:t>
      </w:r>
      <w:r w:rsidRPr="00821493">
        <w:rPr>
          <w:rFonts w:cs="Times New Roman"/>
          <w:szCs w:val="22"/>
        </w:rPr>
        <w:t>use of CO</w:t>
      </w:r>
      <w:r w:rsidRPr="00D70712">
        <w:rPr>
          <w:rFonts w:cs="Times New Roman"/>
          <w:szCs w:val="22"/>
          <w:vertAlign w:val="subscript"/>
        </w:rPr>
        <w:t>2</w:t>
      </w:r>
      <w:r w:rsidRPr="00821493">
        <w:rPr>
          <w:rFonts w:cs="Times New Roman"/>
          <w:szCs w:val="22"/>
        </w:rPr>
        <w:t xml:space="preserve"> (up 59%) initially driven by rapid adoption of cascade systems in the supermarket industry, and more recently the growth in use of trans-critical CO</w:t>
      </w:r>
      <w:r w:rsidRPr="00D70712">
        <w:rPr>
          <w:rFonts w:cs="Times New Roman"/>
          <w:szCs w:val="22"/>
          <w:vertAlign w:val="subscript"/>
        </w:rPr>
        <w:t>2</w:t>
      </w:r>
      <w:r w:rsidRPr="00821493">
        <w:rPr>
          <w:rFonts w:cs="Times New Roman"/>
          <w:szCs w:val="22"/>
        </w:rPr>
        <w:t xml:space="preserve"> only systems. Hydrocarbons also increased strongly (up 77%) including HC-600a, HC-290 and HC-436 due to penetration in domestic refrigeration and self-contained commercial refrigeration equipment. However, these two refrigerants were growing rapidly off a very small base in comparison to the overall bank of refrigerants.</w:t>
      </w:r>
    </w:p>
    <w:p w14:paraId="3B00BC86" w14:textId="1D4D52F4" w:rsidR="00BD5045" w:rsidRPr="00821493" w:rsidRDefault="00BD5045" w:rsidP="009A23AA">
      <w:pPr>
        <w:rPr>
          <w:rFonts w:cs="Times New Roman"/>
          <w:szCs w:val="22"/>
        </w:rPr>
      </w:pPr>
      <w:r w:rsidRPr="00821493">
        <w:rPr>
          <w:rFonts w:cs="Times New Roman"/>
          <w:szCs w:val="22"/>
        </w:rPr>
        <w:t>On the other hand, the bank of ammonia has seen comparatively slow growth, increasing 9% over the period. Applications employing ammonia refrigerant have been in wide use for decades, particularly in large cold stores and distributions centres in the refrigerated cold food chain. As such</w:t>
      </w:r>
      <w:r w:rsidR="0020042A">
        <w:rPr>
          <w:rFonts w:cs="Times New Roman"/>
          <w:szCs w:val="22"/>
        </w:rPr>
        <w:t>,</w:t>
      </w:r>
      <w:r w:rsidRPr="00821493">
        <w:rPr>
          <w:rFonts w:cs="Times New Roman"/>
          <w:szCs w:val="22"/>
        </w:rPr>
        <w:t xml:space="preserve"> growth of the ammonia bank is starting from a relatively large base (as compared to the volumes of the other natural refrigerants in use). In line with the trend across most RAC systems, ammonia refrigeration systems are also being designed with smaller and smaller refrigerant charges. Thus, even while the energy services delivered by ammonia charged systems are increasing, the rate at which the bank of this refrigerant has expanded has been slower than the rate of growth in refrigeration services delivered.</w:t>
      </w:r>
    </w:p>
    <w:p w14:paraId="264D3A25" w14:textId="77777777" w:rsidR="00BD5045" w:rsidRPr="00821493" w:rsidRDefault="00BD5045" w:rsidP="009A23AA">
      <w:pPr>
        <w:rPr>
          <w:rFonts w:cs="Times New Roman"/>
          <w:szCs w:val="22"/>
        </w:rPr>
      </w:pPr>
      <w:r w:rsidRPr="00821493">
        <w:rPr>
          <w:rFonts w:cs="Times New Roman"/>
          <w:szCs w:val="22"/>
        </w:rPr>
        <w:t xml:space="preserve">Importantly, increased demand for ammonia charged systems from large end-users in the cold food chain has been somewhat constrained by the capacity of the RAC industry to design and deliver these systems. The design and engineering skills required are quite specialised. Like many complex niche technologies, increasing demand cannot necessarily be matched with readily available service providers due to the extensive technical expertise required to design, install and maintain this complex technology. Some of these skills can only be developed over many years of experience in the field. </w:t>
      </w:r>
    </w:p>
    <w:p w14:paraId="7BBC72A2" w14:textId="77777777" w:rsidR="00BD5045" w:rsidRPr="00821493" w:rsidRDefault="00BD5045" w:rsidP="009A23AA">
      <w:pPr>
        <w:rPr>
          <w:rFonts w:cs="Times New Roman"/>
          <w:szCs w:val="22"/>
        </w:rPr>
      </w:pPr>
    </w:p>
    <w:p w14:paraId="07869EDA" w14:textId="235DD0AA" w:rsidR="00BD5045" w:rsidRPr="00BD5045" w:rsidRDefault="00BD5045" w:rsidP="009A23AA">
      <w:pPr>
        <w:pStyle w:val="Caption"/>
        <w:rPr>
          <w:rFonts w:eastAsiaTheme="minorEastAsia"/>
          <w:bCs w:val="0"/>
          <w:iCs/>
          <w:szCs w:val="22"/>
          <w:lang w:val="en-GB"/>
        </w:rPr>
      </w:pPr>
      <w:bookmarkStart w:id="150" w:name="_Toc494118091"/>
      <w:bookmarkStart w:id="151" w:name="_Toc525141410"/>
      <w:bookmarkStart w:id="152" w:name="_Toc19601370"/>
      <w:r w:rsidRPr="00BD5045">
        <w:rPr>
          <w:rFonts w:eastAsiaTheme="minorEastAsia"/>
          <w:bCs w:val="0"/>
          <w:iCs/>
          <w:szCs w:val="22"/>
          <w:lang w:val="en-GB"/>
        </w:rPr>
        <w:t xml:space="preserve">Table </w:t>
      </w:r>
      <w:r w:rsidRPr="00BD5045">
        <w:rPr>
          <w:rFonts w:eastAsiaTheme="minorEastAsia"/>
          <w:bCs w:val="0"/>
          <w:iCs/>
          <w:szCs w:val="22"/>
          <w:lang w:val="en-GB"/>
        </w:rPr>
        <w:fldChar w:fldCharType="begin"/>
      </w:r>
      <w:r w:rsidRPr="00BD5045">
        <w:rPr>
          <w:rFonts w:eastAsiaTheme="minorEastAsia"/>
          <w:bCs w:val="0"/>
          <w:iCs/>
          <w:szCs w:val="22"/>
          <w:lang w:val="en-GB"/>
        </w:rPr>
        <w:instrText xml:space="preserve"> SEQ Table \* ARABIC </w:instrText>
      </w:r>
      <w:r w:rsidRPr="00BD5045">
        <w:rPr>
          <w:rFonts w:eastAsiaTheme="minorEastAsia"/>
          <w:bCs w:val="0"/>
          <w:iCs/>
          <w:szCs w:val="22"/>
          <w:lang w:val="en-GB"/>
        </w:rPr>
        <w:fldChar w:fldCharType="separate"/>
      </w:r>
      <w:r w:rsidR="001D0DA3">
        <w:rPr>
          <w:rFonts w:eastAsiaTheme="minorEastAsia"/>
          <w:bCs w:val="0"/>
          <w:iCs/>
          <w:noProof/>
          <w:szCs w:val="22"/>
          <w:lang w:val="en-GB"/>
        </w:rPr>
        <w:t>18</w:t>
      </w:r>
      <w:r w:rsidRPr="00BD5045">
        <w:rPr>
          <w:rFonts w:eastAsiaTheme="minorEastAsia"/>
          <w:bCs w:val="0"/>
          <w:iCs/>
          <w:szCs w:val="22"/>
          <w:lang w:val="en-GB"/>
        </w:rPr>
        <w:fldChar w:fldCharType="end"/>
      </w:r>
      <w:r w:rsidRPr="00BD5045">
        <w:rPr>
          <w:rFonts w:eastAsiaTheme="minorEastAsia"/>
          <w:bCs w:val="0"/>
          <w:iCs/>
          <w:szCs w:val="22"/>
          <w:lang w:val="en-GB"/>
        </w:rPr>
        <w:t>: Low GWP refrigerant bank in 2018 in tonnes</w:t>
      </w:r>
      <w:bookmarkEnd w:id="150"/>
      <w:r w:rsidRPr="00BD5045">
        <w:rPr>
          <w:rFonts w:eastAsiaTheme="minorEastAsia"/>
          <w:bCs w:val="0"/>
          <w:iCs/>
          <w:szCs w:val="22"/>
          <w:lang w:val="en-GB"/>
        </w:rPr>
        <w:t>.</w:t>
      </w:r>
      <w:bookmarkEnd w:id="151"/>
      <w:bookmarkEnd w:id="152"/>
    </w:p>
    <w:tbl>
      <w:tblPr>
        <w:tblW w:w="9498"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61"/>
        <w:gridCol w:w="6237"/>
      </w:tblGrid>
      <w:tr w:rsidR="00BD5045" w:rsidRPr="00821493" w14:paraId="2B3B7F9A" w14:textId="77777777" w:rsidTr="0002408B">
        <w:trPr>
          <w:trHeight w:val="567"/>
        </w:trPr>
        <w:tc>
          <w:tcPr>
            <w:tcW w:w="3261" w:type="dxa"/>
            <w:shd w:val="clear" w:color="000000" w:fill="B6DDE8" w:themeFill="accent5" w:themeFillTint="66"/>
            <w:vAlign w:val="center"/>
            <w:hideMark/>
          </w:tcPr>
          <w:p w14:paraId="5288B72F" w14:textId="77777777" w:rsidR="00BD5045" w:rsidRPr="00821493" w:rsidRDefault="00BD5045" w:rsidP="009A23AA">
            <w:pPr>
              <w:spacing w:after="120"/>
              <w:rPr>
                <w:rFonts w:cs="Times New Roman"/>
                <w:szCs w:val="22"/>
              </w:rPr>
            </w:pPr>
            <w:r w:rsidRPr="00821493">
              <w:rPr>
                <w:rFonts w:cs="Times New Roman"/>
                <w:szCs w:val="22"/>
              </w:rPr>
              <w:t>Species</w:t>
            </w:r>
          </w:p>
        </w:tc>
        <w:tc>
          <w:tcPr>
            <w:tcW w:w="6237" w:type="dxa"/>
            <w:shd w:val="clear" w:color="000000" w:fill="B6DDE8" w:themeFill="accent5" w:themeFillTint="66"/>
            <w:vAlign w:val="center"/>
            <w:hideMark/>
          </w:tcPr>
          <w:p w14:paraId="61E8636F" w14:textId="77777777" w:rsidR="00BD5045" w:rsidRPr="00821493" w:rsidRDefault="00BD5045" w:rsidP="000425DE">
            <w:pPr>
              <w:spacing w:after="120"/>
              <w:jc w:val="center"/>
              <w:rPr>
                <w:rFonts w:cs="Times New Roman"/>
                <w:szCs w:val="22"/>
              </w:rPr>
            </w:pPr>
            <w:r w:rsidRPr="00821493">
              <w:rPr>
                <w:rFonts w:cs="Times New Roman"/>
                <w:szCs w:val="22"/>
              </w:rPr>
              <w:t>Bank 201</w:t>
            </w:r>
            <w:r>
              <w:rPr>
                <w:rFonts w:cs="Times New Roman"/>
                <w:szCs w:val="22"/>
              </w:rPr>
              <w:t xml:space="preserve">8 </w:t>
            </w:r>
            <w:r w:rsidRPr="00821493">
              <w:rPr>
                <w:rFonts w:cs="Times New Roman"/>
                <w:szCs w:val="22"/>
              </w:rPr>
              <w:t>(Tonnes)</w:t>
            </w:r>
          </w:p>
        </w:tc>
      </w:tr>
      <w:tr w:rsidR="00BD5045" w:rsidRPr="00821493" w14:paraId="27694D15" w14:textId="77777777" w:rsidTr="0002408B">
        <w:trPr>
          <w:trHeight w:val="567"/>
        </w:trPr>
        <w:tc>
          <w:tcPr>
            <w:tcW w:w="3261" w:type="dxa"/>
            <w:shd w:val="clear" w:color="auto" w:fill="auto"/>
            <w:vAlign w:val="center"/>
            <w:hideMark/>
          </w:tcPr>
          <w:p w14:paraId="249B0E77" w14:textId="77777777" w:rsidR="00BD5045" w:rsidRPr="00821493" w:rsidRDefault="00BD5045" w:rsidP="009A23AA">
            <w:pPr>
              <w:spacing w:before="0"/>
              <w:rPr>
                <w:rFonts w:cs="Times New Roman"/>
                <w:szCs w:val="22"/>
              </w:rPr>
            </w:pPr>
            <w:r w:rsidRPr="00821493">
              <w:rPr>
                <w:rFonts w:cs="Times New Roman"/>
                <w:szCs w:val="22"/>
              </w:rPr>
              <w:t>CO</w:t>
            </w:r>
            <w:r w:rsidRPr="000425DE">
              <w:rPr>
                <w:rFonts w:cs="Times New Roman"/>
                <w:szCs w:val="22"/>
                <w:vertAlign w:val="subscript"/>
              </w:rPr>
              <w:t>2</w:t>
            </w:r>
          </w:p>
        </w:tc>
        <w:tc>
          <w:tcPr>
            <w:tcW w:w="6237" w:type="dxa"/>
            <w:shd w:val="clear" w:color="auto" w:fill="auto"/>
            <w:vAlign w:val="center"/>
            <w:hideMark/>
          </w:tcPr>
          <w:p w14:paraId="6B86A4B3" w14:textId="2E650458" w:rsidR="00BD5045" w:rsidRPr="00FE2EE0" w:rsidRDefault="00FE2EE0" w:rsidP="000425DE">
            <w:pPr>
              <w:spacing w:before="0"/>
              <w:jc w:val="center"/>
              <w:rPr>
                <w:rFonts w:cs="Times New Roman"/>
                <w:szCs w:val="22"/>
              </w:rPr>
            </w:pPr>
            <w:r w:rsidRPr="00FE2EE0">
              <w:rPr>
                <w:rFonts w:cs="Times New Roman"/>
                <w:szCs w:val="22"/>
              </w:rPr>
              <w:t>220</w:t>
            </w:r>
          </w:p>
        </w:tc>
      </w:tr>
      <w:tr w:rsidR="00BD5045" w:rsidRPr="00821493" w14:paraId="2B06D4C5" w14:textId="77777777" w:rsidTr="0002408B">
        <w:trPr>
          <w:trHeight w:val="567"/>
        </w:trPr>
        <w:tc>
          <w:tcPr>
            <w:tcW w:w="3261" w:type="dxa"/>
            <w:shd w:val="clear" w:color="auto" w:fill="auto"/>
            <w:vAlign w:val="center"/>
            <w:hideMark/>
          </w:tcPr>
          <w:p w14:paraId="0DBEE165" w14:textId="77777777" w:rsidR="00BD5045" w:rsidRPr="00821493" w:rsidRDefault="00BD5045" w:rsidP="009A23AA">
            <w:pPr>
              <w:spacing w:before="0"/>
              <w:rPr>
                <w:rFonts w:cs="Times New Roman"/>
                <w:szCs w:val="22"/>
              </w:rPr>
            </w:pPr>
            <w:r w:rsidRPr="00821493">
              <w:rPr>
                <w:rFonts w:cs="Times New Roman"/>
                <w:szCs w:val="22"/>
              </w:rPr>
              <w:t>Ammonia (R717)</w:t>
            </w:r>
          </w:p>
        </w:tc>
        <w:tc>
          <w:tcPr>
            <w:tcW w:w="6237" w:type="dxa"/>
            <w:shd w:val="clear" w:color="auto" w:fill="auto"/>
            <w:vAlign w:val="center"/>
            <w:hideMark/>
          </w:tcPr>
          <w:p w14:paraId="6ED98D18" w14:textId="1ACEDF66" w:rsidR="00BD5045" w:rsidRPr="00FE2EE0" w:rsidRDefault="000425DE" w:rsidP="000425DE">
            <w:pPr>
              <w:spacing w:before="0"/>
              <w:jc w:val="center"/>
              <w:rPr>
                <w:rFonts w:cs="Times New Roman"/>
                <w:szCs w:val="22"/>
              </w:rPr>
            </w:pPr>
            <w:r w:rsidRPr="00FE2EE0">
              <w:rPr>
                <w:rFonts w:cs="Times New Roman"/>
                <w:szCs w:val="22"/>
              </w:rPr>
              <w:t>5,000</w:t>
            </w:r>
          </w:p>
        </w:tc>
      </w:tr>
      <w:tr w:rsidR="00BD5045" w:rsidRPr="00821493" w14:paraId="026E06CF" w14:textId="77777777" w:rsidTr="0002408B">
        <w:trPr>
          <w:trHeight w:val="567"/>
        </w:trPr>
        <w:tc>
          <w:tcPr>
            <w:tcW w:w="3261" w:type="dxa"/>
            <w:shd w:val="clear" w:color="auto" w:fill="auto"/>
            <w:vAlign w:val="center"/>
            <w:hideMark/>
          </w:tcPr>
          <w:p w14:paraId="401D5791" w14:textId="77777777" w:rsidR="00BD5045" w:rsidRPr="00821493" w:rsidRDefault="00BD5045" w:rsidP="009A23AA">
            <w:pPr>
              <w:spacing w:before="0"/>
              <w:rPr>
                <w:rFonts w:cs="Times New Roman"/>
                <w:szCs w:val="22"/>
              </w:rPr>
            </w:pPr>
            <w:r w:rsidRPr="00821493">
              <w:rPr>
                <w:rFonts w:cs="Times New Roman"/>
                <w:szCs w:val="22"/>
              </w:rPr>
              <w:t>Hydrocarbons</w:t>
            </w:r>
          </w:p>
        </w:tc>
        <w:tc>
          <w:tcPr>
            <w:tcW w:w="6237" w:type="dxa"/>
            <w:shd w:val="clear" w:color="auto" w:fill="auto"/>
            <w:vAlign w:val="center"/>
            <w:hideMark/>
          </w:tcPr>
          <w:p w14:paraId="40B532E3" w14:textId="768E6D74" w:rsidR="00BD5045" w:rsidRPr="00FE2EE0" w:rsidRDefault="00FE2EE0" w:rsidP="000425DE">
            <w:pPr>
              <w:spacing w:before="0"/>
              <w:jc w:val="center"/>
              <w:rPr>
                <w:rFonts w:cs="Times New Roman"/>
                <w:szCs w:val="22"/>
              </w:rPr>
            </w:pPr>
            <w:r w:rsidRPr="00FE2EE0">
              <w:rPr>
                <w:rFonts w:cs="Times New Roman"/>
                <w:szCs w:val="22"/>
              </w:rPr>
              <w:t>670</w:t>
            </w:r>
          </w:p>
        </w:tc>
      </w:tr>
      <w:tr w:rsidR="00BD5045" w:rsidRPr="00821493" w14:paraId="17242813" w14:textId="77777777" w:rsidTr="0002408B">
        <w:trPr>
          <w:trHeight w:val="567"/>
        </w:trPr>
        <w:tc>
          <w:tcPr>
            <w:tcW w:w="3261" w:type="dxa"/>
            <w:shd w:val="clear" w:color="auto" w:fill="auto"/>
            <w:vAlign w:val="center"/>
            <w:hideMark/>
          </w:tcPr>
          <w:p w14:paraId="5207EC98" w14:textId="77777777" w:rsidR="00BD5045" w:rsidRPr="00821493" w:rsidRDefault="00BD5045" w:rsidP="009A23AA">
            <w:pPr>
              <w:spacing w:before="0"/>
              <w:rPr>
                <w:rFonts w:cs="Times New Roman"/>
                <w:szCs w:val="22"/>
              </w:rPr>
            </w:pPr>
            <w:r w:rsidRPr="00821493">
              <w:rPr>
                <w:rFonts w:cs="Times New Roman"/>
                <w:szCs w:val="22"/>
              </w:rPr>
              <w:t xml:space="preserve">Total </w:t>
            </w:r>
            <w:r w:rsidRPr="001A1069">
              <w:rPr>
                <w:rFonts w:cs="Times New Roman"/>
                <w:szCs w:val="22"/>
                <w:vertAlign w:val="superscript"/>
              </w:rPr>
              <w:t>(1)</w:t>
            </w:r>
          </w:p>
        </w:tc>
        <w:tc>
          <w:tcPr>
            <w:tcW w:w="6237" w:type="dxa"/>
            <w:shd w:val="clear" w:color="auto" w:fill="auto"/>
            <w:vAlign w:val="center"/>
            <w:hideMark/>
          </w:tcPr>
          <w:p w14:paraId="150C624F" w14:textId="77E21A49" w:rsidR="00BD5045" w:rsidRPr="001A1069" w:rsidRDefault="00BD5045" w:rsidP="000425DE">
            <w:pPr>
              <w:spacing w:before="0"/>
              <w:jc w:val="center"/>
              <w:rPr>
                <w:rFonts w:cs="Times New Roman"/>
                <w:szCs w:val="22"/>
                <w:highlight w:val="yellow"/>
              </w:rPr>
            </w:pPr>
            <w:r w:rsidRPr="00FE2EE0">
              <w:rPr>
                <w:rFonts w:cs="Times New Roman"/>
                <w:szCs w:val="22"/>
              </w:rPr>
              <w:t>5,</w:t>
            </w:r>
            <w:r w:rsidR="00FE2EE0" w:rsidRPr="00FE2EE0">
              <w:rPr>
                <w:rFonts w:cs="Times New Roman"/>
                <w:szCs w:val="22"/>
              </w:rPr>
              <w:t>890</w:t>
            </w:r>
          </w:p>
        </w:tc>
      </w:tr>
    </w:tbl>
    <w:p w14:paraId="61221D4B" w14:textId="77777777" w:rsidR="00BD5045" w:rsidRPr="00FE2EE0" w:rsidRDefault="00BD5045" w:rsidP="009A23AA">
      <w:pPr>
        <w:pStyle w:val="ListParagraph"/>
        <w:numPr>
          <w:ilvl w:val="0"/>
          <w:numId w:val="35"/>
        </w:numPr>
        <w:spacing w:before="60" w:after="0" w:line="240" w:lineRule="auto"/>
        <w:ind w:left="357" w:hanging="357"/>
        <w:contextualSpacing w:val="0"/>
        <w:jc w:val="both"/>
        <w:rPr>
          <w:rFonts w:ascii="Times New Roman" w:eastAsiaTheme="minorEastAsia" w:hAnsi="Times New Roman"/>
          <w:sz w:val="20"/>
          <w:szCs w:val="20"/>
        </w:rPr>
      </w:pPr>
      <w:r w:rsidRPr="00FE2EE0">
        <w:rPr>
          <w:rFonts w:ascii="Times New Roman" w:eastAsiaTheme="minorEastAsia" w:hAnsi="Times New Roman"/>
          <w:sz w:val="20"/>
          <w:szCs w:val="20"/>
        </w:rPr>
        <w:t>Sources: In-confidence market survey of all major participants provided actual 2018 market volumes, which was used to derive estimates of the natural refrigerant bank by type.</w:t>
      </w:r>
    </w:p>
    <w:p w14:paraId="74CAAF84" w14:textId="77777777" w:rsidR="00BD5045" w:rsidRDefault="00BD5045" w:rsidP="009A23AA">
      <w:pPr>
        <w:spacing w:before="0"/>
        <w:rPr>
          <w:rFonts w:cs="Times New Roman"/>
          <w:szCs w:val="22"/>
        </w:rPr>
      </w:pPr>
    </w:p>
    <w:p w14:paraId="0E8A0636" w14:textId="77777777" w:rsidR="00501217" w:rsidRDefault="00501217" w:rsidP="009A23AA">
      <w:pPr>
        <w:spacing w:before="0"/>
        <w:rPr>
          <w:rFonts w:ascii="Calibri" w:eastAsia="Times New Roman" w:hAnsi="Calibri" w:cs="Times New Roman"/>
          <w:b/>
          <w:bCs/>
          <w:kern w:val="32"/>
          <w:sz w:val="32"/>
          <w:szCs w:val="32"/>
          <w:lang w:val="en-US"/>
        </w:rPr>
      </w:pPr>
      <w:bookmarkStart w:id="153" w:name="_Toc494661772"/>
      <w:r>
        <w:br w:type="page"/>
      </w:r>
    </w:p>
    <w:p w14:paraId="36A1FB6C" w14:textId="2A76117F" w:rsidR="00501217" w:rsidRPr="00974916" w:rsidRDefault="00501217" w:rsidP="009A23AA">
      <w:pPr>
        <w:pStyle w:val="Heading1"/>
        <w:numPr>
          <w:ilvl w:val="0"/>
          <w:numId w:val="0"/>
        </w:numPr>
        <w:ind w:left="432" w:hanging="432"/>
        <w:jc w:val="both"/>
      </w:pPr>
      <w:bookmarkStart w:id="154" w:name="_Toc19601320"/>
      <w:r>
        <w:t>Glossary</w:t>
      </w:r>
      <w:bookmarkEnd w:id="154"/>
    </w:p>
    <w:tbl>
      <w:tblPr>
        <w:tblW w:w="0" w:type="auto"/>
        <w:tblLook w:val="00A0" w:firstRow="1" w:lastRow="0" w:firstColumn="1" w:lastColumn="0" w:noHBand="0" w:noVBand="0"/>
      </w:tblPr>
      <w:tblGrid>
        <w:gridCol w:w="2219"/>
        <w:gridCol w:w="2363"/>
        <w:gridCol w:w="2362"/>
        <w:gridCol w:w="2548"/>
      </w:tblGrid>
      <w:tr w:rsidR="00501217" w:rsidRPr="008C4425" w14:paraId="24917B87" w14:textId="77777777" w:rsidTr="00E42FBC">
        <w:trPr>
          <w:trHeight w:val="342"/>
        </w:trPr>
        <w:tc>
          <w:tcPr>
            <w:tcW w:w="2219" w:type="dxa"/>
          </w:tcPr>
          <w:p w14:paraId="7F372051"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Ammonia Refrigerant</w:t>
            </w:r>
          </w:p>
        </w:tc>
        <w:tc>
          <w:tcPr>
            <w:tcW w:w="7273" w:type="dxa"/>
            <w:gridSpan w:val="3"/>
          </w:tcPr>
          <w:p w14:paraId="00DFCB93" w14:textId="1225FCE0"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Anhydrous </w:t>
            </w:r>
            <w:r w:rsidR="0020042A">
              <w:rPr>
                <w:rFonts w:asciiTheme="majorHAnsi" w:hAnsiTheme="majorHAnsi"/>
                <w:sz w:val="18"/>
                <w:szCs w:val="22"/>
              </w:rPr>
              <w:t>a</w:t>
            </w:r>
            <w:r w:rsidRPr="008C4425">
              <w:rPr>
                <w:rFonts w:asciiTheme="majorHAnsi" w:hAnsiTheme="majorHAnsi"/>
                <w:sz w:val="18"/>
                <w:szCs w:val="22"/>
              </w:rPr>
              <w:t>mmonia (R717) has excellent thermodynamic properties</w:t>
            </w:r>
            <w:r>
              <w:rPr>
                <w:rFonts w:asciiTheme="majorHAnsi" w:hAnsiTheme="majorHAnsi"/>
                <w:sz w:val="18"/>
                <w:szCs w:val="22"/>
              </w:rPr>
              <w:t xml:space="preserve"> and a GWP of zero</w:t>
            </w:r>
            <w:r w:rsidRPr="008C4425">
              <w:rPr>
                <w:rFonts w:asciiTheme="majorHAnsi" w:hAnsiTheme="majorHAnsi"/>
                <w:sz w:val="18"/>
                <w:szCs w:val="22"/>
              </w:rPr>
              <w:t xml:space="preserve">, making it effective as a refrigerant, and is widely used in </w:t>
            </w:r>
            <w:r w:rsidRPr="00F41858">
              <w:rPr>
                <w:rFonts w:asciiTheme="majorHAnsi" w:hAnsiTheme="majorHAnsi"/>
                <w:sz w:val="18"/>
                <w:szCs w:val="22"/>
              </w:rPr>
              <w:t xml:space="preserve">large cold storage </w:t>
            </w:r>
            <w:r>
              <w:rPr>
                <w:rFonts w:asciiTheme="majorHAnsi" w:hAnsiTheme="majorHAnsi"/>
                <w:sz w:val="18"/>
                <w:szCs w:val="22"/>
              </w:rPr>
              <w:t xml:space="preserve">facilities </w:t>
            </w:r>
            <w:r w:rsidRPr="008C4425">
              <w:rPr>
                <w:rFonts w:asciiTheme="majorHAnsi" w:hAnsiTheme="majorHAnsi"/>
                <w:sz w:val="18"/>
                <w:szCs w:val="22"/>
              </w:rPr>
              <w:t>and process refrigeration applications because of its high energy efficiency and relatively low cost. Ammonia is used less frequently in commercial refrigeration applications, such as in supermarket and food retail, freezer cases and refrigerated displays due to its toxicity, and the proximity of the general public.</w:t>
            </w:r>
          </w:p>
        </w:tc>
      </w:tr>
      <w:tr w:rsidR="00501217" w:rsidRPr="008C4425" w14:paraId="7EF785B6" w14:textId="77777777" w:rsidTr="00E42FBC">
        <w:trPr>
          <w:trHeight w:val="342"/>
        </w:trPr>
        <w:tc>
          <w:tcPr>
            <w:tcW w:w="2219" w:type="dxa"/>
          </w:tcPr>
          <w:p w14:paraId="7C3CBB90" w14:textId="77777777" w:rsidR="00501217" w:rsidRDefault="00501217" w:rsidP="0095284B">
            <w:pPr>
              <w:pStyle w:val="BodyText"/>
              <w:spacing w:before="60" w:after="60"/>
              <w:jc w:val="left"/>
              <w:rPr>
                <w:rFonts w:asciiTheme="majorHAnsi" w:hAnsiTheme="majorHAnsi"/>
                <w:sz w:val="18"/>
                <w:szCs w:val="22"/>
              </w:rPr>
            </w:pPr>
            <w:r>
              <w:rPr>
                <w:rFonts w:asciiTheme="majorHAnsi" w:hAnsiTheme="majorHAnsi"/>
                <w:sz w:val="18"/>
                <w:szCs w:val="22"/>
              </w:rPr>
              <w:t>Article 5 Countries</w:t>
            </w:r>
          </w:p>
        </w:tc>
        <w:tc>
          <w:tcPr>
            <w:tcW w:w="7273" w:type="dxa"/>
            <w:gridSpan w:val="3"/>
          </w:tcPr>
          <w:p w14:paraId="40F480A1" w14:textId="77777777" w:rsidR="00501217" w:rsidRDefault="00501217" w:rsidP="009A23AA">
            <w:pPr>
              <w:pStyle w:val="BodyText"/>
              <w:spacing w:before="60" w:after="60"/>
              <w:rPr>
                <w:rFonts w:asciiTheme="majorHAnsi" w:hAnsiTheme="majorHAnsi"/>
                <w:sz w:val="18"/>
                <w:szCs w:val="22"/>
              </w:rPr>
            </w:pPr>
            <w:r w:rsidRPr="001132D8">
              <w:rPr>
                <w:rFonts w:asciiTheme="majorHAnsi" w:hAnsiTheme="majorHAnsi"/>
                <w:sz w:val="18"/>
                <w:szCs w:val="22"/>
              </w:rPr>
              <w:t>Article 5</w:t>
            </w:r>
            <w:r>
              <w:rPr>
                <w:rFonts w:asciiTheme="majorHAnsi" w:hAnsiTheme="majorHAnsi"/>
                <w:sz w:val="18"/>
                <w:szCs w:val="22"/>
              </w:rPr>
              <w:t xml:space="preserve"> of the Montreal Protocol describes the special situation of developing countries. Article 5 countries are developing countries.</w:t>
            </w:r>
          </w:p>
        </w:tc>
      </w:tr>
      <w:tr w:rsidR="00501217" w:rsidRPr="008C4425" w14:paraId="61259DE0" w14:textId="77777777" w:rsidTr="00E42FBC">
        <w:trPr>
          <w:trHeight w:val="342"/>
        </w:trPr>
        <w:tc>
          <w:tcPr>
            <w:tcW w:w="2219" w:type="dxa"/>
          </w:tcPr>
          <w:p w14:paraId="78D1A687" w14:textId="77777777" w:rsidR="00501217" w:rsidRPr="008C4425" w:rsidRDefault="00501217" w:rsidP="0095284B">
            <w:pPr>
              <w:pStyle w:val="BodyText"/>
              <w:spacing w:before="60" w:after="60"/>
              <w:jc w:val="left"/>
              <w:rPr>
                <w:rFonts w:asciiTheme="majorHAnsi" w:hAnsiTheme="majorHAnsi"/>
                <w:sz w:val="18"/>
                <w:szCs w:val="22"/>
              </w:rPr>
            </w:pPr>
            <w:r w:rsidRPr="00E837D8">
              <w:rPr>
                <w:rFonts w:asciiTheme="majorHAnsi" w:hAnsiTheme="majorHAnsi"/>
                <w:sz w:val="18"/>
                <w:szCs w:val="22"/>
              </w:rPr>
              <w:t>Bottom-up model</w:t>
            </w:r>
          </w:p>
        </w:tc>
        <w:tc>
          <w:tcPr>
            <w:tcW w:w="7273" w:type="dxa"/>
            <w:gridSpan w:val="3"/>
          </w:tcPr>
          <w:p w14:paraId="1DEE7C5C" w14:textId="4A964834" w:rsidR="00501217" w:rsidRPr="008C4425" w:rsidRDefault="00501217" w:rsidP="009A23AA">
            <w:pPr>
              <w:pStyle w:val="BodyText"/>
              <w:spacing w:before="60" w:after="60"/>
              <w:rPr>
                <w:rFonts w:asciiTheme="majorHAnsi" w:hAnsiTheme="majorHAnsi"/>
                <w:sz w:val="18"/>
                <w:szCs w:val="22"/>
              </w:rPr>
            </w:pPr>
            <w:r>
              <w:rPr>
                <w:rFonts w:asciiTheme="majorHAnsi" w:hAnsiTheme="majorHAnsi"/>
                <w:sz w:val="18"/>
                <w:szCs w:val="22"/>
              </w:rPr>
              <w:t>M</w:t>
            </w:r>
            <w:r w:rsidRPr="00E837D8">
              <w:rPr>
                <w:rFonts w:asciiTheme="majorHAnsi" w:hAnsiTheme="majorHAnsi"/>
                <w:sz w:val="18"/>
                <w:szCs w:val="22"/>
              </w:rPr>
              <w:t>ethod of estimation whereby the</w:t>
            </w:r>
            <w:r>
              <w:rPr>
                <w:rFonts w:asciiTheme="majorHAnsi" w:hAnsiTheme="majorHAnsi"/>
                <w:sz w:val="18"/>
                <w:szCs w:val="22"/>
              </w:rPr>
              <w:t xml:space="preserve"> average refrigerant charge contained in</w:t>
            </w:r>
            <w:r w:rsidRPr="00E837D8">
              <w:rPr>
                <w:rFonts w:asciiTheme="majorHAnsi" w:hAnsiTheme="majorHAnsi"/>
                <w:sz w:val="18"/>
                <w:szCs w:val="22"/>
              </w:rPr>
              <w:t xml:space="preserve"> individual </w:t>
            </w:r>
            <w:r>
              <w:rPr>
                <w:rFonts w:asciiTheme="majorHAnsi" w:hAnsiTheme="majorHAnsi"/>
                <w:sz w:val="18"/>
                <w:szCs w:val="22"/>
              </w:rPr>
              <w:t xml:space="preserve">appliances, equipment and product categories </w:t>
            </w:r>
            <w:r w:rsidRPr="00E837D8">
              <w:rPr>
                <w:rFonts w:asciiTheme="majorHAnsi" w:hAnsiTheme="majorHAnsi"/>
                <w:sz w:val="18"/>
                <w:szCs w:val="22"/>
              </w:rPr>
              <w:t xml:space="preserve">that make up </w:t>
            </w:r>
            <w:r>
              <w:rPr>
                <w:rFonts w:asciiTheme="majorHAnsi" w:hAnsiTheme="majorHAnsi"/>
                <w:sz w:val="18"/>
                <w:szCs w:val="22"/>
              </w:rPr>
              <w:t xml:space="preserve">the stock of equipment </w:t>
            </w:r>
            <w:r w:rsidR="0020042A">
              <w:rPr>
                <w:rFonts w:asciiTheme="majorHAnsi" w:hAnsiTheme="majorHAnsi"/>
                <w:sz w:val="18"/>
                <w:szCs w:val="22"/>
              </w:rPr>
              <w:t xml:space="preserve">is </w:t>
            </w:r>
            <w:r w:rsidRPr="00E837D8">
              <w:rPr>
                <w:rFonts w:asciiTheme="majorHAnsi" w:hAnsiTheme="majorHAnsi"/>
                <w:sz w:val="18"/>
                <w:szCs w:val="22"/>
              </w:rPr>
              <w:t xml:space="preserve">estimated separately. The individual results are then aggregated to produce an estimate </w:t>
            </w:r>
            <w:r>
              <w:rPr>
                <w:rFonts w:asciiTheme="majorHAnsi" w:hAnsiTheme="majorHAnsi"/>
                <w:sz w:val="18"/>
                <w:szCs w:val="22"/>
              </w:rPr>
              <w:t>of the refrigerant bank by refrigerant species</w:t>
            </w:r>
            <w:r w:rsidRPr="00E837D8">
              <w:rPr>
                <w:rFonts w:asciiTheme="majorHAnsi" w:hAnsiTheme="majorHAnsi"/>
                <w:sz w:val="18"/>
                <w:szCs w:val="22"/>
              </w:rPr>
              <w:t xml:space="preserve">.  </w:t>
            </w:r>
          </w:p>
        </w:tc>
      </w:tr>
      <w:tr w:rsidR="00501217" w:rsidRPr="008C4425" w14:paraId="47E650F1" w14:textId="77777777" w:rsidTr="00E42FBC">
        <w:trPr>
          <w:trHeight w:val="342"/>
        </w:trPr>
        <w:tc>
          <w:tcPr>
            <w:tcW w:w="2219" w:type="dxa"/>
          </w:tcPr>
          <w:p w14:paraId="7B268D03" w14:textId="77777777" w:rsidR="00501217" w:rsidRPr="008C4425" w:rsidRDefault="00501217" w:rsidP="0095284B">
            <w:pPr>
              <w:pStyle w:val="BodyText"/>
              <w:spacing w:before="60" w:after="60"/>
              <w:jc w:val="left"/>
              <w:rPr>
                <w:rFonts w:asciiTheme="majorHAnsi" w:hAnsiTheme="majorHAnsi"/>
                <w:sz w:val="18"/>
                <w:szCs w:val="22"/>
              </w:rPr>
            </w:pPr>
            <w:r w:rsidRPr="003C63AC">
              <w:rPr>
                <w:rFonts w:asciiTheme="majorHAnsi" w:hAnsiTheme="majorHAnsi"/>
                <w:sz w:val="18"/>
                <w:szCs w:val="22"/>
              </w:rPr>
              <w:t>Bulk importers</w:t>
            </w:r>
          </w:p>
        </w:tc>
        <w:tc>
          <w:tcPr>
            <w:tcW w:w="7273" w:type="dxa"/>
            <w:gridSpan w:val="3"/>
          </w:tcPr>
          <w:p w14:paraId="10FCA8D9" w14:textId="77777777" w:rsidR="00501217" w:rsidRPr="008C4425" w:rsidRDefault="00501217" w:rsidP="009A23AA">
            <w:pPr>
              <w:pStyle w:val="BodyText"/>
              <w:spacing w:before="60" w:after="60"/>
              <w:rPr>
                <w:rFonts w:asciiTheme="majorHAnsi" w:hAnsiTheme="majorHAnsi"/>
                <w:sz w:val="18"/>
                <w:szCs w:val="22"/>
              </w:rPr>
            </w:pPr>
            <w:r w:rsidRPr="003C63AC">
              <w:rPr>
                <w:rFonts w:asciiTheme="majorHAnsi" w:hAnsiTheme="majorHAnsi"/>
                <w:sz w:val="18"/>
                <w:szCs w:val="22"/>
              </w:rPr>
              <w:t xml:space="preserve">Companies with a </w:t>
            </w:r>
            <w:proofErr w:type="spellStart"/>
            <w:r w:rsidRPr="003C63AC">
              <w:rPr>
                <w:rFonts w:asciiTheme="majorHAnsi" w:hAnsiTheme="majorHAnsi"/>
                <w:sz w:val="18"/>
                <w:szCs w:val="22"/>
              </w:rPr>
              <w:t>licence</w:t>
            </w:r>
            <w:proofErr w:type="spellEnd"/>
            <w:r w:rsidRPr="003C63AC">
              <w:rPr>
                <w:rFonts w:asciiTheme="majorHAnsi" w:hAnsiTheme="majorHAnsi"/>
                <w:sz w:val="18"/>
                <w:szCs w:val="22"/>
              </w:rPr>
              <w:t xml:space="preserve"> to import bulk refrigerant</w:t>
            </w:r>
            <w:r>
              <w:rPr>
                <w:rFonts w:asciiTheme="majorHAnsi" w:hAnsiTheme="majorHAnsi"/>
                <w:sz w:val="18"/>
                <w:szCs w:val="22"/>
              </w:rPr>
              <w:t>.</w:t>
            </w:r>
          </w:p>
        </w:tc>
      </w:tr>
      <w:tr w:rsidR="006F22F4" w:rsidRPr="008C4425" w14:paraId="597333D6" w14:textId="77777777" w:rsidTr="00E42FBC">
        <w:trPr>
          <w:trHeight w:val="342"/>
        </w:trPr>
        <w:tc>
          <w:tcPr>
            <w:tcW w:w="2219" w:type="dxa"/>
          </w:tcPr>
          <w:p w14:paraId="5B7EB346" w14:textId="698E5760" w:rsidR="006F22F4" w:rsidRPr="008C4425" w:rsidRDefault="006F22F4" w:rsidP="0095284B">
            <w:pPr>
              <w:pStyle w:val="BodyText"/>
              <w:spacing w:before="60" w:after="60"/>
              <w:jc w:val="left"/>
              <w:rPr>
                <w:rFonts w:asciiTheme="majorHAnsi" w:hAnsiTheme="majorHAnsi"/>
                <w:sz w:val="18"/>
                <w:szCs w:val="22"/>
              </w:rPr>
            </w:pPr>
            <w:r>
              <w:rPr>
                <w:rFonts w:asciiTheme="majorHAnsi" w:hAnsiTheme="majorHAnsi"/>
                <w:sz w:val="18"/>
                <w:szCs w:val="22"/>
              </w:rPr>
              <w:t>Carbon Tax</w:t>
            </w:r>
          </w:p>
        </w:tc>
        <w:tc>
          <w:tcPr>
            <w:tcW w:w="7273" w:type="dxa"/>
            <w:gridSpan w:val="3"/>
          </w:tcPr>
          <w:p w14:paraId="26B06DDB" w14:textId="3F5E74BE" w:rsidR="006F22F4" w:rsidRPr="000C5965" w:rsidRDefault="006F22F4" w:rsidP="009A23AA">
            <w:pPr>
              <w:pStyle w:val="BodyText"/>
              <w:spacing w:before="60" w:after="60"/>
              <w:rPr>
                <w:rFonts w:asciiTheme="majorHAnsi" w:hAnsiTheme="majorHAnsi"/>
                <w:sz w:val="18"/>
                <w:szCs w:val="22"/>
              </w:rPr>
            </w:pPr>
            <w:r w:rsidRPr="006F22F4">
              <w:rPr>
                <w:rFonts w:asciiTheme="majorHAnsi" w:hAnsiTheme="majorHAnsi"/>
                <w:sz w:val="18"/>
                <w:szCs w:val="22"/>
              </w:rPr>
              <w:t xml:space="preserve">Synthetic greenhouse gases listed under the Kyoto Protocol had an equivalent carbon tax applied through the </w:t>
            </w:r>
            <w:r w:rsidRPr="006F22F4">
              <w:rPr>
                <w:rFonts w:asciiTheme="majorHAnsi" w:hAnsiTheme="majorHAnsi"/>
                <w:i/>
                <w:iCs/>
                <w:sz w:val="18"/>
                <w:szCs w:val="22"/>
              </w:rPr>
              <w:t>Ozone Protection and Synthetic Greenhouse Gas Management Act 1989</w:t>
            </w:r>
            <w:r w:rsidRPr="006F22F4">
              <w:rPr>
                <w:rFonts w:asciiTheme="majorHAnsi" w:hAnsiTheme="majorHAnsi"/>
                <w:sz w:val="18"/>
                <w:szCs w:val="22"/>
              </w:rPr>
              <w:t xml:space="preserve"> between July 2012 and June 2014. Gases covered were hydrofluorocarbons, perfluorocarbons (excluding gases produced from </w:t>
            </w:r>
            <w:proofErr w:type="spellStart"/>
            <w:r w:rsidRPr="006F22F4">
              <w:rPr>
                <w:rFonts w:asciiTheme="majorHAnsi" w:hAnsiTheme="majorHAnsi"/>
                <w:sz w:val="18"/>
                <w:szCs w:val="22"/>
              </w:rPr>
              <w:t>aluminium</w:t>
            </w:r>
            <w:proofErr w:type="spellEnd"/>
            <w:r w:rsidRPr="006F22F4">
              <w:rPr>
                <w:rFonts w:asciiTheme="majorHAnsi" w:hAnsiTheme="majorHAnsi"/>
                <w:sz w:val="18"/>
                <w:szCs w:val="22"/>
              </w:rPr>
              <w:t xml:space="preserve"> smelting) and sulfur hexafluoride, whether in bulk form or contained in equipment.</w:t>
            </w:r>
          </w:p>
        </w:tc>
      </w:tr>
      <w:tr w:rsidR="00501217" w:rsidRPr="008C4425" w14:paraId="3134C229" w14:textId="77777777" w:rsidTr="00E42FBC">
        <w:trPr>
          <w:trHeight w:val="342"/>
        </w:trPr>
        <w:tc>
          <w:tcPr>
            <w:tcW w:w="2219" w:type="dxa"/>
          </w:tcPr>
          <w:p w14:paraId="69BC0BA9"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Cascade refrigeration system</w:t>
            </w:r>
          </w:p>
        </w:tc>
        <w:tc>
          <w:tcPr>
            <w:tcW w:w="7273" w:type="dxa"/>
            <w:gridSpan w:val="3"/>
          </w:tcPr>
          <w:p w14:paraId="6E1831A0" w14:textId="77777777" w:rsidR="00501217" w:rsidRPr="008C4425" w:rsidRDefault="00501217" w:rsidP="009A23AA">
            <w:pPr>
              <w:pStyle w:val="BodyText"/>
              <w:spacing w:before="60" w:after="60"/>
              <w:rPr>
                <w:rFonts w:asciiTheme="majorHAnsi" w:hAnsiTheme="majorHAnsi"/>
                <w:sz w:val="18"/>
                <w:szCs w:val="22"/>
              </w:rPr>
            </w:pPr>
            <w:r w:rsidRPr="000C5965">
              <w:rPr>
                <w:rFonts w:asciiTheme="majorHAnsi" w:hAnsiTheme="majorHAnsi"/>
                <w:sz w:val="18"/>
                <w:szCs w:val="22"/>
              </w:rPr>
              <w:t xml:space="preserve">A cascade system is made up of two separate but connected refrigeration systems, each of which has a </w:t>
            </w:r>
            <w:proofErr w:type="spellStart"/>
            <w:r w:rsidRPr="000C5965">
              <w:rPr>
                <w:rFonts w:asciiTheme="majorHAnsi" w:hAnsiTheme="majorHAnsi"/>
                <w:sz w:val="18"/>
                <w:szCs w:val="22"/>
              </w:rPr>
              <w:t>vapour</w:t>
            </w:r>
            <w:proofErr w:type="spellEnd"/>
            <w:r w:rsidRPr="000C5965">
              <w:rPr>
                <w:rFonts w:asciiTheme="majorHAnsi" w:hAnsiTheme="majorHAnsi"/>
                <w:sz w:val="18"/>
                <w:szCs w:val="22"/>
              </w:rPr>
              <w:t xml:space="preserve"> compression refrigerant circuit including a compressor, evaporator and condenser that are interconnected via a heat exchanger. The separate refrigerant circuits work in concert to reach the desired temperature(s). Cascade refrigeration systems are also sometimes referred to simply as an ‘advanced refrigeration system’. The most common configuration in Australia is with HFC-134a as the primary refrigerant and R744 (CO</w:t>
            </w:r>
            <w:r w:rsidRPr="000C5965">
              <w:rPr>
                <w:rFonts w:asciiTheme="majorHAnsi" w:hAnsiTheme="majorHAnsi"/>
                <w:sz w:val="18"/>
                <w:szCs w:val="22"/>
                <w:vertAlign w:val="subscript"/>
              </w:rPr>
              <w:t>2</w:t>
            </w:r>
            <w:r w:rsidRPr="000C5965">
              <w:rPr>
                <w:rFonts w:asciiTheme="majorHAnsi" w:hAnsiTheme="majorHAnsi"/>
                <w:sz w:val="18"/>
                <w:szCs w:val="22"/>
              </w:rPr>
              <w:t>) as the secondary refrigerant.</w:t>
            </w:r>
          </w:p>
        </w:tc>
      </w:tr>
      <w:tr w:rsidR="00501217" w:rsidRPr="008C4425" w14:paraId="3B25F608" w14:textId="77777777" w:rsidTr="00E42FBC">
        <w:trPr>
          <w:trHeight w:val="342"/>
        </w:trPr>
        <w:tc>
          <w:tcPr>
            <w:tcW w:w="2219" w:type="dxa"/>
          </w:tcPr>
          <w:p w14:paraId="50095C43"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CHF1</w:t>
            </w:r>
          </w:p>
        </w:tc>
        <w:tc>
          <w:tcPr>
            <w:tcW w:w="7273" w:type="dxa"/>
            <w:gridSpan w:val="3"/>
          </w:tcPr>
          <w:p w14:paraId="1225471E"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Cold Hard Facts 1, the original refrigeration and air conditioning (RAC) study undertaken by the authors in 2007 based on 2006 data.</w:t>
            </w:r>
          </w:p>
        </w:tc>
      </w:tr>
      <w:tr w:rsidR="00501217" w:rsidRPr="008C4425" w14:paraId="3EC77A9B" w14:textId="77777777" w:rsidTr="00E42FBC">
        <w:trPr>
          <w:trHeight w:val="342"/>
        </w:trPr>
        <w:tc>
          <w:tcPr>
            <w:tcW w:w="2219" w:type="dxa"/>
          </w:tcPr>
          <w:p w14:paraId="3A5C6A39"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CHF2</w:t>
            </w:r>
          </w:p>
        </w:tc>
        <w:tc>
          <w:tcPr>
            <w:tcW w:w="7273" w:type="dxa"/>
            <w:gridSpan w:val="3"/>
          </w:tcPr>
          <w:p w14:paraId="0663D3F8"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Cold Hard Facts 2, an updated study of the RAC industry in Australia with an expanded brief to encompass new application/equipment classes, new and emerging refrigerants, and report on the refrigerant bank.</w:t>
            </w:r>
            <w:r>
              <w:rPr>
                <w:rFonts w:asciiTheme="majorHAnsi" w:hAnsiTheme="majorHAnsi"/>
                <w:sz w:val="18"/>
                <w:szCs w:val="22"/>
              </w:rPr>
              <w:t xml:space="preserve"> The second RAC study was undertaken in 2013 based on 2012 data.</w:t>
            </w:r>
          </w:p>
        </w:tc>
      </w:tr>
      <w:tr w:rsidR="006F22F4" w:rsidRPr="008C4425" w14:paraId="31A77DA2" w14:textId="77777777" w:rsidTr="00E42FBC">
        <w:trPr>
          <w:trHeight w:val="342"/>
        </w:trPr>
        <w:tc>
          <w:tcPr>
            <w:tcW w:w="2219" w:type="dxa"/>
          </w:tcPr>
          <w:p w14:paraId="70BE445E" w14:textId="00BC9CB5" w:rsidR="006F22F4" w:rsidRPr="008C4425" w:rsidRDefault="006F22F4" w:rsidP="0095284B">
            <w:pPr>
              <w:pStyle w:val="BodyText"/>
              <w:spacing w:before="60" w:after="60"/>
              <w:jc w:val="left"/>
              <w:rPr>
                <w:rFonts w:asciiTheme="majorHAnsi" w:hAnsiTheme="majorHAnsi"/>
                <w:sz w:val="18"/>
                <w:szCs w:val="22"/>
              </w:rPr>
            </w:pPr>
            <w:r>
              <w:rPr>
                <w:rFonts w:asciiTheme="majorHAnsi" w:hAnsiTheme="majorHAnsi"/>
                <w:sz w:val="18"/>
                <w:szCs w:val="22"/>
              </w:rPr>
              <w:t>CHF3</w:t>
            </w:r>
          </w:p>
        </w:tc>
        <w:tc>
          <w:tcPr>
            <w:tcW w:w="7273" w:type="dxa"/>
            <w:gridSpan w:val="3"/>
          </w:tcPr>
          <w:p w14:paraId="4E51C2B5" w14:textId="5FEEED9A" w:rsidR="006F22F4" w:rsidRPr="008C4425" w:rsidRDefault="006F22F4"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Cold Hard Facts </w:t>
            </w:r>
            <w:r>
              <w:rPr>
                <w:rFonts w:asciiTheme="majorHAnsi" w:hAnsiTheme="majorHAnsi"/>
                <w:sz w:val="18"/>
                <w:szCs w:val="22"/>
              </w:rPr>
              <w:t>3</w:t>
            </w:r>
            <w:r w:rsidRPr="008C4425">
              <w:rPr>
                <w:rFonts w:asciiTheme="majorHAnsi" w:hAnsiTheme="majorHAnsi"/>
                <w:sz w:val="18"/>
                <w:szCs w:val="22"/>
              </w:rPr>
              <w:t>, an updated study of the RAC industry in Australia with an expanded brief to encompass new application/equipment classes, new and emerging refrigerants, and report on the refrigerant bank.</w:t>
            </w:r>
            <w:r>
              <w:rPr>
                <w:rFonts w:asciiTheme="majorHAnsi" w:hAnsiTheme="majorHAnsi"/>
                <w:sz w:val="18"/>
                <w:szCs w:val="22"/>
              </w:rPr>
              <w:t xml:space="preserve"> The third RAC study was undertaken in 2017 and 2018 based on 2016 data.</w:t>
            </w:r>
          </w:p>
        </w:tc>
      </w:tr>
      <w:tr w:rsidR="00501217" w:rsidRPr="008C4425" w14:paraId="5555377C" w14:textId="77777777" w:rsidTr="00E42FBC">
        <w:trPr>
          <w:trHeight w:val="342"/>
        </w:trPr>
        <w:tc>
          <w:tcPr>
            <w:tcW w:w="2219" w:type="dxa"/>
          </w:tcPr>
          <w:p w14:paraId="05B757EA"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Chlorofluorocarbons (CFCs)</w:t>
            </w:r>
          </w:p>
        </w:tc>
        <w:tc>
          <w:tcPr>
            <w:tcW w:w="7273" w:type="dxa"/>
            <w:gridSpan w:val="3"/>
          </w:tcPr>
          <w:p w14:paraId="65B46A0C" w14:textId="1DD1AC06"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Molecules containing carbon, fluorine, and chlorine. CFCs are </w:t>
            </w:r>
            <w:r>
              <w:rPr>
                <w:rFonts w:asciiTheme="majorHAnsi" w:hAnsiTheme="majorHAnsi"/>
                <w:sz w:val="18"/>
                <w:szCs w:val="22"/>
              </w:rPr>
              <w:t xml:space="preserve">one of </w:t>
            </w:r>
            <w:r w:rsidRPr="008C4425">
              <w:rPr>
                <w:rFonts w:asciiTheme="majorHAnsi" w:hAnsiTheme="majorHAnsi"/>
                <w:sz w:val="18"/>
                <w:szCs w:val="22"/>
              </w:rPr>
              <w:t>the major ozone depleting substance</w:t>
            </w:r>
            <w:r>
              <w:rPr>
                <w:rFonts w:asciiTheme="majorHAnsi" w:hAnsiTheme="majorHAnsi"/>
                <w:sz w:val="18"/>
                <w:szCs w:val="22"/>
              </w:rPr>
              <w:t>s</w:t>
            </w:r>
            <w:r w:rsidRPr="008C4425">
              <w:rPr>
                <w:rFonts w:asciiTheme="majorHAnsi" w:hAnsiTheme="majorHAnsi"/>
                <w:sz w:val="18"/>
                <w:szCs w:val="22"/>
              </w:rPr>
              <w:t xml:space="preserve"> phased out by the Montreal Protocol on Substances that Deplete the Ozone Layer. CFCs are </w:t>
            </w:r>
            <w:r>
              <w:rPr>
                <w:rFonts w:asciiTheme="majorHAnsi" w:hAnsiTheme="majorHAnsi"/>
                <w:sz w:val="18"/>
                <w:szCs w:val="22"/>
              </w:rPr>
              <w:t xml:space="preserve">also </w:t>
            </w:r>
            <w:r w:rsidRPr="008C4425">
              <w:rPr>
                <w:rFonts w:asciiTheme="majorHAnsi" w:hAnsiTheme="majorHAnsi"/>
                <w:sz w:val="18"/>
                <w:szCs w:val="22"/>
              </w:rPr>
              <w:t>potent greenhouse gases.</w:t>
            </w:r>
            <w:r>
              <w:rPr>
                <w:rFonts w:asciiTheme="majorHAnsi" w:hAnsiTheme="majorHAnsi"/>
                <w:sz w:val="18"/>
                <w:szCs w:val="22"/>
              </w:rPr>
              <w:t xml:space="preserve"> </w:t>
            </w:r>
            <w:r w:rsidRPr="00AF25A2">
              <w:rPr>
                <w:rFonts w:asciiTheme="majorHAnsi" w:hAnsiTheme="majorHAnsi"/>
                <w:sz w:val="18"/>
                <w:szCs w:val="22"/>
              </w:rPr>
              <w:t xml:space="preserve">CFCs </w:t>
            </w:r>
            <w:r>
              <w:rPr>
                <w:rFonts w:asciiTheme="majorHAnsi" w:hAnsiTheme="majorHAnsi"/>
                <w:sz w:val="18"/>
                <w:szCs w:val="22"/>
              </w:rPr>
              <w:t xml:space="preserve">and HCFCs </w:t>
            </w:r>
            <w:r w:rsidRPr="00AF25A2">
              <w:rPr>
                <w:rFonts w:asciiTheme="majorHAnsi" w:hAnsiTheme="majorHAnsi"/>
                <w:sz w:val="18"/>
                <w:szCs w:val="22"/>
              </w:rPr>
              <w:t>are not co</w:t>
            </w:r>
            <w:r>
              <w:rPr>
                <w:rFonts w:asciiTheme="majorHAnsi" w:hAnsiTheme="majorHAnsi"/>
                <w:sz w:val="18"/>
                <w:szCs w:val="22"/>
              </w:rPr>
              <w:t xml:space="preserve">unted </w:t>
            </w:r>
            <w:r w:rsidRPr="00AF25A2">
              <w:rPr>
                <w:rFonts w:asciiTheme="majorHAnsi" w:hAnsiTheme="majorHAnsi"/>
                <w:sz w:val="18"/>
                <w:szCs w:val="22"/>
              </w:rPr>
              <w:t xml:space="preserve">as part of the GHGs reported under the Kyoto </w:t>
            </w:r>
            <w:r>
              <w:rPr>
                <w:rFonts w:asciiTheme="majorHAnsi" w:hAnsiTheme="majorHAnsi"/>
                <w:sz w:val="18"/>
                <w:szCs w:val="22"/>
              </w:rPr>
              <w:t>P</w:t>
            </w:r>
            <w:r w:rsidRPr="00AF25A2">
              <w:rPr>
                <w:rFonts w:asciiTheme="majorHAnsi" w:hAnsiTheme="majorHAnsi"/>
                <w:sz w:val="18"/>
                <w:szCs w:val="22"/>
              </w:rPr>
              <w:t>rotocol o</w:t>
            </w:r>
            <w:r w:rsidR="006F22F4">
              <w:rPr>
                <w:rFonts w:asciiTheme="majorHAnsi" w:hAnsiTheme="majorHAnsi"/>
                <w:sz w:val="18"/>
                <w:szCs w:val="22"/>
              </w:rPr>
              <w:t>f</w:t>
            </w:r>
            <w:r w:rsidRPr="00AF25A2">
              <w:rPr>
                <w:rFonts w:asciiTheme="majorHAnsi" w:hAnsiTheme="majorHAnsi"/>
                <w:sz w:val="18"/>
                <w:szCs w:val="22"/>
              </w:rPr>
              <w:t xml:space="preserve"> </w:t>
            </w:r>
            <w:r w:rsidR="006F22F4">
              <w:rPr>
                <w:rFonts w:asciiTheme="majorHAnsi" w:hAnsiTheme="majorHAnsi"/>
                <w:sz w:val="18"/>
                <w:szCs w:val="22"/>
              </w:rPr>
              <w:t xml:space="preserve">the </w:t>
            </w:r>
            <w:r w:rsidRPr="00AF25A2">
              <w:rPr>
                <w:rFonts w:asciiTheme="majorHAnsi" w:hAnsiTheme="majorHAnsi"/>
                <w:sz w:val="18"/>
                <w:szCs w:val="22"/>
              </w:rPr>
              <w:t xml:space="preserve">United Nations </w:t>
            </w:r>
            <w:r>
              <w:rPr>
                <w:rFonts w:asciiTheme="majorHAnsi" w:hAnsiTheme="majorHAnsi"/>
                <w:sz w:val="18"/>
                <w:szCs w:val="22"/>
              </w:rPr>
              <w:t xml:space="preserve">Framework </w:t>
            </w:r>
            <w:r w:rsidRPr="00AF25A2">
              <w:rPr>
                <w:rFonts w:asciiTheme="majorHAnsi" w:hAnsiTheme="majorHAnsi"/>
                <w:sz w:val="18"/>
                <w:szCs w:val="22"/>
              </w:rPr>
              <w:t>Convention on Climate Change</w:t>
            </w:r>
            <w:r>
              <w:rPr>
                <w:rFonts w:asciiTheme="majorHAnsi" w:hAnsiTheme="majorHAnsi"/>
                <w:sz w:val="18"/>
                <w:szCs w:val="22"/>
              </w:rPr>
              <w:t xml:space="preserve">, as they managed through the </w:t>
            </w:r>
            <w:r w:rsidRPr="00436438">
              <w:rPr>
                <w:rFonts w:asciiTheme="majorHAnsi" w:hAnsiTheme="majorHAnsi"/>
                <w:sz w:val="18"/>
                <w:szCs w:val="22"/>
              </w:rPr>
              <w:t>Montreal Protocol.</w:t>
            </w:r>
          </w:p>
        </w:tc>
      </w:tr>
      <w:tr w:rsidR="00501217" w:rsidRPr="008C4425" w14:paraId="2F17C5F6" w14:textId="77777777" w:rsidTr="00E42FBC">
        <w:trPr>
          <w:trHeight w:val="342"/>
        </w:trPr>
        <w:tc>
          <w:tcPr>
            <w:tcW w:w="2219" w:type="dxa"/>
          </w:tcPr>
          <w:p w14:paraId="413E63D1"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Coefficient of performance (COP)</w:t>
            </w:r>
          </w:p>
        </w:tc>
        <w:tc>
          <w:tcPr>
            <w:tcW w:w="7273" w:type="dxa"/>
            <w:gridSpan w:val="3"/>
          </w:tcPr>
          <w:p w14:paraId="1188259E" w14:textId="5739C7EE"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The ratio of the heat </w:t>
            </w:r>
            <w:r w:rsidRPr="00870F76">
              <w:rPr>
                <w:rFonts w:asciiTheme="majorHAnsi" w:hAnsiTheme="majorHAnsi"/>
                <w:sz w:val="18"/>
                <w:szCs w:val="22"/>
                <w:lang w:val="en-GB"/>
              </w:rPr>
              <w:t>extraction</w:t>
            </w:r>
            <w:r w:rsidRPr="008C4425">
              <w:rPr>
                <w:rFonts w:asciiTheme="majorHAnsi" w:hAnsiTheme="majorHAnsi"/>
                <w:sz w:val="18"/>
                <w:szCs w:val="22"/>
              </w:rPr>
              <w:t xml:space="preserve"> rate divided by the power consumed by the refrigeration compressor(s) and necessary ancillaries. The COP is dimensionless and is used to express the system efficiency.</w:t>
            </w:r>
            <w:r>
              <w:rPr>
                <w:rFonts w:asciiTheme="majorHAnsi" w:hAnsiTheme="majorHAnsi"/>
                <w:sz w:val="18"/>
                <w:szCs w:val="22"/>
              </w:rPr>
              <w:t xml:space="preserve"> COP is also an efficiency measure used for reverse cycle air conditioners when operating in heating mode. </w:t>
            </w:r>
            <w:r w:rsidRPr="00236A2B">
              <w:rPr>
                <w:rFonts w:asciiTheme="majorHAnsi" w:hAnsiTheme="majorHAnsi"/>
                <w:sz w:val="18"/>
                <w:szCs w:val="22"/>
              </w:rPr>
              <w:t>Greenhouse and Energy Minimum Standards</w:t>
            </w:r>
            <w:r>
              <w:rPr>
                <w:rFonts w:asciiTheme="majorHAnsi" w:hAnsiTheme="majorHAnsi"/>
                <w:sz w:val="18"/>
                <w:szCs w:val="22"/>
              </w:rPr>
              <w:t xml:space="preserve"> for split system air conditioning now use an </w:t>
            </w:r>
            <w:proofErr w:type="spellStart"/>
            <w:r w:rsidRPr="00236A2B">
              <w:rPr>
                <w:rFonts w:asciiTheme="majorHAnsi" w:hAnsiTheme="majorHAnsi"/>
                <w:sz w:val="18"/>
                <w:szCs w:val="22"/>
              </w:rPr>
              <w:t>annualised</w:t>
            </w:r>
            <w:proofErr w:type="spellEnd"/>
            <w:r w:rsidRPr="00236A2B">
              <w:rPr>
                <w:rFonts w:asciiTheme="majorHAnsi" w:hAnsiTheme="majorHAnsi"/>
                <w:sz w:val="18"/>
                <w:szCs w:val="22"/>
              </w:rPr>
              <w:t xml:space="preserve"> version of these metrics</w:t>
            </w:r>
            <w:r w:rsidR="006F22F4">
              <w:rPr>
                <w:rFonts w:asciiTheme="majorHAnsi" w:hAnsiTheme="majorHAnsi"/>
                <w:sz w:val="18"/>
                <w:szCs w:val="22"/>
              </w:rPr>
              <w:t>; annual energy efficiency ratio (</w:t>
            </w:r>
            <w:r w:rsidRPr="00236A2B">
              <w:rPr>
                <w:rFonts w:asciiTheme="majorHAnsi" w:hAnsiTheme="majorHAnsi"/>
                <w:sz w:val="18"/>
                <w:szCs w:val="22"/>
              </w:rPr>
              <w:t>AEER</w:t>
            </w:r>
            <w:r w:rsidR="006F22F4">
              <w:rPr>
                <w:rFonts w:asciiTheme="majorHAnsi" w:hAnsiTheme="majorHAnsi"/>
                <w:sz w:val="18"/>
                <w:szCs w:val="22"/>
              </w:rPr>
              <w:t xml:space="preserve">) </w:t>
            </w:r>
            <w:r w:rsidRPr="00236A2B">
              <w:rPr>
                <w:rFonts w:asciiTheme="majorHAnsi" w:hAnsiTheme="majorHAnsi"/>
                <w:sz w:val="18"/>
                <w:szCs w:val="22"/>
              </w:rPr>
              <w:t xml:space="preserve">and </w:t>
            </w:r>
            <w:r w:rsidR="006F22F4">
              <w:rPr>
                <w:rFonts w:asciiTheme="majorHAnsi" w:hAnsiTheme="majorHAnsi"/>
                <w:sz w:val="18"/>
                <w:szCs w:val="22"/>
              </w:rPr>
              <w:t>annual c</w:t>
            </w:r>
            <w:r w:rsidR="006F22F4" w:rsidRPr="006F22F4">
              <w:rPr>
                <w:rFonts w:asciiTheme="majorHAnsi" w:hAnsiTheme="majorHAnsi"/>
                <w:sz w:val="18"/>
                <w:szCs w:val="22"/>
              </w:rPr>
              <w:t xml:space="preserve">oefficient of performance </w:t>
            </w:r>
            <w:r w:rsidR="006F22F4">
              <w:rPr>
                <w:rFonts w:asciiTheme="majorHAnsi" w:hAnsiTheme="majorHAnsi"/>
                <w:sz w:val="18"/>
                <w:szCs w:val="22"/>
              </w:rPr>
              <w:t>(</w:t>
            </w:r>
            <w:r w:rsidRPr="00236A2B">
              <w:rPr>
                <w:rFonts w:asciiTheme="majorHAnsi" w:hAnsiTheme="majorHAnsi"/>
                <w:sz w:val="18"/>
                <w:szCs w:val="22"/>
              </w:rPr>
              <w:t>ACOP)</w:t>
            </w:r>
            <w:r>
              <w:rPr>
                <w:rFonts w:asciiTheme="majorHAnsi" w:hAnsiTheme="majorHAnsi"/>
                <w:sz w:val="18"/>
                <w:szCs w:val="22"/>
              </w:rPr>
              <w:t>.</w:t>
            </w:r>
          </w:p>
        </w:tc>
      </w:tr>
      <w:tr w:rsidR="00501217" w:rsidRPr="008C4425" w14:paraId="4CD584BC" w14:textId="77777777" w:rsidTr="00E42FBC">
        <w:trPr>
          <w:trHeight w:val="342"/>
        </w:trPr>
        <w:tc>
          <w:tcPr>
            <w:tcW w:w="2219" w:type="dxa"/>
          </w:tcPr>
          <w:p w14:paraId="3E12449C"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Compressor</w:t>
            </w:r>
          </w:p>
        </w:tc>
        <w:tc>
          <w:tcPr>
            <w:tcW w:w="7273" w:type="dxa"/>
            <w:gridSpan w:val="3"/>
          </w:tcPr>
          <w:p w14:paraId="5DDEF122"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A device in the air conditioning or refrigeration circuit which compresses refrigerant </w:t>
            </w:r>
            <w:proofErr w:type="spellStart"/>
            <w:r w:rsidRPr="008C4425">
              <w:rPr>
                <w:rFonts w:asciiTheme="majorHAnsi" w:hAnsiTheme="majorHAnsi"/>
                <w:sz w:val="18"/>
                <w:szCs w:val="22"/>
              </w:rPr>
              <w:t>vapour</w:t>
            </w:r>
            <w:proofErr w:type="spellEnd"/>
            <w:r w:rsidRPr="008C4425">
              <w:rPr>
                <w:rFonts w:asciiTheme="majorHAnsi" w:hAnsiTheme="majorHAnsi"/>
                <w:sz w:val="18"/>
                <w:szCs w:val="22"/>
              </w:rPr>
              <w:t xml:space="preserve"> </w:t>
            </w:r>
            <w:r>
              <w:rPr>
                <w:rFonts w:asciiTheme="majorHAnsi" w:hAnsiTheme="majorHAnsi"/>
                <w:sz w:val="18"/>
                <w:szCs w:val="22"/>
              </w:rPr>
              <w:t>a</w:t>
            </w:r>
            <w:r w:rsidRPr="008C4425">
              <w:rPr>
                <w:rFonts w:asciiTheme="majorHAnsi" w:hAnsiTheme="majorHAnsi"/>
                <w:sz w:val="18"/>
                <w:szCs w:val="22"/>
              </w:rPr>
              <w:t>nd circulates that refrigerant through to its phases of condensation and evaporation, in order to produce the refrigeration effect. The compressor is available in many forms such as piston, scroll, or screw.</w:t>
            </w:r>
          </w:p>
        </w:tc>
      </w:tr>
      <w:tr w:rsidR="00501217" w:rsidRPr="008C4425" w14:paraId="37292E90" w14:textId="77777777" w:rsidTr="00E42FBC">
        <w:trPr>
          <w:trHeight w:val="342"/>
        </w:trPr>
        <w:tc>
          <w:tcPr>
            <w:tcW w:w="2219" w:type="dxa"/>
          </w:tcPr>
          <w:p w14:paraId="365202E7"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Compressor rack</w:t>
            </w:r>
          </w:p>
        </w:tc>
        <w:tc>
          <w:tcPr>
            <w:tcW w:w="7273" w:type="dxa"/>
            <w:gridSpan w:val="3"/>
          </w:tcPr>
          <w:p w14:paraId="03463342"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The machine assembly which accommodates the main high pressure components of a refrigeration circuit in a single structure, allowing off site connection to associated pipe work and vessels.</w:t>
            </w:r>
          </w:p>
        </w:tc>
      </w:tr>
      <w:tr w:rsidR="00501217" w:rsidRPr="008C4425" w14:paraId="5BEB47C2" w14:textId="77777777" w:rsidTr="00E42FBC">
        <w:trPr>
          <w:trHeight w:val="342"/>
        </w:trPr>
        <w:tc>
          <w:tcPr>
            <w:tcW w:w="2219" w:type="dxa"/>
          </w:tcPr>
          <w:p w14:paraId="41EC1E03"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Condensing unit</w:t>
            </w:r>
          </w:p>
        </w:tc>
        <w:tc>
          <w:tcPr>
            <w:tcW w:w="7273" w:type="dxa"/>
            <w:gridSpan w:val="3"/>
          </w:tcPr>
          <w:p w14:paraId="1A481F73" w14:textId="4E253CCC"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Condensing </w:t>
            </w:r>
            <w:proofErr w:type="gramStart"/>
            <w:r w:rsidRPr="008C4425">
              <w:rPr>
                <w:rFonts w:asciiTheme="majorHAnsi" w:hAnsiTheme="majorHAnsi"/>
                <w:sz w:val="18"/>
                <w:szCs w:val="22"/>
              </w:rPr>
              <w:t>units</w:t>
            </w:r>
            <w:proofErr w:type="gramEnd"/>
            <w:r w:rsidRPr="008C4425">
              <w:rPr>
                <w:rFonts w:asciiTheme="majorHAnsi" w:hAnsiTheme="majorHAnsi"/>
                <w:sz w:val="18"/>
                <w:szCs w:val="22"/>
              </w:rPr>
              <w:t xml:space="preserve"> exhibit refrigerating capacities ranging typically from 1 </w:t>
            </w:r>
            <w:proofErr w:type="spellStart"/>
            <w:r w:rsidRPr="008C4425">
              <w:rPr>
                <w:rFonts w:asciiTheme="majorHAnsi" w:hAnsiTheme="majorHAnsi"/>
                <w:sz w:val="18"/>
                <w:szCs w:val="22"/>
              </w:rPr>
              <w:t>kWr</w:t>
            </w:r>
            <w:proofErr w:type="spellEnd"/>
            <w:r w:rsidRPr="008C4425">
              <w:rPr>
                <w:rFonts w:asciiTheme="majorHAnsi" w:hAnsiTheme="majorHAnsi"/>
                <w:sz w:val="18"/>
                <w:szCs w:val="22"/>
              </w:rPr>
              <w:t xml:space="preserve"> to </w:t>
            </w:r>
            <w:r w:rsidR="003E64F4">
              <w:rPr>
                <w:rFonts w:asciiTheme="majorHAnsi" w:hAnsiTheme="majorHAnsi"/>
                <w:sz w:val="18"/>
                <w:szCs w:val="22"/>
              </w:rPr>
              <w:t>65</w:t>
            </w:r>
            <w:r w:rsidRPr="008C4425">
              <w:rPr>
                <w:rFonts w:asciiTheme="majorHAnsi" w:hAnsiTheme="majorHAnsi"/>
                <w:sz w:val="18"/>
                <w:szCs w:val="22"/>
              </w:rPr>
              <w:t xml:space="preserve"> </w:t>
            </w:r>
            <w:proofErr w:type="spellStart"/>
            <w:r w:rsidRPr="008C4425">
              <w:rPr>
                <w:rFonts w:asciiTheme="majorHAnsi" w:hAnsiTheme="majorHAnsi"/>
                <w:sz w:val="18"/>
                <w:szCs w:val="22"/>
              </w:rPr>
              <w:t>kWr</w:t>
            </w:r>
            <w:proofErr w:type="spellEnd"/>
            <w:r w:rsidR="006F22F4">
              <w:rPr>
                <w:rFonts w:asciiTheme="majorHAnsi" w:hAnsiTheme="majorHAnsi"/>
                <w:sz w:val="18"/>
                <w:szCs w:val="22"/>
              </w:rPr>
              <w:t>;</w:t>
            </w:r>
            <w:r w:rsidRPr="008C4425">
              <w:rPr>
                <w:rFonts w:asciiTheme="majorHAnsi" w:hAnsiTheme="majorHAnsi"/>
                <w:sz w:val="18"/>
                <w:szCs w:val="22"/>
              </w:rPr>
              <w:t xml:space="preserve"> they are composed of one (or two) compressor(s), one condenser, and one receiver assembled into a ‘condensing unit’.</w:t>
            </w:r>
          </w:p>
        </w:tc>
      </w:tr>
      <w:tr w:rsidR="00501217" w:rsidRPr="008C4425" w14:paraId="0B28E911" w14:textId="77777777" w:rsidTr="00E42FBC">
        <w:trPr>
          <w:trHeight w:val="342"/>
        </w:trPr>
        <w:tc>
          <w:tcPr>
            <w:tcW w:w="2219" w:type="dxa"/>
          </w:tcPr>
          <w:p w14:paraId="6C2CB42B"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CO</w:t>
            </w:r>
            <w:r w:rsidRPr="008C4425">
              <w:rPr>
                <w:rFonts w:asciiTheme="majorHAnsi" w:hAnsiTheme="majorHAnsi"/>
                <w:sz w:val="18"/>
                <w:szCs w:val="22"/>
                <w:vertAlign w:val="subscript"/>
                <w:lang w:val="en-AU"/>
              </w:rPr>
              <w:t>2</w:t>
            </w:r>
            <w:r w:rsidRPr="008C4425">
              <w:rPr>
                <w:rFonts w:asciiTheme="majorHAnsi" w:hAnsiTheme="majorHAnsi"/>
                <w:sz w:val="18"/>
                <w:szCs w:val="22"/>
                <w:lang w:val="en-AU"/>
              </w:rPr>
              <w:t xml:space="preserve"> refrigerant</w:t>
            </w:r>
          </w:p>
        </w:tc>
        <w:tc>
          <w:tcPr>
            <w:tcW w:w="7273" w:type="dxa"/>
            <w:gridSpan w:val="3"/>
          </w:tcPr>
          <w:p w14:paraId="0A08B588" w14:textId="77777777" w:rsidR="00501217" w:rsidRPr="008C4425" w:rsidRDefault="00501217" w:rsidP="009A23AA">
            <w:pPr>
              <w:pStyle w:val="BodyText"/>
              <w:spacing w:before="60" w:after="60"/>
              <w:rPr>
                <w:rFonts w:asciiTheme="majorHAnsi" w:hAnsiTheme="majorHAnsi"/>
                <w:sz w:val="18"/>
                <w:szCs w:val="22"/>
              </w:rPr>
            </w:pPr>
            <w:r>
              <w:rPr>
                <w:rFonts w:asciiTheme="majorHAnsi" w:hAnsiTheme="majorHAnsi"/>
                <w:sz w:val="18"/>
                <w:szCs w:val="22"/>
                <w:lang w:val="en-AU"/>
              </w:rPr>
              <w:t>Carbon dioxide is a</w:t>
            </w:r>
            <w:r w:rsidRPr="008C4425">
              <w:rPr>
                <w:rFonts w:asciiTheme="majorHAnsi" w:hAnsiTheme="majorHAnsi"/>
                <w:sz w:val="18"/>
                <w:szCs w:val="22"/>
                <w:lang w:val="en-AU"/>
              </w:rPr>
              <w:t xml:space="preserve"> widely used industrial refrigerant with high thermodynamic properties</w:t>
            </w:r>
            <w:r>
              <w:rPr>
                <w:rFonts w:asciiTheme="majorHAnsi" w:hAnsiTheme="majorHAnsi"/>
                <w:sz w:val="18"/>
                <w:szCs w:val="22"/>
                <w:lang w:val="en-AU"/>
              </w:rPr>
              <w:t>,</w:t>
            </w:r>
            <w:r w:rsidRPr="008C4425">
              <w:rPr>
                <w:rFonts w:asciiTheme="majorHAnsi" w:hAnsiTheme="majorHAnsi"/>
                <w:sz w:val="18"/>
                <w:szCs w:val="22"/>
                <w:lang w:val="en-AU"/>
              </w:rPr>
              <w:t xml:space="preserve"> </w:t>
            </w:r>
            <w:r>
              <w:rPr>
                <w:rFonts w:asciiTheme="majorHAnsi" w:hAnsiTheme="majorHAnsi"/>
                <w:sz w:val="18"/>
                <w:szCs w:val="22"/>
                <w:lang w:val="en-AU"/>
              </w:rPr>
              <w:t xml:space="preserve">and </w:t>
            </w:r>
            <w:r w:rsidRPr="008C4425">
              <w:rPr>
                <w:rFonts w:asciiTheme="majorHAnsi" w:hAnsiTheme="majorHAnsi"/>
                <w:sz w:val="18"/>
                <w:szCs w:val="22"/>
                <w:lang w:val="en-AU"/>
              </w:rPr>
              <w:t>is suitable for process refrigeration applications, and automotive air conditioning use. In the past its high operating pressures have limited its use in small to medium commercial refrigeration applications. Technical innovation such as micro cascade systems and commercial availability of components such as compressors and other in line accessories is assisting its transition into smaller scale applications.</w:t>
            </w:r>
          </w:p>
        </w:tc>
      </w:tr>
      <w:tr w:rsidR="00501217" w:rsidRPr="008C4425" w14:paraId="22A82CED" w14:textId="77777777" w:rsidTr="00E42FBC">
        <w:trPr>
          <w:trHeight w:val="342"/>
        </w:trPr>
        <w:tc>
          <w:tcPr>
            <w:tcW w:w="2219" w:type="dxa"/>
          </w:tcPr>
          <w:p w14:paraId="3B81EFAB"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CO</w:t>
            </w:r>
            <w:r w:rsidRPr="008C4425">
              <w:rPr>
                <w:rFonts w:asciiTheme="majorHAnsi" w:hAnsiTheme="majorHAnsi"/>
                <w:sz w:val="18"/>
                <w:szCs w:val="22"/>
                <w:vertAlign w:val="subscript"/>
                <w:lang w:val="en-AU"/>
              </w:rPr>
              <w:t>2</w:t>
            </w:r>
            <w:r w:rsidRPr="008C4425">
              <w:rPr>
                <w:rFonts w:asciiTheme="majorHAnsi" w:hAnsiTheme="majorHAnsi"/>
                <w:sz w:val="18"/>
                <w:szCs w:val="22"/>
                <w:lang w:val="en-AU"/>
              </w:rPr>
              <w:t>e</w:t>
            </w:r>
          </w:p>
        </w:tc>
        <w:tc>
          <w:tcPr>
            <w:tcW w:w="7273" w:type="dxa"/>
            <w:gridSpan w:val="3"/>
          </w:tcPr>
          <w:p w14:paraId="02D43955"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lang w:val="en-AU"/>
              </w:rPr>
              <w:t xml:space="preserve">Carbon dioxide equivalent </w:t>
            </w:r>
            <w:r>
              <w:rPr>
                <w:rFonts w:asciiTheme="majorHAnsi" w:hAnsiTheme="majorHAnsi"/>
                <w:sz w:val="18"/>
                <w:szCs w:val="22"/>
                <w:lang w:val="en-AU"/>
              </w:rPr>
              <w:t>is a</w:t>
            </w:r>
            <w:r w:rsidRPr="003440C8">
              <w:rPr>
                <w:rFonts w:asciiTheme="majorHAnsi" w:hAnsiTheme="majorHAnsi"/>
                <w:sz w:val="18"/>
                <w:szCs w:val="22"/>
                <w:lang w:val="en-AU"/>
              </w:rPr>
              <w:t xml:space="preserve"> measure that quantifies different greenhouse gases in terms of the amount of carbon dioxide that would deliver the same global warming.</w:t>
            </w:r>
          </w:p>
        </w:tc>
      </w:tr>
      <w:tr w:rsidR="00501217" w:rsidRPr="008C4425" w14:paraId="3F342B27" w14:textId="77777777" w:rsidTr="00E42FBC">
        <w:trPr>
          <w:trHeight w:val="342"/>
        </w:trPr>
        <w:tc>
          <w:tcPr>
            <w:tcW w:w="2219" w:type="dxa"/>
          </w:tcPr>
          <w:p w14:paraId="28D038AC"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Direct emissions</w:t>
            </w:r>
          </w:p>
        </w:tc>
        <w:tc>
          <w:tcPr>
            <w:tcW w:w="7273" w:type="dxa"/>
            <w:gridSpan w:val="3"/>
          </w:tcPr>
          <w:p w14:paraId="571AEE48"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lang w:val="en-AU"/>
              </w:rPr>
              <w:t>Global warming effect arising from emissions of refrigerant from the equipment.</w:t>
            </w:r>
          </w:p>
        </w:tc>
      </w:tr>
      <w:tr w:rsidR="00501217" w:rsidRPr="008C4425" w14:paraId="1AF1B404" w14:textId="77777777" w:rsidTr="00E42FBC">
        <w:trPr>
          <w:trHeight w:val="342"/>
        </w:trPr>
        <w:tc>
          <w:tcPr>
            <w:tcW w:w="2219" w:type="dxa"/>
          </w:tcPr>
          <w:p w14:paraId="4F685FB1" w14:textId="3829B552" w:rsidR="00501217" w:rsidRPr="008C4425" w:rsidRDefault="00501217" w:rsidP="0095284B">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Drop-in refrigerant</w:t>
            </w:r>
          </w:p>
        </w:tc>
        <w:tc>
          <w:tcPr>
            <w:tcW w:w="7273" w:type="dxa"/>
            <w:gridSpan w:val="3"/>
          </w:tcPr>
          <w:p w14:paraId="722BF20C" w14:textId="4303BFF1" w:rsidR="00501217" w:rsidRPr="008C4425" w:rsidRDefault="00501217" w:rsidP="009A23AA">
            <w:pPr>
              <w:pStyle w:val="BodyText"/>
              <w:spacing w:before="60" w:after="60"/>
              <w:rPr>
                <w:rFonts w:asciiTheme="majorHAnsi" w:hAnsiTheme="majorHAnsi"/>
                <w:sz w:val="18"/>
              </w:rPr>
            </w:pPr>
            <w:r>
              <w:rPr>
                <w:rFonts w:asciiTheme="majorHAnsi" w:hAnsiTheme="majorHAnsi"/>
                <w:sz w:val="18"/>
              </w:rPr>
              <w:t>D</w:t>
            </w:r>
            <w:r w:rsidRPr="00FB4CDC">
              <w:rPr>
                <w:rFonts w:asciiTheme="majorHAnsi" w:hAnsiTheme="majorHAnsi"/>
                <w:sz w:val="18"/>
              </w:rPr>
              <w:t>rop-in</w:t>
            </w:r>
            <w:r w:rsidR="003E64F4">
              <w:rPr>
                <w:rFonts w:asciiTheme="majorHAnsi" w:hAnsiTheme="majorHAnsi"/>
                <w:sz w:val="18"/>
              </w:rPr>
              <w:t xml:space="preserve"> (or near drop-in) </w:t>
            </w:r>
            <w:r>
              <w:rPr>
                <w:rFonts w:asciiTheme="majorHAnsi" w:hAnsiTheme="majorHAnsi"/>
                <w:sz w:val="18"/>
              </w:rPr>
              <w:t>refrigerant replacements</w:t>
            </w:r>
            <w:r w:rsidRPr="00FB4CDC">
              <w:rPr>
                <w:rFonts w:asciiTheme="majorHAnsi" w:hAnsiTheme="majorHAnsi"/>
                <w:sz w:val="18"/>
              </w:rPr>
              <w:t xml:space="preserve"> are refrigerants that are intended to replace </w:t>
            </w:r>
            <w:r>
              <w:rPr>
                <w:rFonts w:asciiTheme="majorHAnsi" w:hAnsiTheme="majorHAnsi"/>
                <w:sz w:val="18"/>
              </w:rPr>
              <w:t xml:space="preserve">the </w:t>
            </w:r>
            <w:r w:rsidRPr="00FB4CDC">
              <w:rPr>
                <w:rFonts w:asciiTheme="majorHAnsi" w:hAnsiTheme="majorHAnsi"/>
                <w:sz w:val="18"/>
              </w:rPr>
              <w:t xml:space="preserve">original refrigerant </w:t>
            </w:r>
            <w:r>
              <w:rPr>
                <w:rFonts w:asciiTheme="majorHAnsi" w:hAnsiTheme="majorHAnsi"/>
                <w:sz w:val="18"/>
              </w:rPr>
              <w:t xml:space="preserve">with the same refrigerant classification (e.g. A1) and similar technical specification, </w:t>
            </w:r>
            <w:r w:rsidRPr="00FB4CDC">
              <w:rPr>
                <w:rFonts w:asciiTheme="majorHAnsi" w:hAnsiTheme="majorHAnsi"/>
                <w:sz w:val="18"/>
              </w:rPr>
              <w:t xml:space="preserve">and keep </w:t>
            </w:r>
            <w:r>
              <w:rPr>
                <w:rFonts w:asciiTheme="majorHAnsi" w:hAnsiTheme="majorHAnsi"/>
                <w:sz w:val="18"/>
              </w:rPr>
              <w:t xml:space="preserve">the </w:t>
            </w:r>
            <w:r w:rsidRPr="00FB4CDC">
              <w:rPr>
                <w:rFonts w:asciiTheme="majorHAnsi" w:hAnsiTheme="majorHAnsi"/>
                <w:sz w:val="18"/>
              </w:rPr>
              <w:t xml:space="preserve">system running </w:t>
            </w:r>
            <w:r>
              <w:rPr>
                <w:rFonts w:asciiTheme="majorHAnsi" w:hAnsiTheme="majorHAnsi"/>
                <w:sz w:val="18"/>
              </w:rPr>
              <w:t xml:space="preserve">to the same or similar specification. Examples of </w:t>
            </w:r>
            <w:r w:rsidRPr="00FB4CDC">
              <w:rPr>
                <w:rFonts w:asciiTheme="majorHAnsi" w:hAnsiTheme="majorHAnsi"/>
                <w:sz w:val="18"/>
              </w:rPr>
              <w:t>HCFC-22/CFC replacements include HFC-422D, HFC-437A, HFC-417A, HFC-422A, HFC-438A, HFC-426A, HFC-424A, HFC-428A, HCFC-508A, HCFC-508B, HCFC-408A and HCFC-409A.</w:t>
            </w:r>
            <w:r>
              <w:rPr>
                <w:rFonts w:asciiTheme="majorHAnsi" w:hAnsiTheme="majorHAnsi"/>
                <w:sz w:val="18"/>
              </w:rPr>
              <w:t xml:space="preserve"> Refer to refrigerant supplier instructions for further details.</w:t>
            </w:r>
          </w:p>
        </w:tc>
      </w:tr>
      <w:tr w:rsidR="00501217" w:rsidRPr="008C4425" w14:paraId="6A5A0F68" w14:textId="77777777" w:rsidTr="00E42FBC">
        <w:trPr>
          <w:trHeight w:val="342"/>
        </w:trPr>
        <w:tc>
          <w:tcPr>
            <w:tcW w:w="2219" w:type="dxa"/>
          </w:tcPr>
          <w:p w14:paraId="4593C875"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Energy Efficiency Ratio (EER)</w:t>
            </w:r>
          </w:p>
        </w:tc>
        <w:tc>
          <w:tcPr>
            <w:tcW w:w="7273" w:type="dxa"/>
            <w:gridSpan w:val="3"/>
          </w:tcPr>
          <w:p w14:paraId="517E0386" w14:textId="059A3E3F"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rPr>
              <w:t>The ratio of the cooling output (</w:t>
            </w:r>
            <w:proofErr w:type="spellStart"/>
            <w:r w:rsidRPr="008C4425">
              <w:rPr>
                <w:rFonts w:asciiTheme="majorHAnsi" w:hAnsiTheme="majorHAnsi"/>
                <w:sz w:val="18"/>
              </w:rPr>
              <w:t>kWr</w:t>
            </w:r>
            <w:proofErr w:type="spellEnd"/>
            <w:r w:rsidRPr="008C4425">
              <w:rPr>
                <w:rFonts w:asciiTheme="majorHAnsi" w:hAnsiTheme="majorHAnsi"/>
                <w:sz w:val="18"/>
              </w:rPr>
              <w:t>) divided by the total electric energy input. The EER is dimensionless and is used to express the air conditioning system cooling efficiency.</w:t>
            </w:r>
            <w:r>
              <w:rPr>
                <w:rFonts w:asciiTheme="majorHAnsi" w:hAnsiTheme="majorHAnsi"/>
                <w:sz w:val="18"/>
              </w:rPr>
              <w:t xml:space="preserve"> </w:t>
            </w:r>
            <w:r w:rsidRPr="00236A2B">
              <w:rPr>
                <w:rFonts w:asciiTheme="majorHAnsi" w:hAnsiTheme="majorHAnsi"/>
                <w:sz w:val="18"/>
              </w:rPr>
              <w:t xml:space="preserve">Greenhouse and Energy Minimum Standards for split system air conditioning now use an </w:t>
            </w:r>
            <w:proofErr w:type="spellStart"/>
            <w:r w:rsidRPr="00236A2B">
              <w:rPr>
                <w:rFonts w:asciiTheme="majorHAnsi" w:hAnsiTheme="majorHAnsi"/>
                <w:sz w:val="18"/>
              </w:rPr>
              <w:t>annualised</w:t>
            </w:r>
            <w:proofErr w:type="spellEnd"/>
            <w:r w:rsidRPr="00236A2B">
              <w:rPr>
                <w:rFonts w:asciiTheme="majorHAnsi" w:hAnsiTheme="majorHAnsi"/>
                <w:sz w:val="18"/>
              </w:rPr>
              <w:t xml:space="preserve"> version of th</w:t>
            </w:r>
            <w:r>
              <w:rPr>
                <w:rFonts w:asciiTheme="majorHAnsi" w:hAnsiTheme="majorHAnsi"/>
                <w:sz w:val="18"/>
              </w:rPr>
              <w:t xml:space="preserve">is </w:t>
            </w:r>
            <w:r w:rsidRPr="00236A2B">
              <w:rPr>
                <w:rFonts w:asciiTheme="majorHAnsi" w:hAnsiTheme="majorHAnsi"/>
                <w:sz w:val="18"/>
              </w:rPr>
              <w:t>metric (AEER</w:t>
            </w:r>
            <w:r>
              <w:rPr>
                <w:rFonts w:asciiTheme="majorHAnsi" w:hAnsiTheme="majorHAnsi"/>
                <w:sz w:val="18"/>
              </w:rPr>
              <w:t xml:space="preserve">), refer to </w:t>
            </w:r>
            <w:r w:rsidRPr="00236A2B">
              <w:rPr>
                <w:rFonts w:asciiTheme="majorHAnsi" w:hAnsiTheme="majorHAnsi"/>
                <w:sz w:val="18"/>
              </w:rPr>
              <w:t>COP</w:t>
            </w:r>
            <w:r>
              <w:rPr>
                <w:rFonts w:asciiTheme="majorHAnsi" w:hAnsiTheme="majorHAnsi"/>
                <w:sz w:val="18"/>
              </w:rPr>
              <w:t xml:space="preserve"> definition</w:t>
            </w:r>
            <w:r w:rsidRPr="00236A2B">
              <w:rPr>
                <w:rFonts w:asciiTheme="majorHAnsi" w:hAnsiTheme="majorHAnsi"/>
                <w:sz w:val="18"/>
              </w:rPr>
              <w:t>.</w:t>
            </w:r>
          </w:p>
        </w:tc>
      </w:tr>
      <w:tr w:rsidR="00501217" w:rsidRPr="008C4425" w14:paraId="3A3799F7" w14:textId="77777777" w:rsidTr="00E42FBC">
        <w:trPr>
          <w:trHeight w:val="342"/>
        </w:trPr>
        <w:tc>
          <w:tcPr>
            <w:tcW w:w="2219" w:type="dxa"/>
          </w:tcPr>
          <w:p w14:paraId="1C0DFFEB"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Energy consumption per year</w:t>
            </w:r>
          </w:p>
        </w:tc>
        <w:tc>
          <w:tcPr>
            <w:tcW w:w="7273" w:type="dxa"/>
            <w:gridSpan w:val="3"/>
          </w:tcPr>
          <w:p w14:paraId="601FACDE"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lang w:val="en-AU"/>
              </w:rPr>
              <w:t xml:space="preserve">Energy consumption of the appliance, equipment or system per annum in kWh per year, or </w:t>
            </w:r>
            <w:proofErr w:type="spellStart"/>
            <w:r w:rsidRPr="008C4425">
              <w:rPr>
                <w:rFonts w:asciiTheme="majorHAnsi" w:hAnsiTheme="majorHAnsi"/>
                <w:sz w:val="18"/>
                <w:szCs w:val="22"/>
                <w:lang w:val="en-AU"/>
              </w:rPr>
              <w:t>GWh</w:t>
            </w:r>
            <w:proofErr w:type="spellEnd"/>
            <w:r w:rsidRPr="008C4425">
              <w:rPr>
                <w:rFonts w:asciiTheme="majorHAnsi" w:hAnsiTheme="majorHAnsi"/>
                <w:sz w:val="18"/>
                <w:szCs w:val="22"/>
                <w:lang w:val="en-AU"/>
              </w:rPr>
              <w:t xml:space="preserve"> per year for an application or equipment sector.</w:t>
            </w:r>
          </w:p>
        </w:tc>
      </w:tr>
      <w:tr w:rsidR="00501217" w:rsidRPr="008C4425" w14:paraId="03E5B6A1" w14:textId="77777777" w:rsidTr="00E42FBC">
        <w:trPr>
          <w:trHeight w:val="342"/>
        </w:trPr>
        <w:tc>
          <w:tcPr>
            <w:tcW w:w="2219" w:type="dxa"/>
          </w:tcPr>
          <w:p w14:paraId="021A5FFE" w14:textId="77777777" w:rsidR="00501217" w:rsidRPr="008C4425" w:rsidRDefault="00501217" w:rsidP="0095284B">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End-of-life equipment</w:t>
            </w:r>
          </w:p>
        </w:tc>
        <w:tc>
          <w:tcPr>
            <w:tcW w:w="7273" w:type="dxa"/>
            <w:gridSpan w:val="3"/>
          </w:tcPr>
          <w:p w14:paraId="48E13CC9" w14:textId="77777777" w:rsidR="00501217" w:rsidRPr="008C4425" w:rsidRDefault="00501217" w:rsidP="009A23AA">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 xml:space="preserve">Domestic, commercial or industrial device reaching the end of its useful lifespan.  </w:t>
            </w:r>
          </w:p>
        </w:tc>
      </w:tr>
      <w:tr w:rsidR="00501217" w:rsidRPr="008C4425" w14:paraId="489769CE" w14:textId="77777777" w:rsidTr="00E42FBC">
        <w:trPr>
          <w:trHeight w:val="342"/>
        </w:trPr>
        <w:tc>
          <w:tcPr>
            <w:tcW w:w="2219" w:type="dxa"/>
          </w:tcPr>
          <w:p w14:paraId="1E9BED2C" w14:textId="77777777" w:rsidR="00501217" w:rsidRPr="008C4425" w:rsidRDefault="00501217" w:rsidP="0095284B">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End-of-life (EOL) emissions</w:t>
            </w:r>
          </w:p>
        </w:tc>
        <w:tc>
          <w:tcPr>
            <w:tcW w:w="7273" w:type="dxa"/>
            <w:gridSpan w:val="3"/>
          </w:tcPr>
          <w:p w14:paraId="5EE66AAD" w14:textId="77777777" w:rsidR="00501217" w:rsidRPr="008C4425" w:rsidRDefault="00501217" w:rsidP="009A23AA">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End-of-life (EOL) emissions are direct emissions from ozone depleting substance (ODS) and synthetic greenhouse gases (SGG) not recovered for destruction or reclamation.</w:t>
            </w:r>
          </w:p>
        </w:tc>
      </w:tr>
      <w:tr w:rsidR="00501217" w:rsidRPr="008C4425" w14:paraId="4CBDA0BC" w14:textId="77777777" w:rsidTr="00E42FBC">
        <w:trPr>
          <w:trHeight w:val="342"/>
        </w:trPr>
        <w:tc>
          <w:tcPr>
            <w:tcW w:w="2219" w:type="dxa"/>
          </w:tcPr>
          <w:p w14:paraId="73C2E072" w14:textId="77777777" w:rsidR="00501217" w:rsidRPr="008C4425" w:rsidRDefault="00501217" w:rsidP="0095284B">
            <w:pPr>
              <w:pStyle w:val="BodyText"/>
              <w:spacing w:before="60" w:after="60"/>
              <w:jc w:val="left"/>
              <w:rPr>
                <w:rFonts w:asciiTheme="majorHAnsi" w:hAnsiTheme="majorHAnsi"/>
                <w:sz w:val="18"/>
                <w:szCs w:val="22"/>
              </w:rPr>
            </w:pPr>
            <w:r w:rsidRPr="003C63AC">
              <w:rPr>
                <w:rFonts w:asciiTheme="majorHAnsi" w:hAnsiTheme="majorHAnsi"/>
                <w:sz w:val="18"/>
                <w:szCs w:val="22"/>
                <w:lang w:val="en-AU"/>
              </w:rPr>
              <w:t>End-of-life vehicles</w:t>
            </w:r>
          </w:p>
        </w:tc>
        <w:tc>
          <w:tcPr>
            <w:tcW w:w="7273" w:type="dxa"/>
            <w:gridSpan w:val="3"/>
          </w:tcPr>
          <w:p w14:paraId="162962BD" w14:textId="77777777" w:rsidR="00501217" w:rsidRPr="008C4425" w:rsidRDefault="00501217" w:rsidP="009A23AA">
            <w:pPr>
              <w:pStyle w:val="BodyText"/>
              <w:spacing w:before="60" w:after="60"/>
              <w:rPr>
                <w:rFonts w:asciiTheme="majorHAnsi" w:hAnsiTheme="majorHAnsi"/>
                <w:sz w:val="18"/>
                <w:szCs w:val="22"/>
              </w:rPr>
            </w:pPr>
            <w:r w:rsidRPr="003C63AC">
              <w:rPr>
                <w:rFonts w:asciiTheme="majorHAnsi" w:hAnsiTheme="majorHAnsi"/>
                <w:sz w:val="18"/>
                <w:szCs w:val="22"/>
                <w:lang w:val="en-AU"/>
              </w:rPr>
              <w:t>Passenger and light commercial vehicles with a gross vehicle mass less than 3.5 tonnes that have been de-registered according to the State and Territory motor vehicle registration authorities (i.e. assumes a one month period of grace with renewals).</w:t>
            </w:r>
          </w:p>
        </w:tc>
      </w:tr>
      <w:tr w:rsidR="00501217" w:rsidRPr="008C4425" w14:paraId="2EE684AA" w14:textId="77777777" w:rsidTr="00E42FBC">
        <w:trPr>
          <w:trHeight w:val="342"/>
        </w:trPr>
        <w:tc>
          <w:tcPr>
            <w:tcW w:w="2219" w:type="dxa"/>
          </w:tcPr>
          <w:p w14:paraId="2578DB3A" w14:textId="77777777" w:rsidR="00501217" w:rsidRPr="008C4425" w:rsidRDefault="00501217" w:rsidP="0095284B">
            <w:pPr>
              <w:pStyle w:val="BodyText"/>
              <w:spacing w:before="60" w:after="60"/>
              <w:jc w:val="left"/>
              <w:rPr>
                <w:rFonts w:asciiTheme="majorHAnsi" w:hAnsiTheme="majorHAnsi"/>
                <w:sz w:val="18"/>
                <w:szCs w:val="22"/>
                <w:lang w:val="en-AU"/>
              </w:rPr>
            </w:pPr>
            <w:r w:rsidRPr="003C63AC">
              <w:rPr>
                <w:rFonts w:asciiTheme="majorHAnsi" w:hAnsiTheme="majorHAnsi"/>
                <w:sz w:val="18"/>
                <w:szCs w:val="22"/>
              </w:rPr>
              <w:t xml:space="preserve">Equivalent </w:t>
            </w:r>
            <w:r>
              <w:rPr>
                <w:rFonts w:asciiTheme="majorHAnsi" w:hAnsiTheme="majorHAnsi"/>
                <w:sz w:val="18"/>
                <w:szCs w:val="22"/>
              </w:rPr>
              <w:t xml:space="preserve">and actual </w:t>
            </w:r>
            <w:r w:rsidRPr="003C63AC">
              <w:rPr>
                <w:rFonts w:asciiTheme="majorHAnsi" w:hAnsiTheme="majorHAnsi"/>
                <w:sz w:val="18"/>
                <w:szCs w:val="22"/>
              </w:rPr>
              <w:t>refrigerant charge</w:t>
            </w:r>
          </w:p>
        </w:tc>
        <w:tc>
          <w:tcPr>
            <w:tcW w:w="7273" w:type="dxa"/>
            <w:gridSpan w:val="3"/>
          </w:tcPr>
          <w:p w14:paraId="287F00A9" w14:textId="77777777" w:rsidR="00501217" w:rsidRPr="00C66568" w:rsidRDefault="00501217" w:rsidP="009A23AA">
            <w:pPr>
              <w:pStyle w:val="BodyText"/>
              <w:spacing w:before="60" w:after="60"/>
              <w:rPr>
                <w:rFonts w:asciiTheme="majorHAnsi" w:hAnsiTheme="majorHAnsi"/>
                <w:sz w:val="18"/>
                <w:szCs w:val="22"/>
              </w:rPr>
            </w:pPr>
            <w:r w:rsidRPr="00C66568">
              <w:rPr>
                <w:rFonts w:asciiTheme="majorHAnsi" w:hAnsiTheme="majorHAnsi"/>
                <w:sz w:val="18"/>
                <w:szCs w:val="22"/>
              </w:rPr>
              <w:t>Some modern</w:t>
            </w:r>
            <w:r>
              <w:rPr>
                <w:rFonts w:asciiTheme="majorHAnsi" w:hAnsiTheme="majorHAnsi"/>
                <w:sz w:val="18"/>
                <w:szCs w:val="22"/>
              </w:rPr>
              <w:t>,</w:t>
            </w:r>
            <w:r w:rsidRPr="00C66568">
              <w:rPr>
                <w:rFonts w:asciiTheme="majorHAnsi" w:hAnsiTheme="majorHAnsi"/>
                <w:sz w:val="18"/>
                <w:szCs w:val="22"/>
              </w:rPr>
              <w:t xml:space="preserve"> lower GWP </w:t>
            </w:r>
            <w:r>
              <w:rPr>
                <w:rFonts w:asciiTheme="majorHAnsi" w:hAnsiTheme="majorHAnsi"/>
                <w:sz w:val="18"/>
                <w:szCs w:val="22"/>
              </w:rPr>
              <w:t>refrigerants,</w:t>
            </w:r>
            <w:r w:rsidRPr="00C66568">
              <w:rPr>
                <w:rFonts w:asciiTheme="majorHAnsi" w:hAnsiTheme="majorHAnsi"/>
                <w:sz w:val="18"/>
                <w:szCs w:val="22"/>
              </w:rPr>
              <w:t xml:space="preserve"> such as hydrocarbon</w:t>
            </w:r>
            <w:r>
              <w:rPr>
                <w:rFonts w:asciiTheme="majorHAnsi" w:hAnsiTheme="majorHAnsi"/>
                <w:sz w:val="18"/>
                <w:szCs w:val="22"/>
              </w:rPr>
              <w:t>s,</w:t>
            </w:r>
            <w:r w:rsidRPr="00C66568">
              <w:rPr>
                <w:rFonts w:asciiTheme="majorHAnsi" w:hAnsiTheme="majorHAnsi"/>
                <w:sz w:val="18"/>
                <w:szCs w:val="22"/>
              </w:rPr>
              <w:t xml:space="preserve"> require </w:t>
            </w:r>
            <w:r>
              <w:rPr>
                <w:rFonts w:asciiTheme="majorHAnsi" w:hAnsiTheme="majorHAnsi"/>
                <w:sz w:val="18"/>
                <w:szCs w:val="22"/>
              </w:rPr>
              <w:t xml:space="preserve">much </w:t>
            </w:r>
            <w:r w:rsidRPr="00C66568">
              <w:rPr>
                <w:rFonts w:asciiTheme="majorHAnsi" w:hAnsiTheme="majorHAnsi"/>
                <w:sz w:val="18"/>
                <w:szCs w:val="22"/>
              </w:rPr>
              <w:t xml:space="preserve">smaller refrigerant charge sizes to do the same work as </w:t>
            </w:r>
            <w:r>
              <w:rPr>
                <w:rFonts w:asciiTheme="majorHAnsi" w:hAnsiTheme="majorHAnsi"/>
                <w:sz w:val="18"/>
                <w:szCs w:val="22"/>
              </w:rPr>
              <w:t xml:space="preserve">some older generation </w:t>
            </w:r>
            <w:r w:rsidRPr="00C66568">
              <w:rPr>
                <w:rFonts w:asciiTheme="majorHAnsi" w:hAnsiTheme="majorHAnsi"/>
                <w:sz w:val="18"/>
                <w:szCs w:val="22"/>
              </w:rPr>
              <w:t xml:space="preserve">higher GWP </w:t>
            </w:r>
            <w:r>
              <w:rPr>
                <w:rFonts w:asciiTheme="majorHAnsi" w:hAnsiTheme="majorHAnsi"/>
                <w:sz w:val="18"/>
                <w:szCs w:val="22"/>
              </w:rPr>
              <w:t>refrigerants</w:t>
            </w:r>
            <w:r w:rsidRPr="00C66568">
              <w:rPr>
                <w:rFonts w:asciiTheme="majorHAnsi" w:hAnsiTheme="majorHAnsi"/>
                <w:sz w:val="18"/>
                <w:szCs w:val="22"/>
              </w:rPr>
              <w:t>.</w:t>
            </w:r>
          </w:p>
          <w:p w14:paraId="2B491CE7" w14:textId="77777777" w:rsidR="00501217" w:rsidRPr="00C66568" w:rsidRDefault="00501217" w:rsidP="009A23AA">
            <w:pPr>
              <w:pStyle w:val="BodyText"/>
              <w:spacing w:before="60" w:after="60"/>
              <w:rPr>
                <w:rFonts w:asciiTheme="majorHAnsi" w:hAnsiTheme="majorHAnsi"/>
                <w:sz w:val="18"/>
                <w:szCs w:val="22"/>
              </w:rPr>
            </w:pPr>
            <w:r w:rsidRPr="00C66568">
              <w:rPr>
                <w:rFonts w:asciiTheme="majorHAnsi" w:hAnsiTheme="majorHAnsi"/>
                <w:sz w:val="18"/>
                <w:szCs w:val="22"/>
              </w:rPr>
              <w:t xml:space="preserve">The </w:t>
            </w:r>
            <w:r>
              <w:rPr>
                <w:rFonts w:asciiTheme="majorHAnsi" w:hAnsiTheme="majorHAnsi"/>
                <w:sz w:val="18"/>
                <w:szCs w:val="22"/>
              </w:rPr>
              <w:t>‘</w:t>
            </w:r>
            <w:r w:rsidRPr="00C66568">
              <w:rPr>
                <w:rFonts w:asciiTheme="majorHAnsi" w:hAnsiTheme="majorHAnsi"/>
                <w:sz w:val="18"/>
                <w:szCs w:val="22"/>
              </w:rPr>
              <w:t>equivalent charge</w:t>
            </w:r>
            <w:r>
              <w:rPr>
                <w:rFonts w:asciiTheme="majorHAnsi" w:hAnsiTheme="majorHAnsi"/>
                <w:sz w:val="18"/>
                <w:szCs w:val="22"/>
              </w:rPr>
              <w:t>’</w:t>
            </w:r>
            <w:r w:rsidRPr="00C66568">
              <w:rPr>
                <w:rFonts w:asciiTheme="majorHAnsi" w:hAnsiTheme="majorHAnsi"/>
                <w:sz w:val="18"/>
                <w:szCs w:val="22"/>
              </w:rPr>
              <w:t xml:space="preserve"> is a measure of the amount of high GWP HFC that would have been used in a particular piece </w:t>
            </w:r>
            <w:r>
              <w:rPr>
                <w:rFonts w:asciiTheme="majorHAnsi" w:hAnsiTheme="majorHAnsi"/>
                <w:sz w:val="18"/>
                <w:szCs w:val="22"/>
              </w:rPr>
              <w:t xml:space="preserve">or class </w:t>
            </w:r>
            <w:r w:rsidRPr="00C66568">
              <w:rPr>
                <w:rFonts w:asciiTheme="majorHAnsi" w:hAnsiTheme="majorHAnsi"/>
                <w:sz w:val="18"/>
                <w:szCs w:val="22"/>
              </w:rPr>
              <w:t xml:space="preserve">of equipment had low GWP </w:t>
            </w:r>
            <w:r>
              <w:rPr>
                <w:rFonts w:asciiTheme="majorHAnsi" w:hAnsiTheme="majorHAnsi"/>
                <w:sz w:val="18"/>
                <w:szCs w:val="22"/>
              </w:rPr>
              <w:t>refrigerants</w:t>
            </w:r>
            <w:r w:rsidRPr="00C66568">
              <w:rPr>
                <w:rFonts w:asciiTheme="majorHAnsi" w:hAnsiTheme="majorHAnsi"/>
                <w:sz w:val="18"/>
                <w:szCs w:val="22"/>
              </w:rPr>
              <w:t xml:space="preserve"> not replaced it. </w:t>
            </w:r>
            <w:r>
              <w:rPr>
                <w:rFonts w:asciiTheme="majorHAnsi" w:hAnsiTheme="majorHAnsi"/>
                <w:sz w:val="18"/>
                <w:szCs w:val="22"/>
              </w:rPr>
              <w:t xml:space="preserve">For some charting and </w:t>
            </w:r>
            <w:proofErr w:type="spellStart"/>
            <w:r>
              <w:rPr>
                <w:rFonts w:asciiTheme="majorHAnsi" w:hAnsiTheme="majorHAnsi"/>
                <w:sz w:val="18"/>
                <w:szCs w:val="22"/>
              </w:rPr>
              <w:t>visualisation</w:t>
            </w:r>
            <w:proofErr w:type="spellEnd"/>
            <w:r>
              <w:rPr>
                <w:rFonts w:asciiTheme="majorHAnsi" w:hAnsiTheme="majorHAnsi"/>
                <w:sz w:val="18"/>
                <w:szCs w:val="22"/>
              </w:rPr>
              <w:t xml:space="preserve"> purposes t</w:t>
            </w:r>
            <w:r w:rsidRPr="00C66568">
              <w:rPr>
                <w:rFonts w:asciiTheme="majorHAnsi" w:hAnsiTheme="majorHAnsi"/>
                <w:sz w:val="18"/>
                <w:szCs w:val="22"/>
              </w:rPr>
              <w:t xml:space="preserve">he </w:t>
            </w:r>
            <w:r>
              <w:rPr>
                <w:rFonts w:asciiTheme="majorHAnsi" w:hAnsiTheme="majorHAnsi"/>
                <w:sz w:val="18"/>
                <w:szCs w:val="22"/>
              </w:rPr>
              <w:t>‘</w:t>
            </w:r>
            <w:r w:rsidRPr="00C66568">
              <w:rPr>
                <w:rFonts w:asciiTheme="majorHAnsi" w:hAnsiTheme="majorHAnsi"/>
                <w:sz w:val="18"/>
                <w:szCs w:val="22"/>
              </w:rPr>
              <w:t>equivalent charge</w:t>
            </w:r>
            <w:r>
              <w:rPr>
                <w:rFonts w:asciiTheme="majorHAnsi" w:hAnsiTheme="majorHAnsi"/>
                <w:sz w:val="18"/>
                <w:szCs w:val="22"/>
              </w:rPr>
              <w:t>’</w:t>
            </w:r>
            <w:r w:rsidRPr="00C66568">
              <w:rPr>
                <w:rFonts w:asciiTheme="majorHAnsi" w:hAnsiTheme="majorHAnsi"/>
                <w:sz w:val="18"/>
                <w:szCs w:val="22"/>
              </w:rPr>
              <w:t xml:space="preserve"> is then attributed to the lower GWP refrigerant that displaces it. For other measuring and comparison purposes the ‘actual’ charge </w:t>
            </w:r>
            <w:r>
              <w:rPr>
                <w:rFonts w:asciiTheme="majorHAnsi" w:hAnsiTheme="majorHAnsi"/>
                <w:sz w:val="18"/>
                <w:szCs w:val="22"/>
              </w:rPr>
              <w:t>of low GWP refrigerants are</w:t>
            </w:r>
            <w:r w:rsidRPr="00C66568">
              <w:rPr>
                <w:rFonts w:asciiTheme="majorHAnsi" w:hAnsiTheme="majorHAnsi"/>
                <w:sz w:val="18"/>
                <w:szCs w:val="22"/>
              </w:rPr>
              <w:t xml:space="preserve"> used. Refer refrigerant charge in glossary.</w:t>
            </w:r>
          </w:p>
        </w:tc>
      </w:tr>
      <w:tr w:rsidR="00501217" w:rsidRPr="008C4425" w14:paraId="28CDFA3E" w14:textId="77777777" w:rsidTr="00E42FBC">
        <w:trPr>
          <w:trHeight w:val="342"/>
        </w:trPr>
        <w:tc>
          <w:tcPr>
            <w:tcW w:w="2219" w:type="dxa"/>
          </w:tcPr>
          <w:p w14:paraId="5C7C30D1"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E3</w:t>
            </w:r>
          </w:p>
        </w:tc>
        <w:tc>
          <w:tcPr>
            <w:tcW w:w="7273" w:type="dxa"/>
            <w:gridSpan w:val="3"/>
          </w:tcPr>
          <w:p w14:paraId="2369B192"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lang w:val="en-AU"/>
              </w:rPr>
              <w:t xml:space="preserve">Equipment Energy Efficiency Committee of the Council of Australian Governments (COAG) </w:t>
            </w:r>
            <w:r>
              <w:rPr>
                <w:rFonts w:asciiTheme="majorHAnsi" w:hAnsiTheme="majorHAnsi"/>
                <w:sz w:val="18"/>
                <w:szCs w:val="22"/>
                <w:lang w:val="en-AU"/>
              </w:rPr>
              <w:t xml:space="preserve">which </w:t>
            </w:r>
            <w:r w:rsidRPr="008C4425">
              <w:rPr>
                <w:rFonts w:asciiTheme="majorHAnsi" w:hAnsiTheme="majorHAnsi"/>
                <w:sz w:val="18"/>
                <w:szCs w:val="22"/>
                <w:lang w:val="en-AU"/>
              </w:rPr>
              <w:t>operat</w:t>
            </w:r>
            <w:r>
              <w:rPr>
                <w:rFonts w:asciiTheme="majorHAnsi" w:hAnsiTheme="majorHAnsi"/>
                <w:sz w:val="18"/>
                <w:szCs w:val="22"/>
                <w:lang w:val="en-AU"/>
              </w:rPr>
              <w:t>ed</w:t>
            </w:r>
            <w:r w:rsidRPr="008C4425">
              <w:rPr>
                <w:rFonts w:asciiTheme="majorHAnsi" w:hAnsiTheme="majorHAnsi"/>
                <w:sz w:val="18"/>
                <w:szCs w:val="22"/>
                <w:lang w:val="en-AU"/>
              </w:rPr>
              <w:t xml:space="preserve"> under the Ministerial Committee on Energy and </w:t>
            </w:r>
            <w:r>
              <w:rPr>
                <w:rFonts w:asciiTheme="majorHAnsi" w:hAnsiTheme="majorHAnsi"/>
                <w:sz w:val="18"/>
                <w:szCs w:val="22"/>
                <w:lang w:val="en-AU"/>
              </w:rPr>
              <w:t xml:space="preserve">was </w:t>
            </w:r>
            <w:r w:rsidRPr="008C4425">
              <w:rPr>
                <w:rFonts w:asciiTheme="majorHAnsi" w:hAnsiTheme="majorHAnsi"/>
                <w:sz w:val="18"/>
                <w:szCs w:val="22"/>
                <w:lang w:val="en-AU"/>
              </w:rPr>
              <w:t>administered by the</w:t>
            </w:r>
            <w:r>
              <w:rPr>
                <w:rFonts w:asciiTheme="majorHAnsi" w:hAnsiTheme="majorHAnsi"/>
                <w:sz w:val="18"/>
                <w:szCs w:val="22"/>
                <w:lang w:val="en-AU"/>
              </w:rPr>
              <w:t xml:space="preserve"> Department of the Environment and Energy</w:t>
            </w:r>
            <w:r w:rsidRPr="008C4425">
              <w:rPr>
                <w:rFonts w:asciiTheme="majorHAnsi" w:hAnsiTheme="majorHAnsi"/>
                <w:sz w:val="18"/>
                <w:szCs w:val="22"/>
                <w:lang w:val="en-AU"/>
              </w:rPr>
              <w:t xml:space="preserve">. </w:t>
            </w:r>
          </w:p>
        </w:tc>
      </w:tr>
      <w:tr w:rsidR="00501217" w:rsidRPr="008C4425" w14:paraId="4A8D2618" w14:textId="77777777" w:rsidTr="00E42FBC">
        <w:trPr>
          <w:trHeight w:val="342"/>
        </w:trPr>
        <w:tc>
          <w:tcPr>
            <w:tcW w:w="2219" w:type="dxa"/>
          </w:tcPr>
          <w:p w14:paraId="0105EBF4"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Gas</w:t>
            </w:r>
          </w:p>
        </w:tc>
        <w:tc>
          <w:tcPr>
            <w:tcW w:w="7273" w:type="dxa"/>
            <w:gridSpan w:val="3"/>
          </w:tcPr>
          <w:p w14:paraId="5B39916F"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A general term used </w:t>
            </w:r>
            <w:r>
              <w:rPr>
                <w:rFonts w:asciiTheme="majorHAnsi" w:hAnsiTheme="majorHAnsi"/>
                <w:sz w:val="18"/>
                <w:szCs w:val="22"/>
              </w:rPr>
              <w:t xml:space="preserve">in </w:t>
            </w:r>
            <w:r w:rsidRPr="008C4425">
              <w:rPr>
                <w:rFonts w:asciiTheme="majorHAnsi" w:hAnsiTheme="majorHAnsi"/>
                <w:sz w:val="18"/>
                <w:szCs w:val="22"/>
              </w:rPr>
              <w:t>report</w:t>
            </w:r>
            <w:r>
              <w:rPr>
                <w:rFonts w:asciiTheme="majorHAnsi" w:hAnsiTheme="majorHAnsi"/>
                <w:sz w:val="18"/>
                <w:szCs w:val="22"/>
              </w:rPr>
              <w:t xml:space="preserve">s where applications extend beyond refrigeration and air conditioning equipment </w:t>
            </w:r>
            <w:r w:rsidRPr="00F54D87">
              <w:rPr>
                <w:rFonts w:asciiTheme="majorHAnsi" w:hAnsiTheme="majorHAnsi"/>
                <w:sz w:val="18"/>
                <w:szCs w:val="22"/>
              </w:rPr>
              <w:t xml:space="preserve">as a working fluid </w:t>
            </w:r>
            <w:r>
              <w:rPr>
                <w:rFonts w:asciiTheme="majorHAnsi" w:hAnsiTheme="majorHAnsi"/>
                <w:sz w:val="18"/>
                <w:szCs w:val="22"/>
              </w:rPr>
              <w:t xml:space="preserve">and include fire protection, aerosols and foam blowing. The term </w:t>
            </w:r>
            <w:r w:rsidRPr="008C4425">
              <w:rPr>
                <w:rFonts w:asciiTheme="majorHAnsi" w:hAnsiTheme="majorHAnsi"/>
                <w:sz w:val="18"/>
                <w:szCs w:val="22"/>
              </w:rPr>
              <w:t>refer</w:t>
            </w:r>
            <w:r>
              <w:rPr>
                <w:rFonts w:asciiTheme="majorHAnsi" w:hAnsiTheme="majorHAnsi"/>
                <w:sz w:val="18"/>
                <w:szCs w:val="22"/>
              </w:rPr>
              <w:t>s</w:t>
            </w:r>
            <w:r w:rsidRPr="008C4425">
              <w:rPr>
                <w:rFonts w:asciiTheme="majorHAnsi" w:hAnsiTheme="majorHAnsi"/>
                <w:sz w:val="18"/>
                <w:szCs w:val="22"/>
              </w:rPr>
              <w:t xml:space="preserve"> to ozone depleting substances, synthetic greenhouse gases and natural refrigerants.</w:t>
            </w:r>
          </w:p>
        </w:tc>
      </w:tr>
      <w:tr w:rsidR="00501217" w:rsidRPr="008C4425" w14:paraId="5C3C40E1" w14:textId="77777777" w:rsidTr="00E42FBC">
        <w:trPr>
          <w:trHeight w:val="342"/>
        </w:trPr>
        <w:tc>
          <w:tcPr>
            <w:tcW w:w="2219" w:type="dxa"/>
          </w:tcPr>
          <w:p w14:paraId="23FB32B3"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Global Warming Potential (GWP)</w:t>
            </w:r>
          </w:p>
          <w:p w14:paraId="76D4B78B" w14:textId="77777777" w:rsidR="00501217" w:rsidRPr="008C4425" w:rsidRDefault="00501217" w:rsidP="0095284B">
            <w:pPr>
              <w:pStyle w:val="BodyText"/>
              <w:spacing w:before="60" w:after="60"/>
              <w:jc w:val="left"/>
              <w:rPr>
                <w:rFonts w:asciiTheme="majorHAnsi" w:hAnsiTheme="majorHAnsi"/>
                <w:sz w:val="18"/>
                <w:szCs w:val="22"/>
              </w:rPr>
            </w:pPr>
          </w:p>
        </w:tc>
        <w:tc>
          <w:tcPr>
            <w:tcW w:w="7273" w:type="dxa"/>
            <w:gridSpan w:val="3"/>
          </w:tcPr>
          <w:p w14:paraId="59924A61" w14:textId="77777777" w:rsidR="00501217" w:rsidRPr="008C4425" w:rsidRDefault="00501217" w:rsidP="009A23AA">
            <w:pPr>
              <w:pStyle w:val="BodyText"/>
              <w:spacing w:before="60" w:after="60"/>
              <w:rPr>
                <w:rFonts w:asciiTheme="majorHAnsi" w:hAnsiTheme="majorHAnsi"/>
                <w:sz w:val="18"/>
                <w:szCs w:val="22"/>
              </w:rPr>
            </w:pPr>
            <w:r w:rsidRPr="00733627">
              <w:rPr>
                <w:rFonts w:asciiTheme="majorHAnsi" w:hAnsiTheme="majorHAnsi"/>
                <w:sz w:val="18"/>
                <w:szCs w:val="22"/>
              </w:rPr>
              <w:t xml:space="preserve">Global warming potential (GWP) is a relative measure of how much heat a greenhouse gas traps in the atmosphere. </w:t>
            </w:r>
            <w:r w:rsidRPr="00501AE7">
              <w:rPr>
                <w:rFonts w:asciiTheme="majorHAnsi" w:hAnsiTheme="majorHAnsi"/>
                <w:sz w:val="18"/>
                <w:szCs w:val="22"/>
              </w:rPr>
              <w:t>A GWP is calculated over a specific time interval, commonly 20, 100, or 500 years</w:t>
            </w:r>
            <w:r>
              <w:rPr>
                <w:rFonts w:asciiTheme="majorHAnsi" w:hAnsiTheme="majorHAnsi"/>
                <w:sz w:val="18"/>
                <w:szCs w:val="22"/>
              </w:rPr>
              <w:t xml:space="preserve"> and </w:t>
            </w:r>
            <w:r w:rsidRPr="00501AE7">
              <w:rPr>
                <w:rFonts w:asciiTheme="majorHAnsi" w:hAnsiTheme="majorHAnsi"/>
                <w:sz w:val="18"/>
                <w:szCs w:val="22"/>
              </w:rPr>
              <w:t xml:space="preserve">is expressed as a factor of carbon dioxide (whose GWP is </w:t>
            </w:r>
            <w:proofErr w:type="spellStart"/>
            <w:r w:rsidRPr="00501AE7">
              <w:rPr>
                <w:rFonts w:asciiTheme="majorHAnsi" w:hAnsiTheme="majorHAnsi"/>
                <w:sz w:val="18"/>
                <w:szCs w:val="22"/>
              </w:rPr>
              <w:t>standardi</w:t>
            </w:r>
            <w:r>
              <w:rPr>
                <w:rFonts w:asciiTheme="majorHAnsi" w:hAnsiTheme="majorHAnsi"/>
                <w:sz w:val="18"/>
                <w:szCs w:val="22"/>
              </w:rPr>
              <w:t>s</w:t>
            </w:r>
            <w:r w:rsidRPr="00501AE7">
              <w:rPr>
                <w:rFonts w:asciiTheme="majorHAnsi" w:hAnsiTheme="majorHAnsi"/>
                <w:sz w:val="18"/>
                <w:szCs w:val="22"/>
              </w:rPr>
              <w:t>ed</w:t>
            </w:r>
            <w:proofErr w:type="spellEnd"/>
            <w:r w:rsidRPr="00501AE7">
              <w:rPr>
                <w:rFonts w:asciiTheme="majorHAnsi" w:hAnsiTheme="majorHAnsi"/>
                <w:sz w:val="18"/>
                <w:szCs w:val="22"/>
              </w:rPr>
              <w:t xml:space="preserve"> to 1).</w:t>
            </w:r>
            <w:r>
              <w:rPr>
                <w:rFonts w:asciiTheme="majorHAnsi" w:hAnsiTheme="majorHAnsi"/>
                <w:sz w:val="18"/>
                <w:szCs w:val="22"/>
              </w:rPr>
              <w:t xml:space="preserve"> </w:t>
            </w:r>
            <w:r w:rsidRPr="00501AE7">
              <w:rPr>
                <w:rFonts w:asciiTheme="majorHAnsi" w:hAnsiTheme="majorHAnsi"/>
                <w:sz w:val="18"/>
                <w:szCs w:val="22"/>
              </w:rPr>
              <w:t>The Kyoto and Montreal Protocol are based on GWPs from pulse emissions over a 100-year time frame</w:t>
            </w:r>
            <w:r>
              <w:rPr>
                <w:rFonts w:asciiTheme="majorHAnsi" w:hAnsiTheme="majorHAnsi"/>
                <w:sz w:val="18"/>
                <w:szCs w:val="22"/>
              </w:rPr>
              <w:t xml:space="preserve"> abbreviated as GWP-100</w:t>
            </w:r>
            <w:r w:rsidRPr="00501AE7">
              <w:rPr>
                <w:rFonts w:asciiTheme="majorHAnsi" w:hAnsiTheme="majorHAnsi"/>
                <w:sz w:val="18"/>
                <w:szCs w:val="22"/>
              </w:rPr>
              <w:t>.</w:t>
            </w:r>
          </w:p>
        </w:tc>
      </w:tr>
      <w:tr w:rsidR="00501217" w:rsidRPr="008C4425" w14:paraId="601CA9A2" w14:textId="77777777" w:rsidTr="00E42FBC">
        <w:trPr>
          <w:trHeight w:val="342"/>
        </w:trPr>
        <w:tc>
          <w:tcPr>
            <w:tcW w:w="2219" w:type="dxa"/>
          </w:tcPr>
          <w:p w14:paraId="0E91E92F"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Greenhouse Gases (GHG)</w:t>
            </w:r>
          </w:p>
        </w:tc>
        <w:tc>
          <w:tcPr>
            <w:tcW w:w="7273" w:type="dxa"/>
            <w:gridSpan w:val="3"/>
          </w:tcPr>
          <w:p w14:paraId="0EAB63B4"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rPr>
              <w:t xml:space="preserve">The Kyoto Protocol </w:t>
            </w:r>
            <w:r w:rsidRPr="00480388">
              <w:rPr>
                <w:rFonts w:asciiTheme="majorHAnsi" w:hAnsiTheme="majorHAnsi"/>
                <w:sz w:val="18"/>
              </w:rPr>
              <w:t>2</w:t>
            </w:r>
            <w:r w:rsidRPr="00480388">
              <w:rPr>
                <w:rFonts w:asciiTheme="majorHAnsi" w:hAnsiTheme="majorHAnsi"/>
                <w:sz w:val="18"/>
                <w:vertAlign w:val="superscript"/>
              </w:rPr>
              <w:t>nd</w:t>
            </w:r>
            <w:r w:rsidRPr="00480388">
              <w:rPr>
                <w:rFonts w:asciiTheme="majorHAnsi" w:hAnsiTheme="majorHAnsi"/>
                <w:sz w:val="18"/>
              </w:rPr>
              <w:t xml:space="preserve"> commitment period </w:t>
            </w:r>
            <w:r w:rsidRPr="008C4425">
              <w:rPr>
                <w:rFonts w:asciiTheme="majorHAnsi" w:hAnsiTheme="majorHAnsi"/>
                <w:sz w:val="18"/>
              </w:rPr>
              <w:t xml:space="preserve">covers emissions of </w:t>
            </w:r>
            <w:r>
              <w:rPr>
                <w:rFonts w:asciiTheme="majorHAnsi" w:hAnsiTheme="majorHAnsi"/>
                <w:sz w:val="18"/>
              </w:rPr>
              <w:t>seven</w:t>
            </w:r>
            <w:r w:rsidRPr="008C4425">
              <w:rPr>
                <w:rFonts w:asciiTheme="majorHAnsi" w:hAnsiTheme="majorHAnsi"/>
                <w:sz w:val="18"/>
              </w:rPr>
              <w:t xml:space="preserve"> main greenhouse gases, namely </w:t>
            </w:r>
            <w:r>
              <w:rPr>
                <w:rFonts w:asciiTheme="majorHAnsi" w:hAnsiTheme="majorHAnsi"/>
                <w:sz w:val="18"/>
              </w:rPr>
              <w:t>c</w:t>
            </w:r>
            <w:r w:rsidRPr="008C4425">
              <w:rPr>
                <w:rFonts w:asciiTheme="majorHAnsi" w:hAnsiTheme="majorHAnsi"/>
                <w:sz w:val="18"/>
              </w:rPr>
              <w:t>arbon dioxide (CO</w:t>
            </w:r>
            <w:r w:rsidRPr="008C4425">
              <w:rPr>
                <w:rFonts w:asciiTheme="majorHAnsi" w:hAnsiTheme="majorHAnsi"/>
                <w:sz w:val="18"/>
                <w:vertAlign w:val="subscript"/>
              </w:rPr>
              <w:t>2</w:t>
            </w:r>
            <w:r w:rsidRPr="008C4425">
              <w:rPr>
                <w:rFonts w:asciiTheme="majorHAnsi" w:hAnsiTheme="majorHAnsi"/>
                <w:sz w:val="18"/>
              </w:rPr>
              <w:t xml:space="preserve">); </w:t>
            </w:r>
            <w:r>
              <w:rPr>
                <w:rFonts w:asciiTheme="majorHAnsi" w:hAnsiTheme="majorHAnsi"/>
                <w:sz w:val="18"/>
              </w:rPr>
              <w:t>m</w:t>
            </w:r>
            <w:r w:rsidRPr="008C4425">
              <w:rPr>
                <w:rFonts w:asciiTheme="majorHAnsi" w:hAnsiTheme="majorHAnsi"/>
                <w:sz w:val="18"/>
              </w:rPr>
              <w:t>ethane (CH</w:t>
            </w:r>
            <w:r w:rsidRPr="008C4425">
              <w:rPr>
                <w:rFonts w:asciiTheme="majorHAnsi" w:hAnsiTheme="majorHAnsi"/>
                <w:sz w:val="18"/>
                <w:vertAlign w:val="subscript"/>
              </w:rPr>
              <w:t>4</w:t>
            </w:r>
            <w:r w:rsidRPr="008C4425">
              <w:rPr>
                <w:rFonts w:asciiTheme="majorHAnsi" w:hAnsiTheme="majorHAnsi"/>
                <w:sz w:val="18"/>
              </w:rPr>
              <w:t xml:space="preserve">); </w:t>
            </w:r>
            <w:r>
              <w:rPr>
                <w:rFonts w:asciiTheme="majorHAnsi" w:hAnsiTheme="majorHAnsi"/>
                <w:sz w:val="18"/>
              </w:rPr>
              <w:t>n</w:t>
            </w:r>
            <w:r w:rsidRPr="008C4425">
              <w:rPr>
                <w:rFonts w:asciiTheme="majorHAnsi" w:hAnsiTheme="majorHAnsi"/>
                <w:sz w:val="18"/>
              </w:rPr>
              <w:t>itrous oxide (N</w:t>
            </w:r>
            <w:r w:rsidRPr="008C4425">
              <w:rPr>
                <w:rFonts w:asciiTheme="majorHAnsi" w:hAnsiTheme="majorHAnsi"/>
                <w:sz w:val="18"/>
                <w:vertAlign w:val="subscript"/>
              </w:rPr>
              <w:t>2</w:t>
            </w:r>
            <w:r w:rsidRPr="008C4425">
              <w:rPr>
                <w:rFonts w:asciiTheme="majorHAnsi" w:hAnsiTheme="majorHAnsi"/>
                <w:sz w:val="18"/>
              </w:rPr>
              <w:t xml:space="preserve">O); </w:t>
            </w:r>
            <w:r>
              <w:rPr>
                <w:rFonts w:asciiTheme="majorHAnsi" w:hAnsiTheme="majorHAnsi"/>
                <w:sz w:val="18"/>
              </w:rPr>
              <w:t>h</w:t>
            </w:r>
            <w:r w:rsidRPr="008C4425">
              <w:rPr>
                <w:rFonts w:asciiTheme="majorHAnsi" w:hAnsiTheme="majorHAnsi"/>
                <w:sz w:val="18"/>
              </w:rPr>
              <w:t xml:space="preserve">ydrofluorocarbons (HFCs); </w:t>
            </w:r>
            <w:r>
              <w:rPr>
                <w:rFonts w:asciiTheme="majorHAnsi" w:hAnsiTheme="majorHAnsi"/>
                <w:sz w:val="18"/>
              </w:rPr>
              <w:t>p</w:t>
            </w:r>
            <w:r w:rsidRPr="008C4425">
              <w:rPr>
                <w:rFonts w:asciiTheme="majorHAnsi" w:hAnsiTheme="majorHAnsi"/>
                <w:sz w:val="18"/>
              </w:rPr>
              <w:t xml:space="preserve">erfluorocarbons (PFCs); </w:t>
            </w:r>
            <w:r>
              <w:rPr>
                <w:rFonts w:asciiTheme="majorHAnsi" w:hAnsiTheme="majorHAnsi"/>
                <w:sz w:val="18"/>
              </w:rPr>
              <w:t>s</w:t>
            </w:r>
            <w:r w:rsidRPr="008C4425">
              <w:rPr>
                <w:rFonts w:asciiTheme="majorHAnsi" w:hAnsiTheme="majorHAnsi"/>
                <w:sz w:val="18"/>
              </w:rPr>
              <w:t>ul</w:t>
            </w:r>
            <w:r>
              <w:rPr>
                <w:rFonts w:asciiTheme="majorHAnsi" w:hAnsiTheme="majorHAnsi"/>
                <w:sz w:val="18"/>
              </w:rPr>
              <w:t>f</w:t>
            </w:r>
            <w:r w:rsidRPr="008C4425">
              <w:rPr>
                <w:rFonts w:asciiTheme="majorHAnsi" w:hAnsiTheme="majorHAnsi"/>
                <w:sz w:val="18"/>
              </w:rPr>
              <w:t>ur hexafluoride (SF</w:t>
            </w:r>
            <w:r w:rsidRPr="008C4425">
              <w:rPr>
                <w:rFonts w:asciiTheme="majorHAnsi" w:hAnsiTheme="majorHAnsi"/>
                <w:sz w:val="18"/>
                <w:vertAlign w:val="subscript"/>
              </w:rPr>
              <w:t>6</w:t>
            </w:r>
            <w:r w:rsidRPr="008C4425">
              <w:rPr>
                <w:rFonts w:asciiTheme="majorHAnsi" w:hAnsiTheme="majorHAnsi"/>
                <w:sz w:val="18"/>
              </w:rPr>
              <w:t>)</w:t>
            </w:r>
            <w:r>
              <w:rPr>
                <w:rFonts w:asciiTheme="majorHAnsi" w:hAnsiTheme="majorHAnsi"/>
                <w:sz w:val="18"/>
              </w:rPr>
              <w:t xml:space="preserve"> and n</w:t>
            </w:r>
            <w:r w:rsidRPr="00480388">
              <w:rPr>
                <w:rFonts w:asciiTheme="majorHAnsi" w:hAnsiTheme="majorHAnsi"/>
                <w:sz w:val="18"/>
              </w:rPr>
              <w:t xml:space="preserve">itrogen </w:t>
            </w:r>
            <w:proofErr w:type="spellStart"/>
            <w:r w:rsidRPr="00480388">
              <w:rPr>
                <w:rFonts w:asciiTheme="majorHAnsi" w:hAnsiTheme="majorHAnsi"/>
                <w:sz w:val="18"/>
              </w:rPr>
              <w:t>trifluoride</w:t>
            </w:r>
            <w:proofErr w:type="spellEnd"/>
            <w:r>
              <w:rPr>
                <w:rFonts w:asciiTheme="majorHAnsi" w:hAnsiTheme="majorHAnsi"/>
                <w:sz w:val="18"/>
              </w:rPr>
              <w:t xml:space="preserve"> </w:t>
            </w:r>
            <w:r w:rsidRPr="002413CC">
              <w:rPr>
                <w:rFonts w:asciiTheme="majorHAnsi" w:hAnsiTheme="majorHAnsi"/>
                <w:sz w:val="18"/>
              </w:rPr>
              <w:t>(NF</w:t>
            </w:r>
            <w:r w:rsidRPr="00EF2FC1">
              <w:rPr>
                <w:rFonts w:asciiTheme="majorHAnsi" w:hAnsiTheme="majorHAnsi"/>
                <w:sz w:val="18"/>
                <w:vertAlign w:val="subscript"/>
              </w:rPr>
              <w:t>3</w:t>
            </w:r>
            <w:r w:rsidRPr="002413CC">
              <w:rPr>
                <w:rFonts w:asciiTheme="majorHAnsi" w:hAnsiTheme="majorHAnsi"/>
                <w:sz w:val="18"/>
              </w:rPr>
              <w:t>)</w:t>
            </w:r>
            <w:r w:rsidRPr="008C4425">
              <w:rPr>
                <w:rFonts w:asciiTheme="majorHAnsi" w:hAnsiTheme="majorHAnsi"/>
                <w:sz w:val="18"/>
              </w:rPr>
              <w:t>.</w:t>
            </w:r>
          </w:p>
        </w:tc>
      </w:tr>
      <w:tr w:rsidR="00501217" w:rsidRPr="008C4425" w14:paraId="0CAFFE8D" w14:textId="77777777" w:rsidTr="00E42FBC">
        <w:trPr>
          <w:trHeight w:val="342"/>
        </w:trPr>
        <w:tc>
          <w:tcPr>
            <w:tcW w:w="2219" w:type="dxa"/>
          </w:tcPr>
          <w:p w14:paraId="46A4A35D" w14:textId="77777777" w:rsidR="00501217" w:rsidRPr="008C4425" w:rsidRDefault="00501217" w:rsidP="0095284B">
            <w:pPr>
              <w:pStyle w:val="BodyText"/>
              <w:spacing w:before="60" w:after="60"/>
              <w:jc w:val="left"/>
              <w:rPr>
                <w:rFonts w:asciiTheme="majorHAnsi" w:hAnsiTheme="majorHAnsi"/>
                <w:sz w:val="18"/>
                <w:szCs w:val="22"/>
              </w:rPr>
            </w:pPr>
            <w:proofErr w:type="spellStart"/>
            <w:r w:rsidRPr="008C4425">
              <w:rPr>
                <w:rFonts w:asciiTheme="majorHAnsi" w:hAnsiTheme="majorHAnsi"/>
                <w:sz w:val="18"/>
                <w:szCs w:val="22"/>
              </w:rPr>
              <w:t>GWh</w:t>
            </w:r>
            <w:proofErr w:type="spellEnd"/>
          </w:p>
        </w:tc>
        <w:tc>
          <w:tcPr>
            <w:tcW w:w="7273" w:type="dxa"/>
            <w:gridSpan w:val="3"/>
          </w:tcPr>
          <w:p w14:paraId="351BF5C3"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rPr>
              <w:t>Gigawatt hours is a unit of measurement for electricity use (1 watt hour x 10</w:t>
            </w:r>
            <w:r w:rsidRPr="008C4425">
              <w:rPr>
                <w:rFonts w:asciiTheme="majorHAnsi" w:hAnsiTheme="majorHAnsi"/>
                <w:sz w:val="18"/>
                <w:vertAlign w:val="superscript"/>
              </w:rPr>
              <w:t>9</w:t>
            </w:r>
            <w:r w:rsidRPr="008C4425">
              <w:rPr>
                <w:rFonts w:asciiTheme="majorHAnsi" w:hAnsiTheme="majorHAnsi"/>
                <w:sz w:val="18"/>
              </w:rPr>
              <w:t>).</w:t>
            </w:r>
          </w:p>
        </w:tc>
      </w:tr>
      <w:tr w:rsidR="00501217" w:rsidRPr="008C4425" w14:paraId="635734D1" w14:textId="77777777" w:rsidTr="00E42FBC">
        <w:trPr>
          <w:trHeight w:val="342"/>
        </w:trPr>
        <w:tc>
          <w:tcPr>
            <w:tcW w:w="2219" w:type="dxa"/>
          </w:tcPr>
          <w:p w14:paraId="56C5305A" w14:textId="77777777" w:rsidR="00501217" w:rsidRPr="008C4425" w:rsidRDefault="00501217" w:rsidP="0095284B">
            <w:pPr>
              <w:pStyle w:val="BodyText"/>
              <w:spacing w:before="60" w:after="60"/>
              <w:jc w:val="left"/>
              <w:rPr>
                <w:rFonts w:asciiTheme="majorHAnsi" w:hAnsiTheme="majorHAnsi"/>
                <w:sz w:val="18"/>
                <w:szCs w:val="22"/>
              </w:rPr>
            </w:pPr>
            <w:r>
              <w:rPr>
                <w:rFonts w:asciiTheme="majorHAnsi" w:hAnsiTheme="majorHAnsi"/>
                <w:sz w:val="18"/>
                <w:szCs w:val="22"/>
              </w:rPr>
              <w:t>High GWP substances or refrigerants</w:t>
            </w:r>
          </w:p>
        </w:tc>
        <w:tc>
          <w:tcPr>
            <w:tcW w:w="7273" w:type="dxa"/>
            <w:gridSpan w:val="3"/>
          </w:tcPr>
          <w:p w14:paraId="65DCD152" w14:textId="77777777" w:rsidR="00501217" w:rsidRPr="008C4425" w:rsidRDefault="00501217" w:rsidP="009A23AA">
            <w:pPr>
              <w:pStyle w:val="BodyText"/>
              <w:spacing w:before="60" w:after="60"/>
              <w:rPr>
                <w:rFonts w:asciiTheme="majorHAnsi" w:hAnsiTheme="majorHAnsi"/>
                <w:sz w:val="18"/>
              </w:rPr>
            </w:pPr>
            <w:r>
              <w:rPr>
                <w:rFonts w:asciiTheme="majorHAnsi" w:hAnsiTheme="majorHAnsi"/>
                <w:sz w:val="18"/>
              </w:rPr>
              <w:t>For the purposes of this report t</w:t>
            </w:r>
            <w:r w:rsidRPr="009321DA">
              <w:rPr>
                <w:rFonts w:asciiTheme="majorHAnsi" w:hAnsiTheme="majorHAnsi"/>
                <w:sz w:val="18"/>
              </w:rPr>
              <w:t>his term is used to refer to refrigerants commonly used today with GWPs</w:t>
            </w:r>
            <w:r>
              <w:rPr>
                <w:rFonts w:asciiTheme="majorHAnsi" w:hAnsiTheme="majorHAnsi"/>
                <w:sz w:val="18"/>
              </w:rPr>
              <w:t xml:space="preserve"> </w:t>
            </w:r>
            <w:r w:rsidRPr="009321DA">
              <w:rPr>
                <w:rFonts w:asciiTheme="majorHAnsi" w:hAnsiTheme="majorHAnsi"/>
                <w:sz w:val="18"/>
              </w:rPr>
              <w:t>greater than 1400. This includes the widely employed HFC-404A (GWP of 3922),</w:t>
            </w:r>
            <w:r>
              <w:rPr>
                <w:rFonts w:asciiTheme="majorHAnsi" w:hAnsiTheme="majorHAnsi"/>
                <w:sz w:val="18"/>
              </w:rPr>
              <w:t xml:space="preserve"> </w:t>
            </w:r>
            <w:r w:rsidRPr="009321DA">
              <w:rPr>
                <w:rFonts w:asciiTheme="majorHAnsi" w:hAnsiTheme="majorHAnsi"/>
                <w:sz w:val="18"/>
              </w:rPr>
              <w:t>HFC-410A (GWP of 2088) and HFC-134a (GWP of 1430)</w:t>
            </w:r>
            <w:r>
              <w:rPr>
                <w:rFonts w:asciiTheme="majorHAnsi" w:hAnsiTheme="majorHAnsi"/>
                <w:sz w:val="18"/>
              </w:rPr>
              <w:t>. R</w:t>
            </w:r>
            <w:r w:rsidRPr="009321DA">
              <w:rPr>
                <w:rFonts w:asciiTheme="majorHAnsi" w:hAnsiTheme="majorHAnsi"/>
                <w:sz w:val="18"/>
              </w:rPr>
              <w:t>efer to definition</w:t>
            </w:r>
            <w:r>
              <w:rPr>
                <w:rFonts w:asciiTheme="majorHAnsi" w:hAnsiTheme="majorHAnsi"/>
                <w:sz w:val="18"/>
              </w:rPr>
              <w:t xml:space="preserve"> </w:t>
            </w:r>
            <w:r w:rsidRPr="009321DA">
              <w:rPr>
                <w:rFonts w:asciiTheme="majorHAnsi" w:hAnsiTheme="majorHAnsi"/>
                <w:sz w:val="18"/>
              </w:rPr>
              <w:t xml:space="preserve">of </w:t>
            </w:r>
            <w:r>
              <w:rPr>
                <w:rFonts w:asciiTheme="majorHAnsi" w:hAnsiTheme="majorHAnsi"/>
                <w:sz w:val="18"/>
              </w:rPr>
              <w:t>r</w:t>
            </w:r>
            <w:r w:rsidRPr="009321DA">
              <w:rPr>
                <w:rFonts w:asciiTheme="majorHAnsi" w:hAnsiTheme="majorHAnsi"/>
                <w:sz w:val="18"/>
              </w:rPr>
              <w:t xml:space="preserve">educed GWP </w:t>
            </w:r>
            <w:r>
              <w:rPr>
                <w:rFonts w:asciiTheme="majorHAnsi" w:hAnsiTheme="majorHAnsi"/>
                <w:sz w:val="18"/>
              </w:rPr>
              <w:t>refrigerants and</w:t>
            </w:r>
            <w:r w:rsidRPr="009321DA">
              <w:rPr>
                <w:rFonts w:asciiTheme="majorHAnsi" w:hAnsiTheme="majorHAnsi"/>
                <w:sz w:val="18"/>
              </w:rPr>
              <w:t xml:space="preserve"> </w:t>
            </w:r>
            <w:r>
              <w:rPr>
                <w:rFonts w:asciiTheme="majorHAnsi" w:hAnsiTheme="majorHAnsi"/>
                <w:sz w:val="18"/>
              </w:rPr>
              <w:t>l</w:t>
            </w:r>
            <w:r w:rsidRPr="009321DA">
              <w:rPr>
                <w:rFonts w:asciiTheme="majorHAnsi" w:hAnsiTheme="majorHAnsi"/>
                <w:sz w:val="18"/>
              </w:rPr>
              <w:t xml:space="preserve">ow GWP </w:t>
            </w:r>
            <w:r>
              <w:rPr>
                <w:rFonts w:asciiTheme="majorHAnsi" w:hAnsiTheme="majorHAnsi"/>
                <w:sz w:val="18"/>
              </w:rPr>
              <w:t>r</w:t>
            </w:r>
            <w:r w:rsidRPr="009321DA">
              <w:rPr>
                <w:rFonts w:asciiTheme="majorHAnsi" w:hAnsiTheme="majorHAnsi"/>
                <w:sz w:val="18"/>
              </w:rPr>
              <w:t>efrigerants.</w:t>
            </w:r>
          </w:p>
        </w:tc>
      </w:tr>
      <w:tr w:rsidR="00501217" w:rsidRPr="008C4425" w14:paraId="458CA8AE" w14:textId="77777777" w:rsidTr="00E42FBC">
        <w:trPr>
          <w:trHeight w:val="342"/>
        </w:trPr>
        <w:tc>
          <w:tcPr>
            <w:tcW w:w="2219" w:type="dxa"/>
          </w:tcPr>
          <w:p w14:paraId="239223B3"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Hydrocarbons (HCs)</w:t>
            </w:r>
          </w:p>
        </w:tc>
        <w:tc>
          <w:tcPr>
            <w:tcW w:w="7273" w:type="dxa"/>
            <w:gridSpan w:val="3"/>
          </w:tcPr>
          <w:p w14:paraId="3870417A" w14:textId="77777777" w:rsidR="00501217" w:rsidRPr="008C4425" w:rsidRDefault="00501217" w:rsidP="009A23AA">
            <w:pPr>
              <w:pStyle w:val="BodyText"/>
              <w:spacing w:before="60" w:after="60"/>
              <w:rPr>
                <w:rFonts w:asciiTheme="majorHAnsi" w:hAnsiTheme="majorHAnsi"/>
                <w:sz w:val="18"/>
                <w:szCs w:val="22"/>
              </w:rPr>
            </w:pPr>
            <w:r>
              <w:rPr>
                <w:rFonts w:asciiTheme="majorHAnsi" w:hAnsiTheme="majorHAnsi"/>
                <w:sz w:val="18"/>
              </w:rPr>
              <w:t xml:space="preserve">Hydrocarbon is a chemical that contains only carbon and hydrogen. The </w:t>
            </w:r>
            <w:r w:rsidRPr="008C4425">
              <w:rPr>
                <w:rFonts w:asciiTheme="majorHAnsi" w:hAnsiTheme="majorHAnsi"/>
                <w:sz w:val="18"/>
              </w:rPr>
              <w:t xml:space="preserve">term hydrocarbon </w:t>
            </w:r>
            <w:r>
              <w:rPr>
                <w:rFonts w:asciiTheme="majorHAnsi" w:hAnsiTheme="majorHAnsi"/>
                <w:sz w:val="18"/>
              </w:rPr>
              <w:t xml:space="preserve">used in this report </w:t>
            </w:r>
            <w:r w:rsidRPr="008C4425">
              <w:rPr>
                <w:rFonts w:asciiTheme="majorHAnsi" w:hAnsiTheme="majorHAnsi"/>
                <w:sz w:val="18"/>
              </w:rPr>
              <w:t xml:space="preserve">refers to the main types and blends </w:t>
            </w:r>
            <w:r>
              <w:rPr>
                <w:rFonts w:asciiTheme="majorHAnsi" w:hAnsiTheme="majorHAnsi"/>
                <w:sz w:val="18"/>
              </w:rPr>
              <w:t xml:space="preserve">of hydrocarbon refrigerant </w:t>
            </w:r>
            <w:r w:rsidRPr="008C4425">
              <w:rPr>
                <w:rFonts w:asciiTheme="majorHAnsi" w:hAnsiTheme="majorHAnsi"/>
                <w:sz w:val="18"/>
              </w:rPr>
              <w:t xml:space="preserve">in use in Australia including HC-600a, HC-290 and HC-436 (a blend of HC-600a and HC-290). HC-600a is the preferred hydrocarbon refrigerant in domestic refrigeration applications as it is suited to both refrigerator and freezer applications. HC-290 is the preferred hydrocarbon option for non-domestic stationary applications as its performance characteristics are more suited to medium temperature applications (i.e. greater than zero degrees Celsius). </w:t>
            </w:r>
            <w:r>
              <w:rPr>
                <w:rFonts w:asciiTheme="majorHAnsi" w:hAnsiTheme="majorHAnsi"/>
                <w:sz w:val="18"/>
              </w:rPr>
              <w:t xml:space="preserve">Hydrocarbons are now widely used in self-contained commercial refrigeration applications with refrigerant charges less than 150 grams. </w:t>
            </w:r>
            <w:r w:rsidRPr="001E0218">
              <w:rPr>
                <w:rFonts w:asciiTheme="majorHAnsi" w:hAnsiTheme="majorHAnsi"/>
                <w:sz w:val="18"/>
              </w:rPr>
              <w:t xml:space="preserve">Hydrocarbons are not used as an OEM refrigerant in </w:t>
            </w:r>
            <w:r>
              <w:rPr>
                <w:rFonts w:asciiTheme="majorHAnsi" w:hAnsiTheme="majorHAnsi"/>
                <w:sz w:val="18"/>
              </w:rPr>
              <w:t xml:space="preserve">mobile air conditioning in </w:t>
            </w:r>
            <w:r w:rsidRPr="001E0218">
              <w:rPr>
                <w:rFonts w:asciiTheme="majorHAnsi" w:hAnsiTheme="majorHAnsi"/>
                <w:sz w:val="18"/>
              </w:rPr>
              <w:t>any production vehicles</w:t>
            </w:r>
            <w:r>
              <w:rPr>
                <w:rFonts w:asciiTheme="majorHAnsi" w:hAnsiTheme="majorHAnsi"/>
                <w:sz w:val="18"/>
              </w:rPr>
              <w:t xml:space="preserve">. </w:t>
            </w:r>
            <w:r w:rsidRPr="008C4425">
              <w:rPr>
                <w:rFonts w:asciiTheme="majorHAnsi" w:hAnsiTheme="majorHAnsi"/>
                <w:sz w:val="18"/>
              </w:rPr>
              <w:t xml:space="preserve">HC-436 is a hydrocarbon blend that is </w:t>
            </w:r>
            <w:r w:rsidRPr="001E0218">
              <w:rPr>
                <w:rFonts w:asciiTheme="majorHAnsi" w:hAnsiTheme="majorHAnsi"/>
                <w:sz w:val="18"/>
              </w:rPr>
              <w:t xml:space="preserve">sometimes used in </w:t>
            </w:r>
            <w:r>
              <w:rPr>
                <w:rFonts w:asciiTheme="majorHAnsi" w:hAnsiTheme="majorHAnsi"/>
                <w:sz w:val="18"/>
              </w:rPr>
              <w:t xml:space="preserve">the mobile air conditioning </w:t>
            </w:r>
            <w:r w:rsidRPr="001E0218">
              <w:rPr>
                <w:rFonts w:asciiTheme="majorHAnsi" w:hAnsiTheme="majorHAnsi"/>
                <w:sz w:val="18"/>
              </w:rPr>
              <w:t>after</w:t>
            </w:r>
            <w:r>
              <w:rPr>
                <w:rFonts w:asciiTheme="majorHAnsi" w:hAnsiTheme="majorHAnsi"/>
                <w:sz w:val="18"/>
              </w:rPr>
              <w:t>-</w:t>
            </w:r>
            <w:r w:rsidRPr="001E0218">
              <w:rPr>
                <w:rFonts w:asciiTheme="majorHAnsi" w:hAnsiTheme="majorHAnsi"/>
                <w:sz w:val="18"/>
              </w:rPr>
              <w:t>market</w:t>
            </w:r>
            <w:r>
              <w:rPr>
                <w:rFonts w:asciiTheme="majorHAnsi" w:hAnsiTheme="majorHAnsi"/>
                <w:sz w:val="18"/>
              </w:rPr>
              <w:t xml:space="preserve"> (users should refer to equipment manufacturer installation guidelines for further details).</w:t>
            </w:r>
          </w:p>
        </w:tc>
      </w:tr>
      <w:tr w:rsidR="00501217" w:rsidRPr="008C4425" w14:paraId="44A20292" w14:textId="77777777" w:rsidTr="00E42FBC">
        <w:trPr>
          <w:trHeight w:val="342"/>
        </w:trPr>
        <w:tc>
          <w:tcPr>
            <w:tcW w:w="2219" w:type="dxa"/>
          </w:tcPr>
          <w:p w14:paraId="4030005D" w14:textId="77777777" w:rsidR="00501217" w:rsidRPr="008C4425" w:rsidRDefault="00501217" w:rsidP="0095284B">
            <w:pPr>
              <w:pStyle w:val="BodyText"/>
              <w:spacing w:before="60" w:after="60"/>
              <w:jc w:val="left"/>
              <w:rPr>
                <w:rFonts w:asciiTheme="majorHAnsi" w:hAnsiTheme="majorHAnsi"/>
                <w:sz w:val="18"/>
                <w:szCs w:val="22"/>
              </w:rPr>
            </w:pPr>
            <w:proofErr w:type="spellStart"/>
            <w:r w:rsidRPr="008C4425">
              <w:rPr>
                <w:rFonts w:asciiTheme="majorHAnsi" w:hAnsiTheme="majorHAnsi"/>
                <w:sz w:val="18"/>
                <w:szCs w:val="22"/>
              </w:rPr>
              <w:t>Hydrochlorofluorocarbons</w:t>
            </w:r>
            <w:proofErr w:type="spellEnd"/>
            <w:r w:rsidRPr="008C4425">
              <w:rPr>
                <w:rFonts w:asciiTheme="majorHAnsi" w:hAnsiTheme="majorHAnsi"/>
                <w:sz w:val="18"/>
                <w:szCs w:val="22"/>
              </w:rPr>
              <w:t xml:space="preserve"> (HCFCs)</w:t>
            </w:r>
          </w:p>
        </w:tc>
        <w:tc>
          <w:tcPr>
            <w:tcW w:w="7273" w:type="dxa"/>
            <w:gridSpan w:val="3"/>
          </w:tcPr>
          <w:p w14:paraId="0C8AD1DF"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Chemicals that contains hydrogen, fluorine, chlorine, and carbon. They deplete the ozone layer, </w:t>
            </w:r>
            <w:r>
              <w:rPr>
                <w:rFonts w:asciiTheme="majorHAnsi" w:hAnsiTheme="majorHAnsi"/>
                <w:sz w:val="18"/>
                <w:szCs w:val="22"/>
              </w:rPr>
              <w:t>but</w:t>
            </w:r>
            <w:r w:rsidRPr="008C4425">
              <w:rPr>
                <w:rFonts w:asciiTheme="majorHAnsi" w:hAnsiTheme="majorHAnsi"/>
                <w:sz w:val="18"/>
                <w:szCs w:val="22"/>
              </w:rPr>
              <w:t xml:space="preserve"> have less potency compared to CFCs. Many HCFCs are potent greenhouse gases. HCFC-22 is the most common refrigerant in the Australian refrigerant bank.</w:t>
            </w:r>
            <w:r>
              <w:rPr>
                <w:rFonts w:asciiTheme="majorHAnsi" w:hAnsiTheme="majorHAnsi"/>
                <w:sz w:val="18"/>
                <w:szCs w:val="22"/>
              </w:rPr>
              <w:t xml:space="preserve"> </w:t>
            </w:r>
            <w:r w:rsidRPr="00977DEF">
              <w:rPr>
                <w:rFonts w:asciiTheme="majorHAnsi" w:hAnsiTheme="majorHAnsi"/>
                <w:sz w:val="18"/>
                <w:szCs w:val="22"/>
              </w:rPr>
              <w:t xml:space="preserve">CFCs and HCFCs are not </w:t>
            </w:r>
            <w:r>
              <w:rPr>
                <w:rFonts w:asciiTheme="majorHAnsi" w:hAnsiTheme="majorHAnsi"/>
                <w:sz w:val="18"/>
                <w:szCs w:val="22"/>
              </w:rPr>
              <w:t>included in</w:t>
            </w:r>
            <w:r w:rsidRPr="00977DEF">
              <w:rPr>
                <w:rFonts w:asciiTheme="majorHAnsi" w:hAnsiTheme="majorHAnsi"/>
                <w:sz w:val="18"/>
                <w:szCs w:val="22"/>
              </w:rPr>
              <w:t xml:space="preserve"> the GHGs reported under the Kyoto Protocol or United Nations Convention on Climate Change</w:t>
            </w:r>
            <w:r>
              <w:rPr>
                <w:rFonts w:asciiTheme="majorHAnsi" w:hAnsiTheme="majorHAnsi"/>
                <w:sz w:val="18"/>
                <w:szCs w:val="22"/>
              </w:rPr>
              <w:t xml:space="preserve">, as they are managed through the </w:t>
            </w:r>
            <w:r w:rsidRPr="00436438">
              <w:rPr>
                <w:rFonts w:asciiTheme="majorHAnsi" w:hAnsiTheme="majorHAnsi"/>
                <w:sz w:val="18"/>
                <w:szCs w:val="22"/>
              </w:rPr>
              <w:t>Montreal Protocol.</w:t>
            </w:r>
          </w:p>
        </w:tc>
      </w:tr>
      <w:tr w:rsidR="00501217" w:rsidRPr="008C4425" w14:paraId="11DED4EA" w14:textId="77777777" w:rsidTr="00E42FBC">
        <w:trPr>
          <w:trHeight w:val="342"/>
        </w:trPr>
        <w:tc>
          <w:tcPr>
            <w:tcW w:w="2219" w:type="dxa"/>
          </w:tcPr>
          <w:p w14:paraId="16497B7A"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Hydrofluorocarbons (HFCs)</w:t>
            </w:r>
          </w:p>
        </w:tc>
        <w:tc>
          <w:tcPr>
            <w:tcW w:w="7273" w:type="dxa"/>
            <w:gridSpan w:val="3"/>
          </w:tcPr>
          <w:p w14:paraId="1C12A208"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Chemicals that contain hydrogen, fluorine, and carbon. They do not deplete the ozone layer and have been used as substitutes for CFCs and HCFCs. Many HFCs are potent greenhouse gases.</w:t>
            </w:r>
          </w:p>
        </w:tc>
      </w:tr>
      <w:tr w:rsidR="00501217" w:rsidRPr="008C4425" w14:paraId="66476512" w14:textId="77777777" w:rsidTr="00E42FBC">
        <w:trPr>
          <w:trHeight w:val="342"/>
        </w:trPr>
        <w:tc>
          <w:tcPr>
            <w:tcW w:w="2219" w:type="dxa"/>
          </w:tcPr>
          <w:p w14:paraId="2C9ADDD7" w14:textId="77777777" w:rsidR="00501217" w:rsidRPr="008C4425" w:rsidRDefault="00501217" w:rsidP="0095284B">
            <w:pPr>
              <w:pStyle w:val="BodyText"/>
              <w:spacing w:before="60" w:after="60"/>
              <w:jc w:val="left"/>
              <w:rPr>
                <w:rFonts w:asciiTheme="majorHAnsi" w:hAnsiTheme="majorHAnsi"/>
                <w:sz w:val="18"/>
                <w:szCs w:val="22"/>
              </w:rPr>
            </w:pPr>
            <w:proofErr w:type="spellStart"/>
            <w:r w:rsidRPr="008C4425">
              <w:rPr>
                <w:rFonts w:asciiTheme="majorHAnsi" w:hAnsiTheme="majorHAnsi"/>
                <w:sz w:val="18"/>
                <w:szCs w:val="22"/>
              </w:rPr>
              <w:t>Hydrofluoro</w:t>
            </w:r>
            <w:proofErr w:type="spellEnd"/>
            <w:r>
              <w:rPr>
                <w:rFonts w:asciiTheme="majorHAnsi" w:hAnsiTheme="majorHAnsi"/>
                <w:sz w:val="18"/>
                <w:szCs w:val="22"/>
              </w:rPr>
              <w:t>-</w:t>
            </w:r>
            <w:r w:rsidRPr="008C4425">
              <w:rPr>
                <w:rFonts w:asciiTheme="majorHAnsi" w:hAnsiTheme="majorHAnsi"/>
                <w:sz w:val="18"/>
                <w:szCs w:val="22"/>
              </w:rPr>
              <w:t>olefins (HFOs), and HFO blends</w:t>
            </w:r>
          </w:p>
        </w:tc>
        <w:tc>
          <w:tcPr>
            <w:tcW w:w="7273" w:type="dxa"/>
            <w:gridSpan w:val="3"/>
          </w:tcPr>
          <w:p w14:paraId="4C3D49DC" w14:textId="77777777" w:rsidR="00501217" w:rsidRPr="008C4425" w:rsidRDefault="00501217" w:rsidP="009A23AA">
            <w:pPr>
              <w:pStyle w:val="BodyText"/>
              <w:spacing w:before="60" w:after="60"/>
              <w:rPr>
                <w:rFonts w:asciiTheme="majorHAnsi" w:hAnsiTheme="majorHAnsi"/>
                <w:sz w:val="18"/>
                <w:szCs w:val="22"/>
              </w:rPr>
            </w:pPr>
            <w:r>
              <w:rPr>
                <w:rFonts w:asciiTheme="majorHAnsi" w:hAnsiTheme="majorHAnsi"/>
                <w:sz w:val="18"/>
                <w:szCs w:val="22"/>
              </w:rPr>
              <w:t xml:space="preserve">Chemicals known as </w:t>
            </w:r>
            <w:proofErr w:type="spellStart"/>
            <w:r w:rsidRPr="008C4425">
              <w:rPr>
                <w:rFonts w:asciiTheme="majorHAnsi" w:hAnsiTheme="majorHAnsi"/>
                <w:sz w:val="18"/>
                <w:szCs w:val="22"/>
              </w:rPr>
              <w:t>hydrofluoro</w:t>
            </w:r>
            <w:proofErr w:type="spellEnd"/>
            <w:r>
              <w:rPr>
                <w:rFonts w:asciiTheme="majorHAnsi" w:hAnsiTheme="majorHAnsi"/>
                <w:sz w:val="18"/>
                <w:szCs w:val="22"/>
              </w:rPr>
              <w:t>-</w:t>
            </w:r>
            <w:r w:rsidRPr="008C4425">
              <w:rPr>
                <w:rFonts w:asciiTheme="majorHAnsi" w:hAnsiTheme="majorHAnsi"/>
                <w:sz w:val="18"/>
                <w:szCs w:val="22"/>
              </w:rPr>
              <w:t xml:space="preserve">olefins </w:t>
            </w:r>
            <w:r w:rsidRPr="001E4DE1">
              <w:rPr>
                <w:rFonts w:asciiTheme="majorHAnsi" w:hAnsiTheme="majorHAnsi"/>
                <w:sz w:val="18"/>
                <w:szCs w:val="22"/>
              </w:rPr>
              <w:t>that contain hydrogen, fluorine, and carbon, and</w:t>
            </w:r>
            <w:r>
              <w:rPr>
                <w:rFonts w:asciiTheme="majorHAnsi" w:hAnsiTheme="majorHAnsi"/>
                <w:sz w:val="18"/>
                <w:szCs w:val="22"/>
              </w:rPr>
              <w:t xml:space="preserve"> are described as unsaturated HFCs. They do not deplete the ozone layer and have very </w:t>
            </w:r>
            <w:r w:rsidRPr="008C4425">
              <w:rPr>
                <w:rFonts w:asciiTheme="majorHAnsi" w:hAnsiTheme="majorHAnsi"/>
                <w:sz w:val="18"/>
                <w:szCs w:val="22"/>
              </w:rPr>
              <w:t>low GWP values</w:t>
            </w:r>
            <w:r>
              <w:rPr>
                <w:rFonts w:asciiTheme="majorHAnsi" w:hAnsiTheme="majorHAnsi"/>
                <w:sz w:val="18"/>
                <w:szCs w:val="22"/>
              </w:rPr>
              <w:t xml:space="preserve">. For example </w:t>
            </w:r>
            <w:r w:rsidRPr="008C4425">
              <w:rPr>
                <w:rFonts w:asciiTheme="majorHAnsi" w:hAnsiTheme="majorHAnsi"/>
                <w:sz w:val="18"/>
                <w:szCs w:val="22"/>
              </w:rPr>
              <w:t>HFO-1234yf</w:t>
            </w:r>
            <w:r>
              <w:rPr>
                <w:rFonts w:asciiTheme="majorHAnsi" w:hAnsiTheme="majorHAnsi"/>
                <w:sz w:val="18"/>
                <w:szCs w:val="22"/>
              </w:rPr>
              <w:t xml:space="preserve"> and HFO-1234ze were originally cited by industry to have a GWP of 5, and a GWP-100 of 1 based on AR5. Refer </w:t>
            </w:r>
            <w:r w:rsidRPr="001E4DE1">
              <w:rPr>
                <w:rFonts w:asciiTheme="majorHAnsi" w:hAnsiTheme="majorHAnsi"/>
                <w:i/>
                <w:sz w:val="18"/>
                <w:szCs w:val="22"/>
              </w:rPr>
              <w:t xml:space="preserve">Section </w:t>
            </w:r>
            <w:r w:rsidRPr="0023014D">
              <w:rPr>
                <w:rFonts w:asciiTheme="majorHAnsi" w:hAnsiTheme="majorHAnsi"/>
                <w:i/>
                <w:sz w:val="18"/>
                <w:szCs w:val="22"/>
              </w:rPr>
              <w:t>3.4</w:t>
            </w:r>
            <w:r>
              <w:rPr>
                <w:rFonts w:asciiTheme="majorHAnsi" w:hAnsiTheme="majorHAnsi"/>
                <w:sz w:val="18"/>
                <w:szCs w:val="22"/>
              </w:rPr>
              <w:t xml:space="preserve"> for further details.</w:t>
            </w:r>
          </w:p>
        </w:tc>
      </w:tr>
      <w:tr w:rsidR="00501217" w:rsidRPr="008C4425" w14:paraId="2E031C23" w14:textId="77777777" w:rsidTr="00E42FBC">
        <w:trPr>
          <w:trHeight w:val="342"/>
        </w:trPr>
        <w:tc>
          <w:tcPr>
            <w:tcW w:w="2219" w:type="dxa"/>
          </w:tcPr>
          <w:p w14:paraId="5BFD4FCF"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HVAC&amp;R</w:t>
            </w:r>
          </w:p>
        </w:tc>
        <w:tc>
          <w:tcPr>
            <w:tcW w:w="7273" w:type="dxa"/>
            <w:gridSpan w:val="3"/>
          </w:tcPr>
          <w:p w14:paraId="1FEBA419"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Heating, </w:t>
            </w:r>
            <w:r>
              <w:rPr>
                <w:rFonts w:asciiTheme="majorHAnsi" w:hAnsiTheme="majorHAnsi"/>
                <w:sz w:val="18"/>
                <w:szCs w:val="22"/>
              </w:rPr>
              <w:t>v</w:t>
            </w:r>
            <w:r w:rsidRPr="008C4425">
              <w:rPr>
                <w:rFonts w:asciiTheme="majorHAnsi" w:hAnsiTheme="majorHAnsi"/>
                <w:sz w:val="18"/>
                <w:szCs w:val="22"/>
              </w:rPr>
              <w:t>entilati</w:t>
            </w:r>
            <w:r>
              <w:rPr>
                <w:rFonts w:asciiTheme="majorHAnsi" w:hAnsiTheme="majorHAnsi"/>
                <w:sz w:val="18"/>
                <w:szCs w:val="22"/>
              </w:rPr>
              <w:t>on</w:t>
            </w:r>
            <w:r w:rsidRPr="008C4425">
              <w:rPr>
                <w:rFonts w:asciiTheme="majorHAnsi" w:hAnsiTheme="majorHAnsi"/>
                <w:sz w:val="18"/>
                <w:szCs w:val="22"/>
              </w:rPr>
              <w:t xml:space="preserve">, </w:t>
            </w:r>
            <w:r>
              <w:rPr>
                <w:rFonts w:asciiTheme="majorHAnsi" w:hAnsiTheme="majorHAnsi"/>
                <w:sz w:val="18"/>
                <w:szCs w:val="22"/>
              </w:rPr>
              <w:t>a</w:t>
            </w:r>
            <w:r w:rsidRPr="008C4425">
              <w:rPr>
                <w:rFonts w:asciiTheme="majorHAnsi" w:hAnsiTheme="majorHAnsi"/>
                <w:sz w:val="18"/>
                <w:szCs w:val="22"/>
              </w:rPr>
              <w:t xml:space="preserve">ir </w:t>
            </w:r>
            <w:r>
              <w:rPr>
                <w:rFonts w:asciiTheme="majorHAnsi" w:hAnsiTheme="majorHAnsi"/>
                <w:sz w:val="18"/>
                <w:szCs w:val="22"/>
              </w:rPr>
              <w:t>c</w:t>
            </w:r>
            <w:r w:rsidRPr="008C4425">
              <w:rPr>
                <w:rFonts w:asciiTheme="majorHAnsi" w:hAnsiTheme="majorHAnsi"/>
                <w:sz w:val="18"/>
                <w:szCs w:val="22"/>
              </w:rPr>
              <w:t xml:space="preserve">onditioning and </w:t>
            </w:r>
            <w:r>
              <w:rPr>
                <w:rFonts w:asciiTheme="majorHAnsi" w:hAnsiTheme="majorHAnsi"/>
                <w:sz w:val="18"/>
                <w:szCs w:val="22"/>
              </w:rPr>
              <w:t>r</w:t>
            </w:r>
            <w:r w:rsidRPr="008C4425">
              <w:rPr>
                <w:rFonts w:asciiTheme="majorHAnsi" w:hAnsiTheme="majorHAnsi"/>
                <w:sz w:val="18"/>
                <w:szCs w:val="22"/>
              </w:rPr>
              <w:t>efrigeration</w:t>
            </w:r>
          </w:p>
        </w:tc>
      </w:tr>
      <w:tr w:rsidR="00501217" w:rsidRPr="008C4425" w14:paraId="6B134ECA" w14:textId="77777777" w:rsidTr="00E42FBC">
        <w:trPr>
          <w:trHeight w:val="342"/>
        </w:trPr>
        <w:tc>
          <w:tcPr>
            <w:tcW w:w="2219" w:type="dxa"/>
          </w:tcPr>
          <w:p w14:paraId="485B4860"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Indirect emissions</w:t>
            </w:r>
          </w:p>
        </w:tc>
        <w:tc>
          <w:tcPr>
            <w:tcW w:w="7273" w:type="dxa"/>
            <w:gridSpan w:val="3"/>
          </w:tcPr>
          <w:p w14:paraId="70F466A9" w14:textId="77777777" w:rsidR="00501217" w:rsidRPr="008C4425" w:rsidRDefault="00501217" w:rsidP="009A23AA">
            <w:pPr>
              <w:pStyle w:val="BodyText"/>
              <w:spacing w:before="60" w:after="60"/>
              <w:rPr>
                <w:rFonts w:asciiTheme="majorHAnsi" w:hAnsiTheme="majorHAnsi"/>
                <w:sz w:val="18"/>
                <w:szCs w:val="22"/>
              </w:rPr>
            </w:pPr>
            <w:r>
              <w:rPr>
                <w:rFonts w:asciiTheme="majorHAnsi" w:hAnsiTheme="majorHAnsi"/>
                <w:sz w:val="18"/>
                <w:szCs w:val="22"/>
                <w:lang w:val="en-AU"/>
              </w:rPr>
              <w:t>T</w:t>
            </w:r>
            <w:r w:rsidRPr="008C4425">
              <w:rPr>
                <w:rFonts w:asciiTheme="majorHAnsi" w:hAnsiTheme="majorHAnsi"/>
                <w:sz w:val="18"/>
                <w:szCs w:val="22"/>
                <w:lang w:val="en-AU"/>
              </w:rPr>
              <w:t>he CO</w:t>
            </w:r>
            <w:r w:rsidRPr="008C4425">
              <w:rPr>
                <w:rFonts w:asciiTheme="majorHAnsi" w:hAnsiTheme="majorHAnsi"/>
                <w:sz w:val="18"/>
                <w:szCs w:val="22"/>
                <w:vertAlign w:val="subscript"/>
                <w:lang w:val="en-AU"/>
              </w:rPr>
              <w:t>2</w:t>
            </w:r>
            <w:r w:rsidRPr="008C4425">
              <w:rPr>
                <w:rFonts w:asciiTheme="majorHAnsi" w:hAnsiTheme="majorHAnsi"/>
                <w:sz w:val="18"/>
                <w:szCs w:val="22"/>
                <w:lang w:val="en-AU"/>
              </w:rPr>
              <w:t xml:space="preserve"> emitted as the result of the generation of the electrical energy required to operate electrical equipment, sometimes also referred to as ‘energy related emissions.’</w:t>
            </w:r>
          </w:p>
        </w:tc>
      </w:tr>
      <w:tr w:rsidR="00501217" w:rsidRPr="008C4425" w14:paraId="7318E890" w14:textId="77777777" w:rsidTr="00E42FBC">
        <w:trPr>
          <w:trHeight w:val="342"/>
        </w:trPr>
        <w:tc>
          <w:tcPr>
            <w:tcW w:w="2219" w:type="dxa"/>
          </w:tcPr>
          <w:p w14:paraId="5EC27CB7" w14:textId="77777777" w:rsidR="00501217" w:rsidRPr="008C4425" w:rsidRDefault="00501217" w:rsidP="0095284B">
            <w:pPr>
              <w:pStyle w:val="BodyText"/>
              <w:spacing w:before="60" w:after="60"/>
              <w:jc w:val="left"/>
              <w:rPr>
                <w:rFonts w:asciiTheme="majorHAnsi" w:hAnsiTheme="majorHAnsi"/>
                <w:sz w:val="18"/>
                <w:szCs w:val="22"/>
                <w:lang w:val="en-AU"/>
              </w:rPr>
            </w:pPr>
            <w:r w:rsidRPr="008C4425">
              <w:rPr>
                <w:rFonts w:asciiTheme="majorHAnsi" w:hAnsiTheme="majorHAnsi"/>
                <w:sz w:val="18"/>
                <w:szCs w:val="22"/>
              </w:rPr>
              <w:t>Indirect emission factor</w:t>
            </w:r>
          </w:p>
        </w:tc>
        <w:tc>
          <w:tcPr>
            <w:tcW w:w="7273" w:type="dxa"/>
            <w:gridSpan w:val="3"/>
          </w:tcPr>
          <w:p w14:paraId="66375085" w14:textId="77777777" w:rsidR="00501217" w:rsidRPr="008C4425" w:rsidRDefault="00501217" w:rsidP="009A23AA">
            <w:pPr>
              <w:pStyle w:val="BodyText"/>
              <w:spacing w:before="60" w:after="60"/>
              <w:rPr>
                <w:rFonts w:asciiTheme="majorHAnsi" w:hAnsiTheme="majorHAnsi"/>
                <w:sz w:val="18"/>
                <w:szCs w:val="22"/>
                <w:lang w:val="en-AU"/>
              </w:rPr>
            </w:pPr>
            <w:r w:rsidRPr="008C4425">
              <w:rPr>
                <w:rFonts w:asciiTheme="majorHAnsi" w:hAnsiTheme="majorHAnsi"/>
                <w:sz w:val="18"/>
                <w:szCs w:val="22"/>
              </w:rPr>
              <w:t>The indirect or CO</w:t>
            </w:r>
            <w:r w:rsidRPr="008C4425">
              <w:rPr>
                <w:rFonts w:asciiTheme="majorHAnsi" w:hAnsiTheme="majorHAnsi"/>
                <w:sz w:val="18"/>
                <w:szCs w:val="22"/>
                <w:vertAlign w:val="subscript"/>
              </w:rPr>
              <w:t>2</w:t>
            </w:r>
            <w:r w:rsidRPr="008C4425">
              <w:rPr>
                <w:rFonts w:asciiTheme="majorHAnsi" w:hAnsiTheme="majorHAnsi"/>
                <w:sz w:val="18"/>
                <w:szCs w:val="22"/>
              </w:rPr>
              <w:t xml:space="preserve"> emission factor is the mass of CO</w:t>
            </w:r>
            <w:r w:rsidRPr="008C4425">
              <w:rPr>
                <w:rFonts w:asciiTheme="majorHAnsi" w:hAnsiTheme="majorHAnsi"/>
                <w:sz w:val="18"/>
                <w:szCs w:val="22"/>
                <w:vertAlign w:val="subscript"/>
              </w:rPr>
              <w:t>2</w:t>
            </w:r>
            <w:r w:rsidRPr="008C4425">
              <w:rPr>
                <w:rFonts w:asciiTheme="majorHAnsi" w:hAnsiTheme="majorHAnsi"/>
                <w:sz w:val="18"/>
                <w:szCs w:val="22"/>
              </w:rPr>
              <w:t xml:space="preserve"> emitted by the power generator per kWh of electrical power supplied to the refrigeration installation taking in</w:t>
            </w:r>
            <w:r>
              <w:rPr>
                <w:rFonts w:asciiTheme="majorHAnsi" w:hAnsiTheme="majorHAnsi"/>
                <w:sz w:val="18"/>
                <w:szCs w:val="22"/>
              </w:rPr>
              <w:t>to account</w:t>
            </w:r>
            <w:r w:rsidRPr="008C4425">
              <w:rPr>
                <w:rFonts w:asciiTheme="majorHAnsi" w:hAnsiTheme="majorHAnsi"/>
                <w:sz w:val="18"/>
                <w:szCs w:val="22"/>
              </w:rPr>
              <w:t xml:space="preserve"> efficiency losses in generation and distribution.</w:t>
            </w:r>
          </w:p>
        </w:tc>
      </w:tr>
      <w:tr w:rsidR="00501217" w:rsidRPr="008C4425" w14:paraId="59CC30A8" w14:textId="77777777" w:rsidTr="00E42FBC">
        <w:trPr>
          <w:trHeight w:val="342"/>
        </w:trPr>
        <w:tc>
          <w:tcPr>
            <w:tcW w:w="2219" w:type="dxa"/>
          </w:tcPr>
          <w:p w14:paraId="1D9ECBE2" w14:textId="77777777" w:rsidR="00501217" w:rsidRPr="00373E19" w:rsidRDefault="00501217" w:rsidP="0095284B">
            <w:pPr>
              <w:pStyle w:val="BodyText"/>
              <w:spacing w:before="60" w:after="60"/>
              <w:jc w:val="left"/>
              <w:rPr>
                <w:rFonts w:asciiTheme="majorHAnsi" w:hAnsiTheme="majorHAnsi"/>
                <w:sz w:val="18"/>
                <w:szCs w:val="22"/>
              </w:rPr>
            </w:pPr>
            <w:r w:rsidRPr="00373E19">
              <w:rPr>
                <w:rFonts w:asciiTheme="majorHAnsi" w:hAnsiTheme="majorHAnsi"/>
                <w:sz w:val="18"/>
                <w:szCs w:val="22"/>
              </w:rPr>
              <w:t>Kigali Ame</w:t>
            </w:r>
            <w:r>
              <w:rPr>
                <w:rFonts w:asciiTheme="majorHAnsi" w:hAnsiTheme="majorHAnsi"/>
                <w:sz w:val="18"/>
                <w:szCs w:val="22"/>
              </w:rPr>
              <w:t>n</w:t>
            </w:r>
            <w:r w:rsidRPr="00373E19">
              <w:rPr>
                <w:rFonts w:asciiTheme="majorHAnsi" w:hAnsiTheme="majorHAnsi"/>
                <w:sz w:val="18"/>
                <w:szCs w:val="22"/>
              </w:rPr>
              <w:t>dment</w:t>
            </w:r>
          </w:p>
        </w:tc>
        <w:tc>
          <w:tcPr>
            <w:tcW w:w="7273" w:type="dxa"/>
            <w:gridSpan w:val="3"/>
          </w:tcPr>
          <w:p w14:paraId="70006268" w14:textId="77777777" w:rsidR="00501217" w:rsidRPr="00373E19" w:rsidRDefault="00501217" w:rsidP="009A23AA">
            <w:pPr>
              <w:pStyle w:val="BodyText"/>
              <w:spacing w:before="60" w:after="60"/>
              <w:rPr>
                <w:rFonts w:asciiTheme="majorHAnsi" w:hAnsiTheme="majorHAnsi"/>
                <w:sz w:val="18"/>
                <w:szCs w:val="22"/>
              </w:rPr>
            </w:pPr>
            <w:r w:rsidRPr="00373E19">
              <w:rPr>
                <w:rFonts w:asciiTheme="majorHAnsi" w:hAnsiTheme="majorHAnsi"/>
                <w:sz w:val="18"/>
                <w:szCs w:val="22"/>
              </w:rPr>
              <w:t>The Kigali Amendment to the Montreal Protocol</w:t>
            </w:r>
            <w:r>
              <w:rPr>
                <w:rFonts w:asciiTheme="majorHAnsi" w:hAnsiTheme="majorHAnsi"/>
                <w:sz w:val="18"/>
                <w:szCs w:val="22"/>
              </w:rPr>
              <w:t xml:space="preserve"> agrees a phase-down of HFC production and imports starting from 1 January 2019.</w:t>
            </w:r>
          </w:p>
        </w:tc>
      </w:tr>
      <w:tr w:rsidR="00501217" w:rsidRPr="008C4425" w14:paraId="1709DD5A" w14:textId="77777777" w:rsidTr="00E42FBC">
        <w:trPr>
          <w:trHeight w:val="342"/>
        </w:trPr>
        <w:tc>
          <w:tcPr>
            <w:tcW w:w="2219" w:type="dxa"/>
          </w:tcPr>
          <w:p w14:paraId="0973870F" w14:textId="77777777" w:rsidR="00501217" w:rsidRPr="008C4425" w:rsidRDefault="00501217" w:rsidP="0095284B">
            <w:pPr>
              <w:pStyle w:val="BodyText"/>
              <w:spacing w:before="60" w:after="60"/>
              <w:jc w:val="left"/>
              <w:rPr>
                <w:rFonts w:asciiTheme="majorHAnsi" w:hAnsiTheme="majorHAnsi"/>
                <w:sz w:val="18"/>
                <w:szCs w:val="22"/>
              </w:rPr>
            </w:pPr>
            <w:proofErr w:type="spellStart"/>
            <w:r w:rsidRPr="008C4425">
              <w:rPr>
                <w:rFonts w:asciiTheme="majorHAnsi" w:hAnsiTheme="majorHAnsi"/>
                <w:sz w:val="18"/>
                <w:szCs w:val="22"/>
              </w:rPr>
              <w:t>kWr</w:t>
            </w:r>
            <w:proofErr w:type="spellEnd"/>
          </w:p>
        </w:tc>
        <w:tc>
          <w:tcPr>
            <w:tcW w:w="7273" w:type="dxa"/>
            <w:gridSpan w:val="3"/>
          </w:tcPr>
          <w:p w14:paraId="3010FEC0"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Refers to kilowatts of refrigeration capacity whereas kW relates to kilowatts of electrical power.</w:t>
            </w:r>
          </w:p>
        </w:tc>
      </w:tr>
      <w:tr w:rsidR="00501217" w:rsidRPr="008C4425" w14:paraId="69673951" w14:textId="77777777" w:rsidTr="00E42FBC">
        <w:trPr>
          <w:trHeight w:val="342"/>
        </w:trPr>
        <w:tc>
          <w:tcPr>
            <w:tcW w:w="2219" w:type="dxa"/>
          </w:tcPr>
          <w:p w14:paraId="707D71C0"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KWh</w:t>
            </w:r>
          </w:p>
        </w:tc>
        <w:tc>
          <w:tcPr>
            <w:tcW w:w="7273" w:type="dxa"/>
            <w:gridSpan w:val="3"/>
          </w:tcPr>
          <w:p w14:paraId="1781CB76"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Kilowatt hour </w:t>
            </w:r>
            <w:r w:rsidRPr="008C4425">
              <w:rPr>
                <w:rFonts w:asciiTheme="majorHAnsi" w:hAnsiTheme="majorHAnsi"/>
                <w:sz w:val="18"/>
              </w:rPr>
              <w:t>(1 watt hour x 10</w:t>
            </w:r>
            <w:r w:rsidRPr="008C4425">
              <w:rPr>
                <w:rFonts w:asciiTheme="majorHAnsi" w:hAnsiTheme="majorHAnsi"/>
                <w:sz w:val="18"/>
                <w:vertAlign w:val="superscript"/>
              </w:rPr>
              <w:t>3</w:t>
            </w:r>
            <w:r w:rsidRPr="008C4425">
              <w:rPr>
                <w:rFonts w:asciiTheme="majorHAnsi" w:hAnsiTheme="majorHAnsi"/>
                <w:sz w:val="18"/>
              </w:rPr>
              <w:t>).</w:t>
            </w:r>
          </w:p>
        </w:tc>
      </w:tr>
      <w:tr w:rsidR="00501217" w:rsidRPr="008C4425" w14:paraId="3229E335" w14:textId="77777777" w:rsidTr="00E42FBC">
        <w:trPr>
          <w:trHeight w:val="342"/>
        </w:trPr>
        <w:tc>
          <w:tcPr>
            <w:tcW w:w="2219" w:type="dxa"/>
          </w:tcPr>
          <w:p w14:paraId="380ED542"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Kyoto Protocol</w:t>
            </w:r>
          </w:p>
        </w:tc>
        <w:tc>
          <w:tcPr>
            <w:tcW w:w="7273" w:type="dxa"/>
            <w:gridSpan w:val="3"/>
          </w:tcPr>
          <w:p w14:paraId="2C180FFB" w14:textId="77777777" w:rsidR="00501217" w:rsidRPr="008C4425" w:rsidRDefault="00501217" w:rsidP="009A23AA">
            <w:pPr>
              <w:pStyle w:val="BodyText"/>
              <w:spacing w:before="60" w:after="60"/>
              <w:rPr>
                <w:rFonts w:asciiTheme="majorHAnsi" w:hAnsiTheme="majorHAnsi"/>
                <w:sz w:val="18"/>
                <w:szCs w:val="22"/>
              </w:rPr>
            </w:pPr>
            <w:r w:rsidRPr="00215A98">
              <w:rPr>
                <w:rFonts w:asciiTheme="majorHAnsi" w:hAnsiTheme="majorHAnsi"/>
                <w:sz w:val="18"/>
                <w:szCs w:val="22"/>
              </w:rPr>
              <w:t xml:space="preserve">The Kyoto Protocol sets binding emissions limits for the </w:t>
            </w:r>
            <w:r>
              <w:rPr>
                <w:rFonts w:asciiTheme="majorHAnsi" w:hAnsiTheme="majorHAnsi"/>
                <w:sz w:val="18"/>
                <w:szCs w:val="22"/>
              </w:rPr>
              <w:t>seven</w:t>
            </w:r>
            <w:r w:rsidRPr="00215A98">
              <w:rPr>
                <w:rFonts w:asciiTheme="majorHAnsi" w:hAnsiTheme="majorHAnsi"/>
                <w:sz w:val="18"/>
                <w:szCs w:val="22"/>
              </w:rPr>
              <w:t xml:space="preserve"> greenhouse gases listed in the Protocol.</w:t>
            </w:r>
            <w:r>
              <w:rPr>
                <w:rFonts w:asciiTheme="majorHAnsi" w:hAnsiTheme="majorHAnsi"/>
                <w:sz w:val="18"/>
                <w:szCs w:val="22"/>
              </w:rPr>
              <w:t xml:space="preserve"> </w:t>
            </w:r>
            <w:r w:rsidRPr="008C4425">
              <w:rPr>
                <w:rFonts w:asciiTheme="majorHAnsi" w:hAnsiTheme="majorHAnsi"/>
                <w:sz w:val="18"/>
                <w:szCs w:val="22"/>
              </w:rPr>
              <w:t xml:space="preserve">The Australian Government </w:t>
            </w:r>
            <w:r>
              <w:rPr>
                <w:rFonts w:asciiTheme="majorHAnsi" w:hAnsiTheme="majorHAnsi"/>
                <w:sz w:val="18"/>
                <w:szCs w:val="22"/>
              </w:rPr>
              <w:t>ha</w:t>
            </w:r>
            <w:r w:rsidRPr="008C4425">
              <w:rPr>
                <w:rFonts w:asciiTheme="majorHAnsi" w:hAnsiTheme="majorHAnsi"/>
                <w:sz w:val="18"/>
                <w:szCs w:val="22"/>
              </w:rPr>
              <w:t xml:space="preserve">s committed to reducing emissions of the </w:t>
            </w:r>
            <w:r>
              <w:rPr>
                <w:rFonts w:asciiTheme="majorHAnsi" w:hAnsiTheme="majorHAnsi"/>
                <w:sz w:val="18"/>
                <w:szCs w:val="22"/>
              </w:rPr>
              <w:t>seven</w:t>
            </w:r>
            <w:r w:rsidRPr="008C4425">
              <w:rPr>
                <w:rFonts w:asciiTheme="majorHAnsi" w:hAnsiTheme="majorHAnsi"/>
                <w:sz w:val="18"/>
                <w:szCs w:val="22"/>
              </w:rPr>
              <w:t xml:space="preserve"> main greenhouse gases, which includes the synthetic greenhouse gases (SGGs) listed under the Kyoto Protocol, including hydrofluorocarbons (HFCs), perfluorocarbons (PFCs)</w:t>
            </w:r>
            <w:r>
              <w:rPr>
                <w:rFonts w:asciiTheme="majorHAnsi" w:hAnsiTheme="majorHAnsi"/>
                <w:sz w:val="18"/>
                <w:szCs w:val="22"/>
              </w:rPr>
              <w:t>,</w:t>
            </w:r>
            <w:r w:rsidRPr="008C4425">
              <w:rPr>
                <w:rFonts w:asciiTheme="majorHAnsi" w:hAnsiTheme="majorHAnsi"/>
                <w:sz w:val="18"/>
                <w:szCs w:val="22"/>
              </w:rPr>
              <w:t xml:space="preserve"> sulfur hexafluoride (SF</w:t>
            </w:r>
            <w:r w:rsidRPr="008C4425">
              <w:rPr>
                <w:rFonts w:asciiTheme="majorHAnsi" w:hAnsiTheme="majorHAnsi"/>
                <w:sz w:val="18"/>
                <w:szCs w:val="22"/>
                <w:vertAlign w:val="subscript"/>
              </w:rPr>
              <w:t>6</w:t>
            </w:r>
            <w:r w:rsidRPr="008C4425">
              <w:rPr>
                <w:rFonts w:asciiTheme="majorHAnsi" w:hAnsiTheme="majorHAnsi"/>
                <w:sz w:val="18"/>
                <w:szCs w:val="22"/>
              </w:rPr>
              <w:t>)</w:t>
            </w:r>
            <w:r>
              <w:rPr>
                <w:rFonts w:asciiTheme="majorHAnsi" w:hAnsiTheme="majorHAnsi"/>
                <w:sz w:val="18"/>
                <w:szCs w:val="22"/>
              </w:rPr>
              <w:t xml:space="preserve"> and nitrogen </w:t>
            </w:r>
            <w:proofErr w:type="spellStart"/>
            <w:r>
              <w:rPr>
                <w:rFonts w:asciiTheme="majorHAnsi" w:hAnsiTheme="majorHAnsi"/>
                <w:sz w:val="18"/>
                <w:szCs w:val="22"/>
              </w:rPr>
              <w:t>trifluoride</w:t>
            </w:r>
            <w:proofErr w:type="spellEnd"/>
            <w:r w:rsidRPr="008C4425">
              <w:rPr>
                <w:rFonts w:asciiTheme="majorHAnsi" w:hAnsiTheme="majorHAnsi"/>
                <w:sz w:val="18"/>
                <w:szCs w:val="22"/>
              </w:rPr>
              <w:t xml:space="preserve">. </w:t>
            </w:r>
          </w:p>
        </w:tc>
      </w:tr>
      <w:tr w:rsidR="00501217" w:rsidRPr="008C4425" w14:paraId="0EA4FB45" w14:textId="77777777" w:rsidTr="00E42FBC">
        <w:trPr>
          <w:trHeight w:val="342"/>
        </w:trPr>
        <w:tc>
          <w:tcPr>
            <w:tcW w:w="2219" w:type="dxa"/>
          </w:tcPr>
          <w:p w14:paraId="0BFE25A0"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Lifespan</w:t>
            </w:r>
          </w:p>
        </w:tc>
        <w:tc>
          <w:tcPr>
            <w:tcW w:w="7273" w:type="dxa"/>
            <w:gridSpan w:val="3"/>
          </w:tcPr>
          <w:p w14:paraId="2FF61589"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Lifespan is the expected useful life of the equipment in years.</w:t>
            </w:r>
          </w:p>
        </w:tc>
      </w:tr>
      <w:tr w:rsidR="00501217" w:rsidRPr="008C4425" w14:paraId="3CCD74C7" w14:textId="77777777" w:rsidTr="00E42FBC">
        <w:trPr>
          <w:trHeight w:val="342"/>
        </w:trPr>
        <w:tc>
          <w:tcPr>
            <w:tcW w:w="2219" w:type="dxa"/>
          </w:tcPr>
          <w:p w14:paraId="6A483904"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 xml:space="preserve">Low GWP </w:t>
            </w:r>
            <w:r>
              <w:rPr>
                <w:rFonts w:asciiTheme="majorHAnsi" w:hAnsiTheme="majorHAnsi"/>
                <w:sz w:val="18"/>
                <w:szCs w:val="22"/>
              </w:rPr>
              <w:t xml:space="preserve">substances or </w:t>
            </w:r>
            <w:r w:rsidRPr="008C4425">
              <w:rPr>
                <w:rFonts w:asciiTheme="majorHAnsi" w:hAnsiTheme="majorHAnsi"/>
                <w:sz w:val="18"/>
                <w:szCs w:val="22"/>
              </w:rPr>
              <w:t>refrigerants</w:t>
            </w:r>
          </w:p>
        </w:tc>
        <w:tc>
          <w:tcPr>
            <w:tcW w:w="7273" w:type="dxa"/>
            <w:gridSpan w:val="3"/>
          </w:tcPr>
          <w:p w14:paraId="6FC03C12" w14:textId="77777777" w:rsidR="00501217" w:rsidRPr="008C4425" w:rsidRDefault="00501217" w:rsidP="009A23AA">
            <w:pPr>
              <w:pStyle w:val="BodyText"/>
              <w:spacing w:before="60" w:after="60"/>
              <w:rPr>
                <w:rFonts w:asciiTheme="majorHAnsi" w:hAnsiTheme="majorHAnsi"/>
                <w:sz w:val="18"/>
                <w:szCs w:val="22"/>
              </w:rPr>
            </w:pPr>
            <w:r>
              <w:rPr>
                <w:rFonts w:asciiTheme="majorHAnsi" w:hAnsiTheme="majorHAnsi"/>
                <w:sz w:val="18"/>
              </w:rPr>
              <w:t>For the purposes of this report t</w:t>
            </w:r>
            <w:r w:rsidRPr="00207145">
              <w:rPr>
                <w:rFonts w:asciiTheme="majorHAnsi" w:hAnsiTheme="majorHAnsi"/>
                <w:sz w:val="18"/>
                <w:szCs w:val="22"/>
              </w:rPr>
              <w:t>his term is used to refer to refrigerants with a GWP of less than or equal</w:t>
            </w:r>
            <w:r>
              <w:rPr>
                <w:rFonts w:asciiTheme="majorHAnsi" w:hAnsiTheme="majorHAnsi"/>
                <w:sz w:val="18"/>
                <w:szCs w:val="22"/>
              </w:rPr>
              <w:t xml:space="preserve"> </w:t>
            </w:r>
            <w:r w:rsidRPr="00207145">
              <w:rPr>
                <w:rFonts w:asciiTheme="majorHAnsi" w:hAnsiTheme="majorHAnsi"/>
                <w:sz w:val="18"/>
                <w:szCs w:val="22"/>
              </w:rPr>
              <w:t>to 10, including the 'natural' refrigeran</w:t>
            </w:r>
            <w:r>
              <w:rPr>
                <w:rFonts w:asciiTheme="majorHAnsi" w:hAnsiTheme="majorHAnsi"/>
                <w:sz w:val="18"/>
                <w:szCs w:val="22"/>
              </w:rPr>
              <w:t>ts (CO</w:t>
            </w:r>
            <w:r w:rsidRPr="00EF2FC1">
              <w:rPr>
                <w:rFonts w:asciiTheme="majorHAnsi" w:hAnsiTheme="majorHAnsi"/>
                <w:sz w:val="18"/>
                <w:vertAlign w:val="subscript"/>
              </w:rPr>
              <w:t>2</w:t>
            </w:r>
            <w:r>
              <w:rPr>
                <w:rFonts w:asciiTheme="majorHAnsi" w:hAnsiTheme="majorHAnsi"/>
                <w:sz w:val="18"/>
                <w:szCs w:val="22"/>
              </w:rPr>
              <w:t>, ammonia, hydrocarbons)</w:t>
            </w:r>
            <w:r w:rsidRPr="00207145">
              <w:rPr>
                <w:rFonts w:asciiTheme="majorHAnsi" w:hAnsiTheme="majorHAnsi"/>
                <w:sz w:val="18"/>
                <w:szCs w:val="22"/>
              </w:rPr>
              <w:t>,</w:t>
            </w:r>
            <w:r>
              <w:rPr>
                <w:rFonts w:asciiTheme="majorHAnsi" w:hAnsiTheme="majorHAnsi"/>
                <w:sz w:val="18"/>
                <w:szCs w:val="22"/>
              </w:rPr>
              <w:t xml:space="preserve"> </w:t>
            </w:r>
            <w:r w:rsidRPr="00207145">
              <w:rPr>
                <w:rFonts w:asciiTheme="majorHAnsi" w:hAnsiTheme="majorHAnsi"/>
                <w:sz w:val="18"/>
                <w:szCs w:val="22"/>
              </w:rPr>
              <w:t>and the newly commercial HFOs sometimes referred to as low GWP HFCs</w:t>
            </w:r>
            <w:r>
              <w:rPr>
                <w:rFonts w:asciiTheme="majorHAnsi" w:hAnsiTheme="majorHAnsi"/>
                <w:sz w:val="18"/>
                <w:szCs w:val="22"/>
              </w:rPr>
              <w:t>. R</w:t>
            </w:r>
            <w:r w:rsidRPr="00207145">
              <w:rPr>
                <w:rFonts w:asciiTheme="majorHAnsi" w:hAnsiTheme="majorHAnsi"/>
                <w:sz w:val="18"/>
                <w:szCs w:val="22"/>
              </w:rPr>
              <w:t>efer to</w:t>
            </w:r>
            <w:r>
              <w:rPr>
                <w:rFonts w:asciiTheme="majorHAnsi" w:hAnsiTheme="majorHAnsi"/>
                <w:sz w:val="18"/>
                <w:szCs w:val="22"/>
              </w:rPr>
              <w:t xml:space="preserve"> </w:t>
            </w:r>
            <w:r w:rsidRPr="00207145">
              <w:rPr>
                <w:rFonts w:asciiTheme="majorHAnsi" w:hAnsiTheme="majorHAnsi"/>
                <w:sz w:val="18"/>
                <w:szCs w:val="22"/>
              </w:rPr>
              <w:t>the definition</w:t>
            </w:r>
            <w:r>
              <w:rPr>
                <w:rFonts w:asciiTheme="majorHAnsi" w:hAnsiTheme="majorHAnsi"/>
                <w:sz w:val="18"/>
                <w:szCs w:val="22"/>
              </w:rPr>
              <w:t>s</w:t>
            </w:r>
            <w:r w:rsidRPr="00207145">
              <w:rPr>
                <w:rFonts w:asciiTheme="majorHAnsi" w:hAnsiTheme="majorHAnsi"/>
                <w:sz w:val="18"/>
                <w:szCs w:val="22"/>
              </w:rPr>
              <w:t xml:space="preserve"> for High GWP Refrigerants and Reduced GWP Refrigerants.</w:t>
            </w:r>
          </w:p>
        </w:tc>
      </w:tr>
      <w:tr w:rsidR="00501217" w:rsidRPr="008C4425" w14:paraId="15B64E21" w14:textId="77777777" w:rsidTr="00E42FBC">
        <w:trPr>
          <w:trHeight w:val="342"/>
        </w:trPr>
        <w:tc>
          <w:tcPr>
            <w:tcW w:w="2219" w:type="dxa"/>
          </w:tcPr>
          <w:p w14:paraId="3105C20C"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Low temperature refrigeration</w:t>
            </w:r>
          </w:p>
        </w:tc>
        <w:tc>
          <w:tcPr>
            <w:tcW w:w="7273" w:type="dxa"/>
            <w:gridSpan w:val="3"/>
          </w:tcPr>
          <w:p w14:paraId="44F21256"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Temperatures below 0</w:t>
            </w:r>
            <w:r w:rsidRPr="008C4425">
              <w:rPr>
                <w:rFonts w:asciiTheme="majorHAnsi" w:hAnsiTheme="majorHAnsi"/>
                <w:sz w:val="18"/>
                <w:szCs w:val="22"/>
                <w:vertAlign w:val="superscript"/>
              </w:rPr>
              <w:t>o</w:t>
            </w:r>
            <w:r w:rsidRPr="008C4425">
              <w:rPr>
                <w:rFonts w:asciiTheme="majorHAnsi" w:hAnsiTheme="majorHAnsi"/>
                <w:sz w:val="18"/>
                <w:szCs w:val="22"/>
              </w:rPr>
              <w:t>C.</w:t>
            </w:r>
          </w:p>
        </w:tc>
      </w:tr>
      <w:tr w:rsidR="00501217" w:rsidRPr="008C4425" w14:paraId="72997A11" w14:textId="77777777" w:rsidTr="00E42FBC">
        <w:trPr>
          <w:trHeight w:val="342"/>
        </w:trPr>
        <w:tc>
          <w:tcPr>
            <w:tcW w:w="2219" w:type="dxa"/>
          </w:tcPr>
          <w:p w14:paraId="0DDFF626" w14:textId="77777777" w:rsidR="00501217" w:rsidRPr="00DA4BD9" w:rsidRDefault="00501217" w:rsidP="0095284B">
            <w:pPr>
              <w:pStyle w:val="BodyText"/>
              <w:spacing w:before="60" w:after="60"/>
              <w:jc w:val="left"/>
              <w:rPr>
                <w:rFonts w:asciiTheme="majorHAnsi" w:hAnsiTheme="majorHAnsi"/>
                <w:sz w:val="18"/>
                <w:szCs w:val="22"/>
              </w:rPr>
            </w:pPr>
            <w:r w:rsidRPr="00DA4BD9">
              <w:rPr>
                <w:rFonts w:asciiTheme="majorHAnsi" w:hAnsiTheme="majorHAnsi"/>
                <w:sz w:val="18"/>
                <w:szCs w:val="22"/>
              </w:rPr>
              <w:t>Minimum energy performance standards (MEPS)</w:t>
            </w:r>
          </w:p>
        </w:tc>
        <w:tc>
          <w:tcPr>
            <w:tcW w:w="7273" w:type="dxa"/>
            <w:gridSpan w:val="3"/>
          </w:tcPr>
          <w:p w14:paraId="63F2BF15" w14:textId="77777777" w:rsidR="00501217" w:rsidRPr="00DA4BD9" w:rsidRDefault="00501217" w:rsidP="009A23AA">
            <w:pPr>
              <w:pStyle w:val="BodyText"/>
              <w:spacing w:before="60" w:after="60"/>
              <w:rPr>
                <w:rFonts w:asciiTheme="majorHAnsi" w:hAnsiTheme="majorHAnsi"/>
                <w:sz w:val="18"/>
                <w:szCs w:val="22"/>
              </w:rPr>
            </w:pPr>
            <w:r>
              <w:rPr>
                <w:rFonts w:asciiTheme="majorHAnsi" w:hAnsiTheme="majorHAnsi"/>
                <w:sz w:val="18"/>
                <w:szCs w:val="22"/>
              </w:rPr>
              <w:t xml:space="preserve">The </w:t>
            </w:r>
            <w:r w:rsidRPr="00586265">
              <w:rPr>
                <w:rFonts w:asciiTheme="majorHAnsi" w:hAnsiTheme="majorHAnsi"/>
                <w:sz w:val="18"/>
                <w:szCs w:val="22"/>
              </w:rPr>
              <w:t>Minimum Energy Performance Standard is a specification, containing a number of performance requirements for energy-using device</w:t>
            </w:r>
            <w:r>
              <w:rPr>
                <w:rFonts w:asciiTheme="majorHAnsi" w:hAnsiTheme="majorHAnsi"/>
                <w:sz w:val="18"/>
                <w:szCs w:val="22"/>
              </w:rPr>
              <w:t>s</w:t>
            </w:r>
            <w:r w:rsidRPr="00586265">
              <w:rPr>
                <w:rFonts w:asciiTheme="majorHAnsi" w:hAnsiTheme="majorHAnsi"/>
                <w:sz w:val="18"/>
                <w:szCs w:val="22"/>
              </w:rPr>
              <w:t xml:space="preserve"> that effectively limits the maximum amount of energy that may be consumed by a product in performing a specified task.</w:t>
            </w:r>
            <w:r>
              <w:rPr>
                <w:rFonts w:asciiTheme="majorHAnsi" w:hAnsiTheme="majorHAnsi"/>
                <w:sz w:val="18"/>
                <w:szCs w:val="22"/>
              </w:rPr>
              <w:t xml:space="preserve"> MEPS is regulated under the Greenhouse and Energy Minimum Standards Act 2012 and in the RAC sector covers </w:t>
            </w:r>
            <w:r w:rsidRPr="00DA4BD9">
              <w:rPr>
                <w:rFonts w:asciiTheme="majorHAnsi" w:hAnsiTheme="majorHAnsi"/>
                <w:sz w:val="18"/>
                <w:szCs w:val="22"/>
              </w:rPr>
              <w:t xml:space="preserve">domestic refrigerators, refrigerated display cases, and </w:t>
            </w:r>
            <w:r>
              <w:rPr>
                <w:rFonts w:asciiTheme="majorHAnsi" w:hAnsiTheme="majorHAnsi"/>
                <w:sz w:val="18"/>
                <w:szCs w:val="22"/>
              </w:rPr>
              <w:t xml:space="preserve">most </w:t>
            </w:r>
            <w:r w:rsidRPr="00DA4BD9">
              <w:rPr>
                <w:rFonts w:asciiTheme="majorHAnsi" w:hAnsiTheme="majorHAnsi"/>
                <w:sz w:val="18"/>
                <w:szCs w:val="22"/>
              </w:rPr>
              <w:t xml:space="preserve">air conditioners (excluding </w:t>
            </w:r>
            <w:r>
              <w:rPr>
                <w:rFonts w:asciiTheme="majorHAnsi" w:hAnsiTheme="majorHAnsi"/>
                <w:sz w:val="18"/>
                <w:szCs w:val="22"/>
              </w:rPr>
              <w:t xml:space="preserve">single duct </w:t>
            </w:r>
            <w:r w:rsidRPr="00DA4BD9">
              <w:rPr>
                <w:rFonts w:asciiTheme="majorHAnsi" w:hAnsiTheme="majorHAnsi"/>
                <w:sz w:val="18"/>
                <w:szCs w:val="22"/>
              </w:rPr>
              <w:t xml:space="preserve">portable, </w:t>
            </w:r>
            <w:r>
              <w:rPr>
                <w:rFonts w:asciiTheme="majorHAnsi" w:hAnsiTheme="majorHAnsi"/>
                <w:sz w:val="18"/>
                <w:szCs w:val="22"/>
              </w:rPr>
              <w:t xml:space="preserve">spot coolers, and </w:t>
            </w:r>
            <w:r w:rsidRPr="00DA4BD9">
              <w:rPr>
                <w:rFonts w:asciiTheme="majorHAnsi" w:hAnsiTheme="majorHAnsi"/>
                <w:sz w:val="18"/>
                <w:szCs w:val="22"/>
              </w:rPr>
              <w:t>chillers below 350</w:t>
            </w:r>
            <w:r>
              <w:rPr>
                <w:rFonts w:asciiTheme="majorHAnsi" w:hAnsiTheme="majorHAnsi"/>
                <w:sz w:val="18"/>
                <w:szCs w:val="22"/>
              </w:rPr>
              <w:t xml:space="preserve"> </w:t>
            </w:r>
            <w:proofErr w:type="spellStart"/>
            <w:r w:rsidRPr="00DA4BD9">
              <w:rPr>
                <w:rFonts w:asciiTheme="majorHAnsi" w:hAnsiTheme="majorHAnsi"/>
                <w:sz w:val="18"/>
                <w:szCs w:val="22"/>
              </w:rPr>
              <w:t>kWr</w:t>
            </w:r>
            <w:proofErr w:type="spellEnd"/>
            <w:r w:rsidRPr="00DA4BD9">
              <w:rPr>
                <w:rFonts w:asciiTheme="majorHAnsi" w:hAnsiTheme="majorHAnsi"/>
                <w:sz w:val="18"/>
                <w:szCs w:val="22"/>
              </w:rPr>
              <w:t>).</w:t>
            </w:r>
          </w:p>
        </w:tc>
      </w:tr>
      <w:tr w:rsidR="00501217" w:rsidRPr="008C4425" w14:paraId="3FEB77B0" w14:textId="77777777" w:rsidTr="00E42FBC">
        <w:trPr>
          <w:trHeight w:val="342"/>
        </w:trPr>
        <w:tc>
          <w:tcPr>
            <w:tcW w:w="2219" w:type="dxa"/>
          </w:tcPr>
          <w:p w14:paraId="04ECDE88"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Montreal Protocol</w:t>
            </w:r>
          </w:p>
        </w:tc>
        <w:tc>
          <w:tcPr>
            <w:tcW w:w="7273" w:type="dxa"/>
            <w:gridSpan w:val="3"/>
          </w:tcPr>
          <w:p w14:paraId="0E21C0BB"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The Montreal Protocol </w:t>
            </w:r>
            <w:r w:rsidRPr="00215A98">
              <w:rPr>
                <w:rFonts w:asciiTheme="majorHAnsi" w:hAnsiTheme="majorHAnsi"/>
                <w:sz w:val="18"/>
                <w:szCs w:val="22"/>
              </w:rPr>
              <w:t xml:space="preserve">on Substances that Deplete the Ozone Layer </w:t>
            </w:r>
            <w:r w:rsidRPr="008C4425">
              <w:rPr>
                <w:rFonts w:asciiTheme="majorHAnsi" w:hAnsiTheme="majorHAnsi"/>
                <w:sz w:val="18"/>
                <w:szCs w:val="22"/>
              </w:rPr>
              <w:t xml:space="preserve">sets binding obligations for </w:t>
            </w:r>
            <w:r>
              <w:rPr>
                <w:rFonts w:asciiTheme="majorHAnsi" w:hAnsiTheme="majorHAnsi"/>
                <w:sz w:val="18"/>
                <w:szCs w:val="22"/>
              </w:rPr>
              <w:t>all</w:t>
            </w:r>
            <w:r w:rsidRPr="008C4425">
              <w:rPr>
                <w:rFonts w:asciiTheme="majorHAnsi" w:hAnsiTheme="majorHAnsi"/>
                <w:sz w:val="18"/>
                <w:szCs w:val="22"/>
              </w:rPr>
              <w:t xml:space="preserve"> countries </w:t>
            </w:r>
            <w:r>
              <w:rPr>
                <w:rFonts w:asciiTheme="majorHAnsi" w:hAnsiTheme="majorHAnsi"/>
                <w:sz w:val="18"/>
                <w:szCs w:val="22"/>
              </w:rPr>
              <w:t>to phase out import and production of ozone depleting substances and phase-down obligations for HFCs.</w:t>
            </w:r>
          </w:p>
        </w:tc>
      </w:tr>
      <w:tr w:rsidR="00501217" w:rsidRPr="008C4425" w14:paraId="3E506DFD" w14:textId="77777777" w:rsidTr="00E42FBC">
        <w:trPr>
          <w:trHeight w:val="342"/>
        </w:trPr>
        <w:tc>
          <w:tcPr>
            <w:tcW w:w="2219" w:type="dxa"/>
          </w:tcPr>
          <w:p w14:paraId="475B65CA"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Natural refrigerants</w:t>
            </w:r>
          </w:p>
        </w:tc>
        <w:tc>
          <w:tcPr>
            <w:tcW w:w="7273" w:type="dxa"/>
            <w:gridSpan w:val="3"/>
          </w:tcPr>
          <w:p w14:paraId="185CE1D5"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Hydrocarbons (R600a, R290 and R436), ammonia (R717) and carbon dioxide (R744) are commonly referred to as natural refrigerants. The term ‘natural’ implies the origin of the fluids as they occur in nature as a result of geological and/or biological processes, unlike fluorinated substances that are </w:t>
            </w:r>
            <w:proofErr w:type="spellStart"/>
            <w:r w:rsidRPr="008C4425">
              <w:rPr>
                <w:rFonts w:asciiTheme="majorHAnsi" w:hAnsiTheme="majorHAnsi"/>
                <w:sz w:val="18"/>
                <w:szCs w:val="22"/>
              </w:rPr>
              <w:t>synthesised</w:t>
            </w:r>
            <w:proofErr w:type="spellEnd"/>
            <w:r w:rsidRPr="008C4425">
              <w:rPr>
                <w:rFonts w:asciiTheme="majorHAnsi" w:hAnsiTheme="majorHAnsi"/>
                <w:sz w:val="18"/>
                <w:szCs w:val="22"/>
              </w:rPr>
              <w:t xml:space="preserve"> chemicals. However it has to be noted that all ‘natural’ refrigerants are refined and compressed by bulk gas manufacturers via some process and transported like other commercial gases so also have an ‘energy investment’ in their creation, storage and transport.</w:t>
            </w:r>
          </w:p>
        </w:tc>
      </w:tr>
      <w:tr w:rsidR="00501217" w:rsidRPr="008C4425" w14:paraId="6D26EFF2" w14:textId="77777777" w:rsidTr="00E42FBC">
        <w:trPr>
          <w:trHeight w:val="342"/>
        </w:trPr>
        <w:tc>
          <w:tcPr>
            <w:tcW w:w="2219" w:type="dxa"/>
          </w:tcPr>
          <w:p w14:paraId="2E9852EF"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Operating hours per year</w:t>
            </w:r>
          </w:p>
        </w:tc>
        <w:tc>
          <w:tcPr>
            <w:tcW w:w="7273" w:type="dxa"/>
            <w:gridSpan w:val="3"/>
          </w:tcPr>
          <w:p w14:paraId="24B2745E"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The number of hours the appliance, equipment or system operates at full input load or maximum capacity.</w:t>
            </w:r>
          </w:p>
        </w:tc>
      </w:tr>
      <w:tr w:rsidR="00501217" w:rsidRPr="008C4425" w14:paraId="22B575E2" w14:textId="77777777" w:rsidTr="00E42FBC">
        <w:trPr>
          <w:trHeight w:val="342"/>
        </w:trPr>
        <w:tc>
          <w:tcPr>
            <w:tcW w:w="2219" w:type="dxa"/>
          </w:tcPr>
          <w:p w14:paraId="09D000CB"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Ozone depleting substances (ODS)</w:t>
            </w:r>
          </w:p>
        </w:tc>
        <w:tc>
          <w:tcPr>
            <w:tcW w:w="7273" w:type="dxa"/>
            <w:gridSpan w:val="3"/>
          </w:tcPr>
          <w:p w14:paraId="0BBB1230" w14:textId="611AC925" w:rsidR="00501217" w:rsidRPr="008C4425" w:rsidRDefault="00501217" w:rsidP="009A23AA">
            <w:pPr>
              <w:pStyle w:val="BodyText"/>
              <w:spacing w:before="60" w:after="60"/>
              <w:rPr>
                <w:rFonts w:asciiTheme="majorHAnsi" w:hAnsiTheme="majorHAnsi"/>
                <w:sz w:val="18"/>
                <w:szCs w:val="22"/>
              </w:rPr>
            </w:pPr>
            <w:r w:rsidRPr="003C63AC">
              <w:rPr>
                <w:rFonts w:asciiTheme="majorHAnsi" w:hAnsiTheme="majorHAnsi"/>
                <w:sz w:val="18"/>
                <w:szCs w:val="22"/>
              </w:rPr>
              <w:t>Chemicals that deplete the ozone layer (e.g. HCFCs</w:t>
            </w:r>
            <w:r w:rsidRPr="00602C64">
              <w:rPr>
                <w:rFonts w:asciiTheme="majorHAnsi" w:hAnsiTheme="majorHAnsi"/>
                <w:sz w:val="18"/>
                <w:szCs w:val="22"/>
              </w:rPr>
              <w:t>)</w:t>
            </w:r>
            <w:r>
              <w:rPr>
                <w:rFonts w:asciiTheme="majorHAnsi" w:hAnsiTheme="majorHAnsi"/>
                <w:sz w:val="18"/>
                <w:szCs w:val="22"/>
              </w:rPr>
              <w:t xml:space="preserve"> and are controlled under the Montreal Protocol</w:t>
            </w:r>
            <w:r w:rsidRPr="00602C64">
              <w:rPr>
                <w:rFonts w:asciiTheme="majorHAnsi" w:hAnsiTheme="majorHAnsi"/>
                <w:sz w:val="18"/>
                <w:szCs w:val="22"/>
              </w:rPr>
              <w:t>.</w:t>
            </w:r>
            <w:r w:rsidRPr="00602C64">
              <w:rPr>
                <w:rFonts w:asciiTheme="majorHAnsi" w:hAnsiTheme="majorHAnsi"/>
                <w:sz w:val="19"/>
                <w:szCs w:val="19"/>
              </w:rPr>
              <w:t xml:space="preserve"> The </w:t>
            </w:r>
            <w:hyperlink r:id="rId47" w:history="1">
              <w:r w:rsidRPr="00602C64">
                <w:rPr>
                  <w:rStyle w:val="Emphasis"/>
                  <w:rFonts w:asciiTheme="majorHAnsi" w:hAnsiTheme="majorHAnsi"/>
                  <w:color w:val="0062A0"/>
                  <w:sz w:val="19"/>
                  <w:szCs w:val="19"/>
                  <w:u w:val="single"/>
                </w:rPr>
                <w:t>Ozone Protection and Synthetic Greenhouse Gas Management Act 1989</w:t>
              </w:r>
            </w:hyperlink>
            <w:r w:rsidRPr="00602C64">
              <w:rPr>
                <w:rFonts w:asciiTheme="majorHAnsi" w:hAnsiTheme="majorHAnsi"/>
                <w:sz w:val="19"/>
                <w:szCs w:val="19"/>
              </w:rPr>
              <w:t xml:space="preserve"> controls the manufacture, import and export of ozone depleting substances in Australia.</w:t>
            </w:r>
          </w:p>
        </w:tc>
      </w:tr>
      <w:tr w:rsidR="00501217" w:rsidRPr="008C4425" w14:paraId="57F65907" w14:textId="77777777" w:rsidTr="00E42FBC">
        <w:trPr>
          <w:trHeight w:val="342"/>
        </w:trPr>
        <w:tc>
          <w:tcPr>
            <w:tcW w:w="2219" w:type="dxa"/>
          </w:tcPr>
          <w:p w14:paraId="26782CA7"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PJ</w:t>
            </w:r>
          </w:p>
        </w:tc>
        <w:tc>
          <w:tcPr>
            <w:tcW w:w="7273" w:type="dxa"/>
            <w:gridSpan w:val="3"/>
          </w:tcPr>
          <w:p w14:paraId="6B55DC6E" w14:textId="77777777" w:rsidR="00501217" w:rsidRPr="008C4425" w:rsidRDefault="00501217" w:rsidP="009A23AA">
            <w:pPr>
              <w:pStyle w:val="BodyText"/>
              <w:spacing w:before="60" w:after="60"/>
              <w:rPr>
                <w:rFonts w:asciiTheme="majorHAnsi" w:hAnsiTheme="majorHAnsi"/>
                <w:sz w:val="18"/>
                <w:szCs w:val="22"/>
              </w:rPr>
            </w:pPr>
            <w:proofErr w:type="spellStart"/>
            <w:r w:rsidRPr="008C4425">
              <w:rPr>
                <w:rFonts w:asciiTheme="majorHAnsi" w:hAnsiTheme="majorHAnsi"/>
                <w:sz w:val="18"/>
                <w:szCs w:val="22"/>
                <w:lang w:val="en-AU"/>
              </w:rPr>
              <w:t>Petajoule</w:t>
            </w:r>
            <w:proofErr w:type="spellEnd"/>
            <w:r w:rsidRPr="008C4425">
              <w:rPr>
                <w:rFonts w:asciiTheme="majorHAnsi" w:hAnsiTheme="majorHAnsi"/>
                <w:sz w:val="18"/>
                <w:szCs w:val="22"/>
                <w:lang w:val="en-AU"/>
              </w:rPr>
              <w:t xml:space="preserve"> (1 Joule x 10</w:t>
            </w:r>
            <w:r w:rsidRPr="008C4425">
              <w:rPr>
                <w:rFonts w:asciiTheme="majorHAnsi" w:hAnsiTheme="majorHAnsi"/>
                <w:sz w:val="18"/>
                <w:szCs w:val="22"/>
                <w:vertAlign w:val="superscript"/>
                <w:lang w:val="en-AU"/>
              </w:rPr>
              <w:t>15</w:t>
            </w:r>
            <w:r w:rsidRPr="008C4425">
              <w:rPr>
                <w:rFonts w:asciiTheme="majorHAnsi" w:hAnsiTheme="majorHAnsi"/>
                <w:sz w:val="18"/>
                <w:szCs w:val="22"/>
                <w:lang w:val="en-AU"/>
              </w:rPr>
              <w:t>).</w:t>
            </w:r>
          </w:p>
        </w:tc>
      </w:tr>
      <w:tr w:rsidR="00501217" w:rsidRPr="008C4425" w14:paraId="360B355A" w14:textId="77777777" w:rsidTr="00E42FBC">
        <w:trPr>
          <w:trHeight w:val="342"/>
        </w:trPr>
        <w:tc>
          <w:tcPr>
            <w:tcW w:w="2219" w:type="dxa"/>
          </w:tcPr>
          <w:p w14:paraId="20C23F21"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Pre-charged equipment (PCE)</w:t>
            </w:r>
          </w:p>
        </w:tc>
        <w:tc>
          <w:tcPr>
            <w:tcW w:w="7273" w:type="dxa"/>
            <w:gridSpan w:val="3"/>
          </w:tcPr>
          <w:p w14:paraId="56FCA9CE" w14:textId="04397C62"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lang w:val="en-AU"/>
              </w:rPr>
              <w:t xml:space="preserve">Pre-charged equipment is defined as </w:t>
            </w:r>
            <w:r>
              <w:rPr>
                <w:rFonts w:asciiTheme="majorHAnsi" w:hAnsiTheme="majorHAnsi"/>
                <w:sz w:val="18"/>
                <w:szCs w:val="22"/>
                <w:lang w:val="en-AU"/>
              </w:rPr>
              <w:t xml:space="preserve">any equipment, primarily </w:t>
            </w:r>
            <w:r w:rsidRPr="008C4425">
              <w:rPr>
                <w:rFonts w:asciiTheme="majorHAnsi" w:hAnsiTheme="majorHAnsi"/>
                <w:sz w:val="18"/>
                <w:szCs w:val="22"/>
                <w:lang w:val="en-AU"/>
              </w:rPr>
              <w:t>air conditioning equipment or refrigeration equipment</w:t>
            </w:r>
            <w:r>
              <w:rPr>
                <w:rFonts w:asciiTheme="majorHAnsi" w:hAnsiTheme="majorHAnsi"/>
                <w:sz w:val="18"/>
                <w:szCs w:val="22"/>
                <w:lang w:val="en-AU"/>
              </w:rPr>
              <w:t>,</w:t>
            </w:r>
            <w:r w:rsidRPr="008C4425">
              <w:rPr>
                <w:rFonts w:asciiTheme="majorHAnsi" w:hAnsiTheme="majorHAnsi"/>
                <w:sz w:val="18"/>
                <w:szCs w:val="22"/>
                <w:lang w:val="en-AU"/>
              </w:rPr>
              <w:t xml:space="preserve"> (including equipment fitted to a motor vehicle) that </w:t>
            </w:r>
            <w:r>
              <w:rPr>
                <w:rFonts w:asciiTheme="majorHAnsi" w:hAnsiTheme="majorHAnsi"/>
                <w:sz w:val="18"/>
                <w:szCs w:val="22"/>
                <w:lang w:val="en-AU"/>
              </w:rPr>
              <w:t xml:space="preserve">is imported </w:t>
            </w:r>
            <w:r w:rsidRPr="008C4425">
              <w:rPr>
                <w:rFonts w:asciiTheme="majorHAnsi" w:hAnsiTheme="majorHAnsi"/>
                <w:sz w:val="18"/>
                <w:szCs w:val="22"/>
                <w:lang w:val="en-AU"/>
              </w:rPr>
              <w:t>contain</w:t>
            </w:r>
            <w:r>
              <w:rPr>
                <w:rFonts w:asciiTheme="majorHAnsi" w:hAnsiTheme="majorHAnsi"/>
                <w:sz w:val="18"/>
                <w:szCs w:val="22"/>
                <w:lang w:val="en-AU"/>
              </w:rPr>
              <w:t>ing</w:t>
            </w:r>
            <w:r w:rsidRPr="008C4425">
              <w:rPr>
                <w:rFonts w:asciiTheme="majorHAnsi" w:hAnsiTheme="majorHAnsi"/>
                <w:sz w:val="18"/>
                <w:szCs w:val="22"/>
                <w:lang w:val="en-AU"/>
              </w:rPr>
              <w:t xml:space="preserve"> a</w:t>
            </w:r>
            <w:r w:rsidR="006F22F4">
              <w:rPr>
                <w:rFonts w:asciiTheme="majorHAnsi" w:hAnsiTheme="majorHAnsi"/>
                <w:sz w:val="18"/>
                <w:szCs w:val="22"/>
                <w:lang w:val="en-AU"/>
              </w:rPr>
              <w:t>n</w:t>
            </w:r>
            <w:r>
              <w:rPr>
                <w:rFonts w:asciiTheme="majorHAnsi" w:hAnsiTheme="majorHAnsi"/>
                <w:sz w:val="18"/>
                <w:szCs w:val="22"/>
                <w:lang w:val="en-AU"/>
              </w:rPr>
              <w:t xml:space="preserve"> SGG and any air conditioning or refrigeration equipment that is imported containing a HCFC</w:t>
            </w:r>
            <w:r w:rsidRPr="008C4425">
              <w:rPr>
                <w:rFonts w:asciiTheme="majorHAnsi" w:hAnsiTheme="majorHAnsi"/>
                <w:sz w:val="18"/>
                <w:szCs w:val="22"/>
                <w:lang w:val="en-AU"/>
              </w:rPr>
              <w:t>.</w:t>
            </w:r>
          </w:p>
        </w:tc>
      </w:tr>
      <w:tr w:rsidR="00501217" w:rsidRPr="008C4425" w14:paraId="375DF80E" w14:textId="77777777" w:rsidTr="00E42FBC">
        <w:trPr>
          <w:trHeight w:val="342"/>
        </w:trPr>
        <w:tc>
          <w:tcPr>
            <w:tcW w:w="2219" w:type="dxa"/>
          </w:tcPr>
          <w:p w14:paraId="670A9EA7"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RAC</w:t>
            </w:r>
          </w:p>
        </w:tc>
        <w:tc>
          <w:tcPr>
            <w:tcW w:w="7273" w:type="dxa"/>
            <w:gridSpan w:val="3"/>
          </w:tcPr>
          <w:p w14:paraId="1D754828"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lang w:val="en-AU"/>
              </w:rPr>
              <w:t>Refrigeration and air conditioning.</w:t>
            </w:r>
          </w:p>
        </w:tc>
      </w:tr>
      <w:tr w:rsidR="00501217" w:rsidRPr="008C4425" w14:paraId="2F83AEF3" w14:textId="77777777" w:rsidTr="00E42FBC">
        <w:trPr>
          <w:trHeight w:val="342"/>
        </w:trPr>
        <w:tc>
          <w:tcPr>
            <w:tcW w:w="2219" w:type="dxa"/>
          </w:tcPr>
          <w:p w14:paraId="2B01FC8A" w14:textId="77777777" w:rsidR="00501217" w:rsidRPr="008C4425" w:rsidRDefault="00501217" w:rsidP="0095284B">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RAC Stock model</w:t>
            </w:r>
          </w:p>
        </w:tc>
        <w:tc>
          <w:tcPr>
            <w:tcW w:w="7273" w:type="dxa"/>
            <w:gridSpan w:val="3"/>
          </w:tcPr>
          <w:p w14:paraId="0642109B" w14:textId="77777777" w:rsidR="00501217" w:rsidRPr="008C4425" w:rsidRDefault="00501217" w:rsidP="009A23AA">
            <w:pPr>
              <w:pStyle w:val="BodyText"/>
              <w:spacing w:before="60" w:after="0"/>
              <w:rPr>
                <w:rFonts w:asciiTheme="majorHAnsi" w:hAnsiTheme="majorHAnsi"/>
                <w:sz w:val="18"/>
                <w:szCs w:val="22"/>
                <w:lang w:val="en-AU"/>
              </w:rPr>
            </w:pPr>
            <w:r>
              <w:rPr>
                <w:rFonts w:asciiTheme="majorHAnsi" w:hAnsiTheme="majorHAnsi"/>
                <w:sz w:val="18"/>
                <w:szCs w:val="22"/>
                <w:lang w:val="en-AU"/>
              </w:rPr>
              <w:t xml:space="preserve">The </w:t>
            </w:r>
            <w:r w:rsidRPr="009A385C">
              <w:rPr>
                <w:rFonts w:asciiTheme="majorHAnsi" w:hAnsiTheme="majorHAnsi"/>
                <w:sz w:val="18"/>
                <w:szCs w:val="22"/>
                <w:lang w:val="en-AU"/>
              </w:rPr>
              <w:t>Expert Group RAC Stock Model</w:t>
            </w:r>
            <w:r>
              <w:rPr>
                <w:rFonts w:asciiTheme="majorHAnsi" w:hAnsiTheme="majorHAnsi"/>
                <w:sz w:val="18"/>
                <w:szCs w:val="22"/>
                <w:lang w:val="en-AU"/>
              </w:rPr>
              <w:t xml:space="preserve"> is an a</w:t>
            </w:r>
            <w:r w:rsidRPr="009A385C">
              <w:rPr>
                <w:rFonts w:asciiTheme="majorHAnsi" w:hAnsiTheme="majorHAnsi"/>
                <w:sz w:val="18"/>
                <w:szCs w:val="22"/>
                <w:lang w:val="en-AU"/>
              </w:rPr>
              <w:t>ge-</w:t>
            </w:r>
            <w:r>
              <w:rPr>
                <w:rFonts w:asciiTheme="majorHAnsi" w:hAnsiTheme="majorHAnsi"/>
                <w:sz w:val="18"/>
                <w:szCs w:val="22"/>
                <w:lang w:val="en-AU"/>
              </w:rPr>
              <w:t>c</w:t>
            </w:r>
            <w:r w:rsidRPr="009A385C">
              <w:rPr>
                <w:rFonts w:asciiTheme="majorHAnsi" w:hAnsiTheme="majorHAnsi"/>
                <w:sz w:val="18"/>
                <w:szCs w:val="22"/>
                <w:lang w:val="en-AU"/>
              </w:rPr>
              <w:t xml:space="preserve">ohort </w:t>
            </w:r>
            <w:r>
              <w:rPr>
                <w:rFonts w:asciiTheme="majorHAnsi" w:hAnsiTheme="majorHAnsi"/>
                <w:sz w:val="18"/>
                <w:szCs w:val="22"/>
                <w:lang w:val="en-AU"/>
              </w:rPr>
              <w:t>m</w:t>
            </w:r>
            <w:r w:rsidRPr="009A385C">
              <w:rPr>
                <w:rFonts w:asciiTheme="majorHAnsi" w:hAnsiTheme="majorHAnsi"/>
                <w:sz w:val="18"/>
                <w:szCs w:val="22"/>
                <w:lang w:val="en-AU"/>
              </w:rPr>
              <w:t xml:space="preserve">ass </w:t>
            </w:r>
            <w:r>
              <w:rPr>
                <w:rFonts w:asciiTheme="majorHAnsi" w:hAnsiTheme="majorHAnsi"/>
                <w:sz w:val="18"/>
                <w:szCs w:val="22"/>
                <w:lang w:val="en-AU"/>
              </w:rPr>
              <w:t>b</w:t>
            </w:r>
            <w:r w:rsidRPr="009A385C">
              <w:rPr>
                <w:rFonts w:asciiTheme="majorHAnsi" w:hAnsiTheme="majorHAnsi"/>
                <w:sz w:val="18"/>
                <w:szCs w:val="22"/>
                <w:lang w:val="en-AU"/>
              </w:rPr>
              <w:t>alance</w:t>
            </w:r>
            <w:r>
              <w:rPr>
                <w:rFonts w:asciiTheme="majorHAnsi" w:hAnsiTheme="majorHAnsi"/>
                <w:sz w:val="18"/>
                <w:szCs w:val="22"/>
                <w:lang w:val="en-AU"/>
              </w:rPr>
              <w:t xml:space="preserve"> stock model. Inputs include b</w:t>
            </w:r>
            <w:r w:rsidRPr="009A385C">
              <w:rPr>
                <w:rFonts w:asciiTheme="majorHAnsi" w:hAnsiTheme="majorHAnsi"/>
                <w:sz w:val="18"/>
                <w:szCs w:val="22"/>
                <w:lang w:val="en-AU"/>
              </w:rPr>
              <w:t>ulk imports by HFC and HCFC species since 2005</w:t>
            </w:r>
            <w:r>
              <w:rPr>
                <w:rFonts w:asciiTheme="majorHAnsi" w:hAnsiTheme="majorHAnsi"/>
                <w:sz w:val="18"/>
                <w:szCs w:val="22"/>
                <w:lang w:val="en-AU"/>
              </w:rPr>
              <w:t>; p</w:t>
            </w:r>
            <w:r w:rsidRPr="009A385C">
              <w:rPr>
                <w:rFonts w:asciiTheme="majorHAnsi" w:hAnsiTheme="majorHAnsi"/>
                <w:sz w:val="18"/>
                <w:szCs w:val="22"/>
                <w:lang w:val="en-AU"/>
              </w:rPr>
              <w:t>re-charged equipment (PCE) imports by HFC species by equipment class since 2005</w:t>
            </w:r>
            <w:r>
              <w:rPr>
                <w:rFonts w:asciiTheme="majorHAnsi" w:hAnsiTheme="majorHAnsi"/>
                <w:sz w:val="18"/>
                <w:szCs w:val="22"/>
                <w:lang w:val="en-AU"/>
              </w:rPr>
              <w:t xml:space="preserve">; </w:t>
            </w:r>
            <w:r w:rsidRPr="009A385C">
              <w:rPr>
                <w:rFonts w:asciiTheme="majorHAnsi" w:hAnsiTheme="majorHAnsi"/>
                <w:sz w:val="18"/>
                <w:szCs w:val="22"/>
                <w:lang w:val="en-AU"/>
              </w:rPr>
              <w:t>PCE containing HCFCs (largely banned in 2010)</w:t>
            </w:r>
            <w:r>
              <w:rPr>
                <w:rFonts w:asciiTheme="majorHAnsi" w:hAnsiTheme="majorHAnsi"/>
                <w:sz w:val="18"/>
                <w:szCs w:val="22"/>
                <w:lang w:val="en-AU"/>
              </w:rPr>
              <w:t>; m</w:t>
            </w:r>
            <w:r w:rsidRPr="009A385C">
              <w:rPr>
                <w:rFonts w:asciiTheme="majorHAnsi" w:hAnsiTheme="majorHAnsi"/>
                <w:sz w:val="18"/>
                <w:szCs w:val="22"/>
                <w:lang w:val="en-AU"/>
              </w:rPr>
              <w:t>otor vehicle registrations</w:t>
            </w:r>
            <w:r>
              <w:rPr>
                <w:rFonts w:asciiTheme="majorHAnsi" w:hAnsiTheme="majorHAnsi"/>
                <w:sz w:val="18"/>
                <w:szCs w:val="22"/>
                <w:lang w:val="en-AU"/>
              </w:rPr>
              <w:t>; m</w:t>
            </w:r>
            <w:r w:rsidRPr="000B6359">
              <w:rPr>
                <w:rFonts w:asciiTheme="majorHAnsi" w:hAnsiTheme="majorHAnsi"/>
                <w:sz w:val="18"/>
                <w:szCs w:val="22"/>
                <w:lang w:val="en-AU"/>
              </w:rPr>
              <w:t>onthly sales ($ and quantity) of HCFCs and HFCs by species including refrigerant re-use</w:t>
            </w:r>
            <w:r>
              <w:rPr>
                <w:rFonts w:asciiTheme="majorHAnsi" w:hAnsiTheme="majorHAnsi"/>
                <w:sz w:val="18"/>
                <w:szCs w:val="22"/>
                <w:lang w:val="en-AU"/>
              </w:rPr>
              <w:t>; e</w:t>
            </w:r>
            <w:r w:rsidRPr="000B6359">
              <w:rPr>
                <w:rFonts w:asciiTheme="majorHAnsi" w:hAnsiTheme="majorHAnsi"/>
                <w:sz w:val="18"/>
                <w:szCs w:val="22"/>
                <w:lang w:val="en-AU"/>
              </w:rPr>
              <w:t>quipment sales data (air conditioning and refrigeration equipment by type)</w:t>
            </w:r>
            <w:r>
              <w:rPr>
                <w:rFonts w:asciiTheme="majorHAnsi" w:hAnsiTheme="majorHAnsi"/>
                <w:sz w:val="18"/>
                <w:szCs w:val="22"/>
                <w:lang w:val="en-AU"/>
              </w:rPr>
              <w:t>; data from targeted surveys including u</w:t>
            </w:r>
            <w:r w:rsidRPr="000B6359">
              <w:rPr>
                <w:rFonts w:asciiTheme="majorHAnsi" w:hAnsiTheme="majorHAnsi"/>
                <w:sz w:val="18"/>
                <w:szCs w:val="22"/>
                <w:lang w:val="en-AU"/>
              </w:rPr>
              <w:t xml:space="preserve">sage of HFC-134a in </w:t>
            </w:r>
            <w:r>
              <w:rPr>
                <w:rFonts w:asciiTheme="majorHAnsi" w:hAnsiTheme="majorHAnsi"/>
                <w:sz w:val="18"/>
                <w:szCs w:val="22"/>
                <w:lang w:val="en-AU"/>
              </w:rPr>
              <w:t>m</w:t>
            </w:r>
            <w:r w:rsidRPr="000B6359">
              <w:rPr>
                <w:rFonts w:asciiTheme="majorHAnsi" w:hAnsiTheme="majorHAnsi"/>
                <w:sz w:val="18"/>
                <w:szCs w:val="22"/>
                <w:lang w:val="en-AU"/>
              </w:rPr>
              <w:t>obile AC aftermarket</w:t>
            </w:r>
            <w:r>
              <w:rPr>
                <w:rFonts w:asciiTheme="majorHAnsi" w:hAnsiTheme="majorHAnsi"/>
                <w:sz w:val="18"/>
                <w:szCs w:val="22"/>
                <w:lang w:val="en-AU"/>
              </w:rPr>
              <w:t>; a</w:t>
            </w:r>
            <w:r w:rsidRPr="000B6359">
              <w:rPr>
                <w:rFonts w:asciiTheme="majorHAnsi" w:hAnsiTheme="majorHAnsi"/>
                <w:sz w:val="18"/>
                <w:szCs w:val="22"/>
                <w:lang w:val="en-AU"/>
              </w:rPr>
              <w:t>nnual sales of natural refrigerants (HC, CO</w:t>
            </w:r>
            <w:r w:rsidRPr="00EA6C13">
              <w:rPr>
                <w:rFonts w:asciiTheme="majorHAnsi" w:hAnsiTheme="majorHAnsi"/>
                <w:sz w:val="18"/>
                <w:szCs w:val="22"/>
                <w:vertAlign w:val="subscript"/>
                <w:lang w:val="en-AU"/>
              </w:rPr>
              <w:t>2</w:t>
            </w:r>
            <w:r w:rsidRPr="000B6359">
              <w:rPr>
                <w:rFonts w:asciiTheme="majorHAnsi" w:hAnsiTheme="majorHAnsi"/>
                <w:sz w:val="18"/>
                <w:szCs w:val="22"/>
                <w:lang w:val="en-AU"/>
              </w:rPr>
              <w:t xml:space="preserve"> and ammonia) last 5 years</w:t>
            </w:r>
            <w:r>
              <w:rPr>
                <w:rFonts w:asciiTheme="majorHAnsi" w:hAnsiTheme="majorHAnsi"/>
                <w:sz w:val="18"/>
                <w:szCs w:val="22"/>
                <w:lang w:val="en-AU"/>
              </w:rPr>
              <w:t>; r</w:t>
            </w:r>
            <w:r w:rsidRPr="000B6359">
              <w:rPr>
                <w:rFonts w:asciiTheme="majorHAnsi" w:hAnsiTheme="majorHAnsi"/>
                <w:sz w:val="18"/>
                <w:szCs w:val="22"/>
                <w:lang w:val="en-AU"/>
              </w:rPr>
              <w:t xml:space="preserve">etail </w:t>
            </w:r>
            <w:r>
              <w:rPr>
                <w:rFonts w:asciiTheme="majorHAnsi" w:hAnsiTheme="majorHAnsi"/>
                <w:sz w:val="18"/>
                <w:szCs w:val="22"/>
                <w:lang w:val="en-AU"/>
              </w:rPr>
              <w:t>m</w:t>
            </w:r>
            <w:r w:rsidRPr="000B6359">
              <w:rPr>
                <w:rFonts w:asciiTheme="majorHAnsi" w:hAnsiTheme="majorHAnsi"/>
                <w:sz w:val="18"/>
                <w:szCs w:val="22"/>
                <w:lang w:val="en-AU"/>
              </w:rPr>
              <w:t xml:space="preserve">arket </w:t>
            </w:r>
            <w:r>
              <w:rPr>
                <w:rFonts w:asciiTheme="majorHAnsi" w:hAnsiTheme="majorHAnsi"/>
                <w:sz w:val="18"/>
                <w:szCs w:val="22"/>
                <w:lang w:val="en-AU"/>
              </w:rPr>
              <w:t>s</w:t>
            </w:r>
            <w:r w:rsidRPr="000B6359">
              <w:rPr>
                <w:rFonts w:asciiTheme="majorHAnsi" w:hAnsiTheme="majorHAnsi"/>
                <w:sz w:val="18"/>
                <w:szCs w:val="22"/>
                <w:lang w:val="en-AU"/>
              </w:rPr>
              <w:t>urvey of HC in domestic refrigerators on showroom floors</w:t>
            </w:r>
            <w:r>
              <w:rPr>
                <w:rFonts w:asciiTheme="majorHAnsi" w:hAnsiTheme="majorHAnsi"/>
                <w:sz w:val="18"/>
                <w:szCs w:val="22"/>
                <w:lang w:val="en-AU"/>
              </w:rPr>
              <w:t>; p</w:t>
            </w:r>
            <w:r w:rsidRPr="000B6359">
              <w:rPr>
                <w:rFonts w:asciiTheme="majorHAnsi" w:hAnsiTheme="majorHAnsi"/>
                <w:sz w:val="18"/>
                <w:szCs w:val="22"/>
                <w:lang w:val="en-AU"/>
              </w:rPr>
              <w:t>enetration of CO</w:t>
            </w:r>
            <w:r w:rsidRPr="000B6359">
              <w:rPr>
                <w:rFonts w:asciiTheme="majorHAnsi" w:hAnsiTheme="majorHAnsi"/>
                <w:sz w:val="18"/>
                <w:szCs w:val="22"/>
                <w:vertAlign w:val="subscript"/>
                <w:lang w:val="en-AU"/>
              </w:rPr>
              <w:t>2</w:t>
            </w:r>
            <w:r w:rsidRPr="000B6359">
              <w:rPr>
                <w:rFonts w:asciiTheme="majorHAnsi" w:hAnsiTheme="majorHAnsi"/>
                <w:sz w:val="18"/>
                <w:szCs w:val="22"/>
                <w:lang w:val="en-AU"/>
              </w:rPr>
              <w:t xml:space="preserve"> in various equipment categories and applications</w:t>
            </w:r>
            <w:r>
              <w:rPr>
                <w:rFonts w:asciiTheme="majorHAnsi" w:hAnsiTheme="majorHAnsi"/>
                <w:sz w:val="18"/>
                <w:szCs w:val="22"/>
                <w:lang w:val="en-AU"/>
              </w:rPr>
              <w:t>; and, i</w:t>
            </w:r>
            <w:r w:rsidRPr="000B6359">
              <w:rPr>
                <w:rFonts w:asciiTheme="majorHAnsi" w:hAnsiTheme="majorHAnsi"/>
                <w:sz w:val="18"/>
                <w:szCs w:val="22"/>
                <w:lang w:val="en-AU"/>
              </w:rPr>
              <w:t>n-confidence interviews</w:t>
            </w:r>
            <w:r>
              <w:rPr>
                <w:rFonts w:asciiTheme="majorHAnsi" w:hAnsiTheme="majorHAnsi"/>
                <w:sz w:val="18"/>
                <w:szCs w:val="22"/>
                <w:lang w:val="en-AU"/>
              </w:rPr>
              <w:t>.</w:t>
            </w:r>
          </w:p>
        </w:tc>
      </w:tr>
      <w:tr w:rsidR="00501217" w:rsidRPr="008C4425" w14:paraId="7BA9F060" w14:textId="77777777" w:rsidTr="00E42FBC">
        <w:trPr>
          <w:trHeight w:val="342"/>
        </w:trPr>
        <w:tc>
          <w:tcPr>
            <w:tcW w:w="2219" w:type="dxa"/>
          </w:tcPr>
          <w:p w14:paraId="69DB734C"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Recovery efficiency</w:t>
            </w:r>
          </w:p>
        </w:tc>
        <w:tc>
          <w:tcPr>
            <w:tcW w:w="7273" w:type="dxa"/>
            <w:gridSpan w:val="3"/>
          </w:tcPr>
          <w:p w14:paraId="22E30E57"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lang w:val="en-AU"/>
              </w:rPr>
              <w:t xml:space="preserve">Proportion of refrigerant charge that is recovered from a system when it is decommissioned at the end of its useful working life. The </w:t>
            </w:r>
            <w:r>
              <w:rPr>
                <w:rFonts w:asciiTheme="majorHAnsi" w:hAnsiTheme="majorHAnsi"/>
                <w:sz w:val="18"/>
                <w:szCs w:val="22"/>
                <w:lang w:val="en-AU"/>
              </w:rPr>
              <w:t>r</w:t>
            </w:r>
            <w:r w:rsidRPr="008C4425">
              <w:rPr>
                <w:rFonts w:asciiTheme="majorHAnsi" w:hAnsiTheme="majorHAnsi"/>
                <w:sz w:val="18"/>
                <w:szCs w:val="22"/>
                <w:lang w:val="en-AU"/>
              </w:rPr>
              <w:t>ecovery/recycling factor has a value from 0 to 1</w:t>
            </w:r>
            <w:r>
              <w:rPr>
                <w:rFonts w:asciiTheme="majorHAnsi" w:hAnsiTheme="majorHAnsi"/>
                <w:sz w:val="18"/>
                <w:szCs w:val="22"/>
                <w:lang w:val="en-AU"/>
              </w:rPr>
              <w:t xml:space="preserve"> with a value of 1 indicating that the entire charge is recovered</w:t>
            </w:r>
            <w:r w:rsidRPr="008C4425">
              <w:rPr>
                <w:rFonts w:asciiTheme="majorHAnsi" w:hAnsiTheme="majorHAnsi"/>
                <w:sz w:val="18"/>
                <w:szCs w:val="22"/>
                <w:lang w:val="en-AU"/>
              </w:rPr>
              <w:t>.</w:t>
            </w:r>
          </w:p>
        </w:tc>
      </w:tr>
      <w:tr w:rsidR="00501217" w:rsidRPr="008C4425" w14:paraId="6D472229" w14:textId="77777777" w:rsidTr="00E42FBC">
        <w:trPr>
          <w:trHeight w:val="342"/>
        </w:trPr>
        <w:tc>
          <w:tcPr>
            <w:tcW w:w="2219" w:type="dxa"/>
          </w:tcPr>
          <w:p w14:paraId="41778BBC" w14:textId="77777777" w:rsidR="00501217" w:rsidRPr="008C4425" w:rsidRDefault="00501217" w:rsidP="0095284B">
            <w:pPr>
              <w:pStyle w:val="BodyText"/>
              <w:spacing w:before="60" w:after="60"/>
              <w:jc w:val="left"/>
              <w:rPr>
                <w:rFonts w:asciiTheme="majorHAnsi" w:hAnsiTheme="majorHAnsi"/>
                <w:sz w:val="18"/>
                <w:szCs w:val="22"/>
              </w:rPr>
            </w:pPr>
            <w:r>
              <w:rPr>
                <w:rFonts w:asciiTheme="majorHAnsi" w:hAnsiTheme="majorHAnsi"/>
                <w:sz w:val="18"/>
                <w:szCs w:val="22"/>
              </w:rPr>
              <w:t>Reduced GWP substances or refrigerants</w:t>
            </w:r>
          </w:p>
        </w:tc>
        <w:tc>
          <w:tcPr>
            <w:tcW w:w="7273" w:type="dxa"/>
            <w:gridSpan w:val="3"/>
          </w:tcPr>
          <w:p w14:paraId="223884B0" w14:textId="77777777" w:rsidR="00501217" w:rsidRPr="008C4425" w:rsidRDefault="00501217" w:rsidP="009A23AA">
            <w:pPr>
              <w:pStyle w:val="BodyText"/>
              <w:spacing w:before="60" w:after="60"/>
              <w:rPr>
                <w:rFonts w:asciiTheme="majorHAnsi" w:hAnsiTheme="majorHAnsi"/>
                <w:sz w:val="18"/>
              </w:rPr>
            </w:pPr>
            <w:r>
              <w:rPr>
                <w:rFonts w:asciiTheme="majorHAnsi" w:hAnsiTheme="majorHAnsi"/>
                <w:sz w:val="18"/>
              </w:rPr>
              <w:t xml:space="preserve">This term has been used for the purpose of this report. </w:t>
            </w:r>
            <w:r w:rsidRPr="00801AFA">
              <w:rPr>
                <w:rFonts w:asciiTheme="majorHAnsi" w:hAnsiTheme="majorHAnsi"/>
                <w:sz w:val="18"/>
              </w:rPr>
              <w:t xml:space="preserve">A number of recently developed </w:t>
            </w:r>
            <w:r>
              <w:rPr>
                <w:rFonts w:asciiTheme="majorHAnsi" w:hAnsiTheme="majorHAnsi"/>
                <w:sz w:val="18"/>
              </w:rPr>
              <w:t xml:space="preserve">or used </w:t>
            </w:r>
            <w:r w:rsidRPr="00801AFA">
              <w:rPr>
                <w:rFonts w:asciiTheme="majorHAnsi" w:hAnsiTheme="majorHAnsi"/>
                <w:sz w:val="18"/>
              </w:rPr>
              <w:t>HFC substances</w:t>
            </w:r>
            <w:r>
              <w:rPr>
                <w:rFonts w:asciiTheme="majorHAnsi" w:hAnsiTheme="majorHAnsi"/>
                <w:sz w:val="18"/>
              </w:rPr>
              <w:t xml:space="preserve"> or refrigerants that </w:t>
            </w:r>
            <w:r w:rsidRPr="00801AFA">
              <w:rPr>
                <w:rFonts w:asciiTheme="majorHAnsi" w:hAnsiTheme="majorHAnsi"/>
                <w:sz w:val="18"/>
              </w:rPr>
              <w:t xml:space="preserve">have significantly reduced GWP relative to those </w:t>
            </w:r>
            <w:r>
              <w:rPr>
                <w:rFonts w:asciiTheme="majorHAnsi" w:hAnsiTheme="majorHAnsi"/>
                <w:sz w:val="18"/>
              </w:rPr>
              <w:t xml:space="preserve">commonly used high GWP </w:t>
            </w:r>
            <w:r w:rsidRPr="00801AFA">
              <w:rPr>
                <w:rFonts w:asciiTheme="majorHAnsi" w:hAnsiTheme="majorHAnsi"/>
                <w:sz w:val="18"/>
              </w:rPr>
              <w:t>refrigerants they are designed to replace.</w:t>
            </w:r>
            <w:r>
              <w:rPr>
                <w:rFonts w:asciiTheme="majorHAnsi" w:hAnsiTheme="majorHAnsi"/>
                <w:sz w:val="18"/>
              </w:rPr>
              <w:t xml:space="preserve"> </w:t>
            </w:r>
            <w:r w:rsidRPr="00184603">
              <w:rPr>
                <w:rFonts w:asciiTheme="majorHAnsi" w:hAnsiTheme="majorHAnsi"/>
                <w:sz w:val="18"/>
              </w:rPr>
              <w:t>HFC-32 (GWP 675)</w:t>
            </w:r>
            <w:r>
              <w:rPr>
                <w:rFonts w:asciiTheme="majorHAnsi" w:hAnsiTheme="majorHAnsi"/>
                <w:sz w:val="18"/>
              </w:rPr>
              <w:t xml:space="preserve"> and blends</w:t>
            </w:r>
            <w:r w:rsidRPr="00801AFA">
              <w:rPr>
                <w:rFonts w:asciiTheme="majorHAnsi" w:hAnsiTheme="majorHAnsi"/>
                <w:sz w:val="18"/>
              </w:rPr>
              <w:t xml:space="preserve"> with GWPs</w:t>
            </w:r>
            <w:r>
              <w:rPr>
                <w:rFonts w:asciiTheme="majorHAnsi" w:hAnsiTheme="majorHAnsi"/>
                <w:sz w:val="18"/>
              </w:rPr>
              <w:t xml:space="preserve"> </w:t>
            </w:r>
            <w:r w:rsidRPr="00801AFA">
              <w:rPr>
                <w:rFonts w:asciiTheme="majorHAnsi" w:hAnsiTheme="majorHAnsi"/>
                <w:sz w:val="18"/>
              </w:rPr>
              <w:t xml:space="preserve">less than 1400 and greater than 10, are referred to </w:t>
            </w:r>
            <w:r>
              <w:rPr>
                <w:rFonts w:asciiTheme="majorHAnsi" w:hAnsiTheme="majorHAnsi"/>
                <w:sz w:val="18"/>
              </w:rPr>
              <w:t xml:space="preserve">as </w:t>
            </w:r>
            <w:r w:rsidRPr="00801AFA">
              <w:rPr>
                <w:rFonts w:asciiTheme="majorHAnsi" w:hAnsiTheme="majorHAnsi"/>
                <w:sz w:val="18"/>
              </w:rPr>
              <w:t>reduced GWP refrigerants. For example, N40 (R-448A) with a GWP of 1387 is</w:t>
            </w:r>
            <w:r>
              <w:rPr>
                <w:rFonts w:asciiTheme="majorHAnsi" w:hAnsiTheme="majorHAnsi"/>
                <w:sz w:val="18"/>
              </w:rPr>
              <w:t xml:space="preserve"> </w:t>
            </w:r>
            <w:r w:rsidRPr="00801AFA">
              <w:rPr>
                <w:rFonts w:asciiTheme="majorHAnsi" w:hAnsiTheme="majorHAnsi"/>
                <w:sz w:val="18"/>
              </w:rPr>
              <w:t xml:space="preserve">a zeotropic blend designed to serve as a replacement for HCFC-22 (GWP </w:t>
            </w:r>
            <w:r>
              <w:rPr>
                <w:rFonts w:asciiTheme="majorHAnsi" w:hAnsiTheme="majorHAnsi"/>
                <w:sz w:val="18"/>
              </w:rPr>
              <w:t>of 1810</w:t>
            </w:r>
            <w:r w:rsidRPr="00801AFA">
              <w:rPr>
                <w:rFonts w:asciiTheme="majorHAnsi" w:hAnsiTheme="majorHAnsi"/>
                <w:sz w:val="18"/>
              </w:rPr>
              <w:t>)</w:t>
            </w:r>
            <w:r>
              <w:rPr>
                <w:rFonts w:asciiTheme="majorHAnsi" w:hAnsiTheme="majorHAnsi"/>
                <w:sz w:val="18"/>
              </w:rPr>
              <w:t xml:space="preserve"> </w:t>
            </w:r>
            <w:r w:rsidRPr="00801AFA">
              <w:rPr>
                <w:rFonts w:asciiTheme="majorHAnsi" w:hAnsiTheme="majorHAnsi"/>
                <w:sz w:val="18"/>
              </w:rPr>
              <w:t>and HFC-404A (GWP of 3922) in supermarket refrigeration retrofits, or in new</w:t>
            </w:r>
            <w:r>
              <w:rPr>
                <w:rFonts w:asciiTheme="majorHAnsi" w:hAnsiTheme="majorHAnsi"/>
                <w:sz w:val="18"/>
              </w:rPr>
              <w:t xml:space="preserve"> </w:t>
            </w:r>
            <w:r w:rsidRPr="00801AFA">
              <w:rPr>
                <w:rFonts w:asciiTheme="majorHAnsi" w:hAnsiTheme="majorHAnsi"/>
                <w:sz w:val="18"/>
              </w:rPr>
              <w:t>systems</w:t>
            </w:r>
            <w:r>
              <w:rPr>
                <w:rFonts w:asciiTheme="majorHAnsi" w:hAnsiTheme="majorHAnsi"/>
                <w:sz w:val="18"/>
              </w:rPr>
              <w:t>. R</w:t>
            </w:r>
            <w:r w:rsidRPr="00801AFA">
              <w:rPr>
                <w:rFonts w:asciiTheme="majorHAnsi" w:hAnsiTheme="majorHAnsi"/>
                <w:sz w:val="18"/>
              </w:rPr>
              <w:t>efer to definition of High GWP Refrigerants and Low GWP</w:t>
            </w:r>
            <w:r>
              <w:rPr>
                <w:rFonts w:asciiTheme="majorHAnsi" w:hAnsiTheme="majorHAnsi"/>
                <w:sz w:val="18"/>
              </w:rPr>
              <w:t xml:space="preserve"> Refrigerants.</w:t>
            </w:r>
          </w:p>
        </w:tc>
      </w:tr>
      <w:tr w:rsidR="00501217" w:rsidRPr="008C4425" w14:paraId="2427E8EE" w14:textId="77777777" w:rsidTr="00E42FBC">
        <w:trPr>
          <w:trHeight w:val="342"/>
        </w:trPr>
        <w:tc>
          <w:tcPr>
            <w:tcW w:w="2219" w:type="dxa"/>
          </w:tcPr>
          <w:p w14:paraId="5CF67102"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Refrigerant</w:t>
            </w:r>
          </w:p>
        </w:tc>
        <w:tc>
          <w:tcPr>
            <w:tcW w:w="7273" w:type="dxa"/>
            <w:gridSpan w:val="3"/>
          </w:tcPr>
          <w:p w14:paraId="755A4C24"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lang w:val="en-AU"/>
              </w:rPr>
              <w:t>Working fluid in the vapour compression refrigeration cycle.</w:t>
            </w:r>
          </w:p>
        </w:tc>
      </w:tr>
      <w:tr w:rsidR="00501217" w:rsidRPr="008C4425" w14:paraId="01B4C2CF" w14:textId="77777777" w:rsidTr="00E42FBC">
        <w:trPr>
          <w:trHeight w:val="342"/>
        </w:trPr>
        <w:tc>
          <w:tcPr>
            <w:tcW w:w="2219" w:type="dxa"/>
          </w:tcPr>
          <w:p w14:paraId="2A1FC303"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Refrigerant bank</w:t>
            </w:r>
          </w:p>
        </w:tc>
        <w:tc>
          <w:tcPr>
            <w:tcW w:w="7273" w:type="dxa"/>
            <w:gridSpan w:val="3"/>
          </w:tcPr>
          <w:p w14:paraId="1F8907AF" w14:textId="77777777" w:rsidR="00501217"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The ‘bank’ of refrigerant gases is the aggregate of all compounds and substances employed as working fluids</w:t>
            </w:r>
            <w:r>
              <w:rPr>
                <w:rFonts w:asciiTheme="majorHAnsi" w:hAnsiTheme="majorHAnsi"/>
                <w:sz w:val="18"/>
                <w:szCs w:val="22"/>
              </w:rPr>
              <w:t xml:space="preserve"> with more than 50</w:t>
            </w:r>
            <w:r w:rsidRPr="008C4425">
              <w:rPr>
                <w:rFonts w:asciiTheme="majorHAnsi" w:hAnsiTheme="majorHAnsi"/>
                <w:sz w:val="18"/>
                <w:szCs w:val="22"/>
              </w:rPr>
              <w:t xml:space="preserve"> million mechanical devices using the </w:t>
            </w:r>
            <w:proofErr w:type="spellStart"/>
            <w:r w:rsidRPr="008C4425">
              <w:rPr>
                <w:rFonts w:asciiTheme="majorHAnsi" w:hAnsiTheme="majorHAnsi"/>
                <w:sz w:val="18"/>
                <w:szCs w:val="22"/>
              </w:rPr>
              <w:t>vapour</w:t>
            </w:r>
            <w:proofErr w:type="spellEnd"/>
            <w:r w:rsidRPr="008C4425">
              <w:rPr>
                <w:rFonts w:asciiTheme="majorHAnsi" w:hAnsiTheme="majorHAnsi"/>
                <w:sz w:val="18"/>
                <w:szCs w:val="22"/>
              </w:rPr>
              <w:t xml:space="preserve"> compression cycle in Australia.</w:t>
            </w:r>
            <w:r>
              <w:rPr>
                <w:rFonts w:asciiTheme="majorHAnsi" w:hAnsiTheme="majorHAnsi"/>
                <w:sz w:val="18"/>
                <w:szCs w:val="22"/>
              </w:rPr>
              <w:t xml:space="preserve"> </w:t>
            </w:r>
            <w:r w:rsidRPr="00850809">
              <w:rPr>
                <w:rFonts w:asciiTheme="majorHAnsi" w:hAnsiTheme="majorHAnsi"/>
                <w:sz w:val="18"/>
                <w:szCs w:val="22"/>
              </w:rPr>
              <w:t xml:space="preserve">Refrigerant in pre-charged imports </w:t>
            </w:r>
            <w:r>
              <w:rPr>
                <w:rFonts w:asciiTheme="majorHAnsi" w:hAnsiTheme="majorHAnsi"/>
                <w:sz w:val="18"/>
                <w:szCs w:val="22"/>
              </w:rPr>
              <w:t>is</w:t>
            </w:r>
            <w:r w:rsidRPr="00850809">
              <w:rPr>
                <w:rFonts w:asciiTheme="majorHAnsi" w:hAnsiTheme="majorHAnsi"/>
                <w:sz w:val="18"/>
                <w:szCs w:val="22"/>
              </w:rPr>
              <w:t xml:space="preserve"> included in this value in the year of import. Refrigerant in equipment that is estimated to have retired from service in any year is not included</w:t>
            </w:r>
            <w:r>
              <w:rPr>
                <w:rFonts w:asciiTheme="majorHAnsi" w:hAnsiTheme="majorHAnsi"/>
                <w:sz w:val="18"/>
                <w:szCs w:val="22"/>
              </w:rPr>
              <w:t>.</w:t>
            </w:r>
          </w:p>
          <w:p w14:paraId="66F883E3" w14:textId="77777777" w:rsidR="00501217" w:rsidRPr="001D0F15" w:rsidRDefault="00501217" w:rsidP="009A23AA">
            <w:pPr>
              <w:pStyle w:val="BodyText"/>
              <w:spacing w:before="60" w:after="60"/>
              <w:rPr>
                <w:rFonts w:asciiTheme="majorHAnsi" w:hAnsiTheme="majorHAnsi"/>
                <w:sz w:val="18"/>
                <w:szCs w:val="22"/>
              </w:rPr>
            </w:pPr>
            <w:r w:rsidRPr="001D0F15">
              <w:rPr>
                <w:rFonts w:asciiTheme="majorHAnsi" w:hAnsiTheme="majorHAnsi"/>
                <w:sz w:val="18"/>
                <w:szCs w:val="22"/>
              </w:rPr>
              <w:t xml:space="preserve">The ‘Full Bank’, or fully charged bank, is calculated based on the number of devices in the </w:t>
            </w:r>
            <w:r>
              <w:rPr>
                <w:rFonts w:asciiTheme="majorHAnsi" w:hAnsiTheme="majorHAnsi"/>
                <w:sz w:val="18"/>
                <w:szCs w:val="22"/>
              </w:rPr>
              <w:t>product category</w:t>
            </w:r>
            <w:r w:rsidRPr="001D0F15">
              <w:rPr>
                <w:rFonts w:asciiTheme="majorHAnsi" w:hAnsiTheme="majorHAnsi"/>
                <w:sz w:val="18"/>
                <w:szCs w:val="22"/>
              </w:rPr>
              <w:t xml:space="preserve"> multiplied by the average original charge of that type of equipment when it is initially installed/purchased.</w:t>
            </w:r>
          </w:p>
          <w:p w14:paraId="66E887F5" w14:textId="77777777" w:rsidR="00501217" w:rsidRPr="008C4425" w:rsidRDefault="00501217" w:rsidP="009A23AA">
            <w:pPr>
              <w:pStyle w:val="BodyText"/>
              <w:spacing w:before="60" w:after="60"/>
              <w:rPr>
                <w:rFonts w:asciiTheme="majorHAnsi" w:hAnsiTheme="majorHAnsi"/>
                <w:sz w:val="18"/>
                <w:szCs w:val="22"/>
              </w:rPr>
            </w:pPr>
            <w:r w:rsidRPr="001D0F15">
              <w:rPr>
                <w:rFonts w:asciiTheme="majorHAnsi" w:hAnsiTheme="majorHAnsi"/>
                <w:sz w:val="18"/>
                <w:szCs w:val="22"/>
              </w:rPr>
              <w:t>The ‘</w:t>
            </w:r>
            <w:bookmarkStart w:id="155" w:name="OLE_LINK2"/>
            <w:r w:rsidRPr="001D0F15">
              <w:rPr>
                <w:rFonts w:asciiTheme="majorHAnsi" w:hAnsiTheme="majorHAnsi"/>
                <w:sz w:val="18"/>
                <w:szCs w:val="22"/>
              </w:rPr>
              <w:t xml:space="preserve">Partially Charged Bank’ </w:t>
            </w:r>
            <w:bookmarkEnd w:id="155"/>
            <w:r w:rsidRPr="001D0F15">
              <w:rPr>
                <w:rFonts w:asciiTheme="majorHAnsi" w:hAnsiTheme="majorHAnsi"/>
                <w:sz w:val="18"/>
                <w:szCs w:val="22"/>
              </w:rPr>
              <w:t>generally referred to in this report simply as ‘the Bank’, or sometimes as the ‘working bank’</w:t>
            </w:r>
            <w:r>
              <w:rPr>
                <w:rFonts w:asciiTheme="majorHAnsi" w:hAnsiTheme="majorHAnsi"/>
                <w:sz w:val="18"/>
                <w:szCs w:val="22"/>
              </w:rPr>
              <w:t>,</w:t>
            </w:r>
            <w:r w:rsidRPr="001D0F15">
              <w:rPr>
                <w:rFonts w:asciiTheme="majorHAnsi" w:hAnsiTheme="majorHAnsi"/>
                <w:sz w:val="18"/>
                <w:szCs w:val="22"/>
              </w:rPr>
              <w:t xml:space="preserve"> will in practice, be less than the fully charged bank as the charge in individ</w:t>
            </w:r>
            <w:r>
              <w:rPr>
                <w:rFonts w:asciiTheme="majorHAnsi" w:hAnsiTheme="majorHAnsi"/>
                <w:sz w:val="18"/>
                <w:szCs w:val="22"/>
              </w:rPr>
              <w:t>ual pieces of equipment in the c</w:t>
            </w:r>
            <w:r w:rsidRPr="001D0F15">
              <w:rPr>
                <w:rFonts w:asciiTheme="majorHAnsi" w:hAnsiTheme="majorHAnsi"/>
                <w:sz w:val="18"/>
                <w:szCs w:val="22"/>
              </w:rPr>
              <w:t>ategory declines over time until the equipment retires.</w:t>
            </w:r>
          </w:p>
        </w:tc>
      </w:tr>
      <w:tr w:rsidR="00501217" w:rsidRPr="008C4425" w14:paraId="3E800743" w14:textId="77777777" w:rsidTr="00E42FBC">
        <w:trPr>
          <w:trHeight w:val="342"/>
        </w:trPr>
        <w:tc>
          <w:tcPr>
            <w:tcW w:w="2219" w:type="dxa"/>
          </w:tcPr>
          <w:p w14:paraId="0EA23BE5"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Refrigerant charge</w:t>
            </w:r>
          </w:p>
        </w:tc>
        <w:tc>
          <w:tcPr>
            <w:tcW w:w="7273" w:type="dxa"/>
            <w:gridSpan w:val="3"/>
          </w:tcPr>
          <w:p w14:paraId="00E0789E"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lang w:val="en-AU"/>
              </w:rPr>
              <w:t>The original refrigerant charge of refrigerant used as the working fluid for heat transfer inside a piece of equipment.</w:t>
            </w:r>
          </w:p>
        </w:tc>
      </w:tr>
      <w:tr w:rsidR="00501217" w:rsidRPr="008C4425" w14:paraId="10A76DB2" w14:textId="77777777" w:rsidTr="00E42FBC">
        <w:trPr>
          <w:trHeight w:val="342"/>
        </w:trPr>
        <w:tc>
          <w:tcPr>
            <w:tcW w:w="2219" w:type="dxa"/>
          </w:tcPr>
          <w:p w14:paraId="26FBCB39" w14:textId="77777777" w:rsidR="00501217" w:rsidRPr="003C63AC" w:rsidRDefault="00501217" w:rsidP="0095284B">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Refrigerant classifications</w:t>
            </w:r>
          </w:p>
        </w:tc>
        <w:tc>
          <w:tcPr>
            <w:tcW w:w="7273" w:type="dxa"/>
            <w:gridSpan w:val="3"/>
            <w:tcBorders>
              <w:bottom w:val="single" w:sz="4" w:space="0" w:color="auto"/>
            </w:tcBorders>
          </w:tcPr>
          <w:p w14:paraId="24B00B1F" w14:textId="77777777" w:rsidR="00501217" w:rsidRPr="003C63AC" w:rsidRDefault="00501217" w:rsidP="009A23AA">
            <w:pPr>
              <w:pStyle w:val="BodyText"/>
              <w:spacing w:before="60" w:after="60"/>
              <w:rPr>
                <w:rFonts w:asciiTheme="majorHAnsi" w:hAnsiTheme="majorHAnsi"/>
                <w:sz w:val="18"/>
                <w:szCs w:val="22"/>
                <w:lang w:val="en-AU"/>
              </w:rPr>
            </w:pPr>
            <w:r w:rsidRPr="00512E93">
              <w:rPr>
                <w:rFonts w:asciiTheme="majorHAnsi" w:hAnsiTheme="majorHAnsi"/>
                <w:i/>
                <w:sz w:val="18"/>
                <w:szCs w:val="22"/>
                <w:lang w:val="en-AU"/>
              </w:rPr>
              <w:t>AS/NZS ISO 817: 2016 Refrigerants - Designation and safety classification</w:t>
            </w:r>
            <w:r>
              <w:rPr>
                <w:rFonts w:asciiTheme="majorHAnsi" w:hAnsiTheme="majorHAnsi"/>
                <w:sz w:val="18"/>
                <w:szCs w:val="22"/>
                <w:lang w:val="en-AU"/>
              </w:rPr>
              <w:t xml:space="preserve"> </w:t>
            </w:r>
            <w:r w:rsidRPr="00512E93">
              <w:rPr>
                <w:rFonts w:asciiTheme="majorHAnsi" w:hAnsiTheme="majorHAnsi"/>
                <w:sz w:val="18"/>
                <w:szCs w:val="22"/>
                <w:lang w:val="en-AU"/>
              </w:rPr>
              <w:t>assign</w:t>
            </w:r>
            <w:r>
              <w:rPr>
                <w:rFonts w:asciiTheme="majorHAnsi" w:hAnsiTheme="majorHAnsi"/>
                <w:sz w:val="18"/>
                <w:szCs w:val="22"/>
                <w:lang w:val="en-AU"/>
              </w:rPr>
              <w:t>s</w:t>
            </w:r>
            <w:r w:rsidRPr="00512E93">
              <w:rPr>
                <w:rFonts w:asciiTheme="majorHAnsi" w:hAnsiTheme="majorHAnsi"/>
                <w:sz w:val="18"/>
                <w:szCs w:val="22"/>
                <w:lang w:val="en-AU"/>
              </w:rPr>
              <w:t xml:space="preserve"> safety classification to refrigerants based on</w:t>
            </w:r>
            <w:r>
              <w:rPr>
                <w:rFonts w:asciiTheme="majorHAnsi" w:hAnsiTheme="majorHAnsi"/>
                <w:sz w:val="18"/>
                <w:szCs w:val="22"/>
                <w:lang w:val="en-AU"/>
              </w:rPr>
              <w:t xml:space="preserve"> toxicity and flammability data;</w:t>
            </w:r>
            <w:r w:rsidRPr="00512E93">
              <w:rPr>
                <w:rFonts w:asciiTheme="majorHAnsi" w:hAnsiTheme="majorHAnsi"/>
                <w:sz w:val="18"/>
                <w:szCs w:val="22"/>
                <w:lang w:val="en-AU"/>
              </w:rPr>
              <w:t xml:space="preserve"> and provides a means of determining the refrigerant concentration limit.</w:t>
            </w:r>
          </w:p>
        </w:tc>
      </w:tr>
      <w:tr w:rsidR="00501217" w:rsidRPr="008C4425" w14:paraId="3176911E" w14:textId="77777777" w:rsidTr="00E42FBC">
        <w:trPr>
          <w:trHeight w:val="342"/>
        </w:trPr>
        <w:tc>
          <w:tcPr>
            <w:tcW w:w="2219" w:type="dxa"/>
            <w:tcBorders>
              <w:right w:val="single" w:sz="4" w:space="0" w:color="auto"/>
            </w:tcBorders>
          </w:tcPr>
          <w:p w14:paraId="0227F972" w14:textId="77777777" w:rsidR="00501217" w:rsidRPr="003C63AC" w:rsidRDefault="00501217" w:rsidP="0095284B">
            <w:pPr>
              <w:pStyle w:val="BodyText"/>
              <w:spacing w:before="60" w:after="60"/>
              <w:jc w:val="left"/>
              <w:rPr>
                <w:rFonts w:asciiTheme="majorHAnsi" w:hAnsiTheme="majorHAnsi"/>
                <w:sz w:val="18"/>
                <w:szCs w:val="22"/>
                <w:lang w:val="en-AU"/>
              </w:rPr>
            </w:pPr>
          </w:p>
        </w:tc>
        <w:tc>
          <w:tcPr>
            <w:tcW w:w="2363" w:type="dxa"/>
            <w:vMerge w:val="restart"/>
            <w:tcBorders>
              <w:top w:val="single" w:sz="4" w:space="0" w:color="auto"/>
              <w:left w:val="single" w:sz="4" w:space="0" w:color="auto"/>
              <w:right w:val="single" w:sz="4" w:space="0" w:color="auto"/>
            </w:tcBorders>
          </w:tcPr>
          <w:p w14:paraId="52992B3B" w14:textId="77777777" w:rsidR="00501217" w:rsidRDefault="00501217" w:rsidP="009A23AA">
            <w:pPr>
              <w:pStyle w:val="BodyText"/>
              <w:spacing w:before="60" w:after="60"/>
              <w:rPr>
                <w:rFonts w:asciiTheme="majorHAnsi" w:hAnsiTheme="majorHAnsi"/>
                <w:sz w:val="18"/>
                <w:szCs w:val="22"/>
                <w:lang w:val="en-AU"/>
              </w:rPr>
            </w:pP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591C65B4"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Safety Group</w:t>
            </w:r>
          </w:p>
        </w:tc>
      </w:tr>
      <w:tr w:rsidR="00501217" w:rsidRPr="008C4425" w14:paraId="30FEA789" w14:textId="77777777" w:rsidTr="00E42FBC">
        <w:trPr>
          <w:trHeight w:val="342"/>
        </w:trPr>
        <w:tc>
          <w:tcPr>
            <w:tcW w:w="2219" w:type="dxa"/>
            <w:tcBorders>
              <w:right w:val="single" w:sz="4" w:space="0" w:color="auto"/>
            </w:tcBorders>
          </w:tcPr>
          <w:p w14:paraId="2CAA06DD" w14:textId="77777777" w:rsidR="00501217" w:rsidRPr="003C63AC" w:rsidRDefault="00501217" w:rsidP="0095284B">
            <w:pPr>
              <w:pStyle w:val="BodyText"/>
              <w:spacing w:before="60" w:after="60"/>
              <w:jc w:val="left"/>
              <w:rPr>
                <w:rFonts w:asciiTheme="majorHAnsi" w:hAnsiTheme="majorHAnsi"/>
                <w:sz w:val="18"/>
                <w:szCs w:val="22"/>
                <w:lang w:val="en-AU"/>
              </w:rPr>
            </w:pPr>
          </w:p>
        </w:tc>
        <w:tc>
          <w:tcPr>
            <w:tcW w:w="2363" w:type="dxa"/>
            <w:vMerge/>
            <w:tcBorders>
              <w:left w:val="single" w:sz="4" w:space="0" w:color="auto"/>
              <w:bottom w:val="single" w:sz="4" w:space="0" w:color="auto"/>
              <w:right w:val="single" w:sz="4" w:space="0" w:color="auto"/>
            </w:tcBorders>
          </w:tcPr>
          <w:p w14:paraId="11D61365" w14:textId="77777777" w:rsidR="00501217" w:rsidRDefault="00501217" w:rsidP="009A23AA">
            <w:pPr>
              <w:pStyle w:val="BodyText"/>
              <w:spacing w:before="60" w:after="60"/>
              <w:rPr>
                <w:rFonts w:asciiTheme="majorHAnsi" w:hAnsiTheme="majorHAnsi"/>
                <w:sz w:val="18"/>
                <w:szCs w:val="22"/>
                <w:lang w:val="en-AU"/>
              </w:rPr>
            </w:pPr>
          </w:p>
        </w:tc>
        <w:tc>
          <w:tcPr>
            <w:tcW w:w="2362" w:type="dxa"/>
            <w:tcBorders>
              <w:top w:val="single" w:sz="4" w:space="0" w:color="auto"/>
              <w:left w:val="single" w:sz="4" w:space="0" w:color="auto"/>
              <w:bottom w:val="single" w:sz="4" w:space="0" w:color="auto"/>
              <w:right w:val="single" w:sz="4" w:space="0" w:color="auto"/>
            </w:tcBorders>
            <w:vAlign w:val="center"/>
          </w:tcPr>
          <w:p w14:paraId="5CB2CBA0" w14:textId="77777777" w:rsidR="00501217"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Lower Toxicity</w:t>
            </w:r>
          </w:p>
        </w:tc>
        <w:tc>
          <w:tcPr>
            <w:tcW w:w="2548" w:type="dxa"/>
            <w:tcBorders>
              <w:top w:val="single" w:sz="4" w:space="0" w:color="auto"/>
              <w:left w:val="single" w:sz="4" w:space="0" w:color="auto"/>
              <w:bottom w:val="single" w:sz="4" w:space="0" w:color="auto"/>
              <w:right w:val="single" w:sz="4" w:space="0" w:color="auto"/>
            </w:tcBorders>
            <w:vAlign w:val="center"/>
          </w:tcPr>
          <w:p w14:paraId="523AB355"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Higher Toxicity</w:t>
            </w:r>
          </w:p>
        </w:tc>
      </w:tr>
      <w:tr w:rsidR="00501217" w:rsidRPr="008C4425" w14:paraId="2C4E34F7" w14:textId="77777777" w:rsidTr="00E42FBC">
        <w:trPr>
          <w:trHeight w:val="342"/>
        </w:trPr>
        <w:tc>
          <w:tcPr>
            <w:tcW w:w="2219" w:type="dxa"/>
            <w:tcBorders>
              <w:right w:val="single" w:sz="4" w:space="0" w:color="auto"/>
            </w:tcBorders>
          </w:tcPr>
          <w:p w14:paraId="346DFC93" w14:textId="77777777" w:rsidR="00501217" w:rsidRPr="003C63AC" w:rsidRDefault="00501217" w:rsidP="0095284B">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tcPr>
          <w:p w14:paraId="7A7F6A04"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Higher Flammability</w:t>
            </w:r>
          </w:p>
        </w:tc>
        <w:tc>
          <w:tcPr>
            <w:tcW w:w="2362" w:type="dxa"/>
            <w:tcBorders>
              <w:top w:val="single" w:sz="4" w:space="0" w:color="auto"/>
              <w:left w:val="single" w:sz="4" w:space="0" w:color="auto"/>
              <w:bottom w:val="single" w:sz="4" w:space="0" w:color="auto"/>
              <w:right w:val="single" w:sz="4" w:space="0" w:color="auto"/>
            </w:tcBorders>
            <w:vAlign w:val="center"/>
          </w:tcPr>
          <w:p w14:paraId="05131AC3"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A3</w:t>
            </w:r>
          </w:p>
        </w:tc>
        <w:tc>
          <w:tcPr>
            <w:tcW w:w="2548" w:type="dxa"/>
            <w:tcBorders>
              <w:top w:val="single" w:sz="4" w:space="0" w:color="auto"/>
              <w:left w:val="single" w:sz="4" w:space="0" w:color="auto"/>
              <w:bottom w:val="single" w:sz="4" w:space="0" w:color="auto"/>
              <w:right w:val="single" w:sz="4" w:space="0" w:color="auto"/>
            </w:tcBorders>
            <w:vAlign w:val="center"/>
          </w:tcPr>
          <w:p w14:paraId="48F64F54"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B3</w:t>
            </w:r>
          </w:p>
        </w:tc>
      </w:tr>
      <w:tr w:rsidR="00501217" w:rsidRPr="008C4425" w14:paraId="5C62EF43" w14:textId="77777777" w:rsidTr="00E42FBC">
        <w:trPr>
          <w:trHeight w:val="342"/>
        </w:trPr>
        <w:tc>
          <w:tcPr>
            <w:tcW w:w="2219" w:type="dxa"/>
            <w:tcBorders>
              <w:right w:val="single" w:sz="4" w:space="0" w:color="auto"/>
            </w:tcBorders>
          </w:tcPr>
          <w:p w14:paraId="4F52AD57" w14:textId="77777777" w:rsidR="00501217" w:rsidRPr="003C63AC" w:rsidRDefault="00501217" w:rsidP="0095284B">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tcPr>
          <w:p w14:paraId="31D0B2A1"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Flammable</w:t>
            </w:r>
          </w:p>
        </w:tc>
        <w:tc>
          <w:tcPr>
            <w:tcW w:w="2362" w:type="dxa"/>
            <w:tcBorders>
              <w:top w:val="single" w:sz="4" w:space="0" w:color="auto"/>
              <w:left w:val="single" w:sz="4" w:space="0" w:color="auto"/>
              <w:bottom w:val="single" w:sz="4" w:space="0" w:color="auto"/>
              <w:right w:val="single" w:sz="4" w:space="0" w:color="auto"/>
            </w:tcBorders>
            <w:vAlign w:val="center"/>
          </w:tcPr>
          <w:p w14:paraId="2E61A407"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A2</w:t>
            </w:r>
          </w:p>
        </w:tc>
        <w:tc>
          <w:tcPr>
            <w:tcW w:w="2548" w:type="dxa"/>
            <w:tcBorders>
              <w:top w:val="single" w:sz="4" w:space="0" w:color="auto"/>
              <w:left w:val="single" w:sz="4" w:space="0" w:color="auto"/>
              <w:bottom w:val="single" w:sz="4" w:space="0" w:color="auto"/>
              <w:right w:val="single" w:sz="4" w:space="0" w:color="auto"/>
            </w:tcBorders>
            <w:vAlign w:val="center"/>
          </w:tcPr>
          <w:p w14:paraId="72DE7CB4"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B2</w:t>
            </w:r>
          </w:p>
        </w:tc>
      </w:tr>
      <w:tr w:rsidR="00501217" w:rsidRPr="008C4425" w14:paraId="420AB7F9" w14:textId="77777777" w:rsidTr="00E42FBC">
        <w:trPr>
          <w:trHeight w:val="342"/>
        </w:trPr>
        <w:tc>
          <w:tcPr>
            <w:tcW w:w="2219" w:type="dxa"/>
            <w:tcBorders>
              <w:right w:val="single" w:sz="4" w:space="0" w:color="auto"/>
            </w:tcBorders>
          </w:tcPr>
          <w:p w14:paraId="5A81D081" w14:textId="77777777" w:rsidR="00501217" w:rsidRPr="003C63AC" w:rsidRDefault="00501217" w:rsidP="0095284B">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tcPr>
          <w:p w14:paraId="4128C5AC"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Lower Flammability</w:t>
            </w:r>
          </w:p>
        </w:tc>
        <w:tc>
          <w:tcPr>
            <w:tcW w:w="2362" w:type="dxa"/>
            <w:tcBorders>
              <w:top w:val="single" w:sz="4" w:space="0" w:color="auto"/>
              <w:left w:val="single" w:sz="4" w:space="0" w:color="auto"/>
              <w:bottom w:val="single" w:sz="4" w:space="0" w:color="auto"/>
              <w:right w:val="single" w:sz="4" w:space="0" w:color="auto"/>
            </w:tcBorders>
            <w:vAlign w:val="center"/>
          </w:tcPr>
          <w:p w14:paraId="54342509"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A2L</w:t>
            </w:r>
          </w:p>
        </w:tc>
        <w:tc>
          <w:tcPr>
            <w:tcW w:w="2548" w:type="dxa"/>
            <w:tcBorders>
              <w:top w:val="single" w:sz="4" w:space="0" w:color="auto"/>
              <w:left w:val="single" w:sz="4" w:space="0" w:color="auto"/>
              <w:bottom w:val="single" w:sz="4" w:space="0" w:color="auto"/>
              <w:right w:val="single" w:sz="4" w:space="0" w:color="auto"/>
            </w:tcBorders>
            <w:vAlign w:val="center"/>
          </w:tcPr>
          <w:p w14:paraId="6F7DA408"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B2L</w:t>
            </w:r>
          </w:p>
        </w:tc>
      </w:tr>
      <w:tr w:rsidR="00501217" w:rsidRPr="008C4425" w14:paraId="4286E632" w14:textId="77777777" w:rsidTr="00E42FBC">
        <w:trPr>
          <w:trHeight w:val="342"/>
        </w:trPr>
        <w:tc>
          <w:tcPr>
            <w:tcW w:w="2219" w:type="dxa"/>
            <w:tcBorders>
              <w:right w:val="single" w:sz="4" w:space="0" w:color="auto"/>
            </w:tcBorders>
          </w:tcPr>
          <w:p w14:paraId="3040A90B" w14:textId="77777777" w:rsidR="00501217" w:rsidRPr="003C63AC" w:rsidRDefault="00501217" w:rsidP="0095284B">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tcPr>
          <w:p w14:paraId="3BA1DFD1"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No Flame Propagation</w:t>
            </w:r>
          </w:p>
        </w:tc>
        <w:tc>
          <w:tcPr>
            <w:tcW w:w="2362" w:type="dxa"/>
            <w:tcBorders>
              <w:top w:val="single" w:sz="4" w:space="0" w:color="auto"/>
              <w:left w:val="single" w:sz="4" w:space="0" w:color="auto"/>
              <w:bottom w:val="single" w:sz="4" w:space="0" w:color="auto"/>
              <w:right w:val="single" w:sz="4" w:space="0" w:color="auto"/>
            </w:tcBorders>
            <w:vAlign w:val="center"/>
          </w:tcPr>
          <w:p w14:paraId="4C142014"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A1</w:t>
            </w:r>
          </w:p>
        </w:tc>
        <w:tc>
          <w:tcPr>
            <w:tcW w:w="2548" w:type="dxa"/>
            <w:tcBorders>
              <w:top w:val="single" w:sz="4" w:space="0" w:color="auto"/>
              <w:left w:val="single" w:sz="4" w:space="0" w:color="auto"/>
              <w:bottom w:val="single" w:sz="4" w:space="0" w:color="auto"/>
              <w:right w:val="single" w:sz="4" w:space="0" w:color="auto"/>
            </w:tcBorders>
            <w:vAlign w:val="center"/>
          </w:tcPr>
          <w:p w14:paraId="3B1F8039" w14:textId="77777777" w:rsidR="00501217" w:rsidRPr="003C63AC"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B1</w:t>
            </w:r>
          </w:p>
        </w:tc>
      </w:tr>
      <w:tr w:rsidR="00501217" w:rsidRPr="008C4425" w14:paraId="14E0FD34" w14:textId="77777777" w:rsidTr="00E42FBC">
        <w:trPr>
          <w:trHeight w:val="342"/>
        </w:trPr>
        <w:tc>
          <w:tcPr>
            <w:tcW w:w="2219" w:type="dxa"/>
            <w:tcBorders>
              <w:right w:val="single" w:sz="4" w:space="0" w:color="auto"/>
            </w:tcBorders>
          </w:tcPr>
          <w:p w14:paraId="4C39DDB0" w14:textId="77777777" w:rsidR="00501217" w:rsidRDefault="00501217" w:rsidP="0095284B">
            <w:pPr>
              <w:pStyle w:val="BodyText"/>
              <w:spacing w:before="60" w:after="60"/>
              <w:jc w:val="left"/>
              <w:rPr>
                <w:rFonts w:asciiTheme="majorHAnsi" w:hAnsiTheme="majorHAnsi"/>
                <w:sz w:val="18"/>
                <w:szCs w:val="22"/>
                <w:lang w:val="en-AU"/>
              </w:rPr>
            </w:pPr>
          </w:p>
          <w:p w14:paraId="62FA7463" w14:textId="77777777" w:rsidR="00501217" w:rsidRPr="003C63AC" w:rsidRDefault="00501217" w:rsidP="0095284B">
            <w:pPr>
              <w:pStyle w:val="BodyText"/>
              <w:spacing w:before="60" w:after="60"/>
              <w:jc w:val="left"/>
              <w:rPr>
                <w:rFonts w:asciiTheme="majorHAnsi" w:hAnsiTheme="majorHAnsi"/>
                <w:sz w:val="18"/>
                <w:szCs w:val="22"/>
                <w:lang w:val="en-AU"/>
              </w:rPr>
            </w:pPr>
          </w:p>
        </w:tc>
        <w:tc>
          <w:tcPr>
            <w:tcW w:w="7273" w:type="dxa"/>
            <w:gridSpan w:val="3"/>
            <w:tcBorders>
              <w:top w:val="single" w:sz="4" w:space="0" w:color="auto"/>
              <w:left w:val="single" w:sz="4" w:space="0" w:color="auto"/>
              <w:bottom w:val="single" w:sz="4" w:space="0" w:color="auto"/>
              <w:right w:val="single" w:sz="4" w:space="0" w:color="auto"/>
            </w:tcBorders>
          </w:tcPr>
          <w:p w14:paraId="3D4FF6CC" w14:textId="77777777" w:rsidR="00501217"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A1 group refrigerants include the majority of HFCs and HCFCs.</w:t>
            </w:r>
          </w:p>
          <w:p w14:paraId="3FBBBB1D" w14:textId="77777777" w:rsidR="00501217" w:rsidRDefault="00501217" w:rsidP="009A23AA">
            <w:pPr>
              <w:pStyle w:val="BodyText"/>
              <w:spacing w:before="60" w:after="60"/>
              <w:rPr>
                <w:rFonts w:asciiTheme="majorHAnsi" w:hAnsiTheme="majorHAnsi"/>
                <w:sz w:val="18"/>
                <w:szCs w:val="22"/>
                <w:lang w:val="en-AU"/>
              </w:rPr>
            </w:pPr>
            <w:r w:rsidRPr="00B64A6D">
              <w:rPr>
                <w:rFonts w:asciiTheme="majorHAnsi" w:hAnsiTheme="majorHAnsi"/>
                <w:sz w:val="18"/>
                <w:szCs w:val="22"/>
                <w:lang w:val="en-AU"/>
              </w:rPr>
              <w:t xml:space="preserve">A2L group refrigerants include </w:t>
            </w:r>
            <w:r>
              <w:rPr>
                <w:rFonts w:asciiTheme="majorHAnsi" w:hAnsiTheme="majorHAnsi"/>
                <w:sz w:val="18"/>
                <w:szCs w:val="22"/>
                <w:lang w:val="en-AU"/>
              </w:rPr>
              <w:t>HFO-1234yf and HFC-32.</w:t>
            </w:r>
          </w:p>
          <w:p w14:paraId="20061A8F" w14:textId="77777777" w:rsidR="00501217" w:rsidRDefault="00501217" w:rsidP="009A23AA">
            <w:pPr>
              <w:pStyle w:val="BodyText"/>
              <w:spacing w:before="60" w:after="60"/>
              <w:rPr>
                <w:rFonts w:asciiTheme="majorHAnsi" w:hAnsiTheme="majorHAnsi"/>
                <w:sz w:val="18"/>
                <w:szCs w:val="22"/>
                <w:lang w:val="en-AU"/>
              </w:rPr>
            </w:pPr>
            <w:r w:rsidRPr="00B64A6D">
              <w:rPr>
                <w:rFonts w:asciiTheme="majorHAnsi" w:hAnsiTheme="majorHAnsi"/>
                <w:sz w:val="18"/>
                <w:szCs w:val="22"/>
                <w:lang w:val="en-AU"/>
              </w:rPr>
              <w:t>B2L group refrigerants include R717 (Ammonia).</w:t>
            </w:r>
          </w:p>
          <w:p w14:paraId="25359D51" w14:textId="77777777" w:rsidR="00501217" w:rsidRDefault="00501217" w:rsidP="009A23AA">
            <w:pPr>
              <w:pStyle w:val="BodyText"/>
              <w:spacing w:before="60" w:after="60"/>
              <w:rPr>
                <w:rFonts w:asciiTheme="majorHAnsi" w:hAnsiTheme="majorHAnsi"/>
                <w:sz w:val="18"/>
                <w:szCs w:val="22"/>
                <w:lang w:val="en-AU"/>
              </w:rPr>
            </w:pPr>
            <w:r>
              <w:rPr>
                <w:rFonts w:asciiTheme="majorHAnsi" w:hAnsiTheme="majorHAnsi"/>
                <w:sz w:val="18"/>
                <w:szCs w:val="22"/>
                <w:lang w:val="en-AU"/>
              </w:rPr>
              <w:t xml:space="preserve">Refer to </w:t>
            </w:r>
            <w:r w:rsidRPr="007F3414">
              <w:rPr>
                <w:rFonts w:asciiTheme="majorHAnsi" w:hAnsiTheme="majorHAnsi"/>
                <w:sz w:val="18"/>
                <w:szCs w:val="22"/>
                <w:lang w:val="en-AU"/>
              </w:rPr>
              <w:t>AS/NZS ISO 817</w:t>
            </w:r>
            <w:r>
              <w:rPr>
                <w:rFonts w:asciiTheme="majorHAnsi" w:hAnsiTheme="majorHAnsi"/>
                <w:sz w:val="18"/>
                <w:szCs w:val="22"/>
                <w:lang w:val="en-AU"/>
              </w:rPr>
              <w:t>, Supplier Material Data Sheets and equipment supplier Installation Guidelines for further details.</w:t>
            </w:r>
          </w:p>
        </w:tc>
      </w:tr>
      <w:tr w:rsidR="00501217" w:rsidRPr="008C4425" w14:paraId="56719264" w14:textId="77777777" w:rsidTr="00E42FBC">
        <w:trPr>
          <w:trHeight w:val="342"/>
        </w:trPr>
        <w:tc>
          <w:tcPr>
            <w:tcW w:w="2219" w:type="dxa"/>
          </w:tcPr>
          <w:p w14:paraId="165E6007" w14:textId="77777777" w:rsidR="00501217" w:rsidRDefault="00501217" w:rsidP="0095284B">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Refrigerant consumption</w:t>
            </w:r>
          </w:p>
        </w:tc>
        <w:tc>
          <w:tcPr>
            <w:tcW w:w="7273" w:type="dxa"/>
            <w:gridSpan w:val="3"/>
            <w:tcBorders>
              <w:top w:val="single" w:sz="4" w:space="0" w:color="auto"/>
            </w:tcBorders>
          </w:tcPr>
          <w:p w14:paraId="3D969F7F" w14:textId="77777777" w:rsidR="00501217" w:rsidRPr="00090C58" w:rsidRDefault="00501217" w:rsidP="009A23AA">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 xml:space="preserve">The Montreal Protocol definition of consumption is bulk imports plus </w:t>
            </w:r>
            <w:r>
              <w:rPr>
                <w:rFonts w:asciiTheme="majorHAnsi" w:hAnsiTheme="majorHAnsi"/>
                <w:sz w:val="18"/>
                <w:szCs w:val="22"/>
                <w:lang w:val="en-AU"/>
              </w:rPr>
              <w:t xml:space="preserve">refrigerant </w:t>
            </w:r>
            <w:r w:rsidRPr="003C63AC">
              <w:rPr>
                <w:rFonts w:asciiTheme="majorHAnsi" w:hAnsiTheme="majorHAnsi"/>
                <w:sz w:val="18"/>
                <w:szCs w:val="22"/>
                <w:lang w:val="en-AU"/>
              </w:rPr>
              <w:t>manufactur</w:t>
            </w:r>
            <w:r>
              <w:rPr>
                <w:rFonts w:asciiTheme="majorHAnsi" w:hAnsiTheme="majorHAnsi"/>
                <w:sz w:val="18"/>
                <w:szCs w:val="22"/>
                <w:lang w:val="en-AU"/>
              </w:rPr>
              <w:t>e</w:t>
            </w:r>
            <w:r w:rsidRPr="003C63AC">
              <w:rPr>
                <w:rFonts w:asciiTheme="majorHAnsi" w:hAnsiTheme="majorHAnsi"/>
                <w:sz w:val="18"/>
                <w:szCs w:val="22"/>
                <w:lang w:val="en-AU"/>
              </w:rPr>
              <w:t xml:space="preserve"> minus </w:t>
            </w:r>
            <w:r>
              <w:rPr>
                <w:rFonts w:asciiTheme="majorHAnsi" w:hAnsiTheme="majorHAnsi"/>
                <w:sz w:val="18"/>
                <w:szCs w:val="22"/>
                <w:lang w:val="en-AU"/>
              </w:rPr>
              <w:t xml:space="preserve">bulk </w:t>
            </w:r>
            <w:r w:rsidRPr="003C63AC">
              <w:rPr>
                <w:rFonts w:asciiTheme="majorHAnsi" w:hAnsiTheme="majorHAnsi"/>
                <w:sz w:val="18"/>
                <w:szCs w:val="22"/>
                <w:lang w:val="en-AU"/>
              </w:rPr>
              <w:t xml:space="preserve">exports. Australian has not manufactured refrigerant since 1996. Bulk refrigerant is imported and </w:t>
            </w:r>
            <w:r>
              <w:rPr>
                <w:rFonts w:asciiTheme="majorHAnsi" w:hAnsiTheme="majorHAnsi"/>
                <w:sz w:val="18"/>
                <w:szCs w:val="22"/>
                <w:lang w:val="en-AU"/>
              </w:rPr>
              <w:t>used</w:t>
            </w:r>
            <w:r w:rsidRPr="003C63AC">
              <w:rPr>
                <w:rFonts w:asciiTheme="majorHAnsi" w:hAnsiTheme="majorHAnsi"/>
                <w:sz w:val="18"/>
                <w:szCs w:val="22"/>
                <w:lang w:val="en-AU"/>
              </w:rPr>
              <w:t xml:space="preserve"> largely for servicing the existing refrigerant bank of equipment, as well as charging new equipment not imported as pre-charged equipment (PCE) and in other applications including foams, fire protection, aerosols, export and other.</w:t>
            </w:r>
            <w:r>
              <w:rPr>
                <w:rFonts w:asciiTheme="majorHAnsi" w:hAnsiTheme="majorHAnsi"/>
                <w:sz w:val="18"/>
                <w:szCs w:val="22"/>
                <w:lang w:val="en-AU"/>
              </w:rPr>
              <w:t xml:space="preserve"> </w:t>
            </w:r>
            <w:r>
              <w:rPr>
                <w:rFonts w:asciiTheme="majorHAnsi" w:hAnsiTheme="majorHAnsi"/>
                <w:sz w:val="18"/>
                <w:szCs w:val="22"/>
              </w:rPr>
              <w:t>Refer definition refrigerant usage.</w:t>
            </w:r>
          </w:p>
        </w:tc>
      </w:tr>
      <w:tr w:rsidR="00501217" w:rsidRPr="008C4425" w14:paraId="4F691232" w14:textId="77777777" w:rsidTr="00E42FBC">
        <w:trPr>
          <w:trHeight w:val="342"/>
        </w:trPr>
        <w:tc>
          <w:tcPr>
            <w:tcW w:w="2219" w:type="dxa"/>
          </w:tcPr>
          <w:p w14:paraId="5E09FC90" w14:textId="77777777" w:rsidR="00501217" w:rsidRDefault="00501217" w:rsidP="0095284B">
            <w:pPr>
              <w:pStyle w:val="BodyText"/>
              <w:spacing w:before="60" w:after="60"/>
              <w:jc w:val="left"/>
              <w:rPr>
                <w:rFonts w:asciiTheme="majorHAnsi" w:hAnsiTheme="majorHAnsi"/>
                <w:sz w:val="18"/>
                <w:szCs w:val="22"/>
                <w:lang w:val="en-AU"/>
              </w:rPr>
            </w:pPr>
            <w:r w:rsidRPr="003C63AC">
              <w:rPr>
                <w:rFonts w:asciiTheme="majorHAnsi" w:hAnsiTheme="majorHAnsi"/>
                <w:sz w:val="18"/>
                <w:szCs w:val="22"/>
                <w:lang w:val="en-AU"/>
              </w:rPr>
              <w:t>Refrigerant decanting into tradable quantities</w:t>
            </w:r>
          </w:p>
        </w:tc>
        <w:tc>
          <w:tcPr>
            <w:tcW w:w="7273" w:type="dxa"/>
            <w:gridSpan w:val="3"/>
          </w:tcPr>
          <w:p w14:paraId="402B1247" w14:textId="77777777" w:rsidR="00501217" w:rsidRPr="00090C58" w:rsidRDefault="00501217" w:rsidP="009A23AA">
            <w:pPr>
              <w:pStyle w:val="BodyText"/>
              <w:spacing w:before="60" w:after="60"/>
              <w:rPr>
                <w:rFonts w:asciiTheme="majorHAnsi" w:hAnsiTheme="majorHAnsi"/>
                <w:sz w:val="18"/>
                <w:szCs w:val="22"/>
                <w:lang w:val="en-AU"/>
              </w:rPr>
            </w:pPr>
            <w:r w:rsidRPr="003C63AC">
              <w:rPr>
                <w:rFonts w:asciiTheme="majorHAnsi" w:hAnsiTheme="majorHAnsi"/>
                <w:sz w:val="18"/>
                <w:szCs w:val="22"/>
                <w:lang w:val="en-AU"/>
              </w:rPr>
              <w:t>There are three significant import</w:t>
            </w:r>
            <w:r>
              <w:rPr>
                <w:rFonts w:asciiTheme="majorHAnsi" w:hAnsiTheme="majorHAnsi"/>
                <w:sz w:val="18"/>
                <w:szCs w:val="22"/>
                <w:lang w:val="en-AU"/>
              </w:rPr>
              <w:t>/</w:t>
            </w:r>
            <w:r w:rsidRPr="003C63AC">
              <w:rPr>
                <w:rFonts w:asciiTheme="majorHAnsi" w:hAnsiTheme="majorHAnsi"/>
                <w:sz w:val="18"/>
                <w:szCs w:val="22"/>
                <w:lang w:val="en-AU"/>
              </w:rPr>
              <w:t>decanting facilities in Australia. Gas is decanted at these sites into thousands of cylinders ranging in size through 10 kg, 18 kg, 60 kg and larger transportable tanks. Transportable tanks with a volumetric capacity of approximately 900 litres are com</w:t>
            </w:r>
            <w:r w:rsidRPr="00AD4F11">
              <w:rPr>
                <w:rFonts w:asciiTheme="majorHAnsi" w:hAnsiTheme="majorHAnsi"/>
                <w:sz w:val="18"/>
                <w:szCs w:val="22"/>
                <w:lang w:val="en-AU"/>
              </w:rPr>
              <w:t>monly referred to as ‘one tonners’, and ‘half tonners’ for tanks with a 450 litres capacity. These transportable tanks can contain between 400 kg and 700 kg of product depending on the gas involved.</w:t>
            </w:r>
          </w:p>
        </w:tc>
      </w:tr>
      <w:tr w:rsidR="00501217" w:rsidRPr="008C4425" w14:paraId="52FC56FC" w14:textId="77777777" w:rsidTr="00E42FBC">
        <w:trPr>
          <w:trHeight w:val="342"/>
        </w:trPr>
        <w:tc>
          <w:tcPr>
            <w:tcW w:w="2219" w:type="dxa"/>
          </w:tcPr>
          <w:p w14:paraId="0CEBF14B" w14:textId="77777777" w:rsidR="00501217" w:rsidRPr="008C4425" w:rsidRDefault="00501217" w:rsidP="0095284B">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Refrigerant glide</w:t>
            </w:r>
          </w:p>
        </w:tc>
        <w:tc>
          <w:tcPr>
            <w:tcW w:w="7273" w:type="dxa"/>
            <w:gridSpan w:val="3"/>
          </w:tcPr>
          <w:p w14:paraId="529477A7" w14:textId="77777777" w:rsidR="00501217" w:rsidRPr="00090C58" w:rsidRDefault="00501217" w:rsidP="009A23AA">
            <w:pPr>
              <w:pStyle w:val="BodyText"/>
              <w:spacing w:before="60" w:after="60"/>
              <w:rPr>
                <w:rFonts w:asciiTheme="majorHAnsi" w:hAnsiTheme="majorHAnsi"/>
                <w:sz w:val="18"/>
                <w:szCs w:val="22"/>
                <w:lang w:val="en-AU"/>
              </w:rPr>
            </w:pPr>
            <w:r w:rsidRPr="00090C58">
              <w:rPr>
                <w:rFonts w:asciiTheme="majorHAnsi" w:hAnsiTheme="majorHAnsi"/>
                <w:sz w:val="18"/>
                <w:szCs w:val="22"/>
                <w:lang w:val="en-AU"/>
              </w:rPr>
              <w:t>The difference between the saturated vapour temperature (</w:t>
            </w:r>
            <w:proofErr w:type="gramStart"/>
            <w:r w:rsidRPr="00090C58">
              <w:rPr>
                <w:rFonts w:asciiTheme="majorHAnsi" w:hAnsiTheme="majorHAnsi"/>
                <w:sz w:val="18"/>
                <w:szCs w:val="22"/>
                <w:lang w:val="en-AU"/>
              </w:rPr>
              <w:t>or</w:t>
            </w:r>
            <w:proofErr w:type="gramEnd"/>
            <w:r w:rsidRPr="00090C58">
              <w:rPr>
                <w:rFonts w:asciiTheme="majorHAnsi" w:hAnsiTheme="majorHAnsi"/>
                <w:sz w:val="18"/>
                <w:szCs w:val="22"/>
                <w:lang w:val="en-AU"/>
              </w:rPr>
              <w:t xml:space="preserve"> dew point</w:t>
            </w:r>
            <w:r>
              <w:rPr>
                <w:rFonts w:asciiTheme="majorHAnsi" w:hAnsiTheme="majorHAnsi"/>
                <w:sz w:val="18"/>
                <w:szCs w:val="22"/>
                <w:lang w:val="en-AU"/>
              </w:rPr>
              <w:t>, the</w:t>
            </w:r>
            <w:r w:rsidRPr="00090C58">
              <w:rPr>
                <w:rFonts w:asciiTheme="majorHAnsi" w:hAnsiTheme="majorHAnsi"/>
                <w:sz w:val="18"/>
                <w:szCs w:val="22"/>
                <w:lang w:val="en-AU"/>
              </w:rPr>
              <w:t xml:space="preserve"> temperature at which all of the refrigerant has been condensed to liquid) and the saturated liquid temperature (temperature at which a liquid refrigerant first begins to boil in the evaporator) is referred to as the temperature glide of the refrigerant.</w:t>
            </w:r>
          </w:p>
          <w:p w14:paraId="24BF1E5B" w14:textId="77777777" w:rsidR="00501217" w:rsidRPr="008C4425" w:rsidRDefault="00501217" w:rsidP="009A23AA">
            <w:pPr>
              <w:pStyle w:val="BodyText"/>
              <w:spacing w:before="60" w:after="60"/>
              <w:rPr>
                <w:rFonts w:asciiTheme="majorHAnsi" w:hAnsiTheme="majorHAnsi"/>
                <w:sz w:val="18"/>
                <w:szCs w:val="22"/>
                <w:lang w:val="en-AU"/>
              </w:rPr>
            </w:pPr>
            <w:r w:rsidRPr="00090C58">
              <w:rPr>
                <w:rFonts w:asciiTheme="majorHAnsi" w:hAnsiTheme="majorHAnsi"/>
                <w:sz w:val="18"/>
                <w:szCs w:val="22"/>
                <w:lang w:val="en-AU"/>
              </w:rPr>
              <w:t>At a given pressure, single component refrigerants such as HFC-134a have zero glide</w:t>
            </w:r>
            <w:r>
              <w:rPr>
                <w:rFonts w:asciiTheme="majorHAnsi" w:hAnsiTheme="majorHAnsi"/>
                <w:sz w:val="18"/>
                <w:szCs w:val="22"/>
                <w:lang w:val="en-AU"/>
              </w:rPr>
              <w:t xml:space="preserve"> and are therefore azeotropes</w:t>
            </w:r>
            <w:r w:rsidRPr="00090C58">
              <w:rPr>
                <w:rFonts w:asciiTheme="majorHAnsi" w:hAnsiTheme="majorHAnsi"/>
                <w:sz w:val="18"/>
                <w:szCs w:val="22"/>
                <w:lang w:val="en-AU"/>
              </w:rPr>
              <w:t xml:space="preserve">. Refrigerant mixtures (blends) behave somewhat differently and have measurable temperature glide when they evaporate (boil) and condense at a constant pressure. </w:t>
            </w:r>
            <w:r>
              <w:rPr>
                <w:rFonts w:asciiTheme="majorHAnsi" w:hAnsiTheme="majorHAnsi"/>
                <w:sz w:val="18"/>
                <w:szCs w:val="22"/>
                <w:lang w:val="en-AU"/>
              </w:rPr>
              <w:t xml:space="preserve">HFC-507A is an </w:t>
            </w:r>
            <w:proofErr w:type="spellStart"/>
            <w:r>
              <w:rPr>
                <w:rFonts w:asciiTheme="majorHAnsi" w:hAnsiTheme="majorHAnsi"/>
                <w:sz w:val="18"/>
                <w:szCs w:val="22"/>
                <w:lang w:val="en-AU"/>
              </w:rPr>
              <w:t>azeotropic</w:t>
            </w:r>
            <w:proofErr w:type="spellEnd"/>
            <w:r>
              <w:rPr>
                <w:rFonts w:asciiTheme="majorHAnsi" w:hAnsiTheme="majorHAnsi"/>
                <w:sz w:val="18"/>
                <w:szCs w:val="22"/>
                <w:lang w:val="en-AU"/>
              </w:rPr>
              <w:t xml:space="preserve"> blend whereas HFC-404A is a near azeotrope</w:t>
            </w:r>
            <w:r w:rsidRPr="00090C58">
              <w:rPr>
                <w:rFonts w:asciiTheme="majorHAnsi" w:hAnsiTheme="majorHAnsi"/>
                <w:sz w:val="18"/>
                <w:szCs w:val="22"/>
                <w:lang w:val="en-AU"/>
              </w:rPr>
              <w:t>.</w:t>
            </w:r>
          </w:p>
        </w:tc>
      </w:tr>
      <w:tr w:rsidR="00501217" w:rsidRPr="008C4425" w14:paraId="618B09DA" w14:textId="77777777" w:rsidTr="00E42FBC">
        <w:trPr>
          <w:trHeight w:val="342"/>
        </w:trPr>
        <w:tc>
          <w:tcPr>
            <w:tcW w:w="2219" w:type="dxa"/>
          </w:tcPr>
          <w:p w14:paraId="35A1D7CA" w14:textId="77777777" w:rsidR="00501217" w:rsidRPr="008C4425" w:rsidRDefault="00501217" w:rsidP="0095284B">
            <w:pPr>
              <w:pStyle w:val="BodyText"/>
              <w:spacing w:before="60" w:after="60"/>
              <w:jc w:val="left"/>
              <w:rPr>
                <w:rFonts w:asciiTheme="majorHAnsi" w:hAnsiTheme="majorHAnsi"/>
                <w:sz w:val="18"/>
                <w:szCs w:val="22"/>
              </w:rPr>
            </w:pPr>
            <w:r>
              <w:rPr>
                <w:rFonts w:asciiTheme="majorHAnsi" w:hAnsiTheme="majorHAnsi"/>
                <w:sz w:val="18"/>
                <w:szCs w:val="22"/>
                <w:lang w:val="en-AU"/>
              </w:rPr>
              <w:t>R</w:t>
            </w:r>
            <w:r w:rsidRPr="008C4425">
              <w:rPr>
                <w:rFonts w:asciiTheme="majorHAnsi" w:hAnsiTheme="majorHAnsi"/>
                <w:sz w:val="18"/>
                <w:szCs w:val="22"/>
                <w:lang w:val="en-AU"/>
              </w:rPr>
              <w:t>efrigerant leak rate</w:t>
            </w:r>
            <w:r>
              <w:rPr>
                <w:rFonts w:asciiTheme="majorHAnsi" w:hAnsiTheme="majorHAnsi"/>
                <w:sz w:val="18"/>
                <w:szCs w:val="22"/>
                <w:lang w:val="en-AU"/>
              </w:rPr>
              <w:t xml:space="preserve"> or effective leak rate</w:t>
            </w:r>
          </w:p>
        </w:tc>
        <w:tc>
          <w:tcPr>
            <w:tcW w:w="7273" w:type="dxa"/>
            <w:gridSpan w:val="3"/>
          </w:tcPr>
          <w:p w14:paraId="1CE03CD9" w14:textId="6C7F7EE1" w:rsidR="00501217" w:rsidRPr="008C4425" w:rsidRDefault="00501217" w:rsidP="009A23AA">
            <w:pPr>
              <w:pStyle w:val="BodyText"/>
              <w:spacing w:before="60" w:after="60"/>
              <w:rPr>
                <w:rFonts w:asciiTheme="majorHAnsi" w:hAnsiTheme="majorHAnsi"/>
                <w:sz w:val="18"/>
                <w:szCs w:val="22"/>
              </w:rPr>
            </w:pPr>
            <w:r w:rsidRPr="009F6B38">
              <w:rPr>
                <w:rFonts w:asciiTheme="majorHAnsi" w:hAnsiTheme="majorHAnsi"/>
                <w:sz w:val="18"/>
                <w:szCs w:val="22"/>
                <w:lang w:val="en-AU"/>
              </w:rPr>
              <w:t xml:space="preserve">The leak rate referred to in this report is expressed as a percentage of the initial charge </w:t>
            </w:r>
            <w:r>
              <w:rPr>
                <w:rFonts w:asciiTheme="majorHAnsi" w:hAnsiTheme="majorHAnsi"/>
                <w:sz w:val="18"/>
                <w:szCs w:val="22"/>
                <w:lang w:val="en-AU"/>
              </w:rPr>
              <w:t xml:space="preserve">lost </w:t>
            </w:r>
            <w:r w:rsidRPr="009F6B38">
              <w:rPr>
                <w:rFonts w:asciiTheme="majorHAnsi" w:hAnsiTheme="majorHAnsi"/>
                <w:sz w:val="18"/>
                <w:szCs w:val="22"/>
                <w:lang w:val="en-AU"/>
              </w:rPr>
              <w:t>per annum and is calculated as the sum of gradual leaks during normal operation plus</w:t>
            </w:r>
            <w:r>
              <w:rPr>
                <w:rFonts w:asciiTheme="majorHAnsi" w:hAnsiTheme="majorHAnsi"/>
                <w:sz w:val="18"/>
                <w:szCs w:val="22"/>
                <w:lang w:val="en-AU"/>
              </w:rPr>
              <w:t>:</w:t>
            </w:r>
            <w:r w:rsidRPr="009F6B38">
              <w:rPr>
                <w:rFonts w:asciiTheme="majorHAnsi" w:hAnsiTheme="majorHAnsi"/>
                <w:sz w:val="18"/>
                <w:szCs w:val="22"/>
                <w:lang w:val="en-AU"/>
              </w:rPr>
              <w:t xml:space="preserve"> catastrophic losses amortised over the life of the equipment; losses during service and maintenance;</w:t>
            </w:r>
            <w:r>
              <w:rPr>
                <w:rFonts w:asciiTheme="majorHAnsi" w:hAnsiTheme="majorHAnsi"/>
                <w:sz w:val="18"/>
                <w:szCs w:val="22"/>
                <w:lang w:val="en-AU"/>
              </w:rPr>
              <w:t xml:space="preserve"> and,</w:t>
            </w:r>
            <w:r w:rsidRPr="009F6B38">
              <w:rPr>
                <w:rFonts w:asciiTheme="majorHAnsi" w:hAnsiTheme="majorHAnsi"/>
                <w:sz w:val="18"/>
                <w:szCs w:val="22"/>
                <w:lang w:val="en-AU"/>
              </w:rPr>
              <w:t xml:space="preserve"> gas lost along the supply chain. In the case of mobile air conditioning equipment, the annual leak rate takes into account losses from vehicle crashes, which are classed as catastrophic losses.</w:t>
            </w:r>
          </w:p>
        </w:tc>
      </w:tr>
      <w:tr w:rsidR="00501217" w:rsidRPr="008C4425" w14:paraId="0E6E3827" w14:textId="77777777" w:rsidTr="00E42FBC">
        <w:trPr>
          <w:trHeight w:val="342"/>
        </w:trPr>
        <w:tc>
          <w:tcPr>
            <w:tcW w:w="2219" w:type="dxa"/>
          </w:tcPr>
          <w:p w14:paraId="2E05D2CD" w14:textId="77777777" w:rsidR="00501217" w:rsidRPr="008C4425" w:rsidRDefault="00501217" w:rsidP="0095284B">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Refrigerant reclamation</w:t>
            </w:r>
          </w:p>
        </w:tc>
        <w:tc>
          <w:tcPr>
            <w:tcW w:w="7273" w:type="dxa"/>
            <w:gridSpan w:val="3"/>
          </w:tcPr>
          <w:p w14:paraId="3074DDD0" w14:textId="77777777" w:rsidR="00501217" w:rsidRPr="008C4425" w:rsidRDefault="00501217" w:rsidP="009A23AA">
            <w:pPr>
              <w:pStyle w:val="BodyText"/>
              <w:spacing w:before="60" w:after="60"/>
              <w:rPr>
                <w:rFonts w:asciiTheme="majorHAnsi" w:hAnsiTheme="majorHAnsi"/>
                <w:sz w:val="18"/>
                <w:szCs w:val="22"/>
                <w:lang w:val="en-AU"/>
              </w:rPr>
            </w:pPr>
            <w:r w:rsidRPr="002C7BF0">
              <w:rPr>
                <w:rFonts w:asciiTheme="majorHAnsi" w:hAnsiTheme="majorHAnsi"/>
                <w:sz w:val="18"/>
                <w:szCs w:val="22"/>
                <w:lang w:val="en-AU"/>
              </w:rPr>
              <w:t xml:space="preserve">Refrigerant reclamation </w:t>
            </w:r>
            <w:r w:rsidRPr="00456071">
              <w:rPr>
                <w:rFonts w:asciiTheme="majorHAnsi" w:hAnsiTheme="majorHAnsi"/>
                <w:sz w:val="18"/>
                <w:szCs w:val="22"/>
                <w:lang w:val="en-AU"/>
              </w:rPr>
              <w:t xml:space="preserve">refers to the reprocessing of used refrigerants to AHRI 700 specifications, most commonly by a process of fractional distillation. </w:t>
            </w:r>
            <w:r>
              <w:rPr>
                <w:rFonts w:asciiTheme="majorHAnsi" w:hAnsiTheme="majorHAnsi"/>
                <w:sz w:val="18"/>
                <w:szCs w:val="22"/>
                <w:lang w:val="en-AU"/>
              </w:rPr>
              <w:t xml:space="preserve">AHRI 700 </w:t>
            </w:r>
            <w:r w:rsidRPr="002C7BF0">
              <w:rPr>
                <w:rFonts w:asciiTheme="majorHAnsi" w:hAnsiTheme="majorHAnsi"/>
                <w:sz w:val="18"/>
                <w:szCs w:val="22"/>
                <w:lang w:val="en-AU"/>
              </w:rPr>
              <w:t>establish</w:t>
            </w:r>
            <w:r>
              <w:rPr>
                <w:rFonts w:asciiTheme="majorHAnsi" w:hAnsiTheme="majorHAnsi"/>
                <w:sz w:val="18"/>
                <w:szCs w:val="22"/>
                <w:lang w:val="en-AU"/>
              </w:rPr>
              <w:t>es</w:t>
            </w:r>
            <w:r w:rsidRPr="002C7BF0">
              <w:rPr>
                <w:rFonts w:asciiTheme="majorHAnsi" w:hAnsiTheme="majorHAnsi"/>
                <w:sz w:val="18"/>
                <w:szCs w:val="22"/>
                <w:lang w:val="en-AU"/>
              </w:rPr>
              <w:t xml:space="preserve"> purity specifications</w:t>
            </w:r>
            <w:r>
              <w:rPr>
                <w:rFonts w:asciiTheme="majorHAnsi" w:hAnsiTheme="majorHAnsi"/>
                <w:sz w:val="18"/>
                <w:szCs w:val="22"/>
                <w:lang w:val="en-AU"/>
              </w:rPr>
              <w:t xml:space="preserve"> </w:t>
            </w:r>
            <w:r w:rsidRPr="002C7BF0">
              <w:rPr>
                <w:rFonts w:asciiTheme="majorHAnsi" w:hAnsiTheme="majorHAnsi"/>
                <w:sz w:val="18"/>
                <w:szCs w:val="22"/>
                <w:lang w:val="en-AU"/>
              </w:rPr>
              <w:t xml:space="preserve">and </w:t>
            </w:r>
            <w:r>
              <w:rPr>
                <w:rFonts w:asciiTheme="majorHAnsi" w:hAnsiTheme="majorHAnsi"/>
                <w:sz w:val="18"/>
                <w:szCs w:val="22"/>
                <w:lang w:val="en-AU"/>
              </w:rPr>
              <w:t>specifies</w:t>
            </w:r>
            <w:r w:rsidRPr="002C7BF0">
              <w:rPr>
                <w:rFonts w:asciiTheme="majorHAnsi" w:hAnsiTheme="majorHAnsi"/>
                <w:sz w:val="18"/>
                <w:szCs w:val="22"/>
                <w:lang w:val="en-AU"/>
              </w:rPr>
              <w:t xml:space="preserve"> methods of testing for fluorocarbon refrigerants to verify composition regardless of source (new, reclaimed and/or repackaged).</w:t>
            </w:r>
            <w:r>
              <w:rPr>
                <w:rFonts w:asciiTheme="majorHAnsi" w:hAnsiTheme="majorHAnsi"/>
                <w:sz w:val="18"/>
                <w:szCs w:val="22"/>
                <w:lang w:val="en-AU"/>
              </w:rPr>
              <w:t xml:space="preserve"> </w:t>
            </w:r>
            <w:r w:rsidRPr="00456071">
              <w:rPr>
                <w:rFonts w:asciiTheme="majorHAnsi" w:hAnsiTheme="majorHAnsi"/>
                <w:sz w:val="18"/>
                <w:szCs w:val="22"/>
                <w:lang w:val="en-AU"/>
              </w:rPr>
              <w:t>The quality of the reclaimed product must be verified by chemical analysis</w:t>
            </w:r>
            <w:r>
              <w:rPr>
                <w:rFonts w:asciiTheme="majorHAnsi" w:hAnsiTheme="majorHAnsi"/>
                <w:sz w:val="18"/>
                <w:szCs w:val="22"/>
                <w:lang w:val="en-AU"/>
              </w:rPr>
              <w:t xml:space="preserve"> and meet or exceed </w:t>
            </w:r>
            <w:r w:rsidRPr="002C7BF0">
              <w:rPr>
                <w:rFonts w:asciiTheme="majorHAnsi" w:hAnsiTheme="majorHAnsi"/>
                <w:sz w:val="18"/>
                <w:szCs w:val="22"/>
                <w:lang w:val="en-AU"/>
              </w:rPr>
              <w:t>A</w:t>
            </w:r>
            <w:r>
              <w:rPr>
                <w:rFonts w:asciiTheme="majorHAnsi" w:hAnsiTheme="majorHAnsi"/>
                <w:sz w:val="18"/>
                <w:szCs w:val="22"/>
                <w:lang w:val="en-AU"/>
              </w:rPr>
              <w:t>H</w:t>
            </w:r>
            <w:r w:rsidRPr="002C7BF0">
              <w:rPr>
                <w:rFonts w:asciiTheme="majorHAnsi" w:hAnsiTheme="majorHAnsi"/>
                <w:sz w:val="18"/>
                <w:szCs w:val="22"/>
                <w:lang w:val="en-AU"/>
              </w:rPr>
              <w:t xml:space="preserve">RI 700 </w:t>
            </w:r>
            <w:r>
              <w:rPr>
                <w:rFonts w:asciiTheme="majorHAnsi" w:hAnsiTheme="majorHAnsi"/>
                <w:sz w:val="18"/>
                <w:szCs w:val="22"/>
                <w:lang w:val="en-AU"/>
              </w:rPr>
              <w:t>s</w:t>
            </w:r>
            <w:r w:rsidRPr="002C7BF0">
              <w:rPr>
                <w:rFonts w:asciiTheme="majorHAnsi" w:hAnsiTheme="majorHAnsi"/>
                <w:sz w:val="18"/>
                <w:szCs w:val="22"/>
                <w:lang w:val="en-AU"/>
              </w:rPr>
              <w:t>pecification</w:t>
            </w:r>
            <w:r>
              <w:rPr>
                <w:rFonts w:asciiTheme="majorHAnsi" w:hAnsiTheme="majorHAnsi"/>
                <w:sz w:val="18"/>
                <w:szCs w:val="22"/>
                <w:lang w:val="en-AU"/>
              </w:rPr>
              <w:t xml:space="preserve">s </w:t>
            </w:r>
            <w:r w:rsidRPr="00453245">
              <w:rPr>
                <w:rFonts w:asciiTheme="majorHAnsi" w:hAnsiTheme="majorHAnsi"/>
                <w:sz w:val="18"/>
                <w:szCs w:val="22"/>
                <w:lang w:val="en-AU"/>
              </w:rPr>
              <w:t>which are the same standards required of virgin refrigerants</w:t>
            </w:r>
            <w:r>
              <w:rPr>
                <w:rFonts w:asciiTheme="majorHAnsi" w:hAnsiTheme="majorHAnsi"/>
                <w:sz w:val="18"/>
                <w:szCs w:val="22"/>
                <w:lang w:val="en-AU"/>
              </w:rPr>
              <w:t>.</w:t>
            </w:r>
          </w:p>
        </w:tc>
      </w:tr>
      <w:tr w:rsidR="00501217" w:rsidRPr="008C4425" w14:paraId="6AF12F63" w14:textId="77777777" w:rsidTr="00E42FBC">
        <w:trPr>
          <w:trHeight w:val="342"/>
        </w:trPr>
        <w:tc>
          <w:tcPr>
            <w:tcW w:w="2219" w:type="dxa"/>
          </w:tcPr>
          <w:p w14:paraId="356CDD80"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lang w:val="en-AU"/>
              </w:rPr>
              <w:t>Refrigerant recovery</w:t>
            </w:r>
          </w:p>
        </w:tc>
        <w:tc>
          <w:tcPr>
            <w:tcW w:w="7273" w:type="dxa"/>
            <w:gridSpan w:val="3"/>
          </w:tcPr>
          <w:p w14:paraId="2C7A4D38" w14:textId="77777777" w:rsidR="00501217" w:rsidRPr="008C4425" w:rsidRDefault="00501217" w:rsidP="009A23AA">
            <w:pPr>
              <w:pStyle w:val="BodyText"/>
              <w:spacing w:before="60" w:after="60"/>
              <w:rPr>
                <w:rFonts w:asciiTheme="majorHAnsi" w:hAnsiTheme="majorHAnsi"/>
                <w:sz w:val="18"/>
                <w:szCs w:val="22"/>
              </w:rPr>
            </w:pPr>
            <w:r w:rsidRPr="00456071">
              <w:rPr>
                <w:rFonts w:asciiTheme="majorHAnsi" w:hAnsiTheme="majorHAnsi"/>
                <w:sz w:val="18"/>
                <w:szCs w:val="22"/>
                <w:lang w:val="en-AU"/>
              </w:rPr>
              <w:t>Recovery refers to the removal of refrigerants from equipment and collection in an approved recovery container. As defined by the AHRI, recovery does not involve processing or analytical testing.</w:t>
            </w:r>
          </w:p>
        </w:tc>
      </w:tr>
      <w:tr w:rsidR="00501217" w:rsidRPr="008C4425" w14:paraId="38C2322C" w14:textId="77777777" w:rsidTr="00E42FBC">
        <w:trPr>
          <w:trHeight w:val="342"/>
        </w:trPr>
        <w:tc>
          <w:tcPr>
            <w:tcW w:w="2219" w:type="dxa"/>
          </w:tcPr>
          <w:p w14:paraId="41B3E532" w14:textId="77777777" w:rsidR="00501217" w:rsidRDefault="00501217" w:rsidP="0095284B">
            <w:pPr>
              <w:pStyle w:val="BodyText"/>
              <w:spacing w:before="60" w:after="60"/>
              <w:jc w:val="left"/>
              <w:rPr>
                <w:rFonts w:asciiTheme="majorHAnsi" w:hAnsiTheme="majorHAnsi"/>
                <w:sz w:val="18"/>
                <w:szCs w:val="22"/>
              </w:rPr>
            </w:pPr>
            <w:r>
              <w:rPr>
                <w:rFonts w:asciiTheme="majorHAnsi" w:hAnsiTheme="majorHAnsi"/>
                <w:sz w:val="18"/>
                <w:szCs w:val="22"/>
              </w:rPr>
              <w:t>Refrigerant species</w:t>
            </w:r>
          </w:p>
        </w:tc>
        <w:tc>
          <w:tcPr>
            <w:tcW w:w="7273" w:type="dxa"/>
            <w:gridSpan w:val="3"/>
          </w:tcPr>
          <w:p w14:paraId="2D6C8F4C" w14:textId="77777777" w:rsidR="00501217" w:rsidRPr="008C4425" w:rsidRDefault="00501217" w:rsidP="009A23AA">
            <w:pPr>
              <w:pStyle w:val="BodyText"/>
              <w:spacing w:before="60" w:after="60"/>
              <w:rPr>
                <w:rFonts w:asciiTheme="majorHAnsi" w:hAnsiTheme="majorHAnsi"/>
                <w:sz w:val="18"/>
                <w:szCs w:val="22"/>
              </w:rPr>
            </w:pPr>
            <w:r w:rsidRPr="00703A81">
              <w:rPr>
                <w:rFonts w:asciiTheme="majorHAnsi" w:hAnsiTheme="majorHAnsi"/>
                <w:sz w:val="18"/>
                <w:szCs w:val="22"/>
              </w:rPr>
              <w:t xml:space="preserve">A </w:t>
            </w:r>
            <w:r>
              <w:rPr>
                <w:rFonts w:asciiTheme="majorHAnsi" w:hAnsiTheme="majorHAnsi"/>
                <w:sz w:val="18"/>
                <w:szCs w:val="22"/>
              </w:rPr>
              <w:t xml:space="preserve">refrigerant </w:t>
            </w:r>
            <w:r w:rsidRPr="00703A81">
              <w:rPr>
                <w:rFonts w:asciiTheme="majorHAnsi" w:hAnsiTheme="majorHAnsi"/>
                <w:sz w:val="18"/>
                <w:szCs w:val="22"/>
              </w:rPr>
              <w:t>species is defined as a refrigerant category based on its chemical family. For example CFCs, HCFCs and HFCs are all synthetic gases and are defined as different gas species. Similarly hydrocarbon refrigerant is another gas species, and HC-600a, HC-290 and HC-436 (a blend of HC-600a and HC-290) refrigerants are all part of this family. Other gas species include anhydrous ammonia and carbon dioxide.</w:t>
            </w:r>
          </w:p>
        </w:tc>
      </w:tr>
      <w:tr w:rsidR="00501217" w:rsidRPr="008C4425" w14:paraId="46763A83" w14:textId="77777777" w:rsidTr="00E42FBC">
        <w:trPr>
          <w:trHeight w:val="342"/>
        </w:trPr>
        <w:tc>
          <w:tcPr>
            <w:tcW w:w="2219" w:type="dxa"/>
          </w:tcPr>
          <w:p w14:paraId="0D0B9A7A" w14:textId="77777777" w:rsidR="00501217" w:rsidRDefault="00501217" w:rsidP="0095284B">
            <w:pPr>
              <w:pStyle w:val="BodyText"/>
              <w:spacing w:before="60" w:after="60"/>
              <w:jc w:val="left"/>
              <w:rPr>
                <w:rFonts w:asciiTheme="majorHAnsi" w:hAnsiTheme="majorHAnsi"/>
                <w:sz w:val="18"/>
                <w:szCs w:val="22"/>
              </w:rPr>
            </w:pPr>
            <w:r>
              <w:rPr>
                <w:rFonts w:asciiTheme="majorHAnsi" w:hAnsiTheme="majorHAnsi"/>
                <w:sz w:val="18"/>
                <w:szCs w:val="22"/>
              </w:rPr>
              <w:t>Refrigerant usage</w:t>
            </w:r>
          </w:p>
        </w:tc>
        <w:tc>
          <w:tcPr>
            <w:tcW w:w="7273" w:type="dxa"/>
            <w:gridSpan w:val="3"/>
          </w:tcPr>
          <w:p w14:paraId="113201A8" w14:textId="77777777" w:rsidR="00501217" w:rsidRPr="008C4425" w:rsidRDefault="00501217" w:rsidP="009A23AA">
            <w:pPr>
              <w:pStyle w:val="BodyText"/>
              <w:spacing w:before="60" w:after="60"/>
              <w:rPr>
                <w:rFonts w:asciiTheme="majorHAnsi" w:hAnsiTheme="majorHAnsi"/>
                <w:sz w:val="18"/>
                <w:szCs w:val="22"/>
              </w:rPr>
            </w:pPr>
            <w:r>
              <w:rPr>
                <w:rFonts w:asciiTheme="majorHAnsi" w:hAnsiTheme="majorHAnsi"/>
                <w:sz w:val="18"/>
                <w:szCs w:val="22"/>
              </w:rPr>
              <w:t xml:space="preserve">Refrigerant usage </w:t>
            </w:r>
            <w:r w:rsidRPr="006542B3">
              <w:rPr>
                <w:rFonts w:asciiTheme="majorHAnsi" w:hAnsiTheme="majorHAnsi"/>
                <w:sz w:val="18"/>
                <w:szCs w:val="22"/>
              </w:rPr>
              <w:t>is the refrigerant used in the economy installing and manufacturing new</w:t>
            </w:r>
            <w:r>
              <w:rPr>
                <w:rFonts w:asciiTheme="majorHAnsi" w:hAnsiTheme="majorHAnsi"/>
                <w:sz w:val="18"/>
                <w:szCs w:val="22"/>
              </w:rPr>
              <w:t xml:space="preserve"> equipment </w:t>
            </w:r>
            <w:r w:rsidRPr="006542B3">
              <w:rPr>
                <w:rFonts w:asciiTheme="majorHAnsi" w:hAnsiTheme="majorHAnsi"/>
                <w:sz w:val="18"/>
                <w:szCs w:val="22"/>
              </w:rPr>
              <w:t>and maintaining existing equipment.</w:t>
            </w:r>
            <w:r>
              <w:rPr>
                <w:rFonts w:asciiTheme="majorHAnsi" w:hAnsiTheme="majorHAnsi"/>
                <w:sz w:val="18"/>
                <w:szCs w:val="22"/>
              </w:rPr>
              <w:t xml:space="preserve"> Refer definition refrigerant consumption.</w:t>
            </w:r>
          </w:p>
        </w:tc>
      </w:tr>
      <w:tr w:rsidR="00501217" w:rsidRPr="008C4425" w14:paraId="5CC37707" w14:textId="77777777" w:rsidTr="00E42FBC">
        <w:trPr>
          <w:trHeight w:val="342"/>
        </w:trPr>
        <w:tc>
          <w:tcPr>
            <w:tcW w:w="2219" w:type="dxa"/>
          </w:tcPr>
          <w:p w14:paraId="40AF7B12" w14:textId="77777777" w:rsidR="00501217" w:rsidRPr="008C4425" w:rsidRDefault="00501217" w:rsidP="0095284B">
            <w:pPr>
              <w:pStyle w:val="BodyText"/>
              <w:spacing w:before="60" w:after="60"/>
              <w:jc w:val="left"/>
              <w:rPr>
                <w:rFonts w:asciiTheme="majorHAnsi" w:hAnsiTheme="majorHAnsi"/>
                <w:sz w:val="18"/>
                <w:szCs w:val="22"/>
              </w:rPr>
            </w:pPr>
            <w:r>
              <w:rPr>
                <w:rFonts w:asciiTheme="majorHAnsi" w:hAnsiTheme="majorHAnsi"/>
                <w:sz w:val="18"/>
                <w:szCs w:val="22"/>
              </w:rPr>
              <w:t>Refrigerated cold food chain</w:t>
            </w:r>
            <w:r w:rsidRPr="008C4425">
              <w:rPr>
                <w:rFonts w:asciiTheme="majorHAnsi" w:hAnsiTheme="majorHAnsi"/>
                <w:sz w:val="18"/>
                <w:szCs w:val="22"/>
              </w:rPr>
              <w:t xml:space="preserve"> (RCFC)</w:t>
            </w:r>
          </w:p>
        </w:tc>
        <w:tc>
          <w:tcPr>
            <w:tcW w:w="7273" w:type="dxa"/>
            <w:gridSpan w:val="3"/>
          </w:tcPr>
          <w:p w14:paraId="27114652"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The refrigerated cold food chain is part of the food value chain, which involves transport, storage, primary and secondary processors, distribution and retailing of chilled and frozen foods from farm gate to consumer. However, in this report domestic refrigeration and freezers are treated as a separate segment.</w:t>
            </w:r>
          </w:p>
        </w:tc>
      </w:tr>
      <w:tr w:rsidR="00501217" w:rsidRPr="008C4425" w14:paraId="70A4A3C3" w14:textId="77777777" w:rsidTr="00E42FBC">
        <w:trPr>
          <w:trHeight w:val="342"/>
        </w:trPr>
        <w:tc>
          <w:tcPr>
            <w:tcW w:w="2219" w:type="dxa"/>
          </w:tcPr>
          <w:p w14:paraId="51BA2D12"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Remote condensing unit</w:t>
            </w:r>
          </w:p>
        </w:tc>
        <w:tc>
          <w:tcPr>
            <w:tcW w:w="7273" w:type="dxa"/>
            <w:gridSpan w:val="3"/>
          </w:tcPr>
          <w:p w14:paraId="6E5FEA19"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lang w:val="en-AU"/>
              </w:rPr>
              <w:t>Condensing unit located remotely from the evaporator, typically outdoors (see condensing unit).</w:t>
            </w:r>
          </w:p>
        </w:tc>
      </w:tr>
      <w:tr w:rsidR="00501217" w:rsidRPr="008C4425" w14:paraId="5666E3F9" w14:textId="77777777" w:rsidTr="00E42FBC">
        <w:trPr>
          <w:trHeight w:val="342"/>
        </w:trPr>
        <w:tc>
          <w:tcPr>
            <w:tcW w:w="2219" w:type="dxa"/>
          </w:tcPr>
          <w:p w14:paraId="772B5238"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Remote RDC</w:t>
            </w:r>
          </w:p>
        </w:tc>
        <w:tc>
          <w:tcPr>
            <w:tcW w:w="7273" w:type="dxa"/>
            <w:gridSpan w:val="3"/>
          </w:tcPr>
          <w:p w14:paraId="53FE1B37"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Refrigerated display cabinet (RDC) with its refrigerating machinery </w:t>
            </w:r>
            <w:r>
              <w:rPr>
                <w:rFonts w:asciiTheme="majorHAnsi" w:hAnsiTheme="majorHAnsi"/>
                <w:sz w:val="18"/>
                <w:szCs w:val="22"/>
              </w:rPr>
              <w:t xml:space="preserve">(condensing unit or refrigeration plant) </w:t>
            </w:r>
            <w:r w:rsidRPr="008C4425">
              <w:rPr>
                <w:rFonts w:asciiTheme="majorHAnsi" w:hAnsiTheme="majorHAnsi"/>
                <w:sz w:val="18"/>
                <w:szCs w:val="22"/>
              </w:rPr>
              <w:t>sited remote from the cabinet structure</w:t>
            </w:r>
            <w:r>
              <w:rPr>
                <w:rFonts w:asciiTheme="majorHAnsi" w:hAnsiTheme="majorHAnsi"/>
                <w:sz w:val="18"/>
                <w:szCs w:val="22"/>
              </w:rPr>
              <w:t xml:space="preserve"> that is located inside the supermarket or store.</w:t>
            </w:r>
          </w:p>
        </w:tc>
      </w:tr>
      <w:tr w:rsidR="00501217" w:rsidRPr="008C4425" w14:paraId="0445E600" w14:textId="77777777" w:rsidTr="00E42FBC">
        <w:trPr>
          <w:trHeight w:val="342"/>
        </w:trPr>
        <w:tc>
          <w:tcPr>
            <w:tcW w:w="2219" w:type="dxa"/>
          </w:tcPr>
          <w:p w14:paraId="44449CE0"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Self</w:t>
            </w:r>
            <w:r w:rsidRPr="008C4425">
              <w:rPr>
                <w:rFonts w:asciiTheme="majorHAnsi" w:hAnsiTheme="majorHAnsi"/>
                <w:b/>
                <w:bCs/>
                <w:sz w:val="18"/>
                <w:szCs w:val="22"/>
              </w:rPr>
              <w:t>‐</w:t>
            </w:r>
            <w:r w:rsidRPr="008C4425">
              <w:rPr>
                <w:rFonts w:asciiTheme="majorHAnsi" w:hAnsiTheme="majorHAnsi"/>
                <w:sz w:val="18"/>
                <w:szCs w:val="22"/>
              </w:rPr>
              <w:t>contained RDC</w:t>
            </w:r>
          </w:p>
        </w:tc>
        <w:tc>
          <w:tcPr>
            <w:tcW w:w="7273" w:type="dxa"/>
            <w:gridSpan w:val="3"/>
          </w:tcPr>
          <w:p w14:paraId="174319EA"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Refrigerated display cabinet with its refrigerating machinery sited </w:t>
            </w:r>
            <w:r>
              <w:rPr>
                <w:rFonts w:asciiTheme="majorHAnsi" w:hAnsiTheme="majorHAnsi"/>
                <w:sz w:val="18"/>
                <w:szCs w:val="22"/>
              </w:rPr>
              <w:t xml:space="preserve">inside </w:t>
            </w:r>
            <w:r w:rsidRPr="008C4425">
              <w:rPr>
                <w:rFonts w:asciiTheme="majorHAnsi" w:hAnsiTheme="majorHAnsi"/>
                <w:sz w:val="18"/>
                <w:szCs w:val="22"/>
              </w:rPr>
              <w:t>the cabinet structure.</w:t>
            </w:r>
          </w:p>
        </w:tc>
      </w:tr>
      <w:tr w:rsidR="00501217" w:rsidRPr="008C4425" w14:paraId="356FACE3" w14:textId="77777777" w:rsidTr="00E42FBC">
        <w:trPr>
          <w:trHeight w:val="342"/>
        </w:trPr>
        <w:tc>
          <w:tcPr>
            <w:tcW w:w="2219" w:type="dxa"/>
          </w:tcPr>
          <w:p w14:paraId="08954620"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Second Assessment Report (AR2)</w:t>
            </w:r>
          </w:p>
        </w:tc>
        <w:tc>
          <w:tcPr>
            <w:tcW w:w="7273" w:type="dxa"/>
            <w:gridSpan w:val="3"/>
          </w:tcPr>
          <w:p w14:paraId="61AFEEF9"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Second Assessment Report of the </w:t>
            </w:r>
            <w:r>
              <w:rPr>
                <w:rFonts w:asciiTheme="majorHAnsi" w:hAnsiTheme="majorHAnsi"/>
                <w:sz w:val="18"/>
                <w:szCs w:val="22"/>
              </w:rPr>
              <w:t xml:space="preserve">Intergovernmental Panel on Climate Change for the </w:t>
            </w:r>
            <w:r w:rsidRPr="008C4425">
              <w:rPr>
                <w:rFonts w:asciiTheme="majorHAnsi" w:hAnsiTheme="majorHAnsi"/>
                <w:sz w:val="18"/>
                <w:szCs w:val="22"/>
              </w:rPr>
              <w:t xml:space="preserve">United Nations Framework Convention on Climate Change, released in 1996. Australia’s legally binding emission obligations under the </w:t>
            </w:r>
            <w:r>
              <w:rPr>
                <w:rFonts w:asciiTheme="majorHAnsi" w:hAnsiTheme="majorHAnsi"/>
                <w:sz w:val="18"/>
                <w:szCs w:val="22"/>
              </w:rPr>
              <w:t xml:space="preserve">first </w:t>
            </w:r>
            <w:r w:rsidRPr="008C4425">
              <w:rPr>
                <w:rFonts w:asciiTheme="majorHAnsi" w:hAnsiTheme="majorHAnsi"/>
                <w:sz w:val="18"/>
                <w:szCs w:val="22"/>
              </w:rPr>
              <w:t xml:space="preserve">Kyoto Protocol </w:t>
            </w:r>
            <w:r>
              <w:rPr>
                <w:rFonts w:asciiTheme="majorHAnsi" w:hAnsiTheme="majorHAnsi"/>
                <w:sz w:val="18"/>
                <w:szCs w:val="22"/>
              </w:rPr>
              <w:t>commitment period were</w:t>
            </w:r>
            <w:r w:rsidRPr="008C4425">
              <w:rPr>
                <w:rFonts w:asciiTheme="majorHAnsi" w:hAnsiTheme="majorHAnsi"/>
                <w:sz w:val="18"/>
                <w:szCs w:val="22"/>
              </w:rPr>
              <w:t xml:space="preserve"> calculated based on AR2</w:t>
            </w:r>
            <w:r>
              <w:rPr>
                <w:rFonts w:asciiTheme="majorHAnsi" w:hAnsiTheme="majorHAnsi"/>
                <w:sz w:val="18"/>
                <w:szCs w:val="22"/>
              </w:rPr>
              <w:t>.</w:t>
            </w:r>
          </w:p>
        </w:tc>
      </w:tr>
      <w:tr w:rsidR="00501217" w:rsidRPr="008C4425" w14:paraId="6F4F5F26" w14:textId="77777777" w:rsidTr="00E42FBC">
        <w:trPr>
          <w:trHeight w:val="342"/>
        </w:trPr>
        <w:tc>
          <w:tcPr>
            <w:tcW w:w="2219" w:type="dxa"/>
          </w:tcPr>
          <w:p w14:paraId="18483F8F" w14:textId="77777777" w:rsidR="00501217" w:rsidRPr="008C4425" w:rsidRDefault="00501217" w:rsidP="0095284B">
            <w:pPr>
              <w:pStyle w:val="BodyText"/>
              <w:spacing w:before="60" w:after="60"/>
              <w:jc w:val="left"/>
              <w:rPr>
                <w:rFonts w:asciiTheme="majorHAnsi" w:hAnsiTheme="majorHAnsi"/>
                <w:sz w:val="18"/>
                <w:szCs w:val="22"/>
              </w:rPr>
            </w:pPr>
            <w:r>
              <w:rPr>
                <w:rFonts w:asciiTheme="majorHAnsi" w:hAnsiTheme="majorHAnsi"/>
                <w:sz w:val="18"/>
                <w:szCs w:val="22"/>
              </w:rPr>
              <w:t>Fourth</w:t>
            </w:r>
            <w:r w:rsidRPr="008C4425">
              <w:rPr>
                <w:rFonts w:asciiTheme="majorHAnsi" w:hAnsiTheme="majorHAnsi"/>
                <w:sz w:val="18"/>
                <w:szCs w:val="22"/>
              </w:rPr>
              <w:t xml:space="preserve"> Assessment Report (AR</w:t>
            </w:r>
            <w:r>
              <w:rPr>
                <w:rFonts w:asciiTheme="majorHAnsi" w:hAnsiTheme="majorHAnsi"/>
                <w:sz w:val="18"/>
                <w:szCs w:val="22"/>
              </w:rPr>
              <w:t>4</w:t>
            </w:r>
            <w:r w:rsidRPr="008C4425">
              <w:rPr>
                <w:rFonts w:asciiTheme="majorHAnsi" w:hAnsiTheme="majorHAnsi"/>
                <w:sz w:val="18"/>
                <w:szCs w:val="22"/>
              </w:rPr>
              <w:t>)</w:t>
            </w:r>
          </w:p>
        </w:tc>
        <w:tc>
          <w:tcPr>
            <w:tcW w:w="7273" w:type="dxa"/>
            <w:gridSpan w:val="3"/>
          </w:tcPr>
          <w:p w14:paraId="26BB022E" w14:textId="77777777" w:rsidR="00501217" w:rsidRPr="008C4425" w:rsidRDefault="00501217" w:rsidP="009A23AA">
            <w:pPr>
              <w:pStyle w:val="BodyText"/>
              <w:spacing w:before="60" w:after="60"/>
              <w:rPr>
                <w:rFonts w:asciiTheme="majorHAnsi" w:hAnsiTheme="majorHAnsi"/>
                <w:sz w:val="18"/>
                <w:szCs w:val="22"/>
              </w:rPr>
            </w:pPr>
            <w:r>
              <w:rPr>
                <w:rFonts w:asciiTheme="majorHAnsi" w:hAnsiTheme="majorHAnsi"/>
                <w:sz w:val="18"/>
                <w:szCs w:val="22"/>
              </w:rPr>
              <w:t>Fourth</w:t>
            </w:r>
            <w:r w:rsidRPr="008C4425">
              <w:rPr>
                <w:rFonts w:asciiTheme="majorHAnsi" w:hAnsiTheme="majorHAnsi"/>
                <w:sz w:val="18"/>
                <w:szCs w:val="22"/>
              </w:rPr>
              <w:t xml:space="preserve"> Assessment Report of the </w:t>
            </w:r>
            <w:r>
              <w:rPr>
                <w:rFonts w:asciiTheme="majorHAnsi" w:hAnsiTheme="majorHAnsi"/>
                <w:sz w:val="18"/>
                <w:szCs w:val="22"/>
              </w:rPr>
              <w:t>Intergovernmental Panel on Climate Change for the</w:t>
            </w:r>
            <w:r w:rsidRPr="008C4425">
              <w:rPr>
                <w:rFonts w:asciiTheme="majorHAnsi" w:hAnsiTheme="majorHAnsi"/>
                <w:sz w:val="18"/>
                <w:szCs w:val="22"/>
              </w:rPr>
              <w:t xml:space="preserve"> United Nations Framework Convention on Climate Change, released in </w:t>
            </w:r>
            <w:r>
              <w:rPr>
                <w:rFonts w:asciiTheme="majorHAnsi" w:hAnsiTheme="majorHAnsi"/>
                <w:sz w:val="18"/>
                <w:szCs w:val="22"/>
              </w:rPr>
              <w:t>2007</w:t>
            </w:r>
            <w:r w:rsidRPr="008C4425">
              <w:rPr>
                <w:rFonts w:asciiTheme="majorHAnsi" w:hAnsiTheme="majorHAnsi"/>
                <w:sz w:val="18"/>
                <w:szCs w:val="22"/>
              </w:rPr>
              <w:t xml:space="preserve">. Australia’s legally binding emission obligations under the </w:t>
            </w:r>
            <w:r>
              <w:rPr>
                <w:rFonts w:asciiTheme="majorHAnsi" w:hAnsiTheme="majorHAnsi"/>
                <w:sz w:val="18"/>
                <w:szCs w:val="22"/>
              </w:rPr>
              <w:t xml:space="preserve">second </w:t>
            </w:r>
            <w:r w:rsidRPr="008C4425">
              <w:rPr>
                <w:rFonts w:asciiTheme="majorHAnsi" w:hAnsiTheme="majorHAnsi"/>
                <w:sz w:val="18"/>
                <w:szCs w:val="22"/>
              </w:rPr>
              <w:t xml:space="preserve">Kyoto Protocol </w:t>
            </w:r>
            <w:r>
              <w:rPr>
                <w:rFonts w:asciiTheme="majorHAnsi" w:hAnsiTheme="majorHAnsi"/>
                <w:sz w:val="18"/>
                <w:szCs w:val="22"/>
              </w:rPr>
              <w:t>commitment period are</w:t>
            </w:r>
            <w:r w:rsidRPr="008C4425">
              <w:rPr>
                <w:rFonts w:asciiTheme="majorHAnsi" w:hAnsiTheme="majorHAnsi"/>
                <w:sz w:val="18"/>
                <w:szCs w:val="22"/>
              </w:rPr>
              <w:t xml:space="preserve"> calculated based on AR</w:t>
            </w:r>
            <w:r>
              <w:rPr>
                <w:rFonts w:asciiTheme="majorHAnsi" w:hAnsiTheme="majorHAnsi"/>
                <w:sz w:val="18"/>
                <w:szCs w:val="22"/>
              </w:rPr>
              <w:t xml:space="preserve">4. AR4 GWP values are used throughout this report, unless stated. </w:t>
            </w:r>
          </w:p>
        </w:tc>
      </w:tr>
      <w:tr w:rsidR="00501217" w:rsidRPr="008C4425" w14:paraId="3314697D" w14:textId="77777777" w:rsidTr="00E42FBC">
        <w:trPr>
          <w:trHeight w:val="342"/>
        </w:trPr>
        <w:tc>
          <w:tcPr>
            <w:tcW w:w="2219" w:type="dxa"/>
          </w:tcPr>
          <w:p w14:paraId="530216BC" w14:textId="77777777" w:rsidR="00501217" w:rsidRPr="008C4425" w:rsidRDefault="00501217" w:rsidP="0095284B">
            <w:pPr>
              <w:pStyle w:val="BodyText"/>
              <w:spacing w:before="60" w:after="60"/>
              <w:jc w:val="left"/>
              <w:rPr>
                <w:rFonts w:asciiTheme="majorHAnsi" w:hAnsiTheme="majorHAnsi"/>
                <w:sz w:val="18"/>
                <w:szCs w:val="22"/>
              </w:rPr>
            </w:pPr>
            <w:r>
              <w:rPr>
                <w:rFonts w:asciiTheme="majorHAnsi" w:hAnsiTheme="majorHAnsi"/>
                <w:sz w:val="18"/>
                <w:szCs w:val="22"/>
              </w:rPr>
              <w:t>Specific Energy Consumption</w:t>
            </w:r>
          </w:p>
        </w:tc>
        <w:tc>
          <w:tcPr>
            <w:tcW w:w="7273" w:type="dxa"/>
            <w:gridSpan w:val="3"/>
          </w:tcPr>
          <w:p w14:paraId="122F13B9" w14:textId="77777777" w:rsidR="00501217" w:rsidRPr="003C63AC" w:rsidRDefault="00501217" w:rsidP="009A23AA">
            <w:pPr>
              <w:pStyle w:val="BodyText"/>
              <w:spacing w:before="60" w:after="60"/>
              <w:rPr>
                <w:rFonts w:asciiTheme="majorHAnsi" w:hAnsiTheme="majorHAnsi"/>
                <w:sz w:val="18"/>
                <w:szCs w:val="22"/>
              </w:rPr>
            </w:pPr>
            <w:r>
              <w:rPr>
                <w:rFonts w:asciiTheme="majorHAnsi" w:hAnsiTheme="majorHAnsi"/>
                <w:sz w:val="18"/>
                <w:szCs w:val="22"/>
              </w:rPr>
              <w:t>Energy consumption benchmark used in large cold storage facilities in kWh per m</w:t>
            </w:r>
            <w:r w:rsidRPr="00A563D7">
              <w:rPr>
                <w:rFonts w:asciiTheme="majorHAnsi" w:hAnsiTheme="majorHAnsi"/>
                <w:sz w:val="18"/>
                <w:szCs w:val="22"/>
                <w:vertAlign w:val="superscript"/>
              </w:rPr>
              <w:t>3</w:t>
            </w:r>
            <w:r>
              <w:rPr>
                <w:rFonts w:asciiTheme="majorHAnsi" w:hAnsiTheme="majorHAnsi"/>
                <w:sz w:val="18"/>
                <w:szCs w:val="22"/>
              </w:rPr>
              <w:t xml:space="preserve"> per annum.</w:t>
            </w:r>
          </w:p>
        </w:tc>
      </w:tr>
      <w:tr w:rsidR="00501217" w:rsidRPr="008C4425" w14:paraId="23EFC106" w14:textId="77777777" w:rsidTr="00E42FBC">
        <w:trPr>
          <w:trHeight w:val="342"/>
        </w:trPr>
        <w:tc>
          <w:tcPr>
            <w:tcW w:w="2219" w:type="dxa"/>
          </w:tcPr>
          <w:p w14:paraId="311FAC9D"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Synthetic greenhouse gases (SGGs)</w:t>
            </w:r>
          </w:p>
        </w:tc>
        <w:tc>
          <w:tcPr>
            <w:tcW w:w="7273" w:type="dxa"/>
            <w:gridSpan w:val="3"/>
          </w:tcPr>
          <w:p w14:paraId="272DD276" w14:textId="5BA383E8" w:rsidR="00501217" w:rsidRPr="008C4425" w:rsidRDefault="00501217" w:rsidP="009A23AA">
            <w:pPr>
              <w:pStyle w:val="BodyText"/>
              <w:spacing w:before="60" w:after="60"/>
              <w:rPr>
                <w:rFonts w:asciiTheme="majorHAnsi" w:hAnsiTheme="majorHAnsi"/>
                <w:sz w:val="18"/>
                <w:szCs w:val="22"/>
              </w:rPr>
            </w:pPr>
            <w:r w:rsidRPr="003C63AC">
              <w:rPr>
                <w:rFonts w:asciiTheme="majorHAnsi" w:hAnsiTheme="majorHAnsi"/>
                <w:sz w:val="18"/>
                <w:szCs w:val="22"/>
              </w:rPr>
              <w:t>SGGs listed under the Kyoto Protocol</w:t>
            </w:r>
            <w:r>
              <w:rPr>
                <w:rFonts w:asciiTheme="majorHAnsi" w:hAnsiTheme="majorHAnsi"/>
                <w:sz w:val="18"/>
                <w:szCs w:val="22"/>
              </w:rPr>
              <w:t xml:space="preserve"> and regulated under the </w:t>
            </w:r>
            <w:hyperlink r:id="rId48" w:history="1">
              <w:r w:rsidRPr="00602C64">
                <w:rPr>
                  <w:rStyle w:val="Emphasis"/>
                  <w:rFonts w:asciiTheme="majorHAnsi" w:hAnsiTheme="majorHAnsi"/>
                  <w:color w:val="0062A0"/>
                  <w:sz w:val="19"/>
                  <w:szCs w:val="19"/>
                  <w:u w:val="single"/>
                </w:rPr>
                <w:t>Ozone Protection and Synthetic Greenhouse Gas Management Act 1989</w:t>
              </w:r>
            </w:hyperlink>
            <w:r>
              <w:rPr>
                <w:sz w:val="18"/>
                <w:szCs w:val="22"/>
              </w:rPr>
              <w:t xml:space="preserve">, </w:t>
            </w:r>
            <w:r w:rsidRPr="003C63AC">
              <w:rPr>
                <w:rFonts w:asciiTheme="majorHAnsi" w:hAnsiTheme="majorHAnsi"/>
                <w:sz w:val="18"/>
                <w:szCs w:val="22"/>
              </w:rPr>
              <w:t xml:space="preserve">hydrofluorocarbons (HFCs), perfluorocarbons (PFCs) </w:t>
            </w:r>
            <w:proofErr w:type="spellStart"/>
            <w:r w:rsidRPr="003C63AC">
              <w:rPr>
                <w:rFonts w:asciiTheme="majorHAnsi" w:hAnsiTheme="majorHAnsi"/>
                <w:sz w:val="18"/>
                <w:szCs w:val="22"/>
                <w:lang w:val="en-AU"/>
              </w:rPr>
              <w:t>sul</w:t>
            </w:r>
            <w:r>
              <w:rPr>
                <w:rFonts w:asciiTheme="majorHAnsi" w:hAnsiTheme="majorHAnsi"/>
                <w:sz w:val="18"/>
                <w:szCs w:val="22"/>
                <w:lang w:val="en-AU"/>
              </w:rPr>
              <w:t>f</w:t>
            </w:r>
            <w:r w:rsidRPr="003C63AC">
              <w:rPr>
                <w:rFonts w:asciiTheme="majorHAnsi" w:hAnsiTheme="majorHAnsi"/>
                <w:sz w:val="18"/>
                <w:szCs w:val="22"/>
                <w:lang w:val="en-AU"/>
              </w:rPr>
              <w:t>ur</w:t>
            </w:r>
            <w:proofErr w:type="spellEnd"/>
            <w:r w:rsidRPr="003C63AC">
              <w:rPr>
                <w:rFonts w:asciiTheme="majorHAnsi" w:hAnsiTheme="majorHAnsi"/>
                <w:sz w:val="18"/>
                <w:szCs w:val="22"/>
              </w:rPr>
              <w:t xml:space="preserve"> hexafluoride (SF</w:t>
            </w:r>
            <w:r w:rsidRPr="003C63AC">
              <w:rPr>
                <w:rFonts w:asciiTheme="majorHAnsi" w:hAnsiTheme="majorHAnsi"/>
                <w:sz w:val="18"/>
                <w:szCs w:val="22"/>
                <w:vertAlign w:val="subscript"/>
              </w:rPr>
              <w:t>6</w:t>
            </w:r>
            <w:r w:rsidRPr="003C63AC">
              <w:rPr>
                <w:rFonts w:asciiTheme="majorHAnsi" w:hAnsiTheme="majorHAnsi"/>
                <w:sz w:val="18"/>
                <w:szCs w:val="22"/>
              </w:rPr>
              <w:t>)</w:t>
            </w:r>
            <w:r>
              <w:rPr>
                <w:rFonts w:asciiTheme="majorHAnsi" w:hAnsiTheme="majorHAnsi"/>
                <w:sz w:val="18"/>
                <w:szCs w:val="22"/>
              </w:rPr>
              <w:t xml:space="preserve"> and nitrogen </w:t>
            </w:r>
            <w:proofErr w:type="spellStart"/>
            <w:r>
              <w:rPr>
                <w:rFonts w:asciiTheme="majorHAnsi" w:hAnsiTheme="majorHAnsi"/>
                <w:sz w:val="18"/>
                <w:szCs w:val="22"/>
              </w:rPr>
              <w:t>trifluoride</w:t>
            </w:r>
            <w:proofErr w:type="spellEnd"/>
            <w:r>
              <w:rPr>
                <w:rFonts w:asciiTheme="majorHAnsi" w:hAnsiTheme="majorHAnsi"/>
                <w:sz w:val="18"/>
                <w:szCs w:val="22"/>
              </w:rPr>
              <w:t xml:space="preserve"> (NF</w:t>
            </w:r>
            <w:r w:rsidRPr="00F1372D">
              <w:rPr>
                <w:rFonts w:asciiTheme="majorHAnsi" w:hAnsiTheme="majorHAnsi"/>
                <w:sz w:val="18"/>
                <w:vertAlign w:val="subscript"/>
              </w:rPr>
              <w:t>3</w:t>
            </w:r>
            <w:r>
              <w:rPr>
                <w:rFonts w:asciiTheme="majorHAnsi" w:hAnsiTheme="majorHAnsi"/>
                <w:sz w:val="18"/>
                <w:szCs w:val="22"/>
              </w:rPr>
              <w:t>)</w:t>
            </w:r>
            <w:r w:rsidRPr="003C63AC">
              <w:rPr>
                <w:rFonts w:asciiTheme="majorHAnsi" w:hAnsiTheme="majorHAnsi"/>
                <w:sz w:val="18"/>
                <w:szCs w:val="22"/>
              </w:rPr>
              <w:t>.</w:t>
            </w:r>
          </w:p>
        </w:tc>
      </w:tr>
      <w:tr w:rsidR="00501217" w:rsidRPr="008C4425" w14:paraId="034ED149" w14:textId="77777777" w:rsidTr="00E42FBC">
        <w:trPr>
          <w:trHeight w:val="342"/>
        </w:trPr>
        <w:tc>
          <w:tcPr>
            <w:tcW w:w="2219" w:type="dxa"/>
          </w:tcPr>
          <w:p w14:paraId="3FCCD9F2"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Synthetic substances or synthetic refrigerants</w:t>
            </w:r>
          </w:p>
        </w:tc>
        <w:tc>
          <w:tcPr>
            <w:tcW w:w="7273" w:type="dxa"/>
            <w:gridSpan w:val="3"/>
          </w:tcPr>
          <w:p w14:paraId="30D1FFCB"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HCFCs, HFCs and HFOs are commonly referred to as synthetic substances or synthetic refrigerants.</w:t>
            </w:r>
          </w:p>
        </w:tc>
      </w:tr>
      <w:tr w:rsidR="00501217" w:rsidRPr="008C4425" w14:paraId="46599E78" w14:textId="77777777" w:rsidTr="00E42FBC">
        <w:trPr>
          <w:trHeight w:val="342"/>
        </w:trPr>
        <w:tc>
          <w:tcPr>
            <w:tcW w:w="2219" w:type="dxa"/>
          </w:tcPr>
          <w:p w14:paraId="01BF9C63"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Technology segment</w:t>
            </w:r>
          </w:p>
        </w:tc>
        <w:tc>
          <w:tcPr>
            <w:tcW w:w="7273" w:type="dxa"/>
            <w:gridSpan w:val="3"/>
          </w:tcPr>
          <w:p w14:paraId="2EDF44A8"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A term used by the authors to refer to a defined set of technologies within the HVAC&amp;R industry sector. A segment of the broad family of technologies employed in the HVAC&amp;R sector is defined by the application (i.e. mobile or stationary, commercial or residential) and then bounded by a range of size of the charge of working gas, although for the purpose of modeling an average charge size for each segment has been calculated.</w:t>
            </w:r>
          </w:p>
        </w:tc>
      </w:tr>
      <w:tr w:rsidR="00501217" w:rsidRPr="008C4425" w14:paraId="6ADC643D" w14:textId="77777777" w:rsidTr="00E42FBC">
        <w:trPr>
          <w:trHeight w:val="342"/>
        </w:trPr>
        <w:tc>
          <w:tcPr>
            <w:tcW w:w="2219" w:type="dxa"/>
          </w:tcPr>
          <w:p w14:paraId="772131B0"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Truck refrigeration unit (TRU)</w:t>
            </w:r>
          </w:p>
        </w:tc>
        <w:tc>
          <w:tcPr>
            <w:tcW w:w="7273" w:type="dxa"/>
            <w:gridSpan w:val="3"/>
          </w:tcPr>
          <w:p w14:paraId="4F7C33CF"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 xml:space="preserve">TRUs are refrigeration systems powered by dedicated diesel internal combustion engines designed to refrigerate fresh and frozen perishable products (mostly food but also </w:t>
            </w:r>
            <w:r w:rsidRPr="008C4425">
              <w:rPr>
                <w:rFonts w:asciiTheme="majorHAnsi" w:hAnsiTheme="majorHAnsi"/>
                <w:sz w:val="18"/>
                <w:szCs w:val="22"/>
                <w:lang w:val="en-AU"/>
              </w:rPr>
              <w:t>pharmaceuticals and other materials)</w:t>
            </w:r>
            <w:r w:rsidRPr="008C4425">
              <w:rPr>
                <w:rFonts w:asciiTheme="majorHAnsi" w:hAnsiTheme="majorHAnsi"/>
                <w:sz w:val="18"/>
                <w:szCs w:val="22"/>
              </w:rPr>
              <w:t xml:space="preserve"> that are transported on semi-trailers, rigid trucks and rail cars. Fresh is typically classed as 2</w:t>
            </w:r>
            <w:r w:rsidRPr="008C4425">
              <w:rPr>
                <w:rFonts w:asciiTheme="majorHAnsi" w:hAnsiTheme="majorHAnsi"/>
                <w:sz w:val="18"/>
                <w:szCs w:val="18"/>
                <w:vertAlign w:val="superscript"/>
              </w:rPr>
              <w:t>o</w:t>
            </w:r>
            <w:r w:rsidRPr="008C4425">
              <w:rPr>
                <w:rFonts w:asciiTheme="majorHAnsi" w:hAnsiTheme="majorHAnsi"/>
                <w:sz w:val="18"/>
                <w:szCs w:val="22"/>
              </w:rPr>
              <w:t>C and frozen -20</w:t>
            </w:r>
            <w:r w:rsidRPr="008C4425">
              <w:rPr>
                <w:rFonts w:asciiTheme="majorHAnsi" w:hAnsiTheme="majorHAnsi"/>
                <w:sz w:val="18"/>
                <w:szCs w:val="18"/>
                <w:vertAlign w:val="superscript"/>
              </w:rPr>
              <w:t>o</w:t>
            </w:r>
            <w:r w:rsidRPr="008C4425">
              <w:rPr>
                <w:rFonts w:asciiTheme="majorHAnsi" w:hAnsiTheme="majorHAnsi"/>
                <w:sz w:val="18"/>
                <w:szCs w:val="22"/>
              </w:rPr>
              <w:t>C.</w:t>
            </w:r>
          </w:p>
        </w:tc>
      </w:tr>
      <w:tr w:rsidR="00501217" w:rsidRPr="008C4425" w14:paraId="5F4F44AB" w14:textId="77777777" w:rsidTr="00E42FBC">
        <w:trPr>
          <w:trHeight w:val="342"/>
        </w:trPr>
        <w:tc>
          <w:tcPr>
            <w:tcW w:w="2219" w:type="dxa"/>
          </w:tcPr>
          <w:p w14:paraId="23FE6269" w14:textId="77777777" w:rsidR="00501217" w:rsidRPr="008C4425" w:rsidRDefault="00501217" w:rsidP="0095284B">
            <w:pPr>
              <w:pStyle w:val="BodyText"/>
              <w:spacing w:before="60" w:after="60"/>
              <w:jc w:val="left"/>
              <w:rPr>
                <w:rFonts w:asciiTheme="majorHAnsi" w:hAnsiTheme="majorHAnsi"/>
                <w:sz w:val="18"/>
                <w:szCs w:val="22"/>
              </w:rPr>
            </w:pPr>
            <w:r w:rsidRPr="008C4425">
              <w:rPr>
                <w:rFonts w:asciiTheme="majorHAnsi" w:hAnsiTheme="majorHAnsi"/>
                <w:sz w:val="18"/>
                <w:szCs w:val="22"/>
              </w:rPr>
              <w:t>Walk</w:t>
            </w:r>
            <w:r w:rsidRPr="008C4425">
              <w:rPr>
                <w:rFonts w:asciiTheme="majorHAnsi" w:hAnsiTheme="majorHAnsi"/>
                <w:b/>
                <w:bCs/>
                <w:sz w:val="18"/>
                <w:szCs w:val="22"/>
              </w:rPr>
              <w:t>‐</w:t>
            </w:r>
            <w:r w:rsidRPr="008C4425">
              <w:rPr>
                <w:rFonts w:asciiTheme="majorHAnsi" w:hAnsiTheme="majorHAnsi"/>
                <w:sz w:val="18"/>
                <w:szCs w:val="22"/>
              </w:rPr>
              <w:t>in cool</w:t>
            </w:r>
            <w:r>
              <w:rPr>
                <w:rFonts w:asciiTheme="majorHAnsi" w:hAnsiTheme="majorHAnsi"/>
                <w:sz w:val="18"/>
                <w:szCs w:val="22"/>
              </w:rPr>
              <w:t xml:space="preserve"> </w:t>
            </w:r>
            <w:r w:rsidRPr="008C4425">
              <w:rPr>
                <w:rFonts w:asciiTheme="majorHAnsi" w:hAnsiTheme="majorHAnsi"/>
                <w:sz w:val="18"/>
                <w:szCs w:val="22"/>
              </w:rPr>
              <w:t xml:space="preserve">room </w:t>
            </w:r>
          </w:p>
        </w:tc>
        <w:tc>
          <w:tcPr>
            <w:tcW w:w="7273" w:type="dxa"/>
            <w:gridSpan w:val="3"/>
          </w:tcPr>
          <w:p w14:paraId="71121F7F" w14:textId="77777777" w:rsidR="00501217" w:rsidRPr="008C4425" w:rsidRDefault="00501217" w:rsidP="009A23AA">
            <w:pPr>
              <w:pStyle w:val="BodyText"/>
              <w:spacing w:before="60" w:after="60"/>
              <w:rPr>
                <w:rFonts w:asciiTheme="majorHAnsi" w:hAnsiTheme="majorHAnsi"/>
                <w:sz w:val="18"/>
                <w:szCs w:val="22"/>
              </w:rPr>
            </w:pPr>
            <w:r w:rsidRPr="008C4425">
              <w:rPr>
                <w:rFonts w:asciiTheme="majorHAnsi" w:hAnsiTheme="majorHAnsi"/>
                <w:sz w:val="18"/>
                <w:szCs w:val="22"/>
              </w:rPr>
              <w:t>A walk</w:t>
            </w:r>
            <w:r w:rsidRPr="008C4425">
              <w:rPr>
                <w:rFonts w:asciiTheme="majorHAnsi" w:hAnsiTheme="majorHAnsi"/>
                <w:b/>
                <w:bCs/>
                <w:sz w:val="18"/>
                <w:szCs w:val="22"/>
              </w:rPr>
              <w:t>‐</w:t>
            </w:r>
            <w:r w:rsidRPr="008C4425">
              <w:rPr>
                <w:rFonts w:asciiTheme="majorHAnsi" w:hAnsiTheme="majorHAnsi"/>
                <w:sz w:val="18"/>
                <w:szCs w:val="22"/>
              </w:rPr>
              <w:t>in cool</w:t>
            </w:r>
            <w:r>
              <w:rPr>
                <w:rFonts w:asciiTheme="majorHAnsi" w:hAnsiTheme="majorHAnsi"/>
                <w:sz w:val="18"/>
                <w:szCs w:val="22"/>
              </w:rPr>
              <w:t xml:space="preserve"> </w:t>
            </w:r>
            <w:r w:rsidRPr="008C4425">
              <w:rPr>
                <w:rFonts w:asciiTheme="majorHAnsi" w:hAnsiTheme="majorHAnsi"/>
                <w:sz w:val="18"/>
                <w:szCs w:val="22"/>
              </w:rPr>
              <w:t>room is a structure formed by an insulated enclosure of walls and ceiling, having a door through which personnel can pass and close behind them. The floor space occupied by this structure may or may not be insulated, depending on the operating temperature level.</w:t>
            </w:r>
          </w:p>
        </w:tc>
      </w:tr>
    </w:tbl>
    <w:p w14:paraId="7F0A45EF" w14:textId="77777777" w:rsidR="00501217" w:rsidRPr="00F00266" w:rsidRDefault="00501217" w:rsidP="009A23AA">
      <w:pPr>
        <w:rPr>
          <w:rFonts w:cs="Times New Roman"/>
          <w:szCs w:val="22"/>
        </w:rPr>
      </w:pPr>
    </w:p>
    <w:p w14:paraId="4829DEA8" w14:textId="77777777" w:rsidR="00501217" w:rsidRDefault="00501217" w:rsidP="009A23AA">
      <w:pPr>
        <w:spacing w:before="0"/>
      </w:pPr>
      <w:r>
        <w:br w:type="page"/>
      </w:r>
    </w:p>
    <w:p w14:paraId="094F9E30" w14:textId="77777777" w:rsidR="00501217" w:rsidRPr="00974916" w:rsidRDefault="00501217" w:rsidP="009A23AA">
      <w:pPr>
        <w:pStyle w:val="Heading1"/>
        <w:numPr>
          <w:ilvl w:val="0"/>
          <w:numId w:val="0"/>
        </w:numPr>
        <w:ind w:left="432" w:hanging="432"/>
        <w:jc w:val="both"/>
      </w:pPr>
      <w:bookmarkStart w:id="156" w:name="_Toc19601321"/>
      <w:r>
        <w:t>Abbreviations</w:t>
      </w:r>
      <w:bookmarkEnd w:id="15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365"/>
      </w:tblGrid>
      <w:tr w:rsidR="00501217" w:rsidRPr="001857B2" w14:paraId="2D296C37" w14:textId="77777777" w:rsidTr="00E42FBC">
        <w:trPr>
          <w:trHeight w:val="342"/>
        </w:trPr>
        <w:tc>
          <w:tcPr>
            <w:tcW w:w="2127" w:type="dxa"/>
          </w:tcPr>
          <w:p w14:paraId="4E745208"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AC</w:t>
            </w:r>
          </w:p>
        </w:tc>
        <w:tc>
          <w:tcPr>
            <w:tcW w:w="7365" w:type="dxa"/>
          </w:tcPr>
          <w:p w14:paraId="5F7BD864"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Air conditioning</w:t>
            </w:r>
          </w:p>
        </w:tc>
      </w:tr>
      <w:tr w:rsidR="00501217" w:rsidRPr="001857B2" w14:paraId="1907FBC1" w14:textId="77777777" w:rsidTr="00E42FBC">
        <w:trPr>
          <w:trHeight w:val="342"/>
        </w:trPr>
        <w:tc>
          <w:tcPr>
            <w:tcW w:w="2127" w:type="dxa"/>
          </w:tcPr>
          <w:p w14:paraId="2929456F"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AR2</w:t>
            </w:r>
          </w:p>
        </w:tc>
        <w:tc>
          <w:tcPr>
            <w:tcW w:w="7365" w:type="dxa"/>
          </w:tcPr>
          <w:p w14:paraId="2F5989CB"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Second Assessment Report</w:t>
            </w:r>
            <w:r>
              <w:rPr>
                <w:rFonts w:asciiTheme="majorHAnsi" w:hAnsiTheme="majorHAnsi"/>
                <w:sz w:val="18"/>
                <w:szCs w:val="18"/>
              </w:rPr>
              <w:t xml:space="preserve"> of the IPCC</w:t>
            </w:r>
          </w:p>
        </w:tc>
      </w:tr>
      <w:tr w:rsidR="00501217" w:rsidRPr="001857B2" w14:paraId="50369862" w14:textId="77777777" w:rsidTr="00E42FBC">
        <w:trPr>
          <w:trHeight w:val="342"/>
        </w:trPr>
        <w:tc>
          <w:tcPr>
            <w:tcW w:w="2127" w:type="dxa"/>
          </w:tcPr>
          <w:p w14:paraId="6251C7C5"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AR4</w:t>
            </w:r>
          </w:p>
        </w:tc>
        <w:tc>
          <w:tcPr>
            <w:tcW w:w="7365" w:type="dxa"/>
          </w:tcPr>
          <w:p w14:paraId="7669B44B"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Fourth</w:t>
            </w:r>
            <w:r w:rsidRPr="001857B2">
              <w:rPr>
                <w:rFonts w:asciiTheme="majorHAnsi" w:hAnsiTheme="majorHAnsi"/>
                <w:sz w:val="18"/>
                <w:szCs w:val="18"/>
              </w:rPr>
              <w:t xml:space="preserve"> Assessment Report</w:t>
            </w:r>
            <w:r>
              <w:rPr>
                <w:rFonts w:asciiTheme="majorHAnsi" w:hAnsiTheme="majorHAnsi"/>
                <w:sz w:val="18"/>
                <w:szCs w:val="18"/>
              </w:rPr>
              <w:t xml:space="preserve"> of the IPCC</w:t>
            </w:r>
          </w:p>
        </w:tc>
      </w:tr>
      <w:tr w:rsidR="00FE2EE0" w:rsidRPr="001857B2" w14:paraId="29D98DC2" w14:textId="77777777" w:rsidTr="00E42FBC">
        <w:trPr>
          <w:trHeight w:val="342"/>
        </w:trPr>
        <w:tc>
          <w:tcPr>
            <w:tcW w:w="2127" w:type="dxa"/>
          </w:tcPr>
          <w:p w14:paraId="10BEB08A" w14:textId="6222F105" w:rsidR="00FE2EE0" w:rsidRPr="001857B2" w:rsidRDefault="00FE2EE0" w:rsidP="009A23AA">
            <w:pPr>
              <w:pStyle w:val="BodyText"/>
              <w:spacing w:before="60" w:after="60"/>
              <w:rPr>
                <w:rFonts w:asciiTheme="majorHAnsi" w:hAnsiTheme="majorHAnsi"/>
                <w:sz w:val="18"/>
                <w:szCs w:val="18"/>
              </w:rPr>
            </w:pPr>
            <w:r>
              <w:rPr>
                <w:rFonts w:asciiTheme="majorHAnsi" w:hAnsiTheme="majorHAnsi"/>
                <w:sz w:val="18"/>
                <w:szCs w:val="18"/>
              </w:rPr>
              <w:t>AR5</w:t>
            </w:r>
          </w:p>
        </w:tc>
        <w:tc>
          <w:tcPr>
            <w:tcW w:w="7365" w:type="dxa"/>
          </w:tcPr>
          <w:p w14:paraId="7E875BCC" w14:textId="61D65676" w:rsidR="00FE2EE0" w:rsidRPr="001857B2" w:rsidRDefault="00FE2EE0" w:rsidP="009A23AA">
            <w:pPr>
              <w:pStyle w:val="BodyText"/>
              <w:spacing w:before="60" w:after="60"/>
              <w:rPr>
                <w:rFonts w:asciiTheme="majorHAnsi" w:hAnsiTheme="majorHAnsi"/>
                <w:sz w:val="18"/>
                <w:szCs w:val="18"/>
              </w:rPr>
            </w:pPr>
            <w:r>
              <w:rPr>
                <w:rFonts w:asciiTheme="majorHAnsi" w:hAnsiTheme="majorHAnsi"/>
                <w:sz w:val="18"/>
                <w:szCs w:val="18"/>
              </w:rPr>
              <w:t>Fifth</w:t>
            </w:r>
            <w:r w:rsidRPr="001857B2">
              <w:rPr>
                <w:rFonts w:asciiTheme="majorHAnsi" w:hAnsiTheme="majorHAnsi"/>
                <w:sz w:val="18"/>
                <w:szCs w:val="18"/>
              </w:rPr>
              <w:t xml:space="preserve"> Assessment Report</w:t>
            </w:r>
            <w:r>
              <w:rPr>
                <w:rFonts w:asciiTheme="majorHAnsi" w:hAnsiTheme="majorHAnsi"/>
                <w:sz w:val="18"/>
                <w:szCs w:val="18"/>
              </w:rPr>
              <w:t xml:space="preserve"> of the IPCC</w:t>
            </w:r>
          </w:p>
        </w:tc>
      </w:tr>
      <w:tr w:rsidR="00501217" w:rsidRPr="001857B2" w14:paraId="58A42617" w14:textId="77777777" w:rsidTr="00E42FBC">
        <w:trPr>
          <w:trHeight w:val="342"/>
        </w:trPr>
        <w:tc>
          <w:tcPr>
            <w:tcW w:w="2127" w:type="dxa"/>
          </w:tcPr>
          <w:p w14:paraId="5980BA3F"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 xml:space="preserve">ABS </w:t>
            </w:r>
          </w:p>
        </w:tc>
        <w:tc>
          <w:tcPr>
            <w:tcW w:w="7365" w:type="dxa"/>
          </w:tcPr>
          <w:p w14:paraId="3A75EA23"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Australian Bureau of Statistics</w:t>
            </w:r>
          </w:p>
        </w:tc>
      </w:tr>
      <w:tr w:rsidR="00501217" w:rsidRPr="001857B2" w14:paraId="4D12EF99" w14:textId="77777777" w:rsidTr="00E42FBC">
        <w:trPr>
          <w:trHeight w:val="342"/>
        </w:trPr>
        <w:tc>
          <w:tcPr>
            <w:tcW w:w="2127" w:type="dxa"/>
          </w:tcPr>
          <w:p w14:paraId="2C563758" w14:textId="77777777" w:rsidR="00501217" w:rsidRPr="001857B2" w:rsidRDefault="00501217" w:rsidP="009A23AA">
            <w:pPr>
              <w:pStyle w:val="BodyText"/>
              <w:spacing w:before="60" w:after="60"/>
              <w:rPr>
                <w:rFonts w:asciiTheme="majorHAnsi" w:hAnsiTheme="majorHAnsi"/>
                <w:sz w:val="18"/>
                <w:szCs w:val="18"/>
              </w:rPr>
            </w:pPr>
            <w:r w:rsidRPr="003C63AC">
              <w:rPr>
                <w:rFonts w:asciiTheme="majorHAnsi" w:hAnsiTheme="majorHAnsi"/>
                <w:sz w:val="18"/>
                <w:szCs w:val="18"/>
              </w:rPr>
              <w:t>ANZSCO</w:t>
            </w:r>
          </w:p>
        </w:tc>
        <w:tc>
          <w:tcPr>
            <w:tcW w:w="7365" w:type="dxa"/>
          </w:tcPr>
          <w:p w14:paraId="0295EF88" w14:textId="77777777" w:rsidR="00501217" w:rsidRPr="001857B2" w:rsidRDefault="00501217" w:rsidP="009A23AA">
            <w:pPr>
              <w:pStyle w:val="BodyText"/>
              <w:spacing w:before="60" w:after="60"/>
              <w:rPr>
                <w:rFonts w:asciiTheme="majorHAnsi" w:hAnsiTheme="majorHAnsi"/>
                <w:sz w:val="18"/>
                <w:szCs w:val="18"/>
              </w:rPr>
            </w:pPr>
            <w:r w:rsidRPr="003C63AC">
              <w:rPr>
                <w:rFonts w:asciiTheme="majorHAnsi" w:hAnsiTheme="majorHAnsi"/>
                <w:sz w:val="18"/>
                <w:szCs w:val="18"/>
              </w:rPr>
              <w:t>Australian and New Zealand Standard Classification of Occupations</w:t>
            </w:r>
          </w:p>
        </w:tc>
      </w:tr>
      <w:tr w:rsidR="00501217" w:rsidRPr="001857B2" w14:paraId="2B211033" w14:textId="77777777" w:rsidTr="00E42FBC">
        <w:trPr>
          <w:trHeight w:val="342"/>
        </w:trPr>
        <w:tc>
          <w:tcPr>
            <w:tcW w:w="2127" w:type="dxa"/>
          </w:tcPr>
          <w:p w14:paraId="6A7EAD74"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ARC</w:t>
            </w:r>
          </w:p>
        </w:tc>
        <w:tc>
          <w:tcPr>
            <w:tcW w:w="7365" w:type="dxa"/>
          </w:tcPr>
          <w:p w14:paraId="18D12910" w14:textId="77777777" w:rsidR="00501217" w:rsidRPr="001857B2" w:rsidRDefault="00501217" w:rsidP="009A23AA">
            <w:pPr>
              <w:pStyle w:val="BodyText"/>
              <w:spacing w:before="60" w:after="60"/>
              <w:rPr>
                <w:rFonts w:asciiTheme="majorHAnsi" w:hAnsiTheme="majorHAnsi"/>
                <w:sz w:val="18"/>
                <w:szCs w:val="18"/>
              </w:rPr>
            </w:pPr>
            <w:r w:rsidRPr="00C011C4">
              <w:rPr>
                <w:rFonts w:asciiTheme="majorHAnsi" w:hAnsiTheme="majorHAnsi"/>
                <w:sz w:val="18"/>
                <w:szCs w:val="18"/>
              </w:rPr>
              <w:t>Austr</w:t>
            </w:r>
            <w:r>
              <w:rPr>
                <w:rFonts w:asciiTheme="majorHAnsi" w:hAnsiTheme="majorHAnsi"/>
                <w:sz w:val="18"/>
                <w:szCs w:val="18"/>
              </w:rPr>
              <w:t>alian Refrigeration Council</w:t>
            </w:r>
          </w:p>
        </w:tc>
      </w:tr>
      <w:tr w:rsidR="00501217" w:rsidRPr="001857B2" w14:paraId="17B8E382" w14:textId="77777777" w:rsidTr="00E42FBC">
        <w:trPr>
          <w:trHeight w:val="342"/>
        </w:trPr>
        <w:tc>
          <w:tcPr>
            <w:tcW w:w="2127" w:type="dxa"/>
          </w:tcPr>
          <w:p w14:paraId="2E772FA6"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BCA</w:t>
            </w:r>
          </w:p>
        </w:tc>
        <w:tc>
          <w:tcPr>
            <w:tcW w:w="7365" w:type="dxa"/>
          </w:tcPr>
          <w:p w14:paraId="2D6BB2D8"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Building Code of Australia</w:t>
            </w:r>
          </w:p>
        </w:tc>
      </w:tr>
      <w:tr w:rsidR="00501217" w:rsidRPr="001857B2" w14:paraId="2D796264" w14:textId="77777777" w:rsidTr="00E42FBC">
        <w:trPr>
          <w:trHeight w:val="342"/>
        </w:trPr>
        <w:tc>
          <w:tcPr>
            <w:tcW w:w="2127" w:type="dxa"/>
          </w:tcPr>
          <w:p w14:paraId="2AFCC04E"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CHF</w:t>
            </w:r>
          </w:p>
        </w:tc>
        <w:tc>
          <w:tcPr>
            <w:tcW w:w="7365" w:type="dxa"/>
          </w:tcPr>
          <w:p w14:paraId="3D6A2E27"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Cold Hard Facts</w:t>
            </w:r>
          </w:p>
        </w:tc>
      </w:tr>
      <w:tr w:rsidR="00501217" w:rsidRPr="001857B2" w14:paraId="6D18546E" w14:textId="77777777" w:rsidTr="00E42FBC">
        <w:trPr>
          <w:trHeight w:val="342"/>
        </w:trPr>
        <w:tc>
          <w:tcPr>
            <w:tcW w:w="2127" w:type="dxa"/>
          </w:tcPr>
          <w:p w14:paraId="24C0501A" w14:textId="77777777" w:rsidR="00501217" w:rsidRPr="001857B2" w:rsidRDefault="00501217" w:rsidP="009A23AA">
            <w:pPr>
              <w:pStyle w:val="BodyText"/>
              <w:spacing w:before="60" w:after="60"/>
              <w:rPr>
                <w:rFonts w:asciiTheme="majorHAnsi" w:hAnsiTheme="majorHAnsi"/>
                <w:sz w:val="18"/>
                <w:szCs w:val="18"/>
              </w:rPr>
            </w:pPr>
            <w:r w:rsidRPr="00C10940">
              <w:rPr>
                <w:rFonts w:asciiTheme="majorHAnsi" w:hAnsiTheme="majorHAnsi"/>
                <w:sz w:val="18"/>
                <w:szCs w:val="18"/>
              </w:rPr>
              <w:t>CO</w:t>
            </w:r>
            <w:r w:rsidRPr="009F6B38">
              <w:rPr>
                <w:rFonts w:asciiTheme="majorHAnsi" w:hAnsiTheme="majorHAnsi"/>
                <w:sz w:val="18"/>
                <w:szCs w:val="18"/>
                <w:vertAlign w:val="subscript"/>
              </w:rPr>
              <w:t>2</w:t>
            </w:r>
            <w:r w:rsidRPr="00C10940">
              <w:rPr>
                <w:rFonts w:asciiTheme="majorHAnsi" w:hAnsiTheme="majorHAnsi"/>
                <w:sz w:val="18"/>
                <w:szCs w:val="18"/>
              </w:rPr>
              <w:t>e</w:t>
            </w:r>
          </w:p>
        </w:tc>
        <w:tc>
          <w:tcPr>
            <w:tcW w:w="7365" w:type="dxa"/>
          </w:tcPr>
          <w:p w14:paraId="00CDAAA6"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Carbon dioxide equivalent</w:t>
            </w:r>
          </w:p>
        </w:tc>
      </w:tr>
      <w:tr w:rsidR="00501217" w:rsidRPr="001857B2" w14:paraId="01D205CB" w14:textId="77777777" w:rsidTr="00E42FBC">
        <w:trPr>
          <w:trHeight w:val="342"/>
        </w:trPr>
        <w:tc>
          <w:tcPr>
            <w:tcW w:w="2127" w:type="dxa"/>
          </w:tcPr>
          <w:p w14:paraId="596BEDA8" w14:textId="77777777" w:rsidR="00501217" w:rsidRDefault="00501217" w:rsidP="009A23AA">
            <w:pPr>
              <w:pStyle w:val="BodyText"/>
              <w:spacing w:before="60" w:after="60"/>
              <w:rPr>
                <w:rFonts w:asciiTheme="majorHAnsi" w:hAnsiTheme="majorHAnsi"/>
                <w:sz w:val="18"/>
                <w:szCs w:val="18"/>
              </w:rPr>
            </w:pPr>
            <w:proofErr w:type="spellStart"/>
            <w:r>
              <w:rPr>
                <w:rFonts w:asciiTheme="majorHAnsi" w:hAnsiTheme="majorHAnsi"/>
                <w:sz w:val="18"/>
                <w:szCs w:val="18"/>
              </w:rPr>
              <w:t>DoEE</w:t>
            </w:r>
            <w:proofErr w:type="spellEnd"/>
          </w:p>
        </w:tc>
        <w:tc>
          <w:tcPr>
            <w:tcW w:w="7365" w:type="dxa"/>
          </w:tcPr>
          <w:p w14:paraId="1C89286A" w14:textId="77777777" w:rsidR="00501217" w:rsidRDefault="00501217" w:rsidP="009A23AA">
            <w:pPr>
              <w:pStyle w:val="BodyText"/>
              <w:spacing w:before="60" w:after="60"/>
              <w:rPr>
                <w:rFonts w:asciiTheme="majorHAnsi" w:hAnsiTheme="majorHAnsi"/>
                <w:sz w:val="18"/>
                <w:szCs w:val="18"/>
              </w:rPr>
            </w:pPr>
            <w:r>
              <w:rPr>
                <w:rFonts w:asciiTheme="majorHAnsi" w:hAnsiTheme="majorHAnsi"/>
                <w:sz w:val="18"/>
                <w:szCs w:val="18"/>
              </w:rPr>
              <w:t>The Department of the Environment and Energy, formerly:</w:t>
            </w:r>
          </w:p>
          <w:p w14:paraId="54E030F1" w14:textId="77777777" w:rsidR="00501217" w:rsidRDefault="00501217" w:rsidP="009A23AA">
            <w:pPr>
              <w:pStyle w:val="BodyText"/>
              <w:spacing w:before="60" w:after="60"/>
              <w:rPr>
                <w:rFonts w:asciiTheme="majorHAnsi" w:hAnsiTheme="majorHAnsi"/>
                <w:sz w:val="18"/>
                <w:szCs w:val="18"/>
              </w:rPr>
            </w:pPr>
            <w:r w:rsidRPr="000C4A16">
              <w:rPr>
                <w:rFonts w:asciiTheme="majorHAnsi" w:hAnsiTheme="majorHAnsi"/>
                <w:sz w:val="18"/>
                <w:szCs w:val="18"/>
              </w:rPr>
              <w:t>Department of the Environment</w:t>
            </w:r>
            <w:r>
              <w:rPr>
                <w:rFonts w:asciiTheme="majorHAnsi" w:hAnsiTheme="majorHAnsi"/>
                <w:sz w:val="18"/>
                <w:szCs w:val="18"/>
              </w:rPr>
              <w:t xml:space="preserve"> (DoE)</w:t>
            </w:r>
          </w:p>
          <w:p w14:paraId="37C25D80" w14:textId="77777777" w:rsidR="00501217" w:rsidRDefault="00501217" w:rsidP="009A23AA">
            <w:pPr>
              <w:pStyle w:val="BodyText"/>
              <w:spacing w:before="60" w:after="60"/>
              <w:rPr>
                <w:rFonts w:asciiTheme="majorHAnsi" w:hAnsiTheme="majorHAnsi"/>
                <w:sz w:val="18"/>
                <w:szCs w:val="18"/>
              </w:rPr>
            </w:pPr>
            <w:r w:rsidRPr="000C4A16">
              <w:rPr>
                <w:rFonts w:asciiTheme="majorHAnsi" w:hAnsiTheme="majorHAnsi"/>
                <w:sz w:val="18"/>
                <w:szCs w:val="18"/>
              </w:rPr>
              <w:t>Department of Sustainability, Environment, Water, Population and Communities</w:t>
            </w:r>
            <w:r>
              <w:rPr>
                <w:rFonts w:asciiTheme="majorHAnsi" w:hAnsiTheme="majorHAnsi"/>
                <w:sz w:val="18"/>
                <w:szCs w:val="18"/>
              </w:rPr>
              <w:t xml:space="preserve"> (</w:t>
            </w:r>
            <w:proofErr w:type="spellStart"/>
            <w:r>
              <w:rPr>
                <w:rFonts w:asciiTheme="majorHAnsi" w:hAnsiTheme="majorHAnsi"/>
                <w:sz w:val="18"/>
                <w:szCs w:val="18"/>
              </w:rPr>
              <w:t>DSEWPaC</w:t>
            </w:r>
            <w:proofErr w:type="spellEnd"/>
            <w:r>
              <w:rPr>
                <w:rFonts w:asciiTheme="majorHAnsi" w:hAnsiTheme="majorHAnsi"/>
                <w:sz w:val="18"/>
                <w:szCs w:val="18"/>
              </w:rPr>
              <w:t>)</w:t>
            </w:r>
          </w:p>
          <w:p w14:paraId="3689CA12" w14:textId="77777777" w:rsidR="00501217" w:rsidRDefault="00501217" w:rsidP="009A23AA">
            <w:pPr>
              <w:pStyle w:val="BodyText"/>
              <w:spacing w:before="60" w:after="60"/>
              <w:rPr>
                <w:rFonts w:asciiTheme="majorHAnsi" w:hAnsiTheme="majorHAnsi"/>
                <w:sz w:val="18"/>
                <w:szCs w:val="18"/>
              </w:rPr>
            </w:pPr>
            <w:r w:rsidRPr="00310665">
              <w:rPr>
                <w:rFonts w:asciiTheme="majorHAnsi" w:hAnsiTheme="majorHAnsi"/>
                <w:sz w:val="18"/>
                <w:szCs w:val="18"/>
              </w:rPr>
              <w:t>Department of Climate Change and Energy Efficiency</w:t>
            </w:r>
            <w:r>
              <w:rPr>
                <w:rFonts w:asciiTheme="majorHAnsi" w:hAnsiTheme="majorHAnsi"/>
                <w:sz w:val="18"/>
                <w:szCs w:val="18"/>
              </w:rPr>
              <w:t xml:space="preserve"> (DCCEE)</w:t>
            </w:r>
          </w:p>
          <w:p w14:paraId="5F19F4D2"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Department of Environment, Water, Heritage and the Arts</w:t>
            </w:r>
            <w:r>
              <w:rPr>
                <w:rFonts w:asciiTheme="majorHAnsi" w:hAnsiTheme="majorHAnsi"/>
                <w:sz w:val="18"/>
                <w:szCs w:val="18"/>
              </w:rPr>
              <w:t xml:space="preserve"> (DEWHA)</w:t>
            </w:r>
          </w:p>
        </w:tc>
      </w:tr>
      <w:tr w:rsidR="00501217" w:rsidRPr="001857B2" w14:paraId="021163B4" w14:textId="77777777" w:rsidTr="00E42FBC">
        <w:trPr>
          <w:trHeight w:val="342"/>
        </w:trPr>
        <w:tc>
          <w:tcPr>
            <w:tcW w:w="2127" w:type="dxa"/>
          </w:tcPr>
          <w:p w14:paraId="7134E6A1" w14:textId="77777777" w:rsidR="00501217" w:rsidRPr="001857B2" w:rsidRDefault="00501217" w:rsidP="009A23AA">
            <w:pPr>
              <w:pStyle w:val="BodyText"/>
              <w:spacing w:before="60" w:after="60"/>
              <w:rPr>
                <w:rFonts w:asciiTheme="majorHAnsi" w:hAnsiTheme="majorHAnsi"/>
                <w:sz w:val="18"/>
                <w:szCs w:val="18"/>
              </w:rPr>
            </w:pPr>
            <w:r w:rsidRPr="003C63AC">
              <w:rPr>
                <w:rFonts w:asciiTheme="majorHAnsi" w:hAnsiTheme="majorHAnsi"/>
                <w:sz w:val="18"/>
                <w:szCs w:val="18"/>
              </w:rPr>
              <w:t>ELV</w:t>
            </w:r>
          </w:p>
        </w:tc>
        <w:tc>
          <w:tcPr>
            <w:tcW w:w="7365" w:type="dxa"/>
          </w:tcPr>
          <w:p w14:paraId="15809CF0" w14:textId="77777777" w:rsidR="00501217" w:rsidRPr="001857B2" w:rsidRDefault="00501217" w:rsidP="009A23AA">
            <w:pPr>
              <w:pStyle w:val="BodyText"/>
              <w:spacing w:before="60" w:after="60"/>
              <w:rPr>
                <w:rFonts w:asciiTheme="majorHAnsi" w:hAnsiTheme="majorHAnsi"/>
                <w:sz w:val="18"/>
                <w:szCs w:val="18"/>
              </w:rPr>
            </w:pPr>
            <w:r w:rsidRPr="003C63AC">
              <w:rPr>
                <w:rFonts w:asciiTheme="majorHAnsi" w:hAnsiTheme="majorHAnsi"/>
                <w:sz w:val="18"/>
                <w:szCs w:val="18"/>
              </w:rPr>
              <w:t>End-of-life vehicle</w:t>
            </w:r>
          </w:p>
        </w:tc>
      </w:tr>
      <w:tr w:rsidR="00501217" w:rsidRPr="001857B2" w14:paraId="10355735" w14:textId="77777777" w:rsidTr="00E42FBC">
        <w:trPr>
          <w:trHeight w:val="342"/>
        </w:trPr>
        <w:tc>
          <w:tcPr>
            <w:tcW w:w="2127" w:type="dxa"/>
          </w:tcPr>
          <w:p w14:paraId="702AB2ED"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EOL</w:t>
            </w:r>
          </w:p>
        </w:tc>
        <w:tc>
          <w:tcPr>
            <w:tcW w:w="7365" w:type="dxa"/>
          </w:tcPr>
          <w:p w14:paraId="311F1354"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End-of-life</w:t>
            </w:r>
          </w:p>
        </w:tc>
      </w:tr>
      <w:tr w:rsidR="00501217" w:rsidRPr="001857B2" w14:paraId="10DF67FA" w14:textId="77777777" w:rsidTr="00E42FBC">
        <w:trPr>
          <w:trHeight w:val="342"/>
        </w:trPr>
        <w:tc>
          <w:tcPr>
            <w:tcW w:w="2127" w:type="dxa"/>
          </w:tcPr>
          <w:p w14:paraId="695F4FFD"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GHG</w:t>
            </w:r>
          </w:p>
        </w:tc>
        <w:tc>
          <w:tcPr>
            <w:tcW w:w="7365" w:type="dxa"/>
          </w:tcPr>
          <w:p w14:paraId="088C7E8C"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 xml:space="preserve">Greenhouse </w:t>
            </w:r>
            <w:r>
              <w:rPr>
                <w:rFonts w:asciiTheme="majorHAnsi" w:hAnsiTheme="majorHAnsi"/>
                <w:sz w:val="18"/>
                <w:szCs w:val="18"/>
              </w:rPr>
              <w:t>g</w:t>
            </w:r>
            <w:r w:rsidRPr="001857B2">
              <w:rPr>
                <w:rFonts w:asciiTheme="majorHAnsi" w:hAnsiTheme="majorHAnsi"/>
                <w:sz w:val="18"/>
                <w:szCs w:val="18"/>
              </w:rPr>
              <w:t>as</w:t>
            </w:r>
          </w:p>
        </w:tc>
      </w:tr>
      <w:tr w:rsidR="00501217" w:rsidRPr="001857B2" w14:paraId="081FFFD4" w14:textId="77777777" w:rsidTr="00E42FBC">
        <w:trPr>
          <w:trHeight w:val="342"/>
        </w:trPr>
        <w:tc>
          <w:tcPr>
            <w:tcW w:w="2127" w:type="dxa"/>
          </w:tcPr>
          <w:p w14:paraId="65A48E40" w14:textId="77777777" w:rsidR="00501217" w:rsidRPr="001857B2" w:rsidRDefault="00501217" w:rsidP="009A23AA">
            <w:pPr>
              <w:pStyle w:val="BodyText"/>
              <w:spacing w:before="60" w:after="60"/>
              <w:rPr>
                <w:rFonts w:asciiTheme="majorHAnsi" w:hAnsiTheme="majorHAnsi"/>
                <w:sz w:val="18"/>
                <w:szCs w:val="18"/>
              </w:rPr>
            </w:pPr>
            <w:proofErr w:type="spellStart"/>
            <w:r w:rsidRPr="001857B2">
              <w:rPr>
                <w:rFonts w:asciiTheme="majorHAnsi" w:hAnsiTheme="majorHAnsi"/>
                <w:sz w:val="18"/>
                <w:szCs w:val="18"/>
              </w:rPr>
              <w:t>GWh</w:t>
            </w:r>
            <w:proofErr w:type="spellEnd"/>
          </w:p>
        </w:tc>
        <w:tc>
          <w:tcPr>
            <w:tcW w:w="7365" w:type="dxa"/>
          </w:tcPr>
          <w:p w14:paraId="74F2226F"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Gigawatt hour</w:t>
            </w:r>
          </w:p>
        </w:tc>
      </w:tr>
      <w:tr w:rsidR="00501217" w:rsidRPr="001857B2" w14:paraId="72BFD50C" w14:textId="77777777" w:rsidTr="00E42FBC">
        <w:trPr>
          <w:trHeight w:val="342"/>
        </w:trPr>
        <w:tc>
          <w:tcPr>
            <w:tcW w:w="2127" w:type="dxa"/>
          </w:tcPr>
          <w:p w14:paraId="4EA61319"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HVAC&amp;R</w:t>
            </w:r>
          </w:p>
        </w:tc>
        <w:tc>
          <w:tcPr>
            <w:tcW w:w="7365" w:type="dxa"/>
          </w:tcPr>
          <w:p w14:paraId="543790EE"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Heating, ventilation, air conditioning, and refrigeration</w:t>
            </w:r>
          </w:p>
        </w:tc>
      </w:tr>
      <w:tr w:rsidR="00501217" w:rsidRPr="001857B2" w14:paraId="2A3AAB22" w14:textId="77777777" w:rsidTr="00E42FBC">
        <w:trPr>
          <w:trHeight w:val="342"/>
        </w:trPr>
        <w:tc>
          <w:tcPr>
            <w:tcW w:w="2127" w:type="dxa"/>
          </w:tcPr>
          <w:p w14:paraId="445D1E5A"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IEA</w:t>
            </w:r>
          </w:p>
        </w:tc>
        <w:tc>
          <w:tcPr>
            <w:tcW w:w="7365" w:type="dxa"/>
          </w:tcPr>
          <w:p w14:paraId="4362393D"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International Energy Agency</w:t>
            </w:r>
          </w:p>
        </w:tc>
      </w:tr>
      <w:tr w:rsidR="00501217" w:rsidRPr="001857B2" w14:paraId="33DDD550" w14:textId="77777777" w:rsidTr="00E42FBC">
        <w:trPr>
          <w:trHeight w:val="342"/>
        </w:trPr>
        <w:tc>
          <w:tcPr>
            <w:tcW w:w="2127" w:type="dxa"/>
          </w:tcPr>
          <w:p w14:paraId="27C40641"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IPCC</w:t>
            </w:r>
          </w:p>
        </w:tc>
        <w:tc>
          <w:tcPr>
            <w:tcW w:w="7365" w:type="dxa"/>
          </w:tcPr>
          <w:p w14:paraId="2630A95B"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Intergovernmental Panel on Climate Change</w:t>
            </w:r>
          </w:p>
        </w:tc>
      </w:tr>
      <w:tr w:rsidR="00501217" w:rsidRPr="001857B2" w14:paraId="007BB308" w14:textId="77777777" w:rsidTr="00E42FBC">
        <w:trPr>
          <w:trHeight w:val="342"/>
        </w:trPr>
        <w:tc>
          <w:tcPr>
            <w:tcW w:w="2127" w:type="dxa"/>
          </w:tcPr>
          <w:p w14:paraId="604D1BF4"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kWh</w:t>
            </w:r>
          </w:p>
        </w:tc>
        <w:tc>
          <w:tcPr>
            <w:tcW w:w="7365" w:type="dxa"/>
          </w:tcPr>
          <w:p w14:paraId="09363AD5"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Kilowatt hour</w:t>
            </w:r>
          </w:p>
        </w:tc>
      </w:tr>
      <w:tr w:rsidR="00501217" w:rsidRPr="001857B2" w14:paraId="62E8E942" w14:textId="77777777" w:rsidTr="00E42FBC">
        <w:trPr>
          <w:trHeight w:val="342"/>
        </w:trPr>
        <w:tc>
          <w:tcPr>
            <w:tcW w:w="2127" w:type="dxa"/>
          </w:tcPr>
          <w:p w14:paraId="248FEF7B" w14:textId="77777777" w:rsidR="00501217" w:rsidRPr="001857B2" w:rsidRDefault="00501217" w:rsidP="009A23AA">
            <w:pPr>
              <w:pStyle w:val="BodyText"/>
              <w:spacing w:before="60" w:after="60"/>
              <w:rPr>
                <w:rFonts w:asciiTheme="majorHAnsi" w:hAnsiTheme="majorHAnsi"/>
                <w:sz w:val="18"/>
                <w:szCs w:val="18"/>
              </w:rPr>
            </w:pPr>
            <w:proofErr w:type="spellStart"/>
            <w:r>
              <w:rPr>
                <w:rFonts w:asciiTheme="majorHAnsi" w:hAnsiTheme="majorHAnsi"/>
                <w:sz w:val="18"/>
                <w:szCs w:val="18"/>
              </w:rPr>
              <w:t>kt</w:t>
            </w:r>
            <w:proofErr w:type="spellEnd"/>
          </w:p>
        </w:tc>
        <w:tc>
          <w:tcPr>
            <w:tcW w:w="7365" w:type="dxa"/>
          </w:tcPr>
          <w:p w14:paraId="40E316A7" w14:textId="77777777" w:rsidR="00501217" w:rsidRPr="001857B2" w:rsidRDefault="00501217" w:rsidP="009A23AA">
            <w:pPr>
              <w:pStyle w:val="BodyText"/>
              <w:spacing w:before="60" w:after="60"/>
              <w:rPr>
                <w:rFonts w:asciiTheme="majorHAnsi" w:hAnsiTheme="majorHAnsi"/>
                <w:sz w:val="18"/>
                <w:szCs w:val="18"/>
              </w:rPr>
            </w:pPr>
            <w:proofErr w:type="spellStart"/>
            <w:r w:rsidRPr="001857B2">
              <w:rPr>
                <w:rFonts w:asciiTheme="majorHAnsi" w:hAnsiTheme="majorHAnsi"/>
                <w:sz w:val="18"/>
                <w:szCs w:val="18"/>
              </w:rPr>
              <w:t>Kilotonnes</w:t>
            </w:r>
            <w:proofErr w:type="spellEnd"/>
            <w:r w:rsidRPr="001857B2">
              <w:rPr>
                <w:rFonts w:asciiTheme="majorHAnsi" w:hAnsiTheme="majorHAnsi"/>
                <w:sz w:val="18"/>
                <w:szCs w:val="18"/>
              </w:rPr>
              <w:t xml:space="preserve">, or thousand </w:t>
            </w:r>
            <w:proofErr w:type="spellStart"/>
            <w:r w:rsidRPr="001857B2">
              <w:rPr>
                <w:rFonts w:asciiTheme="majorHAnsi" w:hAnsiTheme="majorHAnsi"/>
                <w:sz w:val="18"/>
                <w:szCs w:val="18"/>
              </w:rPr>
              <w:t>tonnes</w:t>
            </w:r>
            <w:proofErr w:type="spellEnd"/>
          </w:p>
        </w:tc>
      </w:tr>
      <w:tr w:rsidR="00501217" w:rsidRPr="001857B2" w14:paraId="001F4E30" w14:textId="77777777" w:rsidTr="00E42FBC">
        <w:trPr>
          <w:trHeight w:val="342"/>
        </w:trPr>
        <w:tc>
          <w:tcPr>
            <w:tcW w:w="2127" w:type="dxa"/>
          </w:tcPr>
          <w:p w14:paraId="1C497061"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LPG</w:t>
            </w:r>
          </w:p>
        </w:tc>
        <w:tc>
          <w:tcPr>
            <w:tcW w:w="7365" w:type="dxa"/>
          </w:tcPr>
          <w:p w14:paraId="48690630"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Liquefied petroleum gas</w:t>
            </w:r>
          </w:p>
        </w:tc>
      </w:tr>
      <w:tr w:rsidR="00501217" w:rsidRPr="001857B2" w14:paraId="5D3948F2" w14:textId="77777777" w:rsidTr="00E42FBC">
        <w:trPr>
          <w:trHeight w:val="342"/>
        </w:trPr>
        <w:tc>
          <w:tcPr>
            <w:tcW w:w="2127" w:type="dxa"/>
          </w:tcPr>
          <w:p w14:paraId="4C072662"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L</w:t>
            </w:r>
          </w:p>
        </w:tc>
        <w:tc>
          <w:tcPr>
            <w:tcW w:w="7365" w:type="dxa"/>
          </w:tcPr>
          <w:p w14:paraId="4958581E" w14:textId="77777777" w:rsidR="00501217" w:rsidRPr="001857B2" w:rsidRDefault="00501217" w:rsidP="009A23AA">
            <w:pPr>
              <w:pStyle w:val="BodyText"/>
              <w:spacing w:before="60" w:after="60"/>
              <w:rPr>
                <w:rFonts w:asciiTheme="majorHAnsi" w:hAnsiTheme="majorHAnsi"/>
                <w:sz w:val="18"/>
                <w:szCs w:val="18"/>
              </w:rPr>
            </w:pPr>
            <w:proofErr w:type="spellStart"/>
            <w:r w:rsidRPr="001857B2">
              <w:rPr>
                <w:rFonts w:asciiTheme="majorHAnsi" w:hAnsiTheme="majorHAnsi"/>
                <w:sz w:val="18"/>
                <w:szCs w:val="18"/>
              </w:rPr>
              <w:t>Litre</w:t>
            </w:r>
            <w:proofErr w:type="spellEnd"/>
          </w:p>
        </w:tc>
      </w:tr>
      <w:tr w:rsidR="00501217" w:rsidRPr="001857B2" w14:paraId="0025E248" w14:textId="77777777" w:rsidTr="00E42FBC">
        <w:trPr>
          <w:trHeight w:val="342"/>
        </w:trPr>
        <w:tc>
          <w:tcPr>
            <w:tcW w:w="2127" w:type="dxa"/>
          </w:tcPr>
          <w:p w14:paraId="79B041C7"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MEPS</w:t>
            </w:r>
          </w:p>
        </w:tc>
        <w:tc>
          <w:tcPr>
            <w:tcW w:w="7365" w:type="dxa"/>
          </w:tcPr>
          <w:p w14:paraId="79D875A3"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Minimum energy performance standards</w:t>
            </w:r>
          </w:p>
        </w:tc>
      </w:tr>
      <w:tr w:rsidR="00501217" w:rsidRPr="001857B2" w14:paraId="575B331E" w14:textId="77777777" w:rsidTr="00E42FBC">
        <w:trPr>
          <w:trHeight w:val="342"/>
        </w:trPr>
        <w:tc>
          <w:tcPr>
            <w:tcW w:w="2127" w:type="dxa"/>
          </w:tcPr>
          <w:p w14:paraId="4866A592"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MAC</w:t>
            </w:r>
          </w:p>
        </w:tc>
        <w:tc>
          <w:tcPr>
            <w:tcW w:w="7365" w:type="dxa"/>
          </w:tcPr>
          <w:p w14:paraId="24EA9B79"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Mobile air conditioning</w:t>
            </w:r>
          </w:p>
        </w:tc>
      </w:tr>
      <w:tr w:rsidR="00501217" w:rsidRPr="001857B2" w14:paraId="01561184" w14:textId="77777777" w:rsidTr="00E42FBC">
        <w:trPr>
          <w:trHeight w:val="342"/>
        </w:trPr>
        <w:tc>
          <w:tcPr>
            <w:tcW w:w="2127" w:type="dxa"/>
          </w:tcPr>
          <w:p w14:paraId="60C4EEA6"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MJ</w:t>
            </w:r>
          </w:p>
        </w:tc>
        <w:tc>
          <w:tcPr>
            <w:tcW w:w="7365" w:type="dxa"/>
          </w:tcPr>
          <w:p w14:paraId="7E042D98" w14:textId="77777777" w:rsidR="00501217" w:rsidRPr="001857B2" w:rsidRDefault="00501217" w:rsidP="009A23AA">
            <w:pPr>
              <w:pStyle w:val="BodyText"/>
              <w:spacing w:before="60" w:after="60"/>
              <w:rPr>
                <w:rFonts w:asciiTheme="majorHAnsi" w:hAnsiTheme="majorHAnsi"/>
                <w:sz w:val="18"/>
                <w:szCs w:val="18"/>
              </w:rPr>
            </w:pPr>
            <w:proofErr w:type="spellStart"/>
            <w:r w:rsidRPr="001857B2">
              <w:rPr>
                <w:rFonts w:asciiTheme="majorHAnsi" w:hAnsiTheme="majorHAnsi"/>
                <w:sz w:val="18"/>
                <w:szCs w:val="18"/>
              </w:rPr>
              <w:t>Megajoule</w:t>
            </w:r>
            <w:proofErr w:type="spellEnd"/>
            <w:r>
              <w:rPr>
                <w:rFonts w:asciiTheme="majorHAnsi" w:hAnsiTheme="majorHAnsi"/>
                <w:sz w:val="18"/>
                <w:szCs w:val="18"/>
              </w:rPr>
              <w:t>, or million joules</w:t>
            </w:r>
          </w:p>
        </w:tc>
      </w:tr>
      <w:tr w:rsidR="00501217" w:rsidRPr="001857B2" w14:paraId="5EE1F0D2" w14:textId="77777777" w:rsidTr="00E42FBC">
        <w:trPr>
          <w:trHeight w:val="342"/>
        </w:trPr>
        <w:tc>
          <w:tcPr>
            <w:tcW w:w="2127" w:type="dxa"/>
          </w:tcPr>
          <w:p w14:paraId="5DEA9AA4"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Mt</w:t>
            </w:r>
          </w:p>
        </w:tc>
        <w:tc>
          <w:tcPr>
            <w:tcW w:w="7365" w:type="dxa"/>
          </w:tcPr>
          <w:p w14:paraId="0C3B6D6F" w14:textId="77777777" w:rsidR="00501217" w:rsidRPr="001857B2" w:rsidRDefault="00501217" w:rsidP="009A23AA">
            <w:pPr>
              <w:pStyle w:val="BodyText"/>
              <w:spacing w:before="60" w:after="60"/>
              <w:rPr>
                <w:rFonts w:asciiTheme="majorHAnsi" w:hAnsiTheme="majorHAnsi"/>
                <w:sz w:val="18"/>
                <w:szCs w:val="18"/>
              </w:rPr>
            </w:pPr>
            <w:proofErr w:type="spellStart"/>
            <w:r w:rsidRPr="001857B2">
              <w:rPr>
                <w:rFonts w:asciiTheme="majorHAnsi" w:hAnsiTheme="majorHAnsi"/>
                <w:sz w:val="18"/>
                <w:szCs w:val="18"/>
              </w:rPr>
              <w:t>Megatonne</w:t>
            </w:r>
            <w:proofErr w:type="spellEnd"/>
            <w:r w:rsidRPr="001857B2">
              <w:rPr>
                <w:rFonts w:asciiTheme="majorHAnsi" w:hAnsiTheme="majorHAnsi"/>
                <w:sz w:val="18"/>
                <w:szCs w:val="18"/>
              </w:rPr>
              <w:t xml:space="preserve">, or million </w:t>
            </w:r>
            <w:proofErr w:type="spellStart"/>
            <w:r w:rsidRPr="001857B2">
              <w:rPr>
                <w:rFonts w:asciiTheme="majorHAnsi" w:hAnsiTheme="majorHAnsi"/>
                <w:sz w:val="18"/>
                <w:szCs w:val="18"/>
              </w:rPr>
              <w:t>tonnes</w:t>
            </w:r>
            <w:proofErr w:type="spellEnd"/>
          </w:p>
        </w:tc>
      </w:tr>
      <w:tr w:rsidR="00501217" w:rsidRPr="008C2553" w14:paraId="7B2A8313" w14:textId="77777777" w:rsidTr="00E42FBC">
        <w:trPr>
          <w:trHeight w:val="342"/>
        </w:trPr>
        <w:tc>
          <w:tcPr>
            <w:tcW w:w="2127" w:type="dxa"/>
          </w:tcPr>
          <w:p w14:paraId="1CE09CA8"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ODS</w:t>
            </w:r>
          </w:p>
        </w:tc>
        <w:tc>
          <w:tcPr>
            <w:tcW w:w="7365" w:type="dxa"/>
          </w:tcPr>
          <w:p w14:paraId="6FE68FE0"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Ozone depleting substances</w:t>
            </w:r>
          </w:p>
        </w:tc>
      </w:tr>
      <w:tr w:rsidR="00501217" w:rsidRPr="008C2553" w14:paraId="57E47832" w14:textId="77777777" w:rsidTr="00E42FBC">
        <w:trPr>
          <w:trHeight w:val="342"/>
        </w:trPr>
        <w:tc>
          <w:tcPr>
            <w:tcW w:w="2127" w:type="dxa"/>
          </w:tcPr>
          <w:p w14:paraId="28F3761A" w14:textId="77777777" w:rsidR="00501217" w:rsidRDefault="00501217" w:rsidP="009A23AA">
            <w:pPr>
              <w:pStyle w:val="BodyText"/>
              <w:spacing w:before="60" w:after="60"/>
              <w:rPr>
                <w:rFonts w:asciiTheme="majorHAnsi" w:hAnsiTheme="majorHAnsi"/>
                <w:sz w:val="18"/>
                <w:szCs w:val="18"/>
              </w:rPr>
            </w:pPr>
            <w:r>
              <w:rPr>
                <w:rFonts w:asciiTheme="majorHAnsi" w:hAnsiTheme="majorHAnsi"/>
                <w:sz w:val="18"/>
                <w:szCs w:val="18"/>
              </w:rPr>
              <w:t>OEM</w:t>
            </w:r>
          </w:p>
        </w:tc>
        <w:tc>
          <w:tcPr>
            <w:tcW w:w="7365" w:type="dxa"/>
          </w:tcPr>
          <w:p w14:paraId="1F068336" w14:textId="77777777" w:rsidR="00501217" w:rsidRDefault="00501217" w:rsidP="009A23AA">
            <w:pPr>
              <w:pStyle w:val="BodyText"/>
              <w:spacing w:before="60" w:after="60"/>
              <w:rPr>
                <w:rFonts w:asciiTheme="majorHAnsi" w:hAnsiTheme="majorHAnsi"/>
                <w:sz w:val="18"/>
                <w:szCs w:val="18"/>
              </w:rPr>
            </w:pPr>
            <w:r>
              <w:rPr>
                <w:rFonts w:asciiTheme="majorHAnsi" w:hAnsiTheme="majorHAnsi"/>
                <w:sz w:val="18"/>
                <w:szCs w:val="18"/>
              </w:rPr>
              <w:t>Original equipment manufacturer</w:t>
            </w:r>
          </w:p>
        </w:tc>
      </w:tr>
      <w:tr w:rsidR="00501217" w:rsidRPr="008C2553" w14:paraId="40FE51E3" w14:textId="77777777" w:rsidTr="00E42FBC">
        <w:trPr>
          <w:trHeight w:val="342"/>
        </w:trPr>
        <w:tc>
          <w:tcPr>
            <w:tcW w:w="2127" w:type="dxa"/>
          </w:tcPr>
          <w:p w14:paraId="72E3FE3D" w14:textId="77777777" w:rsidR="00501217" w:rsidRPr="008C2553" w:rsidRDefault="00501217" w:rsidP="009A23AA">
            <w:pPr>
              <w:pStyle w:val="BodyText"/>
              <w:spacing w:before="60" w:after="60"/>
              <w:rPr>
                <w:rFonts w:asciiTheme="majorHAnsi" w:hAnsiTheme="majorHAnsi"/>
                <w:sz w:val="18"/>
                <w:szCs w:val="18"/>
              </w:rPr>
            </w:pPr>
            <w:r w:rsidRPr="003C63AC">
              <w:rPr>
                <w:rFonts w:asciiTheme="majorHAnsi" w:hAnsiTheme="majorHAnsi"/>
                <w:sz w:val="18"/>
                <w:szCs w:val="18"/>
              </w:rPr>
              <w:t>OHS</w:t>
            </w:r>
          </w:p>
        </w:tc>
        <w:tc>
          <w:tcPr>
            <w:tcW w:w="7365" w:type="dxa"/>
          </w:tcPr>
          <w:p w14:paraId="2F9D4F77" w14:textId="77777777" w:rsidR="00501217" w:rsidRPr="00705A93" w:rsidRDefault="00501217" w:rsidP="009A23AA">
            <w:pPr>
              <w:pStyle w:val="BodyText"/>
              <w:spacing w:before="60" w:after="60"/>
              <w:rPr>
                <w:rFonts w:asciiTheme="majorHAnsi" w:hAnsiTheme="majorHAnsi"/>
                <w:i/>
                <w:sz w:val="18"/>
                <w:szCs w:val="18"/>
              </w:rPr>
            </w:pPr>
            <w:r w:rsidRPr="003C63AC">
              <w:rPr>
                <w:rFonts w:asciiTheme="majorHAnsi" w:hAnsiTheme="majorHAnsi"/>
                <w:sz w:val="18"/>
                <w:szCs w:val="18"/>
              </w:rPr>
              <w:t>Occupational Health and Safety</w:t>
            </w:r>
          </w:p>
        </w:tc>
      </w:tr>
      <w:tr w:rsidR="00501217" w:rsidRPr="008C2553" w14:paraId="3C358A3B" w14:textId="77777777" w:rsidTr="00E42FBC">
        <w:trPr>
          <w:trHeight w:val="342"/>
        </w:trPr>
        <w:tc>
          <w:tcPr>
            <w:tcW w:w="2127" w:type="dxa"/>
          </w:tcPr>
          <w:p w14:paraId="77983A24" w14:textId="77777777" w:rsidR="00501217" w:rsidRPr="001857B2" w:rsidRDefault="00501217" w:rsidP="009A23AA">
            <w:pPr>
              <w:pStyle w:val="BodyText"/>
              <w:spacing w:before="60" w:after="60"/>
              <w:rPr>
                <w:rFonts w:asciiTheme="majorHAnsi" w:hAnsiTheme="majorHAnsi"/>
                <w:sz w:val="18"/>
                <w:szCs w:val="18"/>
              </w:rPr>
            </w:pPr>
            <w:r w:rsidRPr="000C4A16">
              <w:rPr>
                <w:rFonts w:asciiTheme="majorHAnsi" w:hAnsiTheme="majorHAnsi"/>
                <w:sz w:val="18"/>
                <w:szCs w:val="18"/>
              </w:rPr>
              <w:t>OPSGGM</w:t>
            </w:r>
            <w:r>
              <w:rPr>
                <w:rFonts w:asciiTheme="majorHAnsi" w:hAnsiTheme="majorHAnsi"/>
                <w:sz w:val="18"/>
                <w:szCs w:val="18"/>
              </w:rPr>
              <w:t xml:space="preserve"> </w:t>
            </w:r>
            <w:r w:rsidRPr="000C4A16">
              <w:rPr>
                <w:rFonts w:asciiTheme="majorHAnsi" w:hAnsiTheme="majorHAnsi"/>
                <w:sz w:val="18"/>
                <w:szCs w:val="18"/>
              </w:rPr>
              <w:t>A</w:t>
            </w:r>
            <w:r>
              <w:rPr>
                <w:rFonts w:asciiTheme="majorHAnsi" w:hAnsiTheme="majorHAnsi"/>
                <w:sz w:val="18"/>
                <w:szCs w:val="18"/>
              </w:rPr>
              <w:t>ct</w:t>
            </w:r>
          </w:p>
        </w:tc>
        <w:tc>
          <w:tcPr>
            <w:tcW w:w="7365" w:type="dxa"/>
          </w:tcPr>
          <w:p w14:paraId="25FB7EA0" w14:textId="77777777" w:rsidR="00501217" w:rsidRPr="001857B2" w:rsidRDefault="00501217" w:rsidP="009A23AA">
            <w:pPr>
              <w:pStyle w:val="BodyText"/>
              <w:spacing w:before="60" w:after="60"/>
              <w:rPr>
                <w:rFonts w:asciiTheme="majorHAnsi" w:hAnsiTheme="majorHAnsi"/>
                <w:sz w:val="18"/>
                <w:szCs w:val="18"/>
              </w:rPr>
            </w:pPr>
            <w:r w:rsidRPr="000C4A16">
              <w:rPr>
                <w:rFonts w:asciiTheme="majorHAnsi" w:hAnsiTheme="majorHAnsi"/>
                <w:sz w:val="18"/>
                <w:szCs w:val="18"/>
              </w:rPr>
              <w:t>Ozone Protection and Synthetic Greenhouse Gas Management Act 1989, including amendments</w:t>
            </w:r>
          </w:p>
        </w:tc>
      </w:tr>
      <w:tr w:rsidR="00501217" w:rsidRPr="008C2553" w14:paraId="297D6AEC" w14:textId="77777777" w:rsidTr="00E42FBC">
        <w:trPr>
          <w:trHeight w:val="342"/>
        </w:trPr>
        <w:tc>
          <w:tcPr>
            <w:tcW w:w="2127" w:type="dxa"/>
          </w:tcPr>
          <w:p w14:paraId="6D04C58F" w14:textId="77777777" w:rsidR="00501217" w:rsidRPr="000C4A16" w:rsidRDefault="00501217" w:rsidP="009A23AA">
            <w:pPr>
              <w:pStyle w:val="BodyText"/>
              <w:spacing w:before="60" w:after="60"/>
              <w:rPr>
                <w:rFonts w:asciiTheme="majorHAnsi" w:hAnsiTheme="majorHAnsi"/>
                <w:sz w:val="18"/>
                <w:szCs w:val="18"/>
              </w:rPr>
            </w:pPr>
            <w:r>
              <w:rPr>
                <w:rFonts w:asciiTheme="majorHAnsi" w:hAnsiTheme="majorHAnsi"/>
                <w:sz w:val="18"/>
                <w:szCs w:val="18"/>
              </w:rPr>
              <w:t>PCE</w:t>
            </w:r>
          </w:p>
        </w:tc>
        <w:tc>
          <w:tcPr>
            <w:tcW w:w="7365" w:type="dxa"/>
          </w:tcPr>
          <w:p w14:paraId="6B1BEDC4" w14:textId="77777777" w:rsidR="00501217" w:rsidRPr="000C4A16" w:rsidRDefault="00501217" w:rsidP="009A23AA">
            <w:pPr>
              <w:pStyle w:val="BodyText"/>
              <w:spacing w:before="60" w:after="60"/>
              <w:rPr>
                <w:rFonts w:asciiTheme="majorHAnsi" w:hAnsiTheme="majorHAnsi"/>
                <w:sz w:val="18"/>
                <w:szCs w:val="18"/>
              </w:rPr>
            </w:pPr>
            <w:r>
              <w:rPr>
                <w:rFonts w:asciiTheme="majorHAnsi" w:hAnsiTheme="majorHAnsi"/>
                <w:sz w:val="18"/>
                <w:szCs w:val="18"/>
              </w:rPr>
              <w:t>Pre-charged equipment</w:t>
            </w:r>
          </w:p>
        </w:tc>
      </w:tr>
      <w:tr w:rsidR="00501217" w:rsidRPr="008C2553" w14:paraId="6607DB06" w14:textId="77777777" w:rsidTr="00E42FBC">
        <w:trPr>
          <w:trHeight w:val="342"/>
        </w:trPr>
        <w:tc>
          <w:tcPr>
            <w:tcW w:w="2127" w:type="dxa"/>
          </w:tcPr>
          <w:p w14:paraId="4B7B96CE" w14:textId="77777777" w:rsidR="00501217" w:rsidRPr="008C2553"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PJ</w:t>
            </w:r>
          </w:p>
        </w:tc>
        <w:tc>
          <w:tcPr>
            <w:tcW w:w="7365" w:type="dxa"/>
          </w:tcPr>
          <w:p w14:paraId="5F554A14" w14:textId="77777777" w:rsidR="00501217" w:rsidRPr="00705A93" w:rsidRDefault="00501217" w:rsidP="009A23AA">
            <w:pPr>
              <w:pStyle w:val="BodyText"/>
              <w:spacing w:before="60" w:after="60"/>
              <w:rPr>
                <w:rFonts w:asciiTheme="majorHAnsi" w:hAnsiTheme="majorHAnsi"/>
                <w:i/>
                <w:sz w:val="18"/>
                <w:szCs w:val="18"/>
              </w:rPr>
            </w:pPr>
            <w:proofErr w:type="spellStart"/>
            <w:r w:rsidRPr="001857B2">
              <w:rPr>
                <w:rFonts w:asciiTheme="majorHAnsi" w:hAnsiTheme="majorHAnsi"/>
                <w:sz w:val="18"/>
                <w:szCs w:val="18"/>
              </w:rPr>
              <w:t>Petajoule</w:t>
            </w:r>
            <w:proofErr w:type="spellEnd"/>
            <w:r>
              <w:rPr>
                <w:rFonts w:asciiTheme="majorHAnsi" w:hAnsiTheme="majorHAnsi"/>
                <w:sz w:val="18"/>
                <w:szCs w:val="18"/>
              </w:rPr>
              <w:t>, or 10</w:t>
            </w:r>
            <w:r w:rsidRPr="00310665">
              <w:rPr>
                <w:rFonts w:asciiTheme="majorHAnsi" w:hAnsiTheme="majorHAnsi"/>
                <w:sz w:val="18"/>
                <w:szCs w:val="18"/>
                <w:vertAlign w:val="superscript"/>
              </w:rPr>
              <w:t>9</w:t>
            </w:r>
            <w:r>
              <w:rPr>
                <w:rFonts w:asciiTheme="majorHAnsi" w:hAnsiTheme="majorHAnsi"/>
                <w:sz w:val="18"/>
                <w:szCs w:val="18"/>
              </w:rPr>
              <w:t xml:space="preserve"> Joules</w:t>
            </w:r>
          </w:p>
        </w:tc>
      </w:tr>
      <w:tr w:rsidR="00501217" w:rsidRPr="001857B2" w14:paraId="56BF7181" w14:textId="77777777" w:rsidTr="00E42FBC">
        <w:trPr>
          <w:trHeight w:val="342"/>
        </w:trPr>
        <w:tc>
          <w:tcPr>
            <w:tcW w:w="2127" w:type="dxa"/>
          </w:tcPr>
          <w:p w14:paraId="566A5563"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RAC</w:t>
            </w:r>
          </w:p>
        </w:tc>
        <w:tc>
          <w:tcPr>
            <w:tcW w:w="7365" w:type="dxa"/>
          </w:tcPr>
          <w:p w14:paraId="485A997F"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Refrigeration and air conditioning</w:t>
            </w:r>
          </w:p>
        </w:tc>
      </w:tr>
      <w:tr w:rsidR="00501217" w:rsidRPr="001857B2" w14:paraId="7428FFAE" w14:textId="77777777" w:rsidTr="00E42FBC">
        <w:trPr>
          <w:trHeight w:val="342"/>
        </w:trPr>
        <w:tc>
          <w:tcPr>
            <w:tcW w:w="2127" w:type="dxa"/>
          </w:tcPr>
          <w:p w14:paraId="09724FF0"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RCFC</w:t>
            </w:r>
          </w:p>
        </w:tc>
        <w:tc>
          <w:tcPr>
            <w:tcW w:w="7365" w:type="dxa"/>
          </w:tcPr>
          <w:p w14:paraId="01715726"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Refrigerated cold food chain</w:t>
            </w:r>
          </w:p>
        </w:tc>
      </w:tr>
      <w:tr w:rsidR="00501217" w:rsidRPr="001857B2" w14:paraId="25E2A778" w14:textId="77777777" w:rsidTr="00E42FBC">
        <w:trPr>
          <w:trHeight w:val="342"/>
        </w:trPr>
        <w:tc>
          <w:tcPr>
            <w:tcW w:w="2127" w:type="dxa"/>
          </w:tcPr>
          <w:p w14:paraId="63E59CDD"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RHL</w:t>
            </w:r>
          </w:p>
        </w:tc>
        <w:tc>
          <w:tcPr>
            <w:tcW w:w="7365" w:type="dxa"/>
          </w:tcPr>
          <w:p w14:paraId="7ABFA9D1"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 xml:space="preserve">Refrigerant handling </w:t>
            </w:r>
            <w:proofErr w:type="spellStart"/>
            <w:r>
              <w:rPr>
                <w:rFonts w:asciiTheme="majorHAnsi" w:hAnsiTheme="majorHAnsi"/>
                <w:sz w:val="18"/>
                <w:szCs w:val="18"/>
              </w:rPr>
              <w:t>licence</w:t>
            </w:r>
            <w:proofErr w:type="spellEnd"/>
          </w:p>
        </w:tc>
      </w:tr>
      <w:tr w:rsidR="00501217" w:rsidRPr="001857B2" w14:paraId="5A1EF0A6" w14:textId="77777777" w:rsidTr="00E42FBC">
        <w:trPr>
          <w:trHeight w:val="342"/>
        </w:trPr>
        <w:tc>
          <w:tcPr>
            <w:tcW w:w="2127" w:type="dxa"/>
          </w:tcPr>
          <w:p w14:paraId="033F79D8" w14:textId="77777777" w:rsidR="00501217" w:rsidRDefault="00501217" w:rsidP="009A23AA">
            <w:pPr>
              <w:pStyle w:val="BodyText"/>
              <w:spacing w:before="60" w:after="60"/>
              <w:rPr>
                <w:rFonts w:asciiTheme="majorHAnsi" w:hAnsiTheme="majorHAnsi"/>
                <w:sz w:val="18"/>
                <w:szCs w:val="18"/>
              </w:rPr>
            </w:pPr>
            <w:r>
              <w:rPr>
                <w:rFonts w:asciiTheme="majorHAnsi" w:hAnsiTheme="majorHAnsi"/>
                <w:sz w:val="18"/>
                <w:szCs w:val="18"/>
              </w:rPr>
              <w:t>ROI</w:t>
            </w:r>
          </w:p>
        </w:tc>
        <w:tc>
          <w:tcPr>
            <w:tcW w:w="7365" w:type="dxa"/>
          </w:tcPr>
          <w:p w14:paraId="3531FF61" w14:textId="77777777" w:rsidR="00501217" w:rsidRPr="003C63AC" w:rsidRDefault="00501217" w:rsidP="009A23AA">
            <w:pPr>
              <w:pStyle w:val="BodyText"/>
              <w:spacing w:before="60" w:after="60"/>
              <w:rPr>
                <w:rFonts w:asciiTheme="majorHAnsi" w:hAnsiTheme="majorHAnsi"/>
                <w:sz w:val="18"/>
                <w:szCs w:val="18"/>
              </w:rPr>
            </w:pPr>
            <w:r>
              <w:rPr>
                <w:rFonts w:asciiTheme="majorHAnsi" w:hAnsiTheme="majorHAnsi"/>
                <w:sz w:val="18"/>
                <w:szCs w:val="18"/>
              </w:rPr>
              <w:t>Return on investment</w:t>
            </w:r>
          </w:p>
        </w:tc>
      </w:tr>
      <w:tr w:rsidR="00501217" w:rsidRPr="001857B2" w14:paraId="57335C95" w14:textId="77777777" w:rsidTr="00E42FBC">
        <w:trPr>
          <w:trHeight w:val="342"/>
        </w:trPr>
        <w:tc>
          <w:tcPr>
            <w:tcW w:w="2127" w:type="dxa"/>
          </w:tcPr>
          <w:p w14:paraId="7002FAED" w14:textId="77777777" w:rsidR="00501217" w:rsidRDefault="00501217" w:rsidP="009A23AA">
            <w:pPr>
              <w:pStyle w:val="BodyText"/>
              <w:spacing w:before="60" w:after="60"/>
              <w:rPr>
                <w:rFonts w:asciiTheme="majorHAnsi" w:hAnsiTheme="majorHAnsi"/>
                <w:sz w:val="18"/>
                <w:szCs w:val="18"/>
              </w:rPr>
            </w:pPr>
            <w:r>
              <w:rPr>
                <w:rFonts w:asciiTheme="majorHAnsi" w:hAnsiTheme="majorHAnsi"/>
                <w:sz w:val="18"/>
                <w:szCs w:val="18"/>
              </w:rPr>
              <w:t>RRA</w:t>
            </w:r>
          </w:p>
        </w:tc>
        <w:tc>
          <w:tcPr>
            <w:tcW w:w="7365" w:type="dxa"/>
          </w:tcPr>
          <w:p w14:paraId="3D614225" w14:textId="77777777" w:rsidR="00501217" w:rsidRPr="003C63AC" w:rsidRDefault="00501217" w:rsidP="009A23AA">
            <w:pPr>
              <w:pStyle w:val="BodyText"/>
              <w:spacing w:before="60" w:after="60"/>
              <w:rPr>
                <w:rFonts w:asciiTheme="majorHAnsi" w:hAnsiTheme="majorHAnsi"/>
                <w:sz w:val="18"/>
                <w:szCs w:val="18"/>
              </w:rPr>
            </w:pPr>
            <w:r w:rsidRPr="003C63AC">
              <w:rPr>
                <w:rFonts w:asciiTheme="majorHAnsi" w:hAnsiTheme="majorHAnsi"/>
                <w:sz w:val="18"/>
                <w:szCs w:val="18"/>
              </w:rPr>
              <w:t>Refrigerant Reclaim Australia</w:t>
            </w:r>
          </w:p>
        </w:tc>
      </w:tr>
      <w:tr w:rsidR="00501217" w:rsidRPr="001857B2" w14:paraId="1E3B10B6" w14:textId="77777777" w:rsidTr="00E42FBC">
        <w:trPr>
          <w:trHeight w:val="342"/>
        </w:trPr>
        <w:tc>
          <w:tcPr>
            <w:tcW w:w="2127" w:type="dxa"/>
          </w:tcPr>
          <w:p w14:paraId="6873A37B"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RTA</w:t>
            </w:r>
          </w:p>
        </w:tc>
        <w:tc>
          <w:tcPr>
            <w:tcW w:w="7365" w:type="dxa"/>
          </w:tcPr>
          <w:p w14:paraId="3753A058"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R</w:t>
            </w:r>
            <w:r w:rsidRPr="002975C4">
              <w:rPr>
                <w:rFonts w:asciiTheme="majorHAnsi" w:hAnsiTheme="majorHAnsi"/>
                <w:sz w:val="18"/>
                <w:szCs w:val="18"/>
              </w:rPr>
              <w:t xml:space="preserve">efrigerant </w:t>
            </w:r>
            <w:r>
              <w:rPr>
                <w:rFonts w:asciiTheme="majorHAnsi" w:hAnsiTheme="majorHAnsi"/>
                <w:sz w:val="18"/>
                <w:szCs w:val="18"/>
              </w:rPr>
              <w:t xml:space="preserve">trading </w:t>
            </w:r>
            <w:proofErr w:type="spellStart"/>
            <w:r>
              <w:rPr>
                <w:rFonts w:asciiTheme="majorHAnsi" w:hAnsiTheme="majorHAnsi"/>
                <w:sz w:val="18"/>
                <w:szCs w:val="18"/>
              </w:rPr>
              <w:t>authorisation</w:t>
            </w:r>
            <w:proofErr w:type="spellEnd"/>
          </w:p>
        </w:tc>
      </w:tr>
      <w:tr w:rsidR="00501217" w:rsidRPr="001857B2" w14:paraId="7EBED0B6" w14:textId="77777777" w:rsidTr="00E42FBC">
        <w:trPr>
          <w:trHeight w:val="342"/>
        </w:trPr>
        <w:tc>
          <w:tcPr>
            <w:tcW w:w="2127" w:type="dxa"/>
          </w:tcPr>
          <w:p w14:paraId="5AFCC732" w14:textId="77777777" w:rsidR="00501217" w:rsidRPr="001857B2" w:rsidRDefault="00501217" w:rsidP="009A23AA">
            <w:pPr>
              <w:pStyle w:val="BodyText"/>
              <w:spacing w:before="60" w:after="60"/>
              <w:rPr>
                <w:rFonts w:asciiTheme="majorHAnsi" w:hAnsiTheme="majorHAnsi"/>
                <w:sz w:val="18"/>
                <w:szCs w:val="18"/>
              </w:rPr>
            </w:pPr>
            <w:r>
              <w:rPr>
                <w:rFonts w:asciiTheme="majorHAnsi" w:hAnsiTheme="majorHAnsi"/>
                <w:sz w:val="18"/>
                <w:szCs w:val="18"/>
              </w:rPr>
              <w:t>SEC</w:t>
            </w:r>
          </w:p>
        </w:tc>
        <w:tc>
          <w:tcPr>
            <w:tcW w:w="7365" w:type="dxa"/>
          </w:tcPr>
          <w:p w14:paraId="2E72A208" w14:textId="77777777" w:rsidR="00501217" w:rsidRPr="001857B2" w:rsidRDefault="00501217" w:rsidP="009A23AA">
            <w:pPr>
              <w:pStyle w:val="BodyText"/>
              <w:spacing w:before="60" w:after="60"/>
              <w:rPr>
                <w:rFonts w:asciiTheme="majorHAnsi" w:hAnsiTheme="majorHAnsi"/>
                <w:sz w:val="18"/>
                <w:szCs w:val="18"/>
              </w:rPr>
            </w:pPr>
            <w:r w:rsidRPr="00A563D7">
              <w:rPr>
                <w:rFonts w:asciiTheme="majorHAnsi" w:hAnsiTheme="majorHAnsi"/>
                <w:sz w:val="18"/>
                <w:szCs w:val="18"/>
              </w:rPr>
              <w:t>Specific Energy Consumption</w:t>
            </w:r>
          </w:p>
        </w:tc>
      </w:tr>
      <w:tr w:rsidR="00501217" w:rsidRPr="001857B2" w14:paraId="4DF5D9CB" w14:textId="77777777" w:rsidTr="00E42FBC">
        <w:trPr>
          <w:trHeight w:val="342"/>
        </w:trPr>
        <w:tc>
          <w:tcPr>
            <w:tcW w:w="2127" w:type="dxa"/>
          </w:tcPr>
          <w:p w14:paraId="7959E514"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SGG</w:t>
            </w:r>
          </w:p>
        </w:tc>
        <w:tc>
          <w:tcPr>
            <w:tcW w:w="7365" w:type="dxa"/>
          </w:tcPr>
          <w:p w14:paraId="08B61FFD"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Synthetic greenhouse gas</w:t>
            </w:r>
          </w:p>
        </w:tc>
      </w:tr>
      <w:tr w:rsidR="00501217" w:rsidRPr="001857B2" w14:paraId="66A563C3" w14:textId="77777777" w:rsidTr="00E42FBC">
        <w:trPr>
          <w:trHeight w:val="342"/>
        </w:trPr>
        <w:tc>
          <w:tcPr>
            <w:tcW w:w="2127" w:type="dxa"/>
          </w:tcPr>
          <w:p w14:paraId="6BB11304"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TAFE</w:t>
            </w:r>
          </w:p>
        </w:tc>
        <w:tc>
          <w:tcPr>
            <w:tcW w:w="7365" w:type="dxa"/>
          </w:tcPr>
          <w:p w14:paraId="03336B3B" w14:textId="77777777" w:rsidR="00501217" w:rsidRPr="001857B2" w:rsidRDefault="00501217" w:rsidP="009A23AA">
            <w:pPr>
              <w:pStyle w:val="BodyText"/>
              <w:spacing w:before="60" w:after="60"/>
              <w:rPr>
                <w:rFonts w:asciiTheme="majorHAnsi" w:hAnsiTheme="majorHAnsi"/>
                <w:sz w:val="18"/>
                <w:szCs w:val="18"/>
              </w:rPr>
            </w:pPr>
            <w:r w:rsidRPr="001857B2">
              <w:rPr>
                <w:rFonts w:asciiTheme="majorHAnsi" w:hAnsiTheme="majorHAnsi"/>
                <w:sz w:val="18"/>
                <w:szCs w:val="18"/>
              </w:rPr>
              <w:t>Technical and Further Education</w:t>
            </w:r>
          </w:p>
        </w:tc>
      </w:tr>
      <w:tr w:rsidR="00501217" w:rsidRPr="001857B2" w14:paraId="3E321CF9" w14:textId="77777777" w:rsidTr="00E42FBC">
        <w:trPr>
          <w:trHeight w:val="342"/>
        </w:trPr>
        <w:tc>
          <w:tcPr>
            <w:tcW w:w="2127" w:type="dxa"/>
          </w:tcPr>
          <w:p w14:paraId="71F12BEC" w14:textId="77777777" w:rsidR="00501217" w:rsidRDefault="00501217" w:rsidP="009A23AA">
            <w:pPr>
              <w:pStyle w:val="BodyText"/>
              <w:spacing w:before="60" w:after="60"/>
              <w:rPr>
                <w:rFonts w:asciiTheme="majorHAnsi" w:hAnsiTheme="majorHAnsi"/>
                <w:sz w:val="18"/>
                <w:szCs w:val="18"/>
              </w:rPr>
            </w:pPr>
            <w:proofErr w:type="spellStart"/>
            <w:r>
              <w:rPr>
                <w:rFonts w:asciiTheme="majorHAnsi" w:hAnsiTheme="majorHAnsi"/>
                <w:sz w:val="18"/>
                <w:szCs w:val="18"/>
              </w:rPr>
              <w:t>Tonne</w:t>
            </w:r>
            <w:proofErr w:type="spellEnd"/>
            <w:r>
              <w:rPr>
                <w:rFonts w:asciiTheme="majorHAnsi" w:hAnsiTheme="majorHAnsi"/>
                <w:sz w:val="18"/>
                <w:szCs w:val="18"/>
              </w:rPr>
              <w:t xml:space="preserve"> or t</w:t>
            </w:r>
          </w:p>
        </w:tc>
        <w:tc>
          <w:tcPr>
            <w:tcW w:w="7365" w:type="dxa"/>
          </w:tcPr>
          <w:p w14:paraId="4C2EE5C9" w14:textId="77777777" w:rsidR="00501217" w:rsidRDefault="00501217" w:rsidP="009A23AA">
            <w:pPr>
              <w:pStyle w:val="BodyText"/>
              <w:spacing w:before="60" w:after="60"/>
              <w:rPr>
                <w:rFonts w:asciiTheme="majorHAnsi" w:hAnsiTheme="majorHAnsi"/>
                <w:sz w:val="18"/>
                <w:szCs w:val="18"/>
              </w:rPr>
            </w:pPr>
            <w:r>
              <w:rPr>
                <w:rFonts w:asciiTheme="majorHAnsi" w:hAnsiTheme="majorHAnsi"/>
                <w:sz w:val="18"/>
                <w:szCs w:val="18"/>
              </w:rPr>
              <w:t xml:space="preserve">Metric </w:t>
            </w:r>
            <w:proofErr w:type="spellStart"/>
            <w:r>
              <w:rPr>
                <w:rFonts w:asciiTheme="majorHAnsi" w:hAnsiTheme="majorHAnsi"/>
                <w:sz w:val="18"/>
                <w:szCs w:val="18"/>
              </w:rPr>
              <w:t>t</w:t>
            </w:r>
            <w:r w:rsidRPr="001857B2">
              <w:rPr>
                <w:rFonts w:asciiTheme="majorHAnsi" w:hAnsiTheme="majorHAnsi"/>
                <w:sz w:val="18"/>
                <w:szCs w:val="18"/>
              </w:rPr>
              <w:t>onne</w:t>
            </w:r>
            <w:proofErr w:type="spellEnd"/>
          </w:p>
        </w:tc>
      </w:tr>
      <w:tr w:rsidR="00501217" w:rsidRPr="001857B2" w14:paraId="56EA0A05" w14:textId="77777777" w:rsidTr="00E42FBC">
        <w:trPr>
          <w:trHeight w:val="342"/>
        </w:trPr>
        <w:tc>
          <w:tcPr>
            <w:tcW w:w="2127" w:type="dxa"/>
          </w:tcPr>
          <w:p w14:paraId="238E44D7" w14:textId="77777777" w:rsidR="00501217" w:rsidRPr="001857B2" w:rsidRDefault="00501217" w:rsidP="009A23AA">
            <w:pPr>
              <w:pStyle w:val="BodyText"/>
              <w:spacing w:before="60" w:after="60"/>
              <w:rPr>
                <w:rFonts w:asciiTheme="majorHAnsi" w:hAnsiTheme="majorHAnsi"/>
                <w:sz w:val="18"/>
                <w:szCs w:val="18"/>
              </w:rPr>
            </w:pPr>
            <w:r w:rsidRPr="008814D5">
              <w:rPr>
                <w:rFonts w:asciiTheme="majorHAnsi" w:hAnsiTheme="majorHAnsi"/>
                <w:sz w:val="18"/>
                <w:szCs w:val="18"/>
              </w:rPr>
              <w:t>UNFCCC</w:t>
            </w:r>
          </w:p>
        </w:tc>
        <w:tc>
          <w:tcPr>
            <w:tcW w:w="7365" w:type="dxa"/>
          </w:tcPr>
          <w:p w14:paraId="23F3B16B" w14:textId="77777777" w:rsidR="00501217" w:rsidRPr="001857B2" w:rsidRDefault="00501217" w:rsidP="009A23AA">
            <w:pPr>
              <w:pStyle w:val="BodyText"/>
              <w:spacing w:before="60" w:after="60"/>
              <w:rPr>
                <w:rFonts w:asciiTheme="majorHAnsi" w:hAnsiTheme="majorHAnsi"/>
                <w:sz w:val="18"/>
                <w:szCs w:val="18"/>
              </w:rPr>
            </w:pPr>
            <w:r w:rsidRPr="008814D5">
              <w:rPr>
                <w:rFonts w:asciiTheme="majorHAnsi" w:hAnsiTheme="majorHAnsi"/>
                <w:sz w:val="18"/>
                <w:szCs w:val="18"/>
              </w:rPr>
              <w:t xml:space="preserve">United Nations Framework Convention on Climate Change </w:t>
            </w:r>
          </w:p>
        </w:tc>
      </w:tr>
    </w:tbl>
    <w:p w14:paraId="6B8F4BD6" w14:textId="77777777" w:rsidR="00501217" w:rsidRDefault="00501217" w:rsidP="009A23AA">
      <w:pPr>
        <w:spacing w:before="0"/>
      </w:pPr>
    </w:p>
    <w:p w14:paraId="735D51C4" w14:textId="77777777" w:rsidR="00501217" w:rsidRDefault="00501217" w:rsidP="009A23AA">
      <w:pPr>
        <w:spacing w:before="0"/>
      </w:pPr>
    </w:p>
    <w:p w14:paraId="5E16C450" w14:textId="77777777" w:rsidR="00501217" w:rsidRDefault="00501217" w:rsidP="009A23AA">
      <w:pPr>
        <w:spacing w:before="0"/>
      </w:pPr>
    </w:p>
    <w:bookmarkEnd w:id="153"/>
    <w:p w14:paraId="14CAB27F" w14:textId="67F88827" w:rsidR="00B97938" w:rsidRPr="003E7B20" w:rsidRDefault="00B97938" w:rsidP="009A23AA">
      <w:r>
        <w:br w:type="page"/>
      </w:r>
    </w:p>
    <w:p w14:paraId="30BE3FA8" w14:textId="77777777" w:rsidR="003B1C04" w:rsidRPr="005C342E" w:rsidRDefault="003B1C04" w:rsidP="003B1C04">
      <w:pPr>
        <w:pStyle w:val="Heading1"/>
        <w:numPr>
          <w:ilvl w:val="0"/>
          <w:numId w:val="0"/>
        </w:numPr>
        <w:ind w:left="432" w:hanging="432"/>
      </w:pPr>
      <w:bookmarkStart w:id="157" w:name="_Toc11743072"/>
      <w:bookmarkStart w:id="158" w:name="_Toc19601322"/>
      <w:r w:rsidRPr="005C342E">
        <w:t>References</w:t>
      </w:r>
      <w:bookmarkEnd w:id="157"/>
      <w:bookmarkEnd w:id="158"/>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6"/>
        <w:gridCol w:w="7683"/>
      </w:tblGrid>
      <w:tr w:rsidR="003B1C04" w:rsidRPr="00D37A89" w14:paraId="7A699A7C" w14:textId="77777777" w:rsidTr="0095284B">
        <w:trPr>
          <w:trHeight w:val="342"/>
        </w:trPr>
        <w:tc>
          <w:tcPr>
            <w:tcW w:w="1956" w:type="dxa"/>
          </w:tcPr>
          <w:p w14:paraId="0D9CDA70" w14:textId="77777777" w:rsidR="003B1C04" w:rsidRPr="004E1736" w:rsidRDefault="003B1C04" w:rsidP="006379FE">
            <w:pPr>
              <w:pStyle w:val="BodyText"/>
              <w:spacing w:before="60" w:after="60"/>
              <w:jc w:val="left"/>
              <w:rPr>
                <w:rFonts w:ascii="Times New Roman" w:hAnsi="Times New Roman"/>
                <w:color w:val="000000" w:themeColor="text1"/>
                <w:sz w:val="20"/>
                <w:szCs w:val="20"/>
              </w:rPr>
            </w:pPr>
            <w:r w:rsidRPr="004E1736">
              <w:rPr>
                <w:rFonts w:ascii="Times New Roman" w:hAnsi="Times New Roman"/>
                <w:color w:val="000000" w:themeColor="text1"/>
                <w:sz w:val="20"/>
                <w:szCs w:val="20"/>
              </w:rPr>
              <w:t>AACS 2018</w:t>
            </w:r>
          </w:p>
        </w:tc>
        <w:tc>
          <w:tcPr>
            <w:tcW w:w="7683" w:type="dxa"/>
          </w:tcPr>
          <w:p w14:paraId="5574BC53" w14:textId="77777777" w:rsidR="003B1C04" w:rsidRPr="004E1736" w:rsidRDefault="003B1C04" w:rsidP="006379FE">
            <w:pPr>
              <w:pStyle w:val="BodyText"/>
              <w:spacing w:before="60" w:after="60"/>
              <w:jc w:val="left"/>
              <w:rPr>
                <w:rFonts w:ascii="Times New Roman" w:hAnsi="Times New Roman"/>
                <w:color w:val="000000" w:themeColor="text1"/>
                <w:sz w:val="20"/>
                <w:szCs w:val="20"/>
              </w:rPr>
            </w:pPr>
            <w:r w:rsidRPr="004E1736">
              <w:rPr>
                <w:rFonts w:ascii="Times New Roman" w:hAnsi="Times New Roman"/>
                <w:color w:val="000000" w:themeColor="text1"/>
                <w:sz w:val="20"/>
                <w:szCs w:val="20"/>
              </w:rPr>
              <w:t>Australasian Association of Convenience Stores State of the Industry Report, 2017, published April 2018.</w:t>
            </w:r>
          </w:p>
        </w:tc>
      </w:tr>
      <w:tr w:rsidR="003B1C04" w:rsidRPr="005C342E" w14:paraId="05AE2579" w14:textId="77777777" w:rsidTr="0095284B">
        <w:trPr>
          <w:trHeight w:val="342"/>
        </w:trPr>
        <w:tc>
          <w:tcPr>
            <w:tcW w:w="1956" w:type="dxa"/>
          </w:tcPr>
          <w:p w14:paraId="40587B30" w14:textId="77777777" w:rsidR="003B1C04" w:rsidRPr="00B9281E" w:rsidRDefault="003B1C04" w:rsidP="006379FE">
            <w:pPr>
              <w:pStyle w:val="BodyText"/>
              <w:spacing w:before="60" w:after="60"/>
              <w:jc w:val="left"/>
              <w:rPr>
                <w:rFonts w:ascii="Times New Roman" w:hAnsi="Times New Roman"/>
                <w:color w:val="000000" w:themeColor="text1"/>
                <w:sz w:val="20"/>
                <w:szCs w:val="20"/>
              </w:rPr>
            </w:pPr>
            <w:r w:rsidRPr="00B9281E">
              <w:rPr>
                <w:rFonts w:ascii="Times New Roman" w:hAnsi="Times New Roman"/>
                <w:color w:val="000000" w:themeColor="text1"/>
                <w:sz w:val="20"/>
                <w:szCs w:val="20"/>
              </w:rPr>
              <w:t>AB&amp;C 2019</w:t>
            </w:r>
          </w:p>
        </w:tc>
        <w:tc>
          <w:tcPr>
            <w:tcW w:w="7683" w:type="dxa"/>
          </w:tcPr>
          <w:p w14:paraId="1D7AA8E5" w14:textId="77777777" w:rsidR="003B1C04" w:rsidRPr="00B9281E" w:rsidRDefault="003B1C04" w:rsidP="006379FE">
            <w:pPr>
              <w:spacing w:before="60" w:after="60"/>
              <w:jc w:val="left"/>
              <w:rPr>
                <w:rFonts w:eastAsia="Times New Roman" w:cs="Times New Roman"/>
                <w:color w:val="000000" w:themeColor="text1"/>
                <w:sz w:val="20"/>
                <w:szCs w:val="20"/>
              </w:rPr>
            </w:pPr>
            <w:r w:rsidRPr="00B9281E">
              <w:rPr>
                <w:rFonts w:eastAsia="Times New Roman" w:cs="Times New Roman"/>
                <w:color w:val="000000" w:themeColor="text1"/>
                <w:sz w:val="20"/>
                <w:szCs w:val="20"/>
              </w:rPr>
              <w:t>Australasian Bus &amp; Coach (AB&amp;C) bus and coach deliveries data from 1998 to 2019.</w:t>
            </w:r>
          </w:p>
        </w:tc>
      </w:tr>
      <w:tr w:rsidR="003B1C04" w:rsidRPr="00C624A6" w14:paraId="2515C60F" w14:textId="77777777" w:rsidTr="0095284B">
        <w:trPr>
          <w:trHeight w:val="342"/>
        </w:trPr>
        <w:tc>
          <w:tcPr>
            <w:tcW w:w="1956" w:type="dxa"/>
          </w:tcPr>
          <w:p w14:paraId="04E042FD" w14:textId="77777777" w:rsidR="003B1C04" w:rsidRPr="00ED641C" w:rsidRDefault="003B1C04" w:rsidP="006379FE">
            <w:pPr>
              <w:pStyle w:val="BodyText"/>
              <w:spacing w:before="60" w:after="60"/>
              <w:jc w:val="left"/>
              <w:rPr>
                <w:rFonts w:ascii="Times New Roman" w:hAnsi="Times New Roman"/>
                <w:color w:val="000000" w:themeColor="text1"/>
                <w:sz w:val="20"/>
                <w:szCs w:val="20"/>
              </w:rPr>
            </w:pPr>
            <w:r w:rsidRPr="00ED641C">
              <w:rPr>
                <w:rFonts w:ascii="Times New Roman" w:hAnsi="Times New Roman"/>
                <w:color w:val="000000" w:themeColor="text1"/>
                <w:sz w:val="20"/>
                <w:szCs w:val="20"/>
              </w:rPr>
              <w:t>ABARES 2017</w:t>
            </w:r>
          </w:p>
        </w:tc>
        <w:tc>
          <w:tcPr>
            <w:tcW w:w="7683" w:type="dxa"/>
          </w:tcPr>
          <w:p w14:paraId="2A76A7F2" w14:textId="77777777" w:rsidR="003B1C04" w:rsidRPr="00ED641C" w:rsidRDefault="003B1C04" w:rsidP="006379FE">
            <w:pPr>
              <w:spacing w:before="60" w:after="60"/>
              <w:jc w:val="left"/>
              <w:rPr>
                <w:rFonts w:eastAsia="Times New Roman" w:cs="Times New Roman"/>
                <w:color w:val="000000" w:themeColor="text1"/>
                <w:sz w:val="20"/>
                <w:szCs w:val="20"/>
              </w:rPr>
            </w:pPr>
            <w:r w:rsidRPr="00ED641C">
              <w:rPr>
                <w:rFonts w:eastAsia="Times New Roman" w:cs="Times New Roman"/>
                <w:color w:val="000000" w:themeColor="text1"/>
                <w:sz w:val="20"/>
                <w:szCs w:val="20"/>
              </w:rPr>
              <w:t>Agricultural commodity statistics, 2017, Department of Agriculture and Water Resource Economics and Sciences (ABARES), Published December 2017.</w:t>
            </w:r>
          </w:p>
        </w:tc>
      </w:tr>
      <w:tr w:rsidR="003B1C04" w:rsidRPr="00C624A6" w14:paraId="20C8A813" w14:textId="77777777" w:rsidTr="0095284B">
        <w:trPr>
          <w:trHeight w:val="342"/>
        </w:trPr>
        <w:tc>
          <w:tcPr>
            <w:tcW w:w="1956" w:type="dxa"/>
          </w:tcPr>
          <w:p w14:paraId="4F5BEA71" w14:textId="77777777" w:rsidR="003B1C04" w:rsidRPr="00ED641C" w:rsidRDefault="003B1C04" w:rsidP="006379FE">
            <w:pPr>
              <w:pStyle w:val="BodyText"/>
              <w:spacing w:before="60" w:after="60"/>
              <w:jc w:val="left"/>
              <w:rPr>
                <w:rFonts w:ascii="Times New Roman" w:hAnsi="Times New Roman"/>
                <w:color w:val="000000" w:themeColor="text1"/>
                <w:sz w:val="20"/>
                <w:szCs w:val="20"/>
              </w:rPr>
            </w:pPr>
            <w:r w:rsidRPr="00ED641C">
              <w:rPr>
                <w:rFonts w:ascii="Times New Roman" w:hAnsi="Times New Roman"/>
                <w:color w:val="000000" w:themeColor="text1"/>
                <w:sz w:val="20"/>
                <w:szCs w:val="20"/>
              </w:rPr>
              <w:t>ABS 3101.0 2019</w:t>
            </w:r>
          </w:p>
        </w:tc>
        <w:tc>
          <w:tcPr>
            <w:tcW w:w="7683" w:type="dxa"/>
          </w:tcPr>
          <w:p w14:paraId="143DC559" w14:textId="77777777" w:rsidR="003B1C04" w:rsidRPr="00ED641C" w:rsidRDefault="003B1C04" w:rsidP="006379FE">
            <w:pPr>
              <w:spacing w:before="60" w:after="60"/>
              <w:jc w:val="left"/>
              <w:rPr>
                <w:rFonts w:eastAsia="Times New Roman" w:cs="Times New Roman"/>
                <w:color w:val="000000" w:themeColor="text1"/>
                <w:sz w:val="20"/>
                <w:szCs w:val="20"/>
              </w:rPr>
            </w:pPr>
            <w:r w:rsidRPr="00ED641C">
              <w:rPr>
                <w:rFonts w:eastAsia="Times New Roman" w:cs="Times New Roman"/>
                <w:color w:val="000000" w:themeColor="text1"/>
                <w:sz w:val="20"/>
                <w:szCs w:val="20"/>
              </w:rPr>
              <w:t xml:space="preserve">Australian Bureau of Statistics, catalogue 3101.0, Australian Demographic Statistics, </w:t>
            </w:r>
            <w:r>
              <w:rPr>
                <w:rFonts w:eastAsia="Times New Roman" w:cs="Times New Roman"/>
                <w:color w:val="000000" w:themeColor="text1"/>
                <w:sz w:val="20"/>
                <w:szCs w:val="20"/>
              </w:rPr>
              <w:t xml:space="preserve">population at September 2018, published </w:t>
            </w:r>
            <w:r w:rsidRPr="00ED641C">
              <w:rPr>
                <w:rFonts w:eastAsia="Times New Roman" w:cs="Times New Roman"/>
                <w:color w:val="000000" w:themeColor="text1"/>
                <w:sz w:val="20"/>
                <w:szCs w:val="20"/>
              </w:rPr>
              <w:t>March 2019.</w:t>
            </w:r>
          </w:p>
        </w:tc>
      </w:tr>
      <w:tr w:rsidR="003B1C04" w:rsidRPr="00C624A6" w14:paraId="185E2405" w14:textId="77777777" w:rsidTr="0095284B">
        <w:trPr>
          <w:trHeight w:val="342"/>
        </w:trPr>
        <w:tc>
          <w:tcPr>
            <w:tcW w:w="1956" w:type="dxa"/>
          </w:tcPr>
          <w:p w14:paraId="335A90FB" w14:textId="77777777" w:rsidR="003B1C04" w:rsidRPr="004D71A5" w:rsidRDefault="003B1C04" w:rsidP="006379FE">
            <w:pPr>
              <w:pStyle w:val="BodyText"/>
              <w:spacing w:before="60" w:after="60"/>
              <w:jc w:val="left"/>
              <w:rPr>
                <w:rFonts w:ascii="Times New Roman" w:hAnsi="Times New Roman"/>
                <w:color w:val="00B0F0"/>
                <w:sz w:val="20"/>
                <w:szCs w:val="20"/>
              </w:rPr>
            </w:pPr>
            <w:r w:rsidRPr="00923578">
              <w:rPr>
                <w:rFonts w:ascii="Times New Roman" w:hAnsi="Times New Roman"/>
                <w:color w:val="000000" w:themeColor="text1"/>
                <w:sz w:val="20"/>
                <w:szCs w:val="20"/>
              </w:rPr>
              <w:t>ABS 8165.0 2019</w:t>
            </w:r>
          </w:p>
        </w:tc>
        <w:tc>
          <w:tcPr>
            <w:tcW w:w="7683" w:type="dxa"/>
          </w:tcPr>
          <w:p w14:paraId="3478C659" w14:textId="77777777" w:rsidR="003B1C04" w:rsidRPr="004D71A5" w:rsidRDefault="003B1C04" w:rsidP="006379FE">
            <w:pPr>
              <w:pStyle w:val="BodyText"/>
              <w:spacing w:before="60" w:after="60"/>
              <w:jc w:val="left"/>
              <w:rPr>
                <w:rFonts w:ascii="Times New Roman" w:hAnsi="Times New Roman"/>
                <w:color w:val="00B0F0"/>
                <w:sz w:val="20"/>
                <w:szCs w:val="20"/>
              </w:rPr>
            </w:pPr>
            <w:r w:rsidRPr="00923578">
              <w:rPr>
                <w:rFonts w:ascii="Times New Roman" w:hAnsi="Times New Roman"/>
                <w:color w:val="000000" w:themeColor="text1"/>
                <w:sz w:val="20"/>
                <w:szCs w:val="20"/>
              </w:rPr>
              <w:t>Australian Bureau of Statistics, catalogue 8165.0, Counts of Australian Businesses</w:t>
            </w:r>
            <w:r>
              <w:rPr>
                <w:rFonts w:ascii="Times New Roman" w:hAnsi="Times New Roman"/>
                <w:color w:val="000000" w:themeColor="text1"/>
                <w:sz w:val="20"/>
                <w:szCs w:val="20"/>
              </w:rPr>
              <w:t xml:space="preserve"> as at </w:t>
            </w:r>
            <w:r w:rsidRPr="00923578">
              <w:rPr>
                <w:rFonts w:ascii="Times New Roman" w:hAnsi="Times New Roman"/>
                <w:color w:val="000000" w:themeColor="text1"/>
                <w:sz w:val="20"/>
                <w:szCs w:val="20"/>
              </w:rPr>
              <w:t>June 201</w:t>
            </w:r>
            <w:r>
              <w:rPr>
                <w:rFonts w:ascii="Times New Roman" w:hAnsi="Times New Roman"/>
                <w:color w:val="000000" w:themeColor="text1"/>
                <w:sz w:val="20"/>
                <w:szCs w:val="20"/>
              </w:rPr>
              <w:t>8, published February 2019</w:t>
            </w:r>
            <w:r w:rsidRPr="00923578">
              <w:rPr>
                <w:rFonts w:ascii="Times New Roman" w:hAnsi="Times New Roman"/>
                <w:color w:val="000000" w:themeColor="text1"/>
                <w:sz w:val="20"/>
                <w:szCs w:val="20"/>
              </w:rPr>
              <w:t>.</w:t>
            </w:r>
          </w:p>
        </w:tc>
      </w:tr>
      <w:tr w:rsidR="003B1C04" w:rsidRPr="00D37A89" w14:paraId="344900AF" w14:textId="77777777" w:rsidTr="0095284B">
        <w:trPr>
          <w:trHeight w:val="342"/>
        </w:trPr>
        <w:tc>
          <w:tcPr>
            <w:tcW w:w="1956" w:type="dxa"/>
          </w:tcPr>
          <w:p w14:paraId="63D32358" w14:textId="77777777" w:rsidR="003B1C04" w:rsidRPr="00B9281E" w:rsidRDefault="003B1C04" w:rsidP="006379FE">
            <w:pPr>
              <w:pStyle w:val="BodyText"/>
              <w:spacing w:before="60" w:after="60"/>
              <w:jc w:val="left"/>
              <w:rPr>
                <w:rFonts w:ascii="Times New Roman" w:hAnsi="Times New Roman"/>
                <w:color w:val="000000" w:themeColor="text1"/>
                <w:sz w:val="20"/>
                <w:szCs w:val="20"/>
              </w:rPr>
            </w:pPr>
            <w:r w:rsidRPr="00B9281E">
              <w:rPr>
                <w:rFonts w:ascii="Times New Roman" w:hAnsi="Times New Roman"/>
                <w:color w:val="000000" w:themeColor="text1"/>
                <w:sz w:val="20"/>
                <w:szCs w:val="20"/>
              </w:rPr>
              <w:t>ABS 9309.0 2019</w:t>
            </w:r>
          </w:p>
        </w:tc>
        <w:tc>
          <w:tcPr>
            <w:tcW w:w="7683" w:type="dxa"/>
          </w:tcPr>
          <w:p w14:paraId="35FFE034" w14:textId="77777777" w:rsidR="003B1C04" w:rsidRPr="00B9281E" w:rsidRDefault="003B1C04" w:rsidP="006379FE">
            <w:pPr>
              <w:pStyle w:val="BodyText"/>
              <w:spacing w:before="60" w:after="60"/>
              <w:jc w:val="left"/>
              <w:rPr>
                <w:rFonts w:ascii="Times New Roman" w:hAnsi="Times New Roman"/>
                <w:color w:val="000000" w:themeColor="text1"/>
                <w:sz w:val="20"/>
                <w:szCs w:val="20"/>
              </w:rPr>
            </w:pPr>
            <w:r w:rsidRPr="00B9281E">
              <w:rPr>
                <w:rFonts w:ascii="Times New Roman" w:hAnsi="Times New Roman"/>
                <w:color w:val="000000" w:themeColor="text1"/>
                <w:sz w:val="20"/>
                <w:szCs w:val="20"/>
              </w:rPr>
              <w:t>Australian Bureau of Statistics, catalogue 9309.0, Motor Vehicle Census, July 2019.</w:t>
            </w:r>
          </w:p>
        </w:tc>
      </w:tr>
      <w:tr w:rsidR="003B1C04" w:rsidRPr="00D37A89" w14:paraId="5F548060" w14:textId="77777777" w:rsidTr="0095284B">
        <w:trPr>
          <w:trHeight w:val="342"/>
        </w:trPr>
        <w:tc>
          <w:tcPr>
            <w:tcW w:w="1956" w:type="dxa"/>
          </w:tcPr>
          <w:p w14:paraId="6FAC1296" w14:textId="77777777" w:rsidR="003B1C04" w:rsidRPr="00B9281E" w:rsidRDefault="003B1C04" w:rsidP="006379FE">
            <w:pPr>
              <w:pStyle w:val="BodyText"/>
              <w:spacing w:before="60" w:after="60"/>
              <w:jc w:val="left"/>
              <w:rPr>
                <w:rFonts w:ascii="Times New Roman" w:hAnsi="Times New Roman"/>
                <w:color w:val="000000" w:themeColor="text1"/>
                <w:sz w:val="20"/>
                <w:szCs w:val="20"/>
              </w:rPr>
            </w:pPr>
            <w:r w:rsidRPr="00B9281E">
              <w:rPr>
                <w:rFonts w:ascii="Times New Roman" w:hAnsi="Times New Roman"/>
                <w:color w:val="000000" w:themeColor="text1"/>
                <w:sz w:val="20"/>
                <w:szCs w:val="20"/>
              </w:rPr>
              <w:t>ABS 9314.0 2018</w:t>
            </w:r>
          </w:p>
        </w:tc>
        <w:tc>
          <w:tcPr>
            <w:tcW w:w="7683" w:type="dxa"/>
          </w:tcPr>
          <w:p w14:paraId="3751FC9A" w14:textId="77777777" w:rsidR="003B1C04" w:rsidRPr="00B9281E" w:rsidRDefault="003B1C04" w:rsidP="006379FE">
            <w:pPr>
              <w:pStyle w:val="BodyText"/>
              <w:spacing w:before="60" w:after="60"/>
              <w:jc w:val="left"/>
              <w:rPr>
                <w:rFonts w:ascii="Times New Roman" w:hAnsi="Times New Roman"/>
                <w:color w:val="000000" w:themeColor="text1"/>
                <w:sz w:val="20"/>
                <w:szCs w:val="20"/>
              </w:rPr>
            </w:pPr>
            <w:r w:rsidRPr="00B9281E">
              <w:rPr>
                <w:rFonts w:ascii="Times New Roman" w:hAnsi="Times New Roman"/>
                <w:color w:val="000000" w:themeColor="text1"/>
                <w:sz w:val="20"/>
                <w:szCs w:val="20"/>
              </w:rPr>
              <w:t>Australian Bureau of Statistics, catalogue 9314.0, Sales of New Motor Vehicles, Australia, December 2012 and Jan 2018.</w:t>
            </w:r>
          </w:p>
        </w:tc>
      </w:tr>
      <w:tr w:rsidR="003B1C04" w:rsidRPr="00D37A89" w14:paraId="2056A321" w14:textId="77777777" w:rsidTr="0095284B">
        <w:trPr>
          <w:trHeight w:val="342"/>
        </w:trPr>
        <w:tc>
          <w:tcPr>
            <w:tcW w:w="1956" w:type="dxa"/>
          </w:tcPr>
          <w:p w14:paraId="2E35A345" w14:textId="6A95C392" w:rsidR="003B1C04" w:rsidRPr="003B1C04" w:rsidRDefault="003B1C04" w:rsidP="006379FE">
            <w:pPr>
              <w:pStyle w:val="BodyText"/>
              <w:spacing w:before="60" w:after="60"/>
              <w:jc w:val="left"/>
              <w:rPr>
                <w:rFonts w:ascii="Times New Roman" w:hAnsi="Times New Roman"/>
                <w:color w:val="000000" w:themeColor="text1"/>
                <w:sz w:val="20"/>
                <w:szCs w:val="20"/>
              </w:rPr>
            </w:pPr>
            <w:r w:rsidRPr="003B1C04">
              <w:rPr>
                <w:rFonts w:ascii="Times New Roman" w:hAnsi="Times New Roman"/>
                <w:color w:val="000000" w:themeColor="text1"/>
                <w:sz w:val="20"/>
                <w:szCs w:val="20"/>
              </w:rPr>
              <w:t>AEMO 2019</w:t>
            </w:r>
          </w:p>
        </w:tc>
        <w:tc>
          <w:tcPr>
            <w:tcW w:w="7683" w:type="dxa"/>
          </w:tcPr>
          <w:p w14:paraId="3551B81A" w14:textId="3FC1BA38" w:rsidR="003B1C04" w:rsidRPr="003B1C04" w:rsidRDefault="003B1C04" w:rsidP="006379FE">
            <w:pPr>
              <w:pStyle w:val="BodyText"/>
              <w:spacing w:before="60" w:after="60"/>
              <w:jc w:val="left"/>
              <w:rPr>
                <w:rFonts w:ascii="Times New Roman" w:hAnsi="Times New Roman"/>
                <w:color w:val="000000" w:themeColor="text1"/>
                <w:sz w:val="20"/>
                <w:szCs w:val="20"/>
              </w:rPr>
            </w:pPr>
            <w:r w:rsidRPr="003B1C04">
              <w:rPr>
                <w:rFonts w:ascii="Times New Roman" w:hAnsi="Times New Roman"/>
                <w:color w:val="000000" w:themeColor="text1"/>
                <w:sz w:val="20"/>
                <w:szCs w:val="20"/>
              </w:rPr>
              <w:t xml:space="preserve">AEMO National Electricity and Gas Forecasting, Neutral Scenario, 1981 to 2037 by State, wholesale and retail prices, Australian Energy Market Operator, published 2017. </w:t>
            </w:r>
          </w:p>
          <w:p w14:paraId="5E954A77" w14:textId="654C6B6A" w:rsidR="003B1C04" w:rsidRPr="003B1C04" w:rsidRDefault="003B1C04" w:rsidP="006379FE">
            <w:pPr>
              <w:pStyle w:val="BodyText"/>
              <w:spacing w:before="60" w:after="60"/>
              <w:jc w:val="left"/>
              <w:rPr>
                <w:rFonts w:ascii="Times New Roman" w:hAnsi="Times New Roman"/>
                <w:color w:val="000000" w:themeColor="text1"/>
                <w:sz w:val="20"/>
                <w:szCs w:val="20"/>
              </w:rPr>
            </w:pPr>
            <w:r w:rsidRPr="003B1C04">
              <w:rPr>
                <w:rFonts w:ascii="Times New Roman" w:hAnsi="Times New Roman"/>
                <w:color w:val="000000" w:themeColor="text1"/>
                <w:sz w:val="20"/>
                <w:szCs w:val="20"/>
              </w:rPr>
              <w:t>AEMO 2018 Electricity Statement of Opportunities now only publishes the Price Index, not the actual prices.</w:t>
            </w:r>
          </w:p>
        </w:tc>
      </w:tr>
      <w:tr w:rsidR="003B1C04" w:rsidRPr="00D37A89" w14:paraId="1DE1A1D2" w14:textId="77777777" w:rsidTr="0095284B">
        <w:trPr>
          <w:trHeight w:val="342"/>
        </w:trPr>
        <w:tc>
          <w:tcPr>
            <w:tcW w:w="1956" w:type="dxa"/>
          </w:tcPr>
          <w:p w14:paraId="36BCF20B" w14:textId="77777777" w:rsidR="003B1C04" w:rsidRPr="007B4FF9" w:rsidRDefault="003B1C04" w:rsidP="006379FE">
            <w:pPr>
              <w:pStyle w:val="BodyText"/>
              <w:spacing w:before="60" w:after="60"/>
              <w:jc w:val="left"/>
              <w:rPr>
                <w:rFonts w:ascii="Times New Roman" w:hAnsi="Times New Roman"/>
                <w:color w:val="000000" w:themeColor="text1"/>
                <w:sz w:val="20"/>
                <w:szCs w:val="20"/>
              </w:rPr>
            </w:pPr>
            <w:r w:rsidRPr="007B4FF9">
              <w:rPr>
                <w:rFonts w:ascii="Times New Roman" w:hAnsi="Times New Roman"/>
                <w:color w:val="000000" w:themeColor="text1"/>
                <w:sz w:val="20"/>
                <w:szCs w:val="20"/>
              </w:rPr>
              <w:t>AFCE 2018</w:t>
            </w:r>
          </w:p>
        </w:tc>
        <w:tc>
          <w:tcPr>
            <w:tcW w:w="7683" w:type="dxa"/>
          </w:tcPr>
          <w:p w14:paraId="099E6DA9" w14:textId="77777777" w:rsidR="003B1C04" w:rsidRPr="007B4FF9" w:rsidRDefault="003B1C04" w:rsidP="006379FE">
            <w:pPr>
              <w:pStyle w:val="BodyText"/>
              <w:spacing w:before="60" w:after="60"/>
              <w:jc w:val="left"/>
              <w:rPr>
                <w:rFonts w:ascii="Times New Roman" w:hAnsi="Times New Roman"/>
                <w:color w:val="000000" w:themeColor="text1"/>
                <w:sz w:val="20"/>
                <w:szCs w:val="20"/>
              </w:rPr>
            </w:pPr>
            <w:r w:rsidRPr="007B4FF9">
              <w:rPr>
                <w:rFonts w:ascii="Times New Roman" w:hAnsi="Times New Roman"/>
                <w:color w:val="000000" w:themeColor="text1"/>
                <w:sz w:val="20"/>
                <w:szCs w:val="20"/>
              </w:rPr>
              <w:t xml:space="preserve">Energy Efficiency State of the art available low GWP refrigerants and systems, Alliance </w:t>
            </w:r>
            <w:proofErr w:type="spellStart"/>
            <w:r w:rsidRPr="007B4FF9">
              <w:rPr>
                <w:rFonts w:ascii="Times New Roman" w:hAnsi="Times New Roman"/>
                <w:color w:val="000000" w:themeColor="text1"/>
                <w:sz w:val="20"/>
                <w:szCs w:val="20"/>
              </w:rPr>
              <w:t>Froid</w:t>
            </w:r>
            <w:proofErr w:type="spellEnd"/>
            <w:r w:rsidRPr="007B4FF9">
              <w:rPr>
                <w:rFonts w:ascii="Times New Roman" w:hAnsi="Times New Roman"/>
                <w:color w:val="000000" w:themeColor="text1"/>
                <w:sz w:val="20"/>
                <w:szCs w:val="20"/>
              </w:rPr>
              <w:t xml:space="preserve"> </w:t>
            </w:r>
            <w:proofErr w:type="spellStart"/>
            <w:r w:rsidRPr="007B4FF9">
              <w:rPr>
                <w:rFonts w:ascii="Times New Roman" w:hAnsi="Times New Roman"/>
                <w:color w:val="000000" w:themeColor="text1"/>
                <w:sz w:val="20"/>
                <w:szCs w:val="20"/>
              </w:rPr>
              <w:t>Climatisation</w:t>
            </w:r>
            <w:proofErr w:type="spellEnd"/>
            <w:r w:rsidRPr="007B4FF9">
              <w:rPr>
                <w:rFonts w:ascii="Times New Roman" w:hAnsi="Times New Roman"/>
                <w:color w:val="000000" w:themeColor="text1"/>
                <w:sz w:val="20"/>
                <w:szCs w:val="20"/>
              </w:rPr>
              <w:t xml:space="preserve"> </w:t>
            </w:r>
            <w:proofErr w:type="spellStart"/>
            <w:r w:rsidRPr="007B4FF9">
              <w:rPr>
                <w:rFonts w:ascii="Times New Roman" w:hAnsi="Times New Roman"/>
                <w:color w:val="000000" w:themeColor="text1"/>
                <w:sz w:val="20"/>
                <w:szCs w:val="20"/>
              </w:rPr>
              <w:t>Environnement</w:t>
            </w:r>
            <w:proofErr w:type="spellEnd"/>
            <w:r w:rsidRPr="007B4FF9">
              <w:rPr>
                <w:rFonts w:ascii="Times New Roman" w:hAnsi="Times New Roman"/>
                <w:color w:val="000000" w:themeColor="text1"/>
                <w:sz w:val="20"/>
                <w:szCs w:val="20"/>
              </w:rPr>
              <w:t xml:space="preserve"> (AFCE), September 2018.</w:t>
            </w:r>
          </w:p>
        </w:tc>
      </w:tr>
      <w:tr w:rsidR="003B1C04" w:rsidRPr="00D37A89" w14:paraId="694DE5D7" w14:textId="77777777" w:rsidTr="0095284B">
        <w:trPr>
          <w:trHeight w:val="342"/>
        </w:trPr>
        <w:tc>
          <w:tcPr>
            <w:tcW w:w="1956" w:type="dxa"/>
          </w:tcPr>
          <w:p w14:paraId="6BCA45A1" w14:textId="77777777" w:rsidR="003B1C04" w:rsidRPr="00B9281E" w:rsidRDefault="003B1C04" w:rsidP="006379FE">
            <w:pPr>
              <w:pStyle w:val="BodyText"/>
              <w:spacing w:before="60" w:after="60"/>
              <w:jc w:val="left"/>
              <w:rPr>
                <w:rFonts w:ascii="Times New Roman" w:hAnsi="Times New Roman"/>
                <w:color w:val="000000" w:themeColor="text1"/>
                <w:sz w:val="20"/>
                <w:szCs w:val="20"/>
              </w:rPr>
            </w:pPr>
            <w:r w:rsidRPr="00B9281E">
              <w:rPr>
                <w:rFonts w:ascii="Times New Roman" w:hAnsi="Times New Roman"/>
                <w:color w:val="000000" w:themeColor="text1"/>
                <w:sz w:val="20"/>
                <w:szCs w:val="20"/>
              </w:rPr>
              <w:t>AMSA 2019</w:t>
            </w:r>
          </w:p>
        </w:tc>
        <w:tc>
          <w:tcPr>
            <w:tcW w:w="7683" w:type="dxa"/>
          </w:tcPr>
          <w:p w14:paraId="49DE1EBC" w14:textId="77777777" w:rsidR="003B1C04" w:rsidRPr="00B9281E" w:rsidRDefault="003B1C04" w:rsidP="006379FE">
            <w:pPr>
              <w:pStyle w:val="BodyText"/>
              <w:spacing w:before="60" w:after="60"/>
              <w:jc w:val="left"/>
              <w:rPr>
                <w:rFonts w:ascii="Times New Roman" w:hAnsi="Times New Roman"/>
                <w:color w:val="000000" w:themeColor="text1"/>
                <w:sz w:val="20"/>
                <w:szCs w:val="20"/>
              </w:rPr>
            </w:pPr>
            <w:r w:rsidRPr="00B9281E">
              <w:rPr>
                <w:rFonts w:ascii="Times New Roman" w:hAnsi="Times New Roman"/>
                <w:color w:val="000000" w:themeColor="text1"/>
                <w:sz w:val="20"/>
                <w:szCs w:val="20"/>
              </w:rPr>
              <w:t>Registrar of Ships, Ship Inspection and Registration Division, Ship Safety Division, Australian Maritime Safety Authority, 2019.</w:t>
            </w:r>
          </w:p>
        </w:tc>
      </w:tr>
      <w:tr w:rsidR="003B1C04" w:rsidRPr="00D37A89" w14:paraId="74FCDF53" w14:textId="77777777" w:rsidTr="0095284B">
        <w:trPr>
          <w:trHeight w:val="342"/>
        </w:trPr>
        <w:tc>
          <w:tcPr>
            <w:tcW w:w="1956" w:type="dxa"/>
          </w:tcPr>
          <w:p w14:paraId="6C77573F"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ANSI/ASHRAE 34</w:t>
            </w:r>
          </w:p>
        </w:tc>
        <w:tc>
          <w:tcPr>
            <w:tcW w:w="7683" w:type="dxa"/>
          </w:tcPr>
          <w:p w14:paraId="395B0C8A"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ANSI/ASHRAE 34, Designation and Safety Classification of Refrigerant, which is published on the ASHRAE website.</w:t>
            </w:r>
          </w:p>
        </w:tc>
      </w:tr>
      <w:tr w:rsidR="003B1C04" w:rsidRPr="003B1C04" w14:paraId="76F7CAE4" w14:textId="77777777" w:rsidTr="0095284B">
        <w:trPr>
          <w:trHeight w:val="342"/>
        </w:trPr>
        <w:tc>
          <w:tcPr>
            <w:tcW w:w="1956" w:type="dxa"/>
          </w:tcPr>
          <w:p w14:paraId="24106126" w14:textId="16D3C41D" w:rsidR="003B1C04" w:rsidRPr="003B1C04" w:rsidRDefault="003B1C04" w:rsidP="006379FE">
            <w:pPr>
              <w:pStyle w:val="BodyText"/>
              <w:spacing w:before="60" w:after="60"/>
              <w:jc w:val="left"/>
              <w:rPr>
                <w:rFonts w:ascii="Times New Roman" w:hAnsi="Times New Roman"/>
                <w:color w:val="000000" w:themeColor="text1"/>
                <w:sz w:val="20"/>
                <w:szCs w:val="20"/>
              </w:rPr>
            </w:pPr>
            <w:proofErr w:type="spellStart"/>
            <w:r w:rsidRPr="003B1C04">
              <w:rPr>
                <w:rFonts w:ascii="Times New Roman" w:hAnsi="Times New Roman"/>
                <w:color w:val="000000" w:themeColor="text1"/>
                <w:sz w:val="20"/>
                <w:szCs w:val="20"/>
              </w:rPr>
              <w:t>ARCtick</w:t>
            </w:r>
            <w:proofErr w:type="spellEnd"/>
            <w:r w:rsidRPr="003B1C04">
              <w:rPr>
                <w:rFonts w:ascii="Times New Roman" w:hAnsi="Times New Roman"/>
                <w:color w:val="000000" w:themeColor="text1"/>
                <w:sz w:val="20"/>
                <w:szCs w:val="20"/>
              </w:rPr>
              <w:t xml:space="preserve"> 2019</w:t>
            </w:r>
          </w:p>
        </w:tc>
        <w:tc>
          <w:tcPr>
            <w:tcW w:w="7683" w:type="dxa"/>
          </w:tcPr>
          <w:p w14:paraId="236BBB29" w14:textId="77777777" w:rsidR="003B1C04" w:rsidRPr="003B1C04" w:rsidRDefault="003B1C04" w:rsidP="006379FE">
            <w:pPr>
              <w:pStyle w:val="BodyText"/>
              <w:spacing w:before="60" w:after="60"/>
              <w:jc w:val="left"/>
              <w:rPr>
                <w:rFonts w:ascii="Times New Roman" w:hAnsi="Times New Roman"/>
                <w:color w:val="000000" w:themeColor="text1"/>
                <w:sz w:val="20"/>
                <w:szCs w:val="20"/>
              </w:rPr>
            </w:pPr>
            <w:r w:rsidRPr="003B1C04">
              <w:rPr>
                <w:rFonts w:ascii="Times New Roman" w:hAnsi="Times New Roman"/>
                <w:color w:val="000000" w:themeColor="text1"/>
                <w:sz w:val="20"/>
                <w:szCs w:val="20"/>
              </w:rPr>
              <w:t xml:space="preserve">License data provided by </w:t>
            </w:r>
            <w:proofErr w:type="spellStart"/>
            <w:r w:rsidRPr="003B1C04">
              <w:rPr>
                <w:rFonts w:ascii="Times New Roman" w:hAnsi="Times New Roman"/>
                <w:color w:val="000000" w:themeColor="text1"/>
                <w:sz w:val="20"/>
                <w:szCs w:val="20"/>
              </w:rPr>
              <w:t>ARCtick</w:t>
            </w:r>
            <w:proofErr w:type="spellEnd"/>
            <w:r w:rsidRPr="003B1C04">
              <w:rPr>
                <w:rFonts w:ascii="Times New Roman" w:hAnsi="Times New Roman"/>
                <w:color w:val="000000" w:themeColor="text1"/>
                <w:sz w:val="20"/>
                <w:szCs w:val="20"/>
              </w:rPr>
              <w:t xml:space="preserve"> Australian Refrigeration Council by technician and business types.</w:t>
            </w:r>
          </w:p>
        </w:tc>
      </w:tr>
      <w:tr w:rsidR="003B1C04" w:rsidRPr="00A66346" w14:paraId="1F18F1DC" w14:textId="77777777" w:rsidTr="0095284B">
        <w:trPr>
          <w:trHeight w:val="342"/>
        </w:trPr>
        <w:tc>
          <w:tcPr>
            <w:tcW w:w="1956" w:type="dxa"/>
          </w:tcPr>
          <w:p w14:paraId="1B2F731C" w14:textId="77777777" w:rsidR="003B1C04" w:rsidRPr="00B9281E" w:rsidRDefault="003B1C04" w:rsidP="006379FE">
            <w:pPr>
              <w:pStyle w:val="BodyText"/>
              <w:spacing w:before="60" w:after="60"/>
              <w:jc w:val="left"/>
              <w:rPr>
                <w:rFonts w:ascii="Times New Roman" w:hAnsi="Times New Roman"/>
                <w:color w:val="000000" w:themeColor="text1"/>
                <w:sz w:val="20"/>
                <w:szCs w:val="20"/>
              </w:rPr>
            </w:pPr>
            <w:r w:rsidRPr="00B9281E">
              <w:rPr>
                <w:rFonts w:ascii="Times New Roman" w:hAnsi="Times New Roman"/>
                <w:color w:val="000000" w:themeColor="text1"/>
                <w:sz w:val="20"/>
                <w:szCs w:val="20"/>
              </w:rPr>
              <w:t>BIC 2017</w:t>
            </w:r>
          </w:p>
        </w:tc>
        <w:tc>
          <w:tcPr>
            <w:tcW w:w="7683" w:type="dxa"/>
          </w:tcPr>
          <w:p w14:paraId="065FAA67" w14:textId="77777777" w:rsidR="003B1C04" w:rsidRPr="00B9281E" w:rsidRDefault="003B1C04" w:rsidP="006379FE">
            <w:pPr>
              <w:pStyle w:val="BodyText"/>
              <w:spacing w:before="60" w:after="60"/>
              <w:jc w:val="left"/>
              <w:rPr>
                <w:rFonts w:ascii="Times New Roman" w:hAnsi="Times New Roman"/>
                <w:color w:val="000000" w:themeColor="text1"/>
                <w:sz w:val="20"/>
                <w:szCs w:val="20"/>
              </w:rPr>
            </w:pPr>
            <w:r w:rsidRPr="00B9281E">
              <w:rPr>
                <w:rFonts w:ascii="Times New Roman" w:hAnsi="Times New Roman"/>
                <w:color w:val="000000" w:themeColor="text1"/>
                <w:sz w:val="20"/>
                <w:szCs w:val="20"/>
              </w:rPr>
              <w:t>Review of Australian Bus Fleet, National Technical and Suppliers Summit, February 2017. Bus Industry Confederation Response to: Vehicle emissions standards for cleaner air Draft Regulation Impact Statement, Bus Industry Confederation, May 2017.</w:t>
            </w:r>
          </w:p>
        </w:tc>
      </w:tr>
      <w:tr w:rsidR="003B1C04" w:rsidRPr="00A66346" w14:paraId="03CDCF28" w14:textId="77777777" w:rsidTr="0095284B">
        <w:trPr>
          <w:trHeight w:val="342"/>
        </w:trPr>
        <w:tc>
          <w:tcPr>
            <w:tcW w:w="1956" w:type="dxa"/>
          </w:tcPr>
          <w:p w14:paraId="1B03407E" w14:textId="77777777" w:rsidR="003B1C04" w:rsidRPr="00B9281E" w:rsidRDefault="003B1C04" w:rsidP="006379FE">
            <w:pPr>
              <w:pStyle w:val="BodyText"/>
              <w:spacing w:before="60" w:after="60"/>
              <w:jc w:val="left"/>
              <w:rPr>
                <w:rFonts w:ascii="Times New Roman" w:hAnsi="Times New Roman"/>
                <w:color w:val="000000" w:themeColor="text1"/>
                <w:sz w:val="20"/>
                <w:szCs w:val="20"/>
              </w:rPr>
            </w:pPr>
            <w:r w:rsidRPr="00B9281E">
              <w:rPr>
                <w:rFonts w:ascii="Times New Roman" w:hAnsi="Times New Roman"/>
                <w:color w:val="000000" w:themeColor="text1"/>
                <w:sz w:val="20"/>
                <w:szCs w:val="20"/>
              </w:rPr>
              <w:t>BITRE 2018</w:t>
            </w:r>
          </w:p>
        </w:tc>
        <w:tc>
          <w:tcPr>
            <w:tcW w:w="7683" w:type="dxa"/>
          </w:tcPr>
          <w:p w14:paraId="66CDE4C2" w14:textId="77777777" w:rsidR="003B1C04" w:rsidRPr="00B9281E" w:rsidRDefault="003B1C04" w:rsidP="006379FE">
            <w:pPr>
              <w:pStyle w:val="BodyText"/>
              <w:spacing w:before="60" w:after="60"/>
              <w:jc w:val="left"/>
              <w:rPr>
                <w:rFonts w:ascii="Times New Roman" w:hAnsi="Times New Roman"/>
                <w:color w:val="000000" w:themeColor="text1"/>
                <w:sz w:val="20"/>
                <w:szCs w:val="20"/>
              </w:rPr>
            </w:pPr>
            <w:r w:rsidRPr="00B9281E">
              <w:rPr>
                <w:rFonts w:ascii="Times New Roman" w:hAnsi="Times New Roman"/>
                <w:color w:val="000000" w:themeColor="text1"/>
                <w:sz w:val="20"/>
                <w:szCs w:val="20"/>
              </w:rPr>
              <w:t xml:space="preserve">Bureau of Infrastructure, Transport and Regional Economics (BITRE) and Australasian Railway Association (ARA), </w:t>
            </w:r>
            <w:proofErr w:type="spellStart"/>
            <w:r w:rsidRPr="00B9281E">
              <w:rPr>
                <w:rFonts w:ascii="Times New Roman" w:hAnsi="Times New Roman"/>
                <w:color w:val="000000" w:themeColor="text1"/>
                <w:sz w:val="20"/>
                <w:szCs w:val="20"/>
              </w:rPr>
              <w:t>Trainline</w:t>
            </w:r>
            <w:proofErr w:type="spellEnd"/>
            <w:r w:rsidRPr="00B9281E">
              <w:rPr>
                <w:rFonts w:ascii="Times New Roman" w:hAnsi="Times New Roman"/>
                <w:color w:val="000000" w:themeColor="text1"/>
                <w:sz w:val="20"/>
                <w:szCs w:val="20"/>
              </w:rPr>
              <w:t xml:space="preserve"> 4 Statistical Report, November 2018.</w:t>
            </w:r>
          </w:p>
        </w:tc>
      </w:tr>
      <w:tr w:rsidR="003B1C04" w:rsidRPr="00D37A89" w14:paraId="033A4D55" w14:textId="77777777" w:rsidTr="0095284B">
        <w:trPr>
          <w:trHeight w:val="342"/>
        </w:trPr>
        <w:tc>
          <w:tcPr>
            <w:tcW w:w="1956" w:type="dxa"/>
          </w:tcPr>
          <w:p w14:paraId="0990DB7F" w14:textId="77777777" w:rsidR="003B1C04" w:rsidRPr="004D71A5" w:rsidRDefault="003B1C04" w:rsidP="006379FE">
            <w:pPr>
              <w:pStyle w:val="BodyText"/>
              <w:spacing w:before="60" w:after="60"/>
              <w:jc w:val="left"/>
              <w:rPr>
                <w:rFonts w:ascii="Times New Roman" w:hAnsi="Times New Roman"/>
                <w:color w:val="00B0F0"/>
                <w:sz w:val="20"/>
                <w:szCs w:val="20"/>
              </w:rPr>
            </w:pPr>
            <w:r w:rsidRPr="009A3444">
              <w:rPr>
                <w:rFonts w:ascii="Times New Roman" w:hAnsi="Times New Roman"/>
                <w:color w:val="000000" w:themeColor="text1"/>
                <w:sz w:val="20"/>
                <w:szCs w:val="20"/>
              </w:rPr>
              <w:t>CG 2019</w:t>
            </w:r>
          </w:p>
        </w:tc>
        <w:tc>
          <w:tcPr>
            <w:tcW w:w="7683" w:type="dxa"/>
          </w:tcPr>
          <w:p w14:paraId="15413FD3" w14:textId="77777777" w:rsidR="003B1C04" w:rsidRPr="004D71A5" w:rsidRDefault="003B1C04" w:rsidP="006379FE">
            <w:pPr>
              <w:pStyle w:val="BodyText"/>
              <w:spacing w:before="60" w:after="60"/>
              <w:jc w:val="left"/>
              <w:rPr>
                <w:rFonts w:ascii="Times New Roman" w:hAnsi="Times New Roman"/>
                <w:color w:val="00B0F0"/>
                <w:sz w:val="20"/>
                <w:szCs w:val="20"/>
              </w:rPr>
            </w:pPr>
            <w:r w:rsidRPr="009A3444">
              <w:rPr>
                <w:rFonts w:ascii="Times New Roman" w:hAnsi="Times New Roman"/>
                <w:color w:val="000000" w:themeColor="text1"/>
                <w:sz w:val="20"/>
                <w:szCs w:val="20"/>
              </w:rPr>
              <w:t>Coles Group, Annual Report 2019.</w:t>
            </w:r>
          </w:p>
        </w:tc>
      </w:tr>
      <w:tr w:rsidR="003B1C04" w:rsidRPr="009B1A87" w14:paraId="5F4E55D1" w14:textId="77777777" w:rsidTr="0095284B">
        <w:trPr>
          <w:trHeight w:val="342"/>
        </w:trPr>
        <w:tc>
          <w:tcPr>
            <w:tcW w:w="1956" w:type="dxa"/>
          </w:tcPr>
          <w:p w14:paraId="6EB57AE3" w14:textId="77777777" w:rsidR="003B1C04" w:rsidRPr="003B1C04" w:rsidRDefault="003B1C04" w:rsidP="006379FE">
            <w:pPr>
              <w:pStyle w:val="BodyText"/>
              <w:spacing w:before="60" w:after="60"/>
              <w:jc w:val="left"/>
              <w:rPr>
                <w:rFonts w:ascii="Times New Roman" w:hAnsi="Times New Roman"/>
                <w:color w:val="000000" w:themeColor="text1"/>
                <w:sz w:val="20"/>
                <w:szCs w:val="20"/>
              </w:rPr>
            </w:pPr>
            <w:r w:rsidRPr="003B1C04">
              <w:rPr>
                <w:rFonts w:ascii="Times New Roman" w:hAnsi="Times New Roman"/>
                <w:color w:val="000000" w:themeColor="text1"/>
                <w:sz w:val="20"/>
                <w:szCs w:val="20"/>
              </w:rPr>
              <w:t>CRC 2015</w:t>
            </w:r>
          </w:p>
        </w:tc>
        <w:tc>
          <w:tcPr>
            <w:tcW w:w="7683" w:type="dxa"/>
          </w:tcPr>
          <w:p w14:paraId="43383B78" w14:textId="77777777" w:rsidR="003B1C04" w:rsidRPr="003B1C04" w:rsidRDefault="003B1C04" w:rsidP="006379FE">
            <w:pPr>
              <w:pStyle w:val="BodyText"/>
              <w:spacing w:before="60" w:after="60"/>
              <w:jc w:val="left"/>
              <w:rPr>
                <w:rFonts w:ascii="Times New Roman" w:hAnsi="Times New Roman"/>
                <w:color w:val="000000" w:themeColor="text1"/>
                <w:sz w:val="20"/>
                <w:szCs w:val="20"/>
              </w:rPr>
            </w:pPr>
            <w:r w:rsidRPr="003B1C04">
              <w:rPr>
                <w:rFonts w:ascii="Times New Roman" w:hAnsi="Times New Roman"/>
                <w:color w:val="000000" w:themeColor="text1"/>
                <w:sz w:val="20"/>
                <w:szCs w:val="20"/>
              </w:rPr>
              <w:t>Refrigeration from Catch to Market, A study of refrigeration technology options for the Northern Prawn Fishery and the Sydney Fish Markets; and A new refrigeration system reference design and demonstration prototype for fishing vessels by Expert Group for Seafood CRC, Fisheries Research and Development Corporation and the Northern Prawn Fisheries (NPF Industry Ltd).</w:t>
            </w:r>
          </w:p>
        </w:tc>
      </w:tr>
      <w:tr w:rsidR="003B1C04" w:rsidRPr="009B1A87" w14:paraId="70D0F8CF" w14:textId="77777777" w:rsidTr="0095284B">
        <w:trPr>
          <w:trHeight w:val="342"/>
        </w:trPr>
        <w:tc>
          <w:tcPr>
            <w:tcW w:w="1956" w:type="dxa"/>
          </w:tcPr>
          <w:p w14:paraId="5B3F09FE" w14:textId="77777777" w:rsidR="003B1C04" w:rsidRPr="008B627D" w:rsidRDefault="003B1C04" w:rsidP="006379FE">
            <w:pPr>
              <w:pStyle w:val="BodyText"/>
              <w:spacing w:before="60" w:after="60"/>
              <w:jc w:val="left"/>
              <w:rPr>
                <w:rFonts w:ascii="Times New Roman" w:hAnsi="Times New Roman"/>
                <w:color w:val="000000" w:themeColor="text1"/>
                <w:sz w:val="20"/>
                <w:szCs w:val="20"/>
              </w:rPr>
            </w:pPr>
            <w:r w:rsidRPr="008B627D">
              <w:rPr>
                <w:rFonts w:ascii="Times New Roman" w:hAnsi="Times New Roman"/>
                <w:color w:val="000000" w:themeColor="text1"/>
                <w:sz w:val="20"/>
                <w:szCs w:val="20"/>
              </w:rPr>
              <w:t>CVIAA 2019</w:t>
            </w:r>
          </w:p>
        </w:tc>
        <w:tc>
          <w:tcPr>
            <w:tcW w:w="7683" w:type="dxa"/>
          </w:tcPr>
          <w:p w14:paraId="1C6F31AA" w14:textId="77777777" w:rsidR="003B1C04" w:rsidRPr="008B627D" w:rsidRDefault="003B1C04" w:rsidP="006379FE">
            <w:pPr>
              <w:pStyle w:val="BodyText"/>
              <w:spacing w:before="60" w:after="60"/>
              <w:jc w:val="left"/>
              <w:rPr>
                <w:rFonts w:ascii="Times New Roman" w:hAnsi="Times New Roman"/>
                <w:color w:val="000000" w:themeColor="text1"/>
                <w:sz w:val="20"/>
                <w:szCs w:val="20"/>
              </w:rPr>
            </w:pPr>
            <w:r w:rsidRPr="008B627D">
              <w:rPr>
                <w:rFonts w:ascii="Times New Roman" w:hAnsi="Times New Roman"/>
                <w:color w:val="000000" w:themeColor="text1"/>
                <w:sz w:val="20"/>
                <w:szCs w:val="20"/>
              </w:rPr>
              <w:t>Caravan and Campervan Data Report 2018, Caravan Industry Association of Australia Ltd, Published January 2019.</w:t>
            </w:r>
          </w:p>
        </w:tc>
      </w:tr>
      <w:tr w:rsidR="003B1C04" w:rsidRPr="00733EA3" w14:paraId="30CECC8A" w14:textId="77777777" w:rsidTr="0095284B">
        <w:trPr>
          <w:trHeight w:val="342"/>
        </w:trPr>
        <w:tc>
          <w:tcPr>
            <w:tcW w:w="1956" w:type="dxa"/>
          </w:tcPr>
          <w:p w14:paraId="45752B90" w14:textId="77777777" w:rsidR="003B1C04" w:rsidRPr="00443F81" w:rsidRDefault="003B1C04" w:rsidP="006379FE">
            <w:pPr>
              <w:pStyle w:val="BodyText"/>
              <w:spacing w:before="60" w:after="60"/>
              <w:ind w:left="1440" w:hanging="1440"/>
              <w:jc w:val="left"/>
              <w:rPr>
                <w:rFonts w:ascii="Times New Roman" w:hAnsi="Times New Roman"/>
                <w:sz w:val="20"/>
                <w:szCs w:val="20"/>
              </w:rPr>
            </w:pPr>
            <w:proofErr w:type="spellStart"/>
            <w:r w:rsidRPr="00443F81">
              <w:rPr>
                <w:rFonts w:ascii="Times New Roman" w:hAnsi="Times New Roman"/>
                <w:sz w:val="20"/>
                <w:szCs w:val="20"/>
              </w:rPr>
              <w:t>DoEE</w:t>
            </w:r>
            <w:proofErr w:type="spellEnd"/>
            <w:r w:rsidRPr="00443F81">
              <w:rPr>
                <w:rFonts w:ascii="Times New Roman" w:hAnsi="Times New Roman"/>
                <w:sz w:val="20"/>
                <w:szCs w:val="20"/>
              </w:rPr>
              <w:t xml:space="preserve"> 201</w:t>
            </w:r>
            <w:r>
              <w:rPr>
                <w:rFonts w:ascii="Times New Roman" w:hAnsi="Times New Roman"/>
                <w:sz w:val="20"/>
                <w:szCs w:val="20"/>
              </w:rPr>
              <w:t>9</w:t>
            </w:r>
            <w:r w:rsidRPr="00443F81">
              <w:rPr>
                <w:rFonts w:ascii="Times New Roman" w:hAnsi="Times New Roman"/>
                <w:sz w:val="20"/>
                <w:szCs w:val="20"/>
              </w:rPr>
              <w:t>a</w:t>
            </w:r>
          </w:p>
        </w:tc>
        <w:tc>
          <w:tcPr>
            <w:tcW w:w="7683" w:type="dxa"/>
          </w:tcPr>
          <w:p w14:paraId="3B150788" w14:textId="77777777" w:rsidR="003B1C04" w:rsidRPr="00443F81" w:rsidRDefault="003B1C04" w:rsidP="006379FE">
            <w:pPr>
              <w:pStyle w:val="BodyText"/>
              <w:spacing w:before="60" w:after="60"/>
              <w:jc w:val="left"/>
              <w:rPr>
                <w:rFonts w:ascii="Times New Roman" w:hAnsi="Times New Roman"/>
                <w:sz w:val="20"/>
                <w:szCs w:val="20"/>
              </w:rPr>
            </w:pPr>
            <w:r w:rsidRPr="00443F81">
              <w:rPr>
                <w:rFonts w:ascii="Times New Roman" w:hAnsi="Times New Roman"/>
                <w:sz w:val="20"/>
                <w:szCs w:val="20"/>
              </w:rPr>
              <w:t xml:space="preserve">Data (i.e. bulk and pre-charged equipment import statistics by quantity, mass, species, </w:t>
            </w:r>
            <w:proofErr w:type="spellStart"/>
            <w:r w:rsidRPr="00443F81">
              <w:rPr>
                <w:rFonts w:ascii="Times New Roman" w:hAnsi="Times New Roman"/>
                <w:sz w:val="20"/>
                <w:szCs w:val="20"/>
              </w:rPr>
              <w:t>licence</w:t>
            </w:r>
            <w:proofErr w:type="spellEnd"/>
            <w:r w:rsidRPr="00443F81">
              <w:rPr>
                <w:rFonts w:ascii="Times New Roman" w:hAnsi="Times New Roman"/>
                <w:sz w:val="20"/>
                <w:szCs w:val="20"/>
              </w:rPr>
              <w:t xml:space="preserve"> holder, product category from 2006 to 201</w:t>
            </w:r>
            <w:r>
              <w:rPr>
                <w:rFonts w:ascii="Times New Roman" w:hAnsi="Times New Roman"/>
                <w:sz w:val="20"/>
                <w:szCs w:val="20"/>
              </w:rPr>
              <w:t>8</w:t>
            </w:r>
            <w:r w:rsidRPr="00443F81">
              <w:rPr>
                <w:rFonts w:ascii="Times New Roman" w:hAnsi="Times New Roman"/>
                <w:sz w:val="20"/>
                <w:szCs w:val="20"/>
              </w:rPr>
              <w:t xml:space="preserve">) provided by the Department of the Environment and Energy, Ozone and Synthetic Gas Team, </w:t>
            </w:r>
            <w:r>
              <w:rPr>
                <w:rFonts w:ascii="Times New Roman" w:hAnsi="Times New Roman"/>
                <w:sz w:val="20"/>
                <w:szCs w:val="20"/>
              </w:rPr>
              <w:t>February</w:t>
            </w:r>
            <w:r w:rsidRPr="00443F81">
              <w:rPr>
                <w:rFonts w:ascii="Times New Roman" w:hAnsi="Times New Roman"/>
                <w:sz w:val="20"/>
                <w:szCs w:val="20"/>
              </w:rPr>
              <w:t xml:space="preserve"> 201</w:t>
            </w:r>
            <w:r>
              <w:rPr>
                <w:rFonts w:ascii="Times New Roman" w:hAnsi="Times New Roman"/>
                <w:sz w:val="20"/>
                <w:szCs w:val="20"/>
              </w:rPr>
              <w:t>9</w:t>
            </w:r>
            <w:r w:rsidRPr="00443F81">
              <w:rPr>
                <w:rFonts w:ascii="Times New Roman" w:hAnsi="Times New Roman"/>
                <w:sz w:val="20"/>
                <w:szCs w:val="20"/>
              </w:rPr>
              <w:t>.</w:t>
            </w:r>
          </w:p>
        </w:tc>
      </w:tr>
      <w:tr w:rsidR="003B1C04" w:rsidRPr="0031459F" w14:paraId="440FA3DD" w14:textId="77777777" w:rsidTr="0095284B">
        <w:trPr>
          <w:trHeight w:val="342"/>
        </w:trPr>
        <w:tc>
          <w:tcPr>
            <w:tcW w:w="1956" w:type="dxa"/>
          </w:tcPr>
          <w:p w14:paraId="0889A5B3" w14:textId="77777777" w:rsidR="003B1C04" w:rsidRPr="0031459F" w:rsidRDefault="003B1C04" w:rsidP="006379FE">
            <w:pPr>
              <w:pStyle w:val="BodyText"/>
              <w:spacing w:before="60" w:after="60"/>
              <w:ind w:left="1440" w:hanging="1440"/>
              <w:jc w:val="left"/>
              <w:rPr>
                <w:rFonts w:ascii="Times New Roman" w:hAnsi="Times New Roman"/>
                <w:color w:val="000000" w:themeColor="text1"/>
                <w:sz w:val="20"/>
                <w:szCs w:val="20"/>
              </w:rPr>
            </w:pPr>
            <w:proofErr w:type="spellStart"/>
            <w:r w:rsidRPr="0031459F">
              <w:rPr>
                <w:rFonts w:ascii="Times New Roman" w:hAnsi="Times New Roman"/>
                <w:color w:val="000000" w:themeColor="text1"/>
                <w:sz w:val="20"/>
                <w:szCs w:val="20"/>
              </w:rPr>
              <w:t>DoEE</w:t>
            </w:r>
            <w:proofErr w:type="spellEnd"/>
            <w:r w:rsidRPr="0031459F">
              <w:rPr>
                <w:rFonts w:ascii="Times New Roman" w:hAnsi="Times New Roman"/>
                <w:color w:val="000000" w:themeColor="text1"/>
                <w:sz w:val="20"/>
                <w:szCs w:val="20"/>
              </w:rPr>
              <w:t xml:space="preserve"> 2019b</w:t>
            </w:r>
          </w:p>
        </w:tc>
        <w:tc>
          <w:tcPr>
            <w:tcW w:w="7683" w:type="dxa"/>
          </w:tcPr>
          <w:p w14:paraId="23A67628" w14:textId="60090139" w:rsidR="003B1C04" w:rsidRPr="0031459F" w:rsidRDefault="003B1C04" w:rsidP="006379FE">
            <w:pPr>
              <w:pStyle w:val="BodyText"/>
              <w:spacing w:before="60" w:after="60"/>
              <w:jc w:val="left"/>
              <w:rPr>
                <w:rFonts w:ascii="Times New Roman" w:hAnsi="Times New Roman"/>
                <w:color w:val="000000" w:themeColor="text1"/>
                <w:sz w:val="20"/>
                <w:szCs w:val="20"/>
              </w:rPr>
            </w:pPr>
            <w:r w:rsidRPr="0031459F">
              <w:rPr>
                <w:rFonts w:ascii="Times New Roman" w:hAnsi="Times New Roman"/>
                <w:color w:val="000000" w:themeColor="text1"/>
                <w:sz w:val="20"/>
                <w:szCs w:val="20"/>
              </w:rPr>
              <w:t>Australian Energy Statistics 2018, Department of the Environment and Energy,</w:t>
            </w:r>
            <w:r w:rsidRPr="0031459F">
              <w:rPr>
                <w:color w:val="000000" w:themeColor="text1"/>
              </w:rPr>
              <w:t xml:space="preserve"> </w:t>
            </w:r>
            <w:r w:rsidRPr="0031459F">
              <w:rPr>
                <w:rFonts w:ascii="Times New Roman" w:hAnsi="Times New Roman"/>
                <w:color w:val="000000" w:themeColor="text1"/>
                <w:sz w:val="20"/>
                <w:szCs w:val="20"/>
              </w:rPr>
              <w:t>March 2019</w:t>
            </w:r>
            <w:r w:rsidR="002D5B2F">
              <w:rPr>
                <w:rFonts w:ascii="Times New Roman" w:hAnsi="Times New Roman"/>
                <w:color w:val="000000" w:themeColor="text1"/>
                <w:sz w:val="20"/>
                <w:szCs w:val="20"/>
              </w:rPr>
              <w:t>.</w:t>
            </w:r>
          </w:p>
        </w:tc>
      </w:tr>
      <w:tr w:rsidR="00253B71" w:rsidRPr="00D37A89" w14:paraId="041A48AD" w14:textId="77777777" w:rsidTr="0095284B">
        <w:trPr>
          <w:trHeight w:val="342"/>
        </w:trPr>
        <w:tc>
          <w:tcPr>
            <w:tcW w:w="1956" w:type="dxa"/>
          </w:tcPr>
          <w:p w14:paraId="733FDF5F" w14:textId="084D596E" w:rsidR="00253B71" w:rsidRPr="00FE2EE0" w:rsidRDefault="00253B71" w:rsidP="006379FE">
            <w:pPr>
              <w:pStyle w:val="BodyText"/>
              <w:spacing w:before="60" w:after="60"/>
              <w:ind w:left="1440" w:hanging="1440"/>
              <w:jc w:val="left"/>
              <w:rPr>
                <w:rFonts w:ascii="Times New Roman" w:hAnsi="Times New Roman"/>
                <w:color w:val="000000" w:themeColor="text1"/>
                <w:sz w:val="20"/>
                <w:szCs w:val="20"/>
              </w:rPr>
            </w:pPr>
            <w:proofErr w:type="spellStart"/>
            <w:r w:rsidRPr="0031459F">
              <w:rPr>
                <w:rFonts w:ascii="Times New Roman" w:hAnsi="Times New Roman"/>
                <w:color w:val="000000" w:themeColor="text1"/>
                <w:sz w:val="20"/>
                <w:szCs w:val="20"/>
              </w:rPr>
              <w:t>DoEE</w:t>
            </w:r>
            <w:proofErr w:type="spellEnd"/>
            <w:r w:rsidRPr="0031459F">
              <w:rPr>
                <w:rFonts w:ascii="Times New Roman" w:hAnsi="Times New Roman"/>
                <w:color w:val="000000" w:themeColor="text1"/>
                <w:sz w:val="20"/>
                <w:szCs w:val="20"/>
              </w:rPr>
              <w:t xml:space="preserve"> 2019</w:t>
            </w:r>
            <w:r>
              <w:rPr>
                <w:rFonts w:ascii="Times New Roman" w:hAnsi="Times New Roman"/>
                <w:color w:val="000000" w:themeColor="text1"/>
                <w:sz w:val="20"/>
                <w:szCs w:val="20"/>
              </w:rPr>
              <w:t>c</w:t>
            </w:r>
          </w:p>
        </w:tc>
        <w:tc>
          <w:tcPr>
            <w:tcW w:w="7683" w:type="dxa"/>
          </w:tcPr>
          <w:p w14:paraId="74693B71" w14:textId="599C662F" w:rsidR="00253B71" w:rsidRPr="00FE2EE0" w:rsidRDefault="002D5B2F" w:rsidP="006379FE">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 xml:space="preserve">Cold Hard Facts 3, </w:t>
            </w:r>
            <w:r w:rsidRPr="0031459F">
              <w:rPr>
                <w:rFonts w:ascii="Times New Roman" w:hAnsi="Times New Roman"/>
                <w:color w:val="000000" w:themeColor="text1"/>
                <w:sz w:val="20"/>
                <w:szCs w:val="20"/>
              </w:rPr>
              <w:t>Department of the Environment and Energy,</w:t>
            </w:r>
            <w:r w:rsidRPr="002D5B2F">
              <w:rPr>
                <w:rFonts w:ascii="Times New Roman" w:hAnsi="Times New Roman"/>
                <w:color w:val="000000" w:themeColor="text1"/>
                <w:sz w:val="20"/>
                <w:szCs w:val="20"/>
              </w:rPr>
              <w:t xml:space="preserve"> September </w:t>
            </w:r>
            <w:r w:rsidRPr="0031459F">
              <w:rPr>
                <w:rFonts w:ascii="Times New Roman" w:hAnsi="Times New Roman"/>
                <w:color w:val="000000" w:themeColor="text1"/>
                <w:sz w:val="20"/>
                <w:szCs w:val="20"/>
              </w:rPr>
              <w:t>201</w:t>
            </w:r>
            <w:r>
              <w:rPr>
                <w:rFonts w:ascii="Times New Roman" w:hAnsi="Times New Roman"/>
                <w:color w:val="000000" w:themeColor="text1"/>
                <w:sz w:val="20"/>
                <w:szCs w:val="20"/>
              </w:rPr>
              <w:t>8.</w:t>
            </w:r>
          </w:p>
        </w:tc>
      </w:tr>
      <w:tr w:rsidR="003B1C04" w:rsidRPr="00D37A89" w14:paraId="47DEA160" w14:textId="77777777" w:rsidTr="0095284B">
        <w:trPr>
          <w:trHeight w:val="342"/>
        </w:trPr>
        <w:tc>
          <w:tcPr>
            <w:tcW w:w="1956" w:type="dxa"/>
          </w:tcPr>
          <w:p w14:paraId="01B89F1E" w14:textId="77777777" w:rsidR="003B1C04" w:rsidRPr="00FE2EE0" w:rsidRDefault="003B1C04" w:rsidP="006379FE">
            <w:pPr>
              <w:pStyle w:val="BodyText"/>
              <w:spacing w:before="60" w:after="60"/>
              <w:ind w:left="1440" w:hanging="1440"/>
              <w:jc w:val="left"/>
              <w:rPr>
                <w:rFonts w:ascii="Times New Roman" w:hAnsi="Times New Roman"/>
                <w:color w:val="000000" w:themeColor="text1"/>
                <w:sz w:val="20"/>
                <w:szCs w:val="20"/>
              </w:rPr>
            </w:pPr>
            <w:proofErr w:type="spellStart"/>
            <w:r w:rsidRPr="00FE2EE0">
              <w:rPr>
                <w:rFonts w:ascii="Times New Roman" w:hAnsi="Times New Roman"/>
                <w:color w:val="000000" w:themeColor="text1"/>
                <w:sz w:val="20"/>
                <w:szCs w:val="20"/>
              </w:rPr>
              <w:t>DoEE</w:t>
            </w:r>
            <w:proofErr w:type="spellEnd"/>
            <w:r w:rsidRPr="00FE2EE0">
              <w:rPr>
                <w:rFonts w:ascii="Times New Roman" w:hAnsi="Times New Roman"/>
                <w:color w:val="000000" w:themeColor="text1"/>
                <w:sz w:val="20"/>
                <w:szCs w:val="20"/>
              </w:rPr>
              <w:t xml:space="preserve"> 2015a</w:t>
            </w:r>
          </w:p>
        </w:tc>
        <w:tc>
          <w:tcPr>
            <w:tcW w:w="7683" w:type="dxa"/>
          </w:tcPr>
          <w:p w14:paraId="22BD0111"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Assessment of environmental impacts from the Ozone Protection and Synthetic Greenhouse Gas Management Act 1989 (the OPSGGM Act) prepared by Expert Group for the Australian Government, Department of Environment and Energy, Ozone and Synthetic Gas Team. Refer Attachment B: Environmental Impact Assessment, April 2015.</w:t>
            </w:r>
          </w:p>
        </w:tc>
      </w:tr>
      <w:tr w:rsidR="003B1C04" w:rsidRPr="00D37A89" w14:paraId="27C67C12" w14:textId="77777777" w:rsidTr="0095284B">
        <w:trPr>
          <w:trHeight w:val="342"/>
        </w:trPr>
        <w:tc>
          <w:tcPr>
            <w:tcW w:w="1956" w:type="dxa"/>
          </w:tcPr>
          <w:p w14:paraId="42E1B332" w14:textId="77777777" w:rsidR="003B1C04" w:rsidRPr="00FE2EE0" w:rsidRDefault="003B1C04" w:rsidP="006379FE">
            <w:pPr>
              <w:pStyle w:val="BodyText"/>
              <w:spacing w:before="60" w:after="60"/>
              <w:ind w:left="1440" w:hanging="1440"/>
              <w:jc w:val="left"/>
              <w:rPr>
                <w:rFonts w:ascii="Times New Roman" w:hAnsi="Times New Roman"/>
                <w:color w:val="000000" w:themeColor="text1"/>
                <w:sz w:val="20"/>
                <w:szCs w:val="20"/>
              </w:rPr>
            </w:pPr>
            <w:proofErr w:type="spellStart"/>
            <w:r w:rsidRPr="00FE2EE0">
              <w:rPr>
                <w:rFonts w:ascii="Times New Roman" w:hAnsi="Times New Roman"/>
                <w:color w:val="000000" w:themeColor="text1"/>
                <w:sz w:val="20"/>
                <w:szCs w:val="20"/>
              </w:rPr>
              <w:t>DoEE</w:t>
            </w:r>
            <w:proofErr w:type="spellEnd"/>
            <w:r w:rsidRPr="00FE2EE0">
              <w:rPr>
                <w:rFonts w:ascii="Times New Roman" w:hAnsi="Times New Roman"/>
                <w:color w:val="000000" w:themeColor="text1"/>
                <w:sz w:val="20"/>
                <w:szCs w:val="20"/>
              </w:rPr>
              <w:t xml:space="preserve"> 2015b</w:t>
            </w:r>
          </w:p>
        </w:tc>
        <w:tc>
          <w:tcPr>
            <w:tcW w:w="7683" w:type="dxa"/>
          </w:tcPr>
          <w:p w14:paraId="67A45E67"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Environmental Impacts of Refrigerant Gas in End-of-Life Vehicles in Australia, Expert Group for the Australian Government, Department of Environment and Energy, Ozone and Synthetic Gas Team, March 2015.</w:t>
            </w:r>
          </w:p>
        </w:tc>
      </w:tr>
      <w:tr w:rsidR="003B1C04" w:rsidRPr="00D37A89" w14:paraId="23588A90" w14:textId="77777777" w:rsidTr="0095284B">
        <w:trPr>
          <w:trHeight w:val="342"/>
        </w:trPr>
        <w:tc>
          <w:tcPr>
            <w:tcW w:w="1956" w:type="dxa"/>
          </w:tcPr>
          <w:p w14:paraId="0492928A"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proofErr w:type="spellStart"/>
            <w:r w:rsidRPr="00FE2EE0">
              <w:rPr>
                <w:rFonts w:ascii="Times New Roman" w:hAnsi="Times New Roman"/>
                <w:color w:val="000000" w:themeColor="text1"/>
                <w:sz w:val="20"/>
                <w:szCs w:val="20"/>
              </w:rPr>
              <w:t>DoEE</w:t>
            </w:r>
            <w:proofErr w:type="spellEnd"/>
            <w:r w:rsidRPr="00FE2EE0">
              <w:rPr>
                <w:rFonts w:ascii="Times New Roman" w:hAnsi="Times New Roman"/>
                <w:color w:val="000000" w:themeColor="text1"/>
                <w:sz w:val="20"/>
                <w:szCs w:val="20"/>
              </w:rPr>
              <w:t xml:space="preserve"> 2014</w:t>
            </w:r>
          </w:p>
        </w:tc>
        <w:tc>
          <w:tcPr>
            <w:tcW w:w="7683" w:type="dxa"/>
          </w:tcPr>
          <w:p w14:paraId="060C5D00"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A study into HFC consumption in Australia in 2013, and an assessment of the capacity of Australian industry to transition in accordance with the North American Amendment proposal, under the Montreal Protocol, by Expert Group for the Australian Government, Department of Environment and Energy, Environmental Standards Branch, March 2015.</w:t>
            </w:r>
          </w:p>
        </w:tc>
      </w:tr>
      <w:tr w:rsidR="003B1C04" w:rsidRPr="00D37A89" w14:paraId="64BFE01A" w14:textId="77777777" w:rsidTr="0095284B">
        <w:trPr>
          <w:trHeight w:val="342"/>
        </w:trPr>
        <w:tc>
          <w:tcPr>
            <w:tcW w:w="1956" w:type="dxa"/>
          </w:tcPr>
          <w:p w14:paraId="16C88DAF"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proofErr w:type="spellStart"/>
            <w:r w:rsidRPr="00FE2EE0">
              <w:rPr>
                <w:rFonts w:ascii="Times New Roman" w:hAnsi="Times New Roman"/>
                <w:color w:val="000000" w:themeColor="text1"/>
                <w:sz w:val="20"/>
                <w:szCs w:val="20"/>
              </w:rPr>
              <w:t>DoEE</w:t>
            </w:r>
            <w:proofErr w:type="spellEnd"/>
            <w:r w:rsidRPr="00FE2EE0">
              <w:rPr>
                <w:rFonts w:ascii="Times New Roman" w:hAnsi="Times New Roman"/>
                <w:color w:val="000000" w:themeColor="text1"/>
                <w:sz w:val="20"/>
                <w:szCs w:val="20"/>
              </w:rPr>
              <w:t xml:space="preserve"> 2013</w:t>
            </w:r>
          </w:p>
        </w:tc>
        <w:tc>
          <w:tcPr>
            <w:tcW w:w="7683" w:type="dxa"/>
          </w:tcPr>
          <w:p w14:paraId="26F01E1C"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Cold Hard Facts 2, A study of the refrigeration and air conditioning industry in Australia and associated model, prepared by Expert Group for the Department of the Environment, Ozone and Synthetic Gas Team 2013.</w:t>
            </w:r>
          </w:p>
        </w:tc>
      </w:tr>
      <w:tr w:rsidR="003B1C04" w:rsidRPr="00D37A89" w14:paraId="4B396D32" w14:textId="77777777" w:rsidTr="0095284B">
        <w:trPr>
          <w:trHeight w:val="342"/>
        </w:trPr>
        <w:tc>
          <w:tcPr>
            <w:tcW w:w="1956" w:type="dxa"/>
          </w:tcPr>
          <w:p w14:paraId="30052DAC"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proofErr w:type="spellStart"/>
            <w:r w:rsidRPr="00FE2EE0">
              <w:rPr>
                <w:rFonts w:ascii="Times New Roman" w:hAnsi="Times New Roman"/>
                <w:color w:val="000000" w:themeColor="text1"/>
                <w:sz w:val="20"/>
                <w:szCs w:val="20"/>
              </w:rPr>
              <w:t>DoEE</w:t>
            </w:r>
            <w:proofErr w:type="spellEnd"/>
            <w:r w:rsidRPr="00FE2EE0">
              <w:rPr>
                <w:rFonts w:ascii="Times New Roman" w:hAnsi="Times New Roman"/>
                <w:color w:val="000000" w:themeColor="text1"/>
                <w:sz w:val="20"/>
                <w:szCs w:val="20"/>
              </w:rPr>
              <w:t xml:space="preserve"> 2008</w:t>
            </w:r>
          </w:p>
        </w:tc>
        <w:tc>
          <w:tcPr>
            <w:tcW w:w="7683" w:type="dxa"/>
          </w:tcPr>
          <w:p w14:paraId="51B5EC5C"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 xml:space="preserve">ODS and SGGs in Australia: A study of end uses, emissions and opportunities for reclamation, prepared by Peter </w:t>
            </w:r>
            <w:proofErr w:type="spellStart"/>
            <w:r w:rsidRPr="00FE2EE0">
              <w:rPr>
                <w:rFonts w:ascii="Times New Roman" w:hAnsi="Times New Roman"/>
                <w:color w:val="000000" w:themeColor="text1"/>
                <w:sz w:val="20"/>
                <w:szCs w:val="20"/>
              </w:rPr>
              <w:t>Brodribb</w:t>
            </w:r>
            <w:proofErr w:type="spellEnd"/>
            <w:r w:rsidRPr="00FE2EE0">
              <w:rPr>
                <w:rFonts w:ascii="Times New Roman" w:hAnsi="Times New Roman"/>
                <w:color w:val="000000" w:themeColor="text1"/>
                <w:sz w:val="20"/>
                <w:szCs w:val="20"/>
              </w:rPr>
              <w:t xml:space="preserve"> and Michael McCann for Department of the Environment, Water, Heritage and the Arts, Ozone &amp; Synthetic Gas Team, 2008.</w:t>
            </w:r>
          </w:p>
        </w:tc>
      </w:tr>
      <w:tr w:rsidR="003B1C04" w:rsidRPr="00D37A89" w14:paraId="2E63B5B3" w14:textId="77777777" w:rsidTr="0095284B">
        <w:trPr>
          <w:trHeight w:val="342"/>
        </w:trPr>
        <w:tc>
          <w:tcPr>
            <w:tcW w:w="1956" w:type="dxa"/>
          </w:tcPr>
          <w:p w14:paraId="751F06F4"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proofErr w:type="spellStart"/>
            <w:r w:rsidRPr="00FE2EE0">
              <w:rPr>
                <w:rFonts w:ascii="Times New Roman" w:hAnsi="Times New Roman"/>
                <w:color w:val="000000" w:themeColor="text1"/>
                <w:sz w:val="20"/>
                <w:szCs w:val="20"/>
              </w:rPr>
              <w:t>DoEE</w:t>
            </w:r>
            <w:proofErr w:type="spellEnd"/>
            <w:r w:rsidRPr="00FE2EE0">
              <w:rPr>
                <w:rFonts w:ascii="Times New Roman" w:hAnsi="Times New Roman"/>
                <w:color w:val="000000" w:themeColor="text1"/>
                <w:sz w:val="20"/>
                <w:szCs w:val="20"/>
              </w:rPr>
              <w:t>, 2007</w:t>
            </w:r>
          </w:p>
        </w:tc>
        <w:tc>
          <w:tcPr>
            <w:tcW w:w="7683" w:type="dxa"/>
          </w:tcPr>
          <w:p w14:paraId="425ABF25"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Cold Hard Facts, prepared by Energy Strategies in association with Expert Group for DEWHA and Refrigerants Australia, 2007.</w:t>
            </w:r>
          </w:p>
        </w:tc>
      </w:tr>
      <w:tr w:rsidR="003B1C04" w:rsidRPr="00D37A89" w14:paraId="7402B2B8" w14:textId="77777777" w:rsidTr="0095284B">
        <w:trPr>
          <w:trHeight w:val="342"/>
        </w:trPr>
        <w:tc>
          <w:tcPr>
            <w:tcW w:w="1956" w:type="dxa"/>
          </w:tcPr>
          <w:p w14:paraId="423E63E7"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E3 2017a</w:t>
            </w:r>
          </w:p>
        </w:tc>
        <w:tc>
          <w:tcPr>
            <w:tcW w:w="7683" w:type="dxa"/>
          </w:tcPr>
          <w:p w14:paraId="6E8B6085"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 xml:space="preserve">Decision and Consultation Regulation Impact Statement Air conditioners, Chillers and Close Control Air Conditioner: Energy Modelling &amp; Cost Benefit Analysis prepared by </w:t>
            </w:r>
            <w:proofErr w:type="spellStart"/>
            <w:r w:rsidRPr="00FE2EE0">
              <w:rPr>
                <w:rFonts w:ascii="Times New Roman" w:hAnsi="Times New Roman"/>
                <w:color w:val="000000" w:themeColor="text1"/>
                <w:sz w:val="20"/>
                <w:szCs w:val="20"/>
              </w:rPr>
              <w:t>EnergyConsult</w:t>
            </w:r>
            <w:proofErr w:type="spellEnd"/>
            <w:r w:rsidRPr="00FE2EE0">
              <w:rPr>
                <w:rFonts w:ascii="Times New Roman" w:hAnsi="Times New Roman"/>
                <w:color w:val="000000" w:themeColor="text1"/>
                <w:sz w:val="20"/>
                <w:szCs w:val="20"/>
              </w:rPr>
              <w:t xml:space="preserve"> on behalf of the trans-Tasman Equipment Energy Efficiency (E3) </w:t>
            </w:r>
            <w:proofErr w:type="spellStart"/>
            <w:r w:rsidRPr="00FE2EE0">
              <w:rPr>
                <w:rFonts w:ascii="Times New Roman" w:hAnsi="Times New Roman"/>
                <w:color w:val="000000" w:themeColor="text1"/>
                <w:sz w:val="20"/>
                <w:szCs w:val="20"/>
              </w:rPr>
              <w:t>programme</w:t>
            </w:r>
            <w:proofErr w:type="spellEnd"/>
            <w:r w:rsidRPr="00FE2EE0">
              <w:rPr>
                <w:rFonts w:ascii="Times New Roman" w:hAnsi="Times New Roman"/>
                <w:color w:val="000000" w:themeColor="text1"/>
                <w:sz w:val="20"/>
                <w:szCs w:val="20"/>
              </w:rPr>
              <w:t>, 2015 to 2017. </w:t>
            </w:r>
          </w:p>
        </w:tc>
      </w:tr>
      <w:tr w:rsidR="003B1C04" w:rsidRPr="00D37A89" w14:paraId="779CD0D7" w14:textId="77777777" w:rsidTr="0095284B">
        <w:trPr>
          <w:trHeight w:val="342"/>
        </w:trPr>
        <w:tc>
          <w:tcPr>
            <w:tcW w:w="1956" w:type="dxa"/>
          </w:tcPr>
          <w:p w14:paraId="268F25F8"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E3 2017b</w:t>
            </w:r>
          </w:p>
        </w:tc>
        <w:tc>
          <w:tcPr>
            <w:tcW w:w="7683" w:type="dxa"/>
          </w:tcPr>
          <w:p w14:paraId="5CB06EF0"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 xml:space="preserve">Consultation Regulation Impact Statement - Fans in Australia and New Zealand, prepared by Sustainability Victoria (SV) and Expert Group on behalf of Equipment Energy Efficiency (E3) </w:t>
            </w:r>
            <w:proofErr w:type="spellStart"/>
            <w:r w:rsidRPr="00FE2EE0">
              <w:rPr>
                <w:rFonts w:ascii="Times New Roman" w:hAnsi="Times New Roman"/>
                <w:color w:val="000000" w:themeColor="text1"/>
                <w:sz w:val="20"/>
                <w:szCs w:val="20"/>
              </w:rPr>
              <w:t>programme</w:t>
            </w:r>
            <w:proofErr w:type="spellEnd"/>
            <w:r w:rsidRPr="00FE2EE0">
              <w:rPr>
                <w:rFonts w:ascii="Times New Roman" w:hAnsi="Times New Roman"/>
                <w:color w:val="000000" w:themeColor="text1"/>
                <w:sz w:val="20"/>
                <w:szCs w:val="20"/>
              </w:rPr>
              <w:t>, April 2017.</w:t>
            </w:r>
          </w:p>
        </w:tc>
      </w:tr>
      <w:tr w:rsidR="003B1C04" w:rsidRPr="00D37A89" w14:paraId="368F812C" w14:textId="77777777" w:rsidTr="0095284B">
        <w:trPr>
          <w:trHeight w:val="342"/>
        </w:trPr>
        <w:tc>
          <w:tcPr>
            <w:tcW w:w="1956" w:type="dxa"/>
          </w:tcPr>
          <w:p w14:paraId="5604B846"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E3 2016</w:t>
            </w:r>
          </w:p>
        </w:tc>
        <w:tc>
          <w:tcPr>
            <w:tcW w:w="7683" w:type="dxa"/>
          </w:tcPr>
          <w:p w14:paraId="0E1E2C20" w14:textId="77777777" w:rsidR="003B1C04" w:rsidRPr="00FE2EE0" w:rsidRDefault="003B1C04" w:rsidP="006379FE">
            <w:pPr>
              <w:pStyle w:val="BodyText"/>
              <w:spacing w:before="60" w:after="60"/>
              <w:jc w:val="left"/>
              <w:rPr>
                <w:rFonts w:ascii="Times New Roman" w:hAnsi="Times New Roman"/>
                <w:color w:val="000000" w:themeColor="text1"/>
                <w:sz w:val="20"/>
                <w:szCs w:val="20"/>
              </w:rPr>
            </w:pPr>
            <w:r w:rsidRPr="00FE2EE0">
              <w:rPr>
                <w:rFonts w:ascii="Times New Roman" w:hAnsi="Times New Roman"/>
                <w:color w:val="000000" w:themeColor="text1"/>
                <w:sz w:val="20"/>
                <w:szCs w:val="20"/>
              </w:rPr>
              <w:t xml:space="preserve">Consultation Regulation Impact Statement, Refrigerated Display and Storage Cabinets in Australia and New Zealand, prepared by Expert Group for Energy Efficiency and Conservation Authority (ECCA) on behalf of Equipment Energy Efficiency (E3) </w:t>
            </w:r>
            <w:proofErr w:type="spellStart"/>
            <w:r w:rsidRPr="00FE2EE0">
              <w:rPr>
                <w:rFonts w:ascii="Times New Roman" w:hAnsi="Times New Roman"/>
                <w:color w:val="000000" w:themeColor="text1"/>
                <w:sz w:val="20"/>
                <w:szCs w:val="20"/>
              </w:rPr>
              <w:t>programme</w:t>
            </w:r>
            <w:proofErr w:type="spellEnd"/>
            <w:r w:rsidRPr="00FE2EE0">
              <w:rPr>
                <w:rFonts w:ascii="Times New Roman" w:hAnsi="Times New Roman"/>
                <w:color w:val="000000" w:themeColor="text1"/>
                <w:sz w:val="20"/>
                <w:szCs w:val="20"/>
              </w:rPr>
              <w:t>, 2016.</w:t>
            </w:r>
          </w:p>
        </w:tc>
      </w:tr>
      <w:tr w:rsidR="003B1C04" w:rsidRPr="00D37A89" w14:paraId="38BA5388" w14:textId="77777777" w:rsidTr="0095284B">
        <w:trPr>
          <w:trHeight w:val="342"/>
        </w:trPr>
        <w:tc>
          <w:tcPr>
            <w:tcW w:w="1956" w:type="dxa"/>
          </w:tcPr>
          <w:p w14:paraId="3A5B3BA4" w14:textId="77777777" w:rsidR="003B1C04" w:rsidRPr="00D83C4E" w:rsidRDefault="003B1C04" w:rsidP="006379FE">
            <w:pPr>
              <w:pStyle w:val="BodyText"/>
              <w:spacing w:before="60" w:after="60"/>
              <w:jc w:val="left"/>
              <w:rPr>
                <w:rFonts w:ascii="Times New Roman" w:hAnsi="Times New Roman"/>
                <w:color w:val="000000" w:themeColor="text1"/>
                <w:sz w:val="20"/>
                <w:szCs w:val="20"/>
              </w:rPr>
            </w:pPr>
            <w:r w:rsidRPr="00D83C4E">
              <w:rPr>
                <w:rFonts w:ascii="Times New Roman" w:hAnsi="Times New Roman"/>
                <w:color w:val="000000" w:themeColor="text1"/>
                <w:sz w:val="20"/>
                <w:szCs w:val="20"/>
              </w:rPr>
              <w:t>E3 2015</w:t>
            </w:r>
          </w:p>
        </w:tc>
        <w:tc>
          <w:tcPr>
            <w:tcW w:w="7683" w:type="dxa"/>
          </w:tcPr>
          <w:p w14:paraId="590BE76E" w14:textId="77777777" w:rsidR="003B1C04" w:rsidRPr="00D83C4E" w:rsidRDefault="003B1C04" w:rsidP="006379FE">
            <w:pPr>
              <w:pStyle w:val="BodyText"/>
              <w:spacing w:before="60" w:after="60"/>
              <w:jc w:val="left"/>
              <w:rPr>
                <w:rFonts w:ascii="Times New Roman" w:hAnsi="Times New Roman"/>
                <w:color w:val="000000" w:themeColor="text1"/>
                <w:sz w:val="20"/>
                <w:szCs w:val="20"/>
              </w:rPr>
            </w:pPr>
            <w:r w:rsidRPr="00D83C4E">
              <w:rPr>
                <w:rFonts w:ascii="Times New Roman" w:hAnsi="Times New Roman"/>
                <w:color w:val="000000" w:themeColor="text1"/>
                <w:sz w:val="20"/>
                <w:szCs w:val="20"/>
              </w:rPr>
              <w:t xml:space="preserve">Residential Energy Baseline Study: New Zealand, Department of Industry and Science, prepared by </w:t>
            </w:r>
            <w:proofErr w:type="spellStart"/>
            <w:r w:rsidRPr="00D83C4E">
              <w:rPr>
                <w:rFonts w:ascii="Times New Roman" w:hAnsi="Times New Roman"/>
                <w:color w:val="000000" w:themeColor="text1"/>
                <w:sz w:val="20"/>
                <w:szCs w:val="20"/>
              </w:rPr>
              <w:t>EnergyConsult</w:t>
            </w:r>
            <w:proofErr w:type="spellEnd"/>
            <w:r w:rsidRPr="00D83C4E">
              <w:rPr>
                <w:rFonts w:ascii="Times New Roman" w:hAnsi="Times New Roman"/>
                <w:color w:val="000000" w:themeColor="text1"/>
                <w:sz w:val="20"/>
                <w:szCs w:val="20"/>
              </w:rPr>
              <w:t xml:space="preserve"> on behalf of the trans-Tasman Equipment Energy Efficiency (E3) </w:t>
            </w:r>
            <w:proofErr w:type="spellStart"/>
            <w:r w:rsidRPr="00D83C4E">
              <w:rPr>
                <w:rFonts w:ascii="Times New Roman" w:hAnsi="Times New Roman"/>
                <w:color w:val="000000" w:themeColor="text1"/>
                <w:sz w:val="20"/>
                <w:szCs w:val="20"/>
              </w:rPr>
              <w:t>programme</w:t>
            </w:r>
            <w:proofErr w:type="spellEnd"/>
            <w:r w:rsidRPr="00D83C4E">
              <w:rPr>
                <w:rFonts w:ascii="Times New Roman" w:hAnsi="Times New Roman"/>
                <w:color w:val="000000" w:themeColor="text1"/>
                <w:sz w:val="20"/>
                <w:szCs w:val="20"/>
              </w:rPr>
              <w:t>, August 2015. </w:t>
            </w:r>
          </w:p>
        </w:tc>
      </w:tr>
      <w:tr w:rsidR="003B1C04" w:rsidRPr="00D37A89" w14:paraId="1FFB66AA" w14:textId="77777777" w:rsidTr="0095284B">
        <w:trPr>
          <w:trHeight w:val="342"/>
        </w:trPr>
        <w:tc>
          <w:tcPr>
            <w:tcW w:w="1956" w:type="dxa"/>
          </w:tcPr>
          <w:p w14:paraId="11A80377" w14:textId="77777777" w:rsidR="003B1C04" w:rsidRPr="008B627D" w:rsidRDefault="003B1C04" w:rsidP="006379FE">
            <w:pPr>
              <w:pStyle w:val="BodyText"/>
              <w:spacing w:before="60" w:after="60"/>
              <w:jc w:val="left"/>
              <w:rPr>
                <w:rFonts w:ascii="Times New Roman" w:hAnsi="Times New Roman"/>
                <w:color w:val="000000" w:themeColor="text1"/>
                <w:sz w:val="20"/>
                <w:szCs w:val="20"/>
              </w:rPr>
            </w:pPr>
            <w:r w:rsidRPr="008B627D">
              <w:rPr>
                <w:rFonts w:ascii="Times New Roman" w:hAnsi="Times New Roman"/>
                <w:color w:val="000000" w:themeColor="text1"/>
                <w:sz w:val="20"/>
                <w:szCs w:val="20"/>
              </w:rPr>
              <w:t>FCAI 2019</w:t>
            </w:r>
          </w:p>
        </w:tc>
        <w:tc>
          <w:tcPr>
            <w:tcW w:w="7683" w:type="dxa"/>
          </w:tcPr>
          <w:p w14:paraId="75999523" w14:textId="77777777" w:rsidR="003B1C04" w:rsidRPr="008B627D" w:rsidRDefault="003B1C04" w:rsidP="006379FE">
            <w:pPr>
              <w:pStyle w:val="BodyText"/>
              <w:spacing w:before="60" w:after="60"/>
              <w:jc w:val="left"/>
              <w:rPr>
                <w:rFonts w:ascii="Times New Roman" w:hAnsi="Times New Roman"/>
                <w:color w:val="000000" w:themeColor="text1"/>
                <w:sz w:val="20"/>
                <w:szCs w:val="20"/>
              </w:rPr>
            </w:pPr>
            <w:r w:rsidRPr="008B627D">
              <w:rPr>
                <w:rFonts w:ascii="Times New Roman" w:hAnsi="Times New Roman"/>
                <w:color w:val="000000" w:themeColor="text1"/>
                <w:sz w:val="20"/>
                <w:szCs w:val="20"/>
              </w:rPr>
              <w:t>VFACTS Extracts from National Reports and Media Releases, Federal Chamber of Automotive Industries, 2019.</w:t>
            </w:r>
          </w:p>
        </w:tc>
      </w:tr>
      <w:tr w:rsidR="003B1C04" w:rsidRPr="00D37A89" w14:paraId="1E5DA7E6" w14:textId="77777777" w:rsidTr="0095284B">
        <w:trPr>
          <w:trHeight w:val="342"/>
        </w:trPr>
        <w:tc>
          <w:tcPr>
            <w:tcW w:w="1956" w:type="dxa"/>
          </w:tcPr>
          <w:p w14:paraId="32DD320B" w14:textId="77777777" w:rsidR="003B1C04" w:rsidRPr="006364CA" w:rsidRDefault="003B1C04" w:rsidP="006379FE">
            <w:pPr>
              <w:pStyle w:val="BodyText"/>
              <w:spacing w:before="60" w:after="60"/>
              <w:jc w:val="left"/>
              <w:rPr>
                <w:rFonts w:ascii="Times New Roman" w:hAnsi="Times New Roman"/>
                <w:color w:val="000000" w:themeColor="text1"/>
                <w:sz w:val="20"/>
                <w:szCs w:val="20"/>
              </w:rPr>
            </w:pPr>
            <w:r w:rsidRPr="006364CA">
              <w:rPr>
                <w:rFonts w:ascii="Times New Roman" w:hAnsi="Times New Roman"/>
                <w:color w:val="000000" w:themeColor="text1"/>
                <w:sz w:val="20"/>
                <w:szCs w:val="20"/>
              </w:rPr>
              <w:t>OICA 2019</w:t>
            </w:r>
          </w:p>
        </w:tc>
        <w:tc>
          <w:tcPr>
            <w:tcW w:w="7683" w:type="dxa"/>
          </w:tcPr>
          <w:p w14:paraId="6AD59262" w14:textId="77777777" w:rsidR="003B1C04" w:rsidRPr="006364CA" w:rsidRDefault="003B1C04" w:rsidP="006379FE">
            <w:pPr>
              <w:pStyle w:val="BodyText"/>
              <w:spacing w:before="60" w:after="60"/>
              <w:jc w:val="left"/>
              <w:rPr>
                <w:rFonts w:ascii="Times New Roman" w:hAnsi="Times New Roman"/>
                <w:color w:val="000000" w:themeColor="text1"/>
                <w:sz w:val="20"/>
                <w:szCs w:val="20"/>
              </w:rPr>
            </w:pPr>
            <w:r w:rsidRPr="006364CA">
              <w:rPr>
                <w:rFonts w:ascii="Times New Roman" w:hAnsi="Times New Roman"/>
                <w:color w:val="000000" w:themeColor="text1"/>
                <w:sz w:val="20"/>
                <w:szCs w:val="20"/>
              </w:rPr>
              <w:t>World Motor Vehicle Production Statistics, International Organization of Motor Vehicle Manufacturers (OICA), 2019.</w:t>
            </w:r>
          </w:p>
        </w:tc>
      </w:tr>
      <w:tr w:rsidR="003B1C04" w:rsidRPr="00D37A89" w14:paraId="5FB5EC29" w14:textId="77777777" w:rsidTr="0095284B">
        <w:trPr>
          <w:trHeight w:val="342"/>
        </w:trPr>
        <w:tc>
          <w:tcPr>
            <w:tcW w:w="1956" w:type="dxa"/>
          </w:tcPr>
          <w:p w14:paraId="09FEE46C" w14:textId="77777777" w:rsidR="003B1C04" w:rsidRPr="00D532E7" w:rsidRDefault="003B1C04" w:rsidP="006379FE">
            <w:pPr>
              <w:pStyle w:val="BodyText"/>
              <w:spacing w:before="60" w:after="60"/>
              <w:jc w:val="left"/>
              <w:rPr>
                <w:rFonts w:ascii="Times New Roman" w:hAnsi="Times New Roman"/>
                <w:color w:val="000000" w:themeColor="text1"/>
                <w:sz w:val="20"/>
                <w:szCs w:val="20"/>
              </w:rPr>
            </w:pPr>
            <w:r w:rsidRPr="00D532E7">
              <w:rPr>
                <w:rFonts w:ascii="Times New Roman" w:hAnsi="Times New Roman"/>
                <w:color w:val="000000" w:themeColor="text1"/>
                <w:sz w:val="20"/>
                <w:szCs w:val="20"/>
              </w:rPr>
              <w:t>IPCC 2007</w:t>
            </w:r>
          </w:p>
        </w:tc>
        <w:tc>
          <w:tcPr>
            <w:tcW w:w="7683" w:type="dxa"/>
          </w:tcPr>
          <w:p w14:paraId="128DA9C0" w14:textId="77777777" w:rsidR="003B1C04" w:rsidRPr="00D532E7" w:rsidRDefault="003B1C04" w:rsidP="006379FE">
            <w:pPr>
              <w:pStyle w:val="BodyText"/>
              <w:spacing w:before="60" w:after="60"/>
              <w:jc w:val="left"/>
              <w:rPr>
                <w:rFonts w:ascii="Times New Roman" w:hAnsi="Times New Roman"/>
                <w:color w:val="000000" w:themeColor="text1"/>
                <w:sz w:val="20"/>
                <w:szCs w:val="20"/>
              </w:rPr>
            </w:pPr>
            <w:r w:rsidRPr="00D532E7">
              <w:rPr>
                <w:rFonts w:ascii="Times New Roman" w:hAnsi="Times New Roman"/>
                <w:color w:val="000000" w:themeColor="text1"/>
                <w:sz w:val="20"/>
                <w:szCs w:val="20"/>
              </w:rPr>
              <w:t>IPCC Fourth Assessment Report: Climate Change 2007 (AR4), Physical Science Basis, Chapter2, prepared by the Intergovernmental Panel on Climate Change, 2007.</w:t>
            </w:r>
          </w:p>
        </w:tc>
      </w:tr>
      <w:tr w:rsidR="003B1C04" w:rsidRPr="00D37A89" w14:paraId="11982873" w14:textId="77777777" w:rsidTr="0095284B">
        <w:trPr>
          <w:trHeight w:val="342"/>
        </w:trPr>
        <w:tc>
          <w:tcPr>
            <w:tcW w:w="1956" w:type="dxa"/>
          </w:tcPr>
          <w:p w14:paraId="6131D0B0" w14:textId="77777777" w:rsidR="003B1C04" w:rsidRPr="00A60CDA" w:rsidRDefault="003B1C04" w:rsidP="006379FE">
            <w:pPr>
              <w:pStyle w:val="BodyText"/>
              <w:spacing w:before="60" w:after="60"/>
              <w:jc w:val="left"/>
              <w:rPr>
                <w:rFonts w:ascii="Times New Roman" w:hAnsi="Times New Roman"/>
                <w:color w:val="000000" w:themeColor="text1"/>
                <w:sz w:val="20"/>
                <w:szCs w:val="20"/>
              </w:rPr>
            </w:pPr>
            <w:r w:rsidRPr="00A60CDA">
              <w:rPr>
                <w:rFonts w:ascii="Times New Roman" w:hAnsi="Times New Roman"/>
                <w:color w:val="000000" w:themeColor="text1"/>
                <w:sz w:val="20"/>
                <w:szCs w:val="20"/>
              </w:rPr>
              <w:t>MC 2018</w:t>
            </w:r>
          </w:p>
        </w:tc>
        <w:tc>
          <w:tcPr>
            <w:tcW w:w="7683" w:type="dxa"/>
          </w:tcPr>
          <w:p w14:paraId="4F1FCA13" w14:textId="77777777" w:rsidR="003B1C04" w:rsidRPr="00A60CDA" w:rsidRDefault="003B1C04" w:rsidP="006379FE">
            <w:pPr>
              <w:pStyle w:val="BodyText"/>
              <w:spacing w:before="60" w:after="60"/>
              <w:jc w:val="left"/>
              <w:rPr>
                <w:rFonts w:ascii="Times New Roman" w:hAnsi="Times New Roman"/>
                <w:color w:val="000000" w:themeColor="text1"/>
                <w:sz w:val="20"/>
                <w:szCs w:val="20"/>
              </w:rPr>
            </w:pPr>
            <w:r w:rsidRPr="00A60CDA">
              <w:rPr>
                <w:rFonts w:ascii="Times New Roman" w:hAnsi="Times New Roman"/>
                <w:color w:val="000000" w:themeColor="text1"/>
                <w:sz w:val="20"/>
                <w:szCs w:val="20"/>
              </w:rPr>
              <w:t>Metcash Ltd, Annual Report, 2018.</w:t>
            </w:r>
          </w:p>
        </w:tc>
      </w:tr>
      <w:tr w:rsidR="003B1C04" w:rsidRPr="00D37A89" w14:paraId="158ED76D" w14:textId="77777777" w:rsidTr="0095284B">
        <w:trPr>
          <w:trHeight w:val="342"/>
        </w:trPr>
        <w:tc>
          <w:tcPr>
            <w:tcW w:w="1956" w:type="dxa"/>
          </w:tcPr>
          <w:p w14:paraId="43D2F1DC" w14:textId="77777777" w:rsidR="003B1C04" w:rsidRPr="00D532E7" w:rsidRDefault="003B1C04" w:rsidP="006379FE">
            <w:pPr>
              <w:pStyle w:val="BodyText"/>
              <w:spacing w:before="60" w:after="60"/>
              <w:jc w:val="left"/>
              <w:rPr>
                <w:rFonts w:ascii="Times New Roman" w:hAnsi="Times New Roman"/>
                <w:color w:val="000000" w:themeColor="text1"/>
                <w:sz w:val="20"/>
                <w:szCs w:val="20"/>
              </w:rPr>
            </w:pPr>
            <w:r w:rsidRPr="00D532E7">
              <w:rPr>
                <w:rFonts w:ascii="Times New Roman" w:hAnsi="Times New Roman"/>
                <w:color w:val="000000" w:themeColor="text1"/>
                <w:sz w:val="20"/>
                <w:szCs w:val="20"/>
              </w:rPr>
              <w:t xml:space="preserve">NGA Factors, </w:t>
            </w:r>
            <w:proofErr w:type="spellStart"/>
            <w:r w:rsidRPr="00D532E7">
              <w:rPr>
                <w:rFonts w:ascii="Times New Roman" w:hAnsi="Times New Roman"/>
                <w:color w:val="000000" w:themeColor="text1"/>
                <w:sz w:val="20"/>
                <w:szCs w:val="20"/>
              </w:rPr>
              <w:t>DoEE</w:t>
            </w:r>
            <w:proofErr w:type="spellEnd"/>
            <w:r w:rsidRPr="00D532E7">
              <w:rPr>
                <w:rFonts w:ascii="Times New Roman" w:hAnsi="Times New Roman"/>
                <w:color w:val="000000" w:themeColor="text1"/>
                <w:sz w:val="20"/>
                <w:szCs w:val="20"/>
              </w:rPr>
              <w:t xml:space="preserve"> 2018 </w:t>
            </w:r>
          </w:p>
        </w:tc>
        <w:tc>
          <w:tcPr>
            <w:tcW w:w="7683" w:type="dxa"/>
          </w:tcPr>
          <w:p w14:paraId="0E956D4D" w14:textId="77777777" w:rsidR="003B1C04" w:rsidRPr="00D532E7" w:rsidRDefault="003B1C04" w:rsidP="006379FE">
            <w:pPr>
              <w:pStyle w:val="BodyText"/>
              <w:spacing w:before="60" w:after="60"/>
              <w:jc w:val="left"/>
              <w:rPr>
                <w:rFonts w:ascii="Times New Roman" w:hAnsi="Times New Roman"/>
                <w:color w:val="000000" w:themeColor="text1"/>
                <w:sz w:val="20"/>
                <w:szCs w:val="20"/>
              </w:rPr>
            </w:pPr>
            <w:r w:rsidRPr="00D532E7">
              <w:rPr>
                <w:rFonts w:ascii="Times New Roman" w:hAnsi="Times New Roman"/>
                <w:color w:val="000000" w:themeColor="text1"/>
                <w:sz w:val="20"/>
                <w:szCs w:val="20"/>
              </w:rPr>
              <w:t xml:space="preserve">National Greenhouse Accounts Factors July 2018, </w:t>
            </w:r>
            <w:r>
              <w:rPr>
                <w:rFonts w:ascii="Times New Roman" w:hAnsi="Times New Roman"/>
                <w:color w:val="000000" w:themeColor="text1"/>
                <w:sz w:val="20"/>
                <w:szCs w:val="20"/>
              </w:rPr>
              <w:t xml:space="preserve">Factors used are latest estimates, </w:t>
            </w:r>
            <w:r w:rsidRPr="00D532E7">
              <w:rPr>
                <w:rFonts w:ascii="Times New Roman" w:hAnsi="Times New Roman"/>
                <w:color w:val="000000" w:themeColor="text1"/>
                <w:sz w:val="20"/>
                <w:szCs w:val="20"/>
              </w:rPr>
              <w:t>Department of the Environment and Energy.</w:t>
            </w:r>
          </w:p>
        </w:tc>
      </w:tr>
      <w:tr w:rsidR="003B1C04" w:rsidRPr="00D37A89" w14:paraId="292A567C" w14:textId="77777777" w:rsidTr="0095284B">
        <w:trPr>
          <w:trHeight w:val="342"/>
        </w:trPr>
        <w:tc>
          <w:tcPr>
            <w:tcW w:w="1956" w:type="dxa"/>
          </w:tcPr>
          <w:p w14:paraId="23EB29C5" w14:textId="77777777" w:rsidR="003B1C04" w:rsidRPr="00640C57" w:rsidRDefault="003B1C04" w:rsidP="006379FE">
            <w:pPr>
              <w:pStyle w:val="BodyText"/>
              <w:spacing w:before="60" w:after="60"/>
              <w:jc w:val="left"/>
              <w:rPr>
                <w:rFonts w:ascii="Times New Roman" w:hAnsi="Times New Roman"/>
                <w:color w:val="000000" w:themeColor="text1"/>
                <w:sz w:val="20"/>
                <w:szCs w:val="20"/>
              </w:rPr>
            </w:pPr>
            <w:r w:rsidRPr="00640C57">
              <w:rPr>
                <w:rFonts w:ascii="Times New Roman" w:hAnsi="Times New Roman"/>
                <w:color w:val="000000" w:themeColor="text1"/>
                <w:sz w:val="20"/>
                <w:szCs w:val="20"/>
              </w:rPr>
              <w:t>OPSGGM Act</w:t>
            </w:r>
          </w:p>
        </w:tc>
        <w:tc>
          <w:tcPr>
            <w:tcW w:w="7683" w:type="dxa"/>
          </w:tcPr>
          <w:p w14:paraId="0FAE34C0" w14:textId="10160FF5" w:rsidR="003B1C04" w:rsidRPr="00640C57" w:rsidRDefault="003B1C04" w:rsidP="001F713B">
            <w:pPr>
              <w:pStyle w:val="BodyText"/>
              <w:spacing w:before="60" w:after="60"/>
              <w:jc w:val="left"/>
              <w:rPr>
                <w:rFonts w:ascii="Times New Roman" w:hAnsi="Times New Roman"/>
                <w:color w:val="000000" w:themeColor="text1"/>
                <w:sz w:val="20"/>
                <w:szCs w:val="20"/>
              </w:rPr>
            </w:pPr>
            <w:r w:rsidRPr="00640C57">
              <w:rPr>
                <w:rFonts w:ascii="Times New Roman" w:hAnsi="Times New Roman"/>
                <w:color w:val="000000" w:themeColor="text1"/>
                <w:sz w:val="20"/>
                <w:szCs w:val="20"/>
              </w:rPr>
              <w:t>Ozone Protection and Synthetic Greenhouse Gas Management Act 19</w:t>
            </w:r>
            <w:r w:rsidR="001F713B">
              <w:rPr>
                <w:rFonts w:ascii="Times New Roman" w:hAnsi="Times New Roman"/>
                <w:color w:val="000000" w:themeColor="text1"/>
                <w:sz w:val="20"/>
                <w:szCs w:val="20"/>
              </w:rPr>
              <w:t>8</w:t>
            </w:r>
            <w:r w:rsidRPr="00640C57">
              <w:rPr>
                <w:rFonts w:ascii="Times New Roman" w:hAnsi="Times New Roman"/>
                <w:color w:val="000000" w:themeColor="text1"/>
                <w:sz w:val="20"/>
                <w:szCs w:val="20"/>
              </w:rPr>
              <w:t>9</w:t>
            </w:r>
            <w:proofErr w:type="gramStart"/>
            <w:r w:rsidR="001F713B">
              <w:rPr>
                <w:rFonts w:ascii="Times New Roman" w:hAnsi="Times New Roman"/>
                <w:color w:val="000000" w:themeColor="text1"/>
                <w:sz w:val="20"/>
                <w:szCs w:val="20"/>
              </w:rPr>
              <w:t>.</w:t>
            </w:r>
            <w:r w:rsidRPr="00640C57">
              <w:rPr>
                <w:rFonts w:ascii="Times New Roman" w:hAnsi="Times New Roman"/>
                <w:color w:val="000000" w:themeColor="text1"/>
                <w:sz w:val="20"/>
                <w:szCs w:val="20"/>
              </w:rPr>
              <w:t>.</w:t>
            </w:r>
            <w:proofErr w:type="gramEnd"/>
          </w:p>
        </w:tc>
      </w:tr>
      <w:tr w:rsidR="003B1C04" w:rsidRPr="00D37A89" w14:paraId="22D02B7C" w14:textId="77777777" w:rsidTr="0095284B">
        <w:trPr>
          <w:trHeight w:val="342"/>
        </w:trPr>
        <w:tc>
          <w:tcPr>
            <w:tcW w:w="1956" w:type="dxa"/>
          </w:tcPr>
          <w:p w14:paraId="58449761" w14:textId="77777777" w:rsidR="003B1C04" w:rsidRPr="00640C57" w:rsidRDefault="003B1C04" w:rsidP="006379FE">
            <w:pPr>
              <w:pStyle w:val="BodyText"/>
              <w:spacing w:before="60" w:after="60"/>
              <w:jc w:val="left"/>
              <w:rPr>
                <w:rFonts w:ascii="Times New Roman" w:hAnsi="Times New Roman"/>
                <w:color w:val="000000" w:themeColor="text1"/>
                <w:sz w:val="20"/>
                <w:szCs w:val="20"/>
              </w:rPr>
            </w:pPr>
            <w:r w:rsidRPr="00640C57">
              <w:rPr>
                <w:rFonts w:ascii="Times New Roman" w:hAnsi="Times New Roman"/>
                <w:color w:val="000000" w:themeColor="text1"/>
                <w:sz w:val="20"/>
                <w:szCs w:val="20"/>
              </w:rPr>
              <w:t>QGDME 2019</w:t>
            </w:r>
          </w:p>
        </w:tc>
        <w:tc>
          <w:tcPr>
            <w:tcW w:w="7683" w:type="dxa"/>
          </w:tcPr>
          <w:p w14:paraId="5A705740" w14:textId="77777777" w:rsidR="003B1C04" w:rsidRPr="00640C57" w:rsidRDefault="003B1C04" w:rsidP="006379FE">
            <w:pPr>
              <w:pStyle w:val="BodyText"/>
              <w:spacing w:before="60" w:after="60"/>
              <w:jc w:val="left"/>
              <w:rPr>
                <w:rFonts w:ascii="Times New Roman" w:hAnsi="Times New Roman"/>
                <w:color w:val="000000" w:themeColor="text1"/>
                <w:sz w:val="20"/>
                <w:szCs w:val="20"/>
              </w:rPr>
            </w:pPr>
            <w:r w:rsidRPr="00640C57">
              <w:rPr>
                <w:rFonts w:ascii="Times New Roman" w:hAnsi="Times New Roman"/>
                <w:color w:val="000000" w:themeColor="text1"/>
                <w:sz w:val="20"/>
                <w:szCs w:val="20"/>
              </w:rPr>
              <w:t>Hydrocarbon Appliance Register, Queensland Government, Department of Mines and Energy, 2019.</w:t>
            </w:r>
          </w:p>
        </w:tc>
      </w:tr>
      <w:tr w:rsidR="003B1C04" w:rsidRPr="00D37A89" w14:paraId="3470B6C3" w14:textId="77777777" w:rsidTr="0095284B">
        <w:trPr>
          <w:trHeight w:val="342"/>
        </w:trPr>
        <w:tc>
          <w:tcPr>
            <w:tcW w:w="1956" w:type="dxa"/>
          </w:tcPr>
          <w:p w14:paraId="7E89E90F" w14:textId="77777777" w:rsidR="003B1C04" w:rsidRPr="004E1736" w:rsidRDefault="003B1C04" w:rsidP="006379FE">
            <w:pPr>
              <w:pStyle w:val="BodyText"/>
              <w:spacing w:before="60" w:after="60"/>
              <w:jc w:val="left"/>
              <w:rPr>
                <w:rFonts w:ascii="Times New Roman" w:hAnsi="Times New Roman"/>
                <w:color w:val="000000" w:themeColor="text1"/>
                <w:sz w:val="20"/>
                <w:szCs w:val="20"/>
              </w:rPr>
            </w:pPr>
            <w:r w:rsidRPr="004E1736">
              <w:rPr>
                <w:rFonts w:ascii="Times New Roman" w:hAnsi="Times New Roman"/>
                <w:color w:val="000000" w:themeColor="text1"/>
                <w:sz w:val="20"/>
                <w:szCs w:val="20"/>
              </w:rPr>
              <w:t>WOW 2019a</w:t>
            </w:r>
          </w:p>
        </w:tc>
        <w:tc>
          <w:tcPr>
            <w:tcW w:w="7683" w:type="dxa"/>
          </w:tcPr>
          <w:p w14:paraId="0BBEDEA9" w14:textId="77777777" w:rsidR="003B1C04" w:rsidRPr="004E1736" w:rsidRDefault="003B1C04" w:rsidP="006379FE">
            <w:pPr>
              <w:spacing w:before="60" w:after="60"/>
              <w:jc w:val="left"/>
              <w:rPr>
                <w:rFonts w:eastAsia="Times New Roman" w:cs="Times New Roman"/>
                <w:color w:val="000000" w:themeColor="text1"/>
                <w:sz w:val="20"/>
                <w:szCs w:val="20"/>
              </w:rPr>
            </w:pPr>
            <w:r w:rsidRPr="004E1736">
              <w:rPr>
                <w:rFonts w:eastAsia="Times New Roman" w:cs="Times New Roman"/>
                <w:color w:val="000000" w:themeColor="text1"/>
                <w:sz w:val="20"/>
                <w:szCs w:val="20"/>
              </w:rPr>
              <w:t>Woolworths Limited, Annual Report 2019.</w:t>
            </w:r>
          </w:p>
        </w:tc>
      </w:tr>
      <w:tr w:rsidR="003B1C04" w:rsidRPr="00D37A89" w14:paraId="06952EB9" w14:textId="77777777" w:rsidTr="0095284B">
        <w:trPr>
          <w:trHeight w:val="342"/>
        </w:trPr>
        <w:tc>
          <w:tcPr>
            <w:tcW w:w="1956" w:type="dxa"/>
          </w:tcPr>
          <w:p w14:paraId="6320279C" w14:textId="77777777" w:rsidR="003B1C04" w:rsidRPr="0031459F" w:rsidRDefault="003B1C04" w:rsidP="006379FE">
            <w:pPr>
              <w:pStyle w:val="BodyText"/>
              <w:spacing w:before="60" w:after="60"/>
              <w:jc w:val="left"/>
              <w:rPr>
                <w:rFonts w:ascii="Times New Roman" w:hAnsi="Times New Roman"/>
                <w:color w:val="000000" w:themeColor="text1"/>
                <w:sz w:val="20"/>
                <w:szCs w:val="20"/>
              </w:rPr>
            </w:pPr>
            <w:r w:rsidRPr="0031459F">
              <w:rPr>
                <w:rFonts w:ascii="Times New Roman" w:hAnsi="Times New Roman"/>
                <w:color w:val="000000" w:themeColor="text1"/>
                <w:sz w:val="20"/>
                <w:szCs w:val="20"/>
              </w:rPr>
              <w:t>WOW 2017b</w:t>
            </w:r>
          </w:p>
        </w:tc>
        <w:tc>
          <w:tcPr>
            <w:tcW w:w="7683" w:type="dxa"/>
          </w:tcPr>
          <w:p w14:paraId="639C8488" w14:textId="77777777" w:rsidR="003B1C04" w:rsidRPr="0031459F" w:rsidRDefault="003B1C04" w:rsidP="006379FE">
            <w:pPr>
              <w:spacing w:before="60" w:after="60"/>
              <w:jc w:val="left"/>
              <w:rPr>
                <w:rFonts w:eastAsia="Times New Roman" w:cs="Times New Roman"/>
                <w:color w:val="000000" w:themeColor="text1"/>
                <w:sz w:val="20"/>
                <w:szCs w:val="20"/>
              </w:rPr>
            </w:pPr>
            <w:r w:rsidRPr="0031459F">
              <w:rPr>
                <w:rFonts w:eastAsia="Times New Roman" w:cs="Times New Roman"/>
                <w:color w:val="000000" w:themeColor="text1"/>
                <w:sz w:val="20"/>
                <w:szCs w:val="20"/>
              </w:rPr>
              <w:t>Woolworths Limited, Woolworths Group Corporate Responsibility Strategy 2020.</w:t>
            </w:r>
          </w:p>
        </w:tc>
      </w:tr>
    </w:tbl>
    <w:p w14:paraId="7E2F057D" w14:textId="77777777" w:rsidR="00915574" w:rsidRDefault="00915574" w:rsidP="009A23AA">
      <w:pPr>
        <w:spacing w:before="0" w:after="120"/>
        <w:rPr>
          <w:rFonts w:cs="Times New Roman"/>
          <w:b/>
          <w:szCs w:val="22"/>
        </w:rPr>
      </w:pPr>
    </w:p>
    <w:p w14:paraId="721485FC" w14:textId="77777777" w:rsidR="00D45918" w:rsidRPr="003220F2" w:rsidRDefault="00D45918" w:rsidP="009A23AA"/>
    <w:sectPr w:rsidR="00D45918" w:rsidRPr="003220F2" w:rsidSect="00474B83">
      <w:headerReference w:type="even" r:id="rId49"/>
      <w:headerReference w:type="default" r:id="rId50"/>
      <w:footerReference w:type="default" r:id="rId51"/>
      <w:headerReference w:type="first" r:id="rId52"/>
      <w:pgSz w:w="11900" w:h="16840"/>
      <w:pgMar w:top="511" w:right="1127" w:bottom="1440" w:left="127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F97F1" w14:textId="77777777" w:rsidR="00FA4EEB" w:rsidRDefault="00FA4EEB" w:rsidP="003937A5">
      <w:pPr>
        <w:spacing w:before="0"/>
      </w:pPr>
      <w:r>
        <w:separator/>
      </w:r>
    </w:p>
  </w:endnote>
  <w:endnote w:type="continuationSeparator" w:id="0">
    <w:p w14:paraId="76BC3D3E" w14:textId="77777777" w:rsidR="00FA4EEB" w:rsidRDefault="00FA4EEB" w:rsidP="003937A5">
      <w:pPr>
        <w:spacing w:before="0"/>
      </w:pPr>
      <w:r>
        <w:continuationSeparator/>
      </w:r>
    </w:p>
  </w:endnote>
  <w:endnote w:type="continuationNotice" w:id="1">
    <w:p w14:paraId="76AAFCF8" w14:textId="77777777" w:rsidR="00FA4EEB" w:rsidRDefault="00FA4EE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swiss"/>
    <w:pitch w:val="variable"/>
    <w:sig w:usb0="00000000" w:usb1="5000A1FF" w:usb2="00000000" w:usb3="00000000" w:csb0="000001B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C0EF9" w14:textId="77777777" w:rsidR="00014A8D" w:rsidRDefault="00014A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81" w:type="pct"/>
      <w:tblInd w:w="-1303" w:type="dxa"/>
      <w:tblLayout w:type="fixed"/>
      <w:tblCellMar>
        <w:left w:w="115" w:type="dxa"/>
        <w:right w:w="115" w:type="dxa"/>
      </w:tblCellMar>
      <w:tblLook w:val="04A0" w:firstRow="1" w:lastRow="0" w:firstColumn="1" w:lastColumn="0" w:noHBand="0" w:noVBand="1"/>
    </w:tblPr>
    <w:tblGrid>
      <w:gridCol w:w="136"/>
      <w:gridCol w:w="5132"/>
      <w:gridCol w:w="140"/>
      <w:gridCol w:w="1721"/>
      <w:gridCol w:w="213"/>
      <w:gridCol w:w="838"/>
      <w:gridCol w:w="138"/>
      <w:gridCol w:w="1801"/>
      <w:gridCol w:w="971"/>
    </w:tblGrid>
    <w:tr w:rsidR="00FA4EEB" w:rsidRPr="00EB45B6" w14:paraId="197ACC75" w14:textId="77777777" w:rsidTr="008352D3">
      <w:trPr>
        <w:gridBefore w:val="1"/>
        <w:gridAfter w:val="1"/>
        <w:wBefore w:w="61" w:type="pct"/>
        <w:wAfter w:w="438" w:type="pct"/>
      </w:trPr>
      <w:tc>
        <w:tcPr>
          <w:tcW w:w="2314" w:type="pct"/>
          <w:shd w:val="clear" w:color="auto" w:fill="auto"/>
        </w:tcPr>
        <w:p w14:paraId="3090C14C" w14:textId="77777777" w:rsidR="00FA4EEB" w:rsidRPr="00EB45B6" w:rsidRDefault="00FA4EEB" w:rsidP="008352D3">
          <w:pPr>
            <w:pStyle w:val="Footer"/>
            <w:ind w:right="-145"/>
          </w:pPr>
        </w:p>
      </w:tc>
      <w:tc>
        <w:tcPr>
          <w:tcW w:w="839" w:type="pct"/>
          <w:gridSpan w:val="2"/>
          <w:shd w:val="clear" w:color="auto" w:fill="auto"/>
        </w:tcPr>
        <w:p w14:paraId="3C544A6A" w14:textId="77777777" w:rsidR="00FA4EEB" w:rsidRPr="00EB45B6" w:rsidRDefault="00FA4EEB" w:rsidP="008352D3">
          <w:pPr>
            <w:pStyle w:val="Footer"/>
            <w:ind w:right="-145"/>
            <w:rPr>
              <w:rFonts w:asciiTheme="majorHAnsi" w:hAnsiTheme="majorHAnsi"/>
              <w:sz w:val="22"/>
              <w:szCs w:val="22"/>
            </w:rPr>
          </w:pPr>
          <w:r w:rsidRPr="00EB45B6">
            <w:rPr>
              <w:rFonts w:asciiTheme="majorHAnsi" w:hAnsiTheme="majorHAnsi"/>
              <w:sz w:val="22"/>
              <w:szCs w:val="22"/>
            </w:rPr>
            <w:t>Phone</w:t>
          </w:r>
        </w:p>
      </w:tc>
      <w:tc>
        <w:tcPr>
          <w:tcW w:w="474" w:type="pct"/>
          <w:gridSpan w:val="2"/>
          <w:shd w:val="clear" w:color="auto" w:fill="auto"/>
        </w:tcPr>
        <w:p w14:paraId="08B79B21" w14:textId="77777777" w:rsidR="00FA4EEB" w:rsidRPr="00EB45B6" w:rsidRDefault="00FA4EEB" w:rsidP="008352D3">
          <w:pPr>
            <w:pStyle w:val="Footer"/>
            <w:ind w:right="-145"/>
            <w:rPr>
              <w:rFonts w:asciiTheme="majorHAnsi" w:hAnsiTheme="majorHAnsi"/>
              <w:sz w:val="22"/>
              <w:szCs w:val="22"/>
            </w:rPr>
          </w:pPr>
        </w:p>
      </w:tc>
      <w:tc>
        <w:tcPr>
          <w:tcW w:w="874" w:type="pct"/>
          <w:gridSpan w:val="2"/>
          <w:shd w:val="clear" w:color="auto" w:fill="auto"/>
        </w:tcPr>
        <w:p w14:paraId="06C6F392" w14:textId="77777777" w:rsidR="00FA4EEB" w:rsidRPr="00EB45B6" w:rsidRDefault="00FA4EEB" w:rsidP="008352D3">
          <w:pPr>
            <w:pStyle w:val="Footer"/>
            <w:ind w:right="-145"/>
            <w:rPr>
              <w:rFonts w:asciiTheme="majorHAnsi" w:hAnsiTheme="majorHAnsi"/>
              <w:sz w:val="22"/>
              <w:szCs w:val="22"/>
            </w:rPr>
          </w:pPr>
          <w:r w:rsidRPr="00EB45B6">
            <w:rPr>
              <w:rFonts w:asciiTheme="majorHAnsi" w:hAnsiTheme="majorHAnsi"/>
              <w:sz w:val="22"/>
              <w:szCs w:val="22"/>
            </w:rPr>
            <w:t>Web</w:t>
          </w:r>
        </w:p>
      </w:tc>
    </w:tr>
    <w:tr w:rsidR="00FA4EEB" w:rsidRPr="00847A44" w14:paraId="0CBB9604" w14:textId="77777777" w:rsidTr="008352D3">
      <w:tc>
        <w:tcPr>
          <w:tcW w:w="2438" w:type="pct"/>
          <w:gridSpan w:val="3"/>
          <w:shd w:val="clear" w:color="auto" w:fill="2397B0"/>
        </w:tcPr>
        <w:p w14:paraId="1702629F" w14:textId="77777777" w:rsidR="00FA4EEB" w:rsidRPr="00847A44" w:rsidRDefault="00FA4EEB" w:rsidP="008352D3">
          <w:pPr>
            <w:pStyle w:val="Footer"/>
            <w:tabs>
              <w:tab w:val="clear" w:pos="4320"/>
              <w:tab w:val="clear" w:pos="8640"/>
              <w:tab w:val="center" w:pos="4705"/>
              <w:tab w:val="right" w:pos="8533"/>
            </w:tabs>
            <w:spacing w:before="120" w:after="120"/>
            <w:ind w:left="-115" w:right="-113"/>
            <w:rPr>
              <w:color w:val="FFFFFF" w:themeColor="background1"/>
              <w:sz w:val="20"/>
              <w:szCs w:val="20"/>
            </w:rPr>
          </w:pPr>
        </w:p>
      </w:tc>
      <w:tc>
        <w:tcPr>
          <w:tcW w:w="872" w:type="pct"/>
          <w:gridSpan w:val="2"/>
          <w:shd w:val="clear" w:color="auto" w:fill="2397B0"/>
        </w:tcPr>
        <w:p w14:paraId="518E377E" w14:textId="466EED07" w:rsidR="00FA4EEB" w:rsidRPr="00847A44" w:rsidRDefault="00FA4EEB"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Pr>
              <w:rFonts w:asciiTheme="majorHAnsi" w:hAnsiTheme="majorHAnsi"/>
              <w:color w:val="FFFFFF" w:themeColor="background1"/>
              <w:sz w:val="22"/>
              <w:szCs w:val="22"/>
            </w:rPr>
            <w:t>+61 3 9592 9111</w:t>
          </w:r>
        </w:p>
      </w:tc>
      <w:tc>
        <w:tcPr>
          <w:tcW w:w="440" w:type="pct"/>
          <w:gridSpan w:val="2"/>
          <w:shd w:val="clear" w:color="auto" w:fill="2397B0"/>
        </w:tcPr>
        <w:p w14:paraId="57F3AC6C" w14:textId="77777777" w:rsidR="00FA4EEB" w:rsidRPr="00847A44" w:rsidRDefault="00FA4EEB"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p>
      </w:tc>
      <w:tc>
        <w:tcPr>
          <w:tcW w:w="1250" w:type="pct"/>
          <w:gridSpan w:val="2"/>
          <w:shd w:val="clear" w:color="auto" w:fill="2397B0"/>
        </w:tcPr>
        <w:p w14:paraId="3A2A884C" w14:textId="77777777" w:rsidR="00FA4EEB" w:rsidRPr="00847A44" w:rsidRDefault="00FA4EEB"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sidRPr="00847A44">
            <w:rPr>
              <w:rFonts w:asciiTheme="majorHAnsi" w:hAnsiTheme="majorHAnsi"/>
              <w:color w:val="FFFFFF" w:themeColor="background1"/>
              <w:sz w:val="22"/>
              <w:szCs w:val="22"/>
            </w:rPr>
            <w:t>www.expertgroup.com.au</w:t>
          </w:r>
        </w:p>
      </w:tc>
    </w:tr>
  </w:tbl>
  <w:p w14:paraId="1376D918" w14:textId="77777777" w:rsidR="00FA4EEB" w:rsidRDefault="00FA4E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4F7C1" w14:textId="77777777" w:rsidR="00014A8D" w:rsidRDefault="00014A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1DC50" w14:textId="77777777" w:rsidR="00FA4EEB" w:rsidRDefault="00FA4EEB" w:rsidP="008352D3">
    <w:pPr>
      <w:pStyle w:val="Footer"/>
      <w:jc w:val="right"/>
      <w:rPr>
        <w:rFonts w:ascii="Verdana" w:hAnsi="Verdana"/>
        <w:sz w:val="16"/>
        <w:szCs w:val="16"/>
      </w:rPr>
    </w:pPr>
  </w:p>
  <w:p w14:paraId="601DB9AF" w14:textId="77777777" w:rsidR="00FA4EEB" w:rsidRDefault="00FA4EEB" w:rsidP="008352D3">
    <w:pPr>
      <w:pStyle w:val="Footer"/>
      <w:jc w:val="right"/>
      <w:rPr>
        <w:rFonts w:ascii="Verdana" w:hAnsi="Verdana"/>
        <w:sz w:val="16"/>
        <w:szCs w:val="16"/>
      </w:rPr>
    </w:pPr>
  </w:p>
  <w:p w14:paraId="6F69597F" w14:textId="1D576B7B" w:rsidR="00FA4EEB" w:rsidRPr="001B0746" w:rsidRDefault="00FA4EEB" w:rsidP="008352D3">
    <w:pPr>
      <w:pStyle w:val="Footer"/>
      <w:jc w:val="right"/>
      <w:rPr>
        <w:rFonts w:ascii="Verdana" w:hAnsi="Verdana"/>
        <w:sz w:val="16"/>
        <w:szCs w:val="16"/>
      </w:rPr>
    </w:pPr>
    <w:r w:rsidRPr="001B0746">
      <w:rPr>
        <w:rFonts w:ascii="Verdana" w:hAnsi="Verdana"/>
        <w:sz w:val="16"/>
        <w:szCs w:val="16"/>
      </w:rPr>
      <w:t xml:space="preserve">Page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PAGE </w:instrText>
    </w:r>
    <w:r w:rsidRPr="001B0746">
      <w:rPr>
        <w:rStyle w:val="PageNumber"/>
        <w:rFonts w:ascii="Verdana" w:hAnsi="Verdana"/>
        <w:sz w:val="16"/>
        <w:szCs w:val="16"/>
      </w:rPr>
      <w:fldChar w:fldCharType="separate"/>
    </w:r>
    <w:r w:rsidR="00014A8D">
      <w:rPr>
        <w:rStyle w:val="PageNumber"/>
        <w:rFonts w:ascii="Verdana" w:hAnsi="Verdana"/>
        <w:noProof/>
        <w:sz w:val="16"/>
        <w:szCs w:val="16"/>
      </w:rPr>
      <w:t>21</w:t>
    </w:r>
    <w:r w:rsidRPr="001B0746">
      <w:rPr>
        <w:rStyle w:val="PageNumber"/>
        <w:rFonts w:ascii="Verdana" w:hAnsi="Verdana"/>
        <w:sz w:val="16"/>
        <w:szCs w:val="16"/>
      </w:rPr>
      <w:fldChar w:fldCharType="end"/>
    </w:r>
    <w:r w:rsidRPr="001B0746">
      <w:rPr>
        <w:rStyle w:val="PageNumber"/>
        <w:rFonts w:ascii="Verdana" w:hAnsi="Verdana"/>
        <w:sz w:val="16"/>
        <w:szCs w:val="16"/>
      </w:rPr>
      <w:t xml:space="preserve"> of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NUMPAGES </w:instrText>
    </w:r>
    <w:r w:rsidRPr="001B0746">
      <w:rPr>
        <w:rStyle w:val="PageNumber"/>
        <w:rFonts w:ascii="Verdana" w:hAnsi="Verdana"/>
        <w:sz w:val="16"/>
        <w:szCs w:val="16"/>
      </w:rPr>
      <w:fldChar w:fldCharType="separate"/>
    </w:r>
    <w:r w:rsidR="00014A8D">
      <w:rPr>
        <w:rStyle w:val="PageNumber"/>
        <w:rFonts w:ascii="Verdana" w:hAnsi="Verdana"/>
        <w:noProof/>
        <w:sz w:val="16"/>
        <w:szCs w:val="16"/>
      </w:rPr>
      <w:t>93</w:t>
    </w:r>
    <w:r w:rsidRPr="001B0746">
      <w:rPr>
        <w:rStyle w:val="PageNumber"/>
        <w:rFonts w:ascii="Verdana" w:hAnsi="Verdana"/>
        <w:sz w:val="16"/>
        <w:szCs w:val="16"/>
      </w:rPr>
      <w:fldChar w:fldCharType="end"/>
    </w:r>
  </w:p>
  <w:p w14:paraId="379B3EB2" w14:textId="77777777" w:rsidR="00FA4EEB" w:rsidRPr="001B0746" w:rsidRDefault="00FA4EEB" w:rsidP="008352D3">
    <w:pPr>
      <w:pStyle w:val="Footer"/>
      <w:ind w:right="360"/>
      <w:jc w:val="right"/>
      <w:rPr>
        <w:rFonts w:ascii="Verdana" w:hAnsi="Verdana"/>
        <w:sz w:val="16"/>
        <w:szCs w:val="16"/>
      </w:rPr>
    </w:pPr>
  </w:p>
  <w:p w14:paraId="59C0F952" w14:textId="77777777" w:rsidR="00FA4EEB" w:rsidRDefault="00FA4E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23E1A" w14:textId="77777777" w:rsidR="00FA4EEB" w:rsidRDefault="00FA4EEB" w:rsidP="003937A5">
      <w:pPr>
        <w:spacing w:before="0"/>
      </w:pPr>
      <w:r>
        <w:separator/>
      </w:r>
    </w:p>
  </w:footnote>
  <w:footnote w:type="continuationSeparator" w:id="0">
    <w:p w14:paraId="0C3B7809" w14:textId="77777777" w:rsidR="00FA4EEB" w:rsidRDefault="00FA4EEB" w:rsidP="003937A5">
      <w:pPr>
        <w:spacing w:before="0"/>
      </w:pPr>
      <w:r>
        <w:continuationSeparator/>
      </w:r>
    </w:p>
  </w:footnote>
  <w:footnote w:type="continuationNotice" w:id="1">
    <w:p w14:paraId="11CD689C" w14:textId="77777777" w:rsidR="00FA4EEB" w:rsidRDefault="00FA4EEB">
      <w:pPr>
        <w:spacing w:before="0"/>
      </w:pPr>
    </w:p>
  </w:footnote>
  <w:footnote w:id="2">
    <w:p w14:paraId="47E13511" w14:textId="54146826" w:rsidR="00FA4EEB" w:rsidRPr="007653EE" w:rsidRDefault="00FA4EEB">
      <w:pPr>
        <w:pStyle w:val="FootnoteText"/>
        <w:rPr>
          <w:lang w:val="en-AU"/>
        </w:rPr>
      </w:pPr>
      <w:r>
        <w:rPr>
          <w:rStyle w:val="FootnoteReference"/>
        </w:rPr>
        <w:footnoteRef/>
      </w:r>
      <w:r>
        <w:t xml:space="preserve"> </w:t>
      </w:r>
      <w:r>
        <w:rPr>
          <w:lang w:val="en-AU"/>
        </w:rPr>
        <w:t xml:space="preserve">The global warming potential (GWP) of the refrigerant commonly used in the Australia are listed in </w:t>
      </w:r>
      <w:r w:rsidRPr="007653EE">
        <w:rPr>
          <w:lang w:val="en-AU"/>
        </w:rPr>
        <w:t>Appendix A: Methodology – Taxonomy, data and assumptions</w:t>
      </w:r>
      <w:r>
        <w:rPr>
          <w:lang w:val="en-AU"/>
        </w:rPr>
        <w:t>.</w:t>
      </w:r>
    </w:p>
  </w:footnote>
  <w:footnote w:id="3">
    <w:p w14:paraId="724E07D1" w14:textId="4F44DE73" w:rsidR="00FA4EEB" w:rsidRPr="00FD314C" w:rsidRDefault="00FA4EEB">
      <w:pPr>
        <w:pStyle w:val="FootnoteText"/>
        <w:rPr>
          <w:lang w:val="en-AU"/>
        </w:rPr>
      </w:pPr>
      <w:r>
        <w:rPr>
          <w:rStyle w:val="FootnoteReference"/>
        </w:rPr>
        <w:footnoteRef/>
      </w:r>
      <w:r>
        <w:t xml:space="preserve"> </w:t>
      </w:r>
      <w:r w:rsidRPr="00FD314C">
        <w:t xml:space="preserve">Australian Energy Statistics, Electricity generation by fuel type, prepared by the Department of the Environment and Energy, March 2019 estimate the Australian electricity generation (i.e. sent out) by all fuel types (i.e. Non-renewable and renewable) was 261,405 </w:t>
      </w:r>
      <w:proofErr w:type="spellStart"/>
      <w:r w:rsidRPr="00FD314C">
        <w:t>GWh</w:t>
      </w:r>
      <w:proofErr w:type="spellEnd"/>
      <w:r w:rsidRPr="00FD314C">
        <w:t xml:space="preserve">. This is 1% higher than 2016, estimated at 258,481 </w:t>
      </w:r>
      <w:proofErr w:type="spellStart"/>
      <w:r w:rsidRPr="00FD314C">
        <w:t>GWh</w:t>
      </w:r>
      <w:proofErr w:type="spellEnd"/>
      <w:r w:rsidRPr="00FD314C">
        <w:t>.</w:t>
      </w:r>
    </w:p>
  </w:footnote>
  <w:footnote w:id="4">
    <w:p w14:paraId="470685BB" w14:textId="36A045CD" w:rsidR="00FA4EEB" w:rsidRPr="00ED434B" w:rsidRDefault="00FA4EEB" w:rsidP="00ED434B">
      <w:pPr>
        <w:pStyle w:val="FootnoteText"/>
        <w:rPr>
          <w:lang w:val="en-AU"/>
        </w:rPr>
      </w:pPr>
      <w:r>
        <w:rPr>
          <w:rStyle w:val="FootnoteReference"/>
        </w:rPr>
        <w:footnoteRef/>
      </w:r>
      <w:r>
        <w:t xml:space="preserve"> AEMO National Electricity and Gas Forecasting, Neutral Scenario, 1981 to 2037 by State, wholesale and retail prices, Australian Energy Market Operator, published 2017. </w:t>
      </w:r>
      <w:r w:rsidRPr="00C56A04">
        <w:t>Residential, Commercial and Industrial national average prices have increased from 0.28, 0.16 and 0.13 c/kWh in 2016 to a projected 0.36, 0.24 and 0.21 c/kWh in 2018.</w:t>
      </w:r>
      <w:r>
        <w:t xml:space="preserve"> Prices for 2018 used AEMO projected prices, as the AEMO 2018 Electricity Statement of Opportunities now only publishes the Price Index, not the actual prices. </w:t>
      </w:r>
    </w:p>
  </w:footnote>
  <w:footnote w:id="5">
    <w:p w14:paraId="21D81002" w14:textId="0EA377EF" w:rsidR="00FA4EEB" w:rsidRPr="000047CA" w:rsidRDefault="00FA4EEB" w:rsidP="002028B3">
      <w:pPr>
        <w:pStyle w:val="FootnoteText"/>
        <w:rPr>
          <w:lang w:val="en-US"/>
        </w:rPr>
      </w:pPr>
      <w:r>
        <w:rPr>
          <w:rStyle w:val="FootnoteReference"/>
        </w:rPr>
        <w:footnoteRef/>
      </w:r>
      <w:r>
        <w:t xml:space="preserve"> </w:t>
      </w:r>
      <w:r>
        <w:rPr>
          <w:lang w:val="en-US"/>
        </w:rPr>
        <w:t xml:space="preserve">Estimates of the average life of individual equipment categories are tabulated and explained in </w:t>
      </w:r>
      <w:r w:rsidRPr="00B12DE9">
        <w:rPr>
          <w:lang w:val="en-US"/>
        </w:rPr>
        <w:t>Appendix A: Methodology – Taxonomy, data and assumptions</w:t>
      </w:r>
      <w:r>
        <w:rPr>
          <w:lang w:val="en-US"/>
        </w:rPr>
        <w:t>.</w:t>
      </w:r>
    </w:p>
  </w:footnote>
  <w:footnote w:id="6">
    <w:p w14:paraId="2A6AE16C" w14:textId="34269F54" w:rsidR="00FA4EEB" w:rsidRPr="00E32F4A" w:rsidRDefault="00FA4EEB" w:rsidP="00597996">
      <w:pPr>
        <w:pStyle w:val="FootnoteText"/>
        <w:rPr>
          <w:lang w:val="en-AU"/>
        </w:rPr>
      </w:pPr>
      <w:r>
        <w:rPr>
          <w:rStyle w:val="FootnoteReference"/>
        </w:rPr>
        <w:footnoteRef/>
      </w:r>
      <w:r>
        <w:t xml:space="preserve"> </w:t>
      </w:r>
      <w:r w:rsidRPr="00E32F4A">
        <w:t xml:space="preserve">Hot water heat pumps </w:t>
      </w:r>
      <w:r>
        <w:t xml:space="preserve">for domestic and commercial applications, and swimming pools </w:t>
      </w:r>
      <w:r w:rsidRPr="00E32F4A">
        <w:t>use refrigeration technology (i.e. vapour compression cycle) to remove heat from the air to heat water</w:t>
      </w:r>
      <w:r>
        <w:t>.</w:t>
      </w:r>
    </w:p>
  </w:footnote>
  <w:footnote w:id="7">
    <w:p w14:paraId="6156B54A" w14:textId="7C580B9E" w:rsidR="00FA4EEB" w:rsidRPr="00C270A8" w:rsidRDefault="00FA4EEB" w:rsidP="00597996">
      <w:pPr>
        <w:pStyle w:val="FootnoteText"/>
        <w:rPr>
          <w:i w:val="0"/>
          <w:szCs w:val="18"/>
          <w:lang w:val="en-US"/>
        </w:rPr>
      </w:pPr>
      <w:r w:rsidRPr="008E1312">
        <w:rPr>
          <w:rStyle w:val="FootnoteReference"/>
        </w:rPr>
        <w:footnoteRef/>
      </w:r>
      <w:r w:rsidRPr="008E1312">
        <w:t xml:space="preserve"> </w:t>
      </w:r>
      <w:r w:rsidRPr="008E1312">
        <w:rPr>
          <w:szCs w:val="18"/>
          <w:lang w:val="en-AU"/>
        </w:rPr>
        <w:t>Based on actual refrigerant charge sizes.</w:t>
      </w:r>
    </w:p>
  </w:footnote>
  <w:footnote w:id="8">
    <w:p w14:paraId="5675B58B" w14:textId="77777777" w:rsidR="00FA4EEB" w:rsidRPr="005E3B56" w:rsidRDefault="00FA4EEB" w:rsidP="00397ED6">
      <w:pPr>
        <w:pStyle w:val="FootnoteText"/>
        <w:rPr>
          <w:lang w:val="en-AU"/>
        </w:rPr>
      </w:pPr>
      <w:r>
        <w:rPr>
          <w:rStyle w:val="FootnoteReference"/>
        </w:rPr>
        <w:footnoteRef/>
      </w:r>
      <w:r>
        <w:t xml:space="preserve"> </w:t>
      </w:r>
      <w:r w:rsidRPr="005E3B56">
        <w:t>www.energyrating.gov.au</w:t>
      </w:r>
    </w:p>
  </w:footnote>
  <w:footnote w:id="9">
    <w:p w14:paraId="7F3AFDC6" w14:textId="77777777" w:rsidR="00FA4EEB" w:rsidRPr="00397ED6" w:rsidRDefault="00FA4EEB" w:rsidP="008434C7">
      <w:pPr>
        <w:rPr>
          <w:sz w:val="18"/>
          <w:szCs w:val="18"/>
        </w:rPr>
      </w:pPr>
      <w:r>
        <w:rPr>
          <w:rStyle w:val="FootnoteReference"/>
        </w:rPr>
        <w:footnoteRef/>
      </w:r>
      <w:r>
        <w:t xml:space="preserve"> </w:t>
      </w:r>
      <w:r w:rsidRPr="00397ED6">
        <w:rPr>
          <w:sz w:val="18"/>
          <w:szCs w:val="18"/>
        </w:rPr>
        <w:t>The Federal Energy Minister signed a new Determination for air conditioners under the Greenhouse and Energy Minimum Standards (GEMS) Act 2012 in late March 2019. This follows the agreement of COAG Energy Ministers in December 2018 to further improve regulations on air conditioners: Specific changes include: applying MEPS to single duct portable air conditioners, increasing MEPS for air conditioners with a capacity greater than 65 kW, reducing MEPS for double duct portable air conditioners, and adopting the Seasonal Energy Efficiency Ratio (SEER) standard for rating air conditioner energy efficiency on the energy rating label.</w:t>
      </w:r>
    </w:p>
  </w:footnote>
  <w:footnote w:id="10">
    <w:p w14:paraId="3339BB53" w14:textId="74E9D0F7" w:rsidR="00FA4EEB" w:rsidRPr="002A14D5" w:rsidRDefault="00FA4EEB" w:rsidP="002A14D5">
      <w:pPr>
        <w:pStyle w:val="FootnoteText"/>
        <w:rPr>
          <w:lang w:val="en-AU"/>
        </w:rPr>
      </w:pPr>
      <w:r>
        <w:rPr>
          <w:rStyle w:val="FootnoteReference"/>
        </w:rPr>
        <w:footnoteRef/>
      </w:r>
      <w:r>
        <w:t xml:space="preserve"> R290 LFL of 0.038 x 13 = 0.494 kg and R600a LFL of 0.043 x 13 = 0.559 kg.</w:t>
      </w:r>
    </w:p>
  </w:footnote>
  <w:footnote w:id="11">
    <w:p w14:paraId="7CC27148" w14:textId="77777777" w:rsidR="00FA4EEB" w:rsidRPr="00E10355" w:rsidRDefault="00FA4EEB" w:rsidP="00597996">
      <w:pPr>
        <w:pStyle w:val="FootnoteText"/>
        <w:rPr>
          <w:lang w:val="en-AU"/>
        </w:rPr>
      </w:pPr>
      <w:r>
        <w:rPr>
          <w:rStyle w:val="FootnoteReference"/>
        </w:rPr>
        <w:footnoteRef/>
      </w:r>
      <w:r w:rsidRPr="00E10355">
        <w:t>http://www.cleanenergyregulator.gov.au/RET/Forms-and-resources/Postcode-data-for-small-scale-installations#Solar-water-heater-SWH-installations</w:t>
      </w:r>
    </w:p>
  </w:footnote>
  <w:footnote w:id="12">
    <w:p w14:paraId="76FCFF1D" w14:textId="13B8B24B" w:rsidR="00FA4EEB" w:rsidRPr="00070B1C" w:rsidRDefault="00FA4EEB" w:rsidP="000D529D">
      <w:pPr>
        <w:pStyle w:val="FootnoteText"/>
        <w:rPr>
          <w:lang w:val="en-AU"/>
        </w:rPr>
      </w:pPr>
      <w:r>
        <w:rPr>
          <w:rStyle w:val="FootnoteReference"/>
        </w:rPr>
        <w:footnoteRef/>
      </w:r>
      <w:r>
        <w:t xml:space="preserve"> ABS Catalogue 93090 Motor Vehicle Census published July 2019, as of 31 January 2019, registrations for vehicles classified as Small MAC were 14,504,148 passenger vehicles; 3,313,418 light commercial vehicles; 648,438 trucks; and, 99,379 buses/coaches of which an estimated 73,800 are less than 4.5 GMT.   </w:t>
      </w:r>
    </w:p>
  </w:footnote>
  <w:footnote w:id="13">
    <w:p w14:paraId="436B7091" w14:textId="77777777" w:rsidR="00FA4EEB" w:rsidRPr="004F69A9" w:rsidRDefault="00FA4EEB" w:rsidP="00C3687F">
      <w:pPr>
        <w:pStyle w:val="FootnoteText"/>
        <w:rPr>
          <w:lang w:val="en-AU"/>
        </w:rPr>
      </w:pPr>
      <w:r>
        <w:rPr>
          <w:rStyle w:val="FootnoteReference"/>
        </w:rPr>
        <w:footnoteRef/>
      </w:r>
      <w:r>
        <w:t xml:space="preserve"> This excludes locomotives in storage, available for hire, or due for scrapping.</w:t>
      </w:r>
    </w:p>
  </w:footnote>
  <w:footnote w:id="14">
    <w:p w14:paraId="0BCA33E2" w14:textId="77777777" w:rsidR="00FA4EEB" w:rsidRPr="00221B7B" w:rsidRDefault="00FA4EEB" w:rsidP="00C3687F">
      <w:pPr>
        <w:pStyle w:val="FootnoteText"/>
        <w:rPr>
          <w:lang w:val="en-US"/>
        </w:rPr>
      </w:pPr>
      <w:r>
        <w:rPr>
          <w:rStyle w:val="FootnoteReference"/>
        </w:rPr>
        <w:footnoteRef/>
      </w:r>
      <w:r>
        <w:t xml:space="preserve"> </w:t>
      </w:r>
      <w:r>
        <w:rPr>
          <w:rFonts w:ascii="Times New Roman" w:hAnsi="Times New Roman" w:cs="Times New Roman"/>
          <w:lang w:val="en-AU"/>
        </w:rPr>
        <w:t xml:space="preserve">The </w:t>
      </w:r>
      <w:r w:rsidRPr="00E53413">
        <w:rPr>
          <w:rFonts w:ascii="Times New Roman" w:hAnsi="Times New Roman" w:cs="Times New Roman"/>
          <w:lang w:val="en-AU"/>
        </w:rPr>
        <w:t>Caravan and Campervan Data Report 201</w:t>
      </w:r>
      <w:r>
        <w:rPr>
          <w:rFonts w:ascii="Times New Roman" w:hAnsi="Times New Roman" w:cs="Times New Roman"/>
          <w:lang w:val="en-AU"/>
        </w:rPr>
        <w:t xml:space="preserve">8 prepared by the </w:t>
      </w:r>
      <w:r w:rsidRPr="00E53413">
        <w:rPr>
          <w:rFonts w:ascii="Times New Roman" w:hAnsi="Times New Roman" w:cs="Times New Roman"/>
          <w:lang w:val="en-AU"/>
        </w:rPr>
        <w:t>Caravan Industry Association of Australia Ltd</w:t>
      </w:r>
      <w:r>
        <w:rPr>
          <w:rFonts w:ascii="Times New Roman" w:hAnsi="Times New Roman" w:cs="Times New Roman"/>
          <w:lang w:val="en-AU"/>
        </w:rPr>
        <w:t xml:space="preserve"> is a compilation of data from the ABS Motor Vehicle Census</w:t>
      </w:r>
      <w:r w:rsidRPr="00E53413">
        <w:rPr>
          <w:rFonts w:ascii="Times New Roman" w:hAnsi="Times New Roman" w:cs="Times New Roman"/>
          <w:lang w:val="en-AU"/>
        </w:rPr>
        <w:t xml:space="preserve"> </w:t>
      </w:r>
      <w:r>
        <w:rPr>
          <w:rFonts w:ascii="Times New Roman" w:hAnsi="Times New Roman" w:cs="Times New Roman"/>
          <w:lang w:val="en-AU"/>
        </w:rPr>
        <w:t xml:space="preserve">and </w:t>
      </w:r>
      <w:r w:rsidRPr="00E53413">
        <w:rPr>
          <w:rFonts w:ascii="Times New Roman" w:hAnsi="Times New Roman" w:cs="Times New Roman"/>
          <w:lang w:val="en-AU"/>
        </w:rPr>
        <w:t>Australian Demographic Statistics</w:t>
      </w:r>
      <w:r>
        <w:rPr>
          <w:rFonts w:ascii="Times New Roman" w:hAnsi="Times New Roman" w:cs="Times New Roman"/>
          <w:lang w:val="en-AU"/>
        </w:rPr>
        <w:t xml:space="preserve">. (CVIAA 2019 and </w:t>
      </w:r>
      <w:r w:rsidRPr="00CD4D6E">
        <w:rPr>
          <w:rFonts w:ascii="Times New Roman" w:hAnsi="Times New Roman" w:cs="Times New Roman"/>
          <w:lang w:val="en-AU"/>
        </w:rPr>
        <w:t>ABS 93090.0 201</w:t>
      </w:r>
      <w:r>
        <w:rPr>
          <w:rFonts w:ascii="Times New Roman" w:hAnsi="Times New Roman" w:cs="Times New Roman"/>
          <w:lang w:val="en-AU"/>
        </w:rPr>
        <w:t>8).</w:t>
      </w:r>
    </w:p>
  </w:footnote>
  <w:footnote w:id="15">
    <w:p w14:paraId="6A15E737" w14:textId="77777777" w:rsidR="00FA4EEB" w:rsidRPr="00DF7BA8" w:rsidRDefault="00FA4EEB" w:rsidP="007B0E26">
      <w:pPr>
        <w:pStyle w:val="FootnoteText"/>
        <w:rPr>
          <w:lang w:val="en-AU"/>
        </w:rPr>
      </w:pPr>
      <w:r>
        <w:rPr>
          <w:rStyle w:val="FootnoteReference"/>
        </w:rPr>
        <w:footnoteRef/>
      </w:r>
      <w:r>
        <w:t xml:space="preserve"> </w:t>
      </w:r>
      <w:r w:rsidRPr="00DF7BA8">
        <w:t>The Australian Institute of Refrigeration, Air conditioning and Heating (AIRAH)</w:t>
      </w:r>
      <w:r>
        <w:t xml:space="preserve"> is due to publish a </w:t>
      </w:r>
      <w:r w:rsidRPr="00DF7BA8">
        <w:t>Best Practice Guide for E</w:t>
      </w:r>
      <w:r>
        <w:t xml:space="preserve">nergy </w:t>
      </w:r>
      <w:r w:rsidRPr="00DF7BA8">
        <w:t>E</w:t>
      </w:r>
      <w:r>
        <w:t>fficient</w:t>
      </w:r>
      <w:r w:rsidRPr="00DF7BA8">
        <w:t xml:space="preserve"> W</w:t>
      </w:r>
      <w:r>
        <w:t>alk-in Cold Rooms in late 2019.</w:t>
      </w:r>
    </w:p>
  </w:footnote>
  <w:footnote w:id="16">
    <w:p w14:paraId="4D7B4C49" w14:textId="77777777" w:rsidR="00FA4EEB" w:rsidRPr="00EF1E7F" w:rsidRDefault="00FA4EEB" w:rsidP="00851ED3">
      <w:pPr>
        <w:pStyle w:val="FootnoteText"/>
        <w:rPr>
          <w:lang w:val="en-AU"/>
        </w:rPr>
      </w:pPr>
      <w:r>
        <w:rPr>
          <w:rStyle w:val="FootnoteReference"/>
        </w:rPr>
        <w:footnoteRef/>
      </w:r>
      <w:r>
        <w:t xml:space="preserve"> Refer </w:t>
      </w:r>
      <w:r w:rsidRPr="00EF1E7F">
        <w:t>AS/NZS ISO 5149:</w:t>
      </w:r>
      <w:r>
        <w:t xml:space="preserve"> </w:t>
      </w:r>
      <w:r w:rsidRPr="00EF1E7F">
        <w:t>2016 Refrigerating systems and heat pumps. - Safety and environmental requirements</w:t>
      </w:r>
      <w:r>
        <w:t xml:space="preserve"> for further details on </w:t>
      </w:r>
      <w:r w:rsidRPr="00EF1E7F">
        <w:t>refrigerant charge limits</w:t>
      </w:r>
      <w:r>
        <w:t>.</w:t>
      </w:r>
    </w:p>
  </w:footnote>
  <w:footnote w:id="17">
    <w:p w14:paraId="10043F34" w14:textId="77777777" w:rsidR="00FA4EEB" w:rsidRPr="002A14D5" w:rsidRDefault="00FA4EEB" w:rsidP="0045124B">
      <w:pPr>
        <w:pStyle w:val="FootnoteText"/>
        <w:rPr>
          <w:lang w:val="en-AU"/>
        </w:rPr>
      </w:pPr>
      <w:r>
        <w:rPr>
          <w:rStyle w:val="FootnoteReference"/>
        </w:rPr>
        <w:footnoteRef/>
      </w:r>
      <w:r>
        <w:t xml:space="preserve"> R290 LFL of 0.038 x 13 = 0.494 kg and R600a LFL of 0.043 x 13 = 0.559 kg.</w:t>
      </w:r>
    </w:p>
  </w:footnote>
  <w:footnote w:id="18">
    <w:p w14:paraId="0E2A5BB9" w14:textId="0A966898" w:rsidR="00FA4EEB" w:rsidRPr="0075752C" w:rsidRDefault="00FA4EEB" w:rsidP="00851ED3">
      <w:pPr>
        <w:pStyle w:val="FootnoteText"/>
        <w:rPr>
          <w:lang w:val="en-AU"/>
        </w:rPr>
      </w:pPr>
      <w:r>
        <w:rPr>
          <w:rStyle w:val="FootnoteReference"/>
        </w:rPr>
        <w:footnoteRef/>
      </w:r>
      <w:r>
        <w:t xml:space="preserve"> </w:t>
      </w:r>
      <w:r w:rsidRPr="0075752C">
        <w:t>AIRAH Refrigeration Conference 201</w:t>
      </w:r>
      <w:r>
        <w:t>9</w:t>
      </w:r>
      <w:r w:rsidRPr="0075752C">
        <w:t>: Trans critical CO</w:t>
      </w:r>
      <w:r w:rsidRPr="0075752C">
        <w:rPr>
          <w:vertAlign w:val="subscript"/>
        </w:rPr>
        <w:t>2</w:t>
      </w:r>
      <w:r w:rsidRPr="0075752C">
        <w:t xml:space="preserve"> in Australian supermarkets – continued success, Mike Baker, AJ Baker &amp; Sons Pty Ltd.</w:t>
      </w:r>
    </w:p>
  </w:footnote>
  <w:footnote w:id="19">
    <w:p w14:paraId="0A0D7B76" w14:textId="77777777" w:rsidR="00FA4EEB" w:rsidRPr="00625900" w:rsidRDefault="00FA4EEB" w:rsidP="00851ED3">
      <w:pPr>
        <w:pStyle w:val="FootnoteText"/>
        <w:rPr>
          <w:lang w:val="en-US"/>
        </w:rPr>
      </w:pPr>
      <w:r>
        <w:rPr>
          <w:rStyle w:val="FootnoteReference"/>
        </w:rPr>
        <w:footnoteRef/>
      </w:r>
      <w:r>
        <w:t xml:space="preserve"> </w:t>
      </w:r>
      <w:r>
        <w:rPr>
          <w:lang w:val="en-US"/>
        </w:rPr>
        <w:t>Industry source: Austral Fisheries, leak rates greater than 30% per annum can be experienced on old open drive equipment.</w:t>
      </w:r>
    </w:p>
  </w:footnote>
  <w:footnote w:id="20">
    <w:p w14:paraId="42461AA2" w14:textId="77777777" w:rsidR="00FA4EEB" w:rsidRPr="009B2352" w:rsidRDefault="00FA4EEB" w:rsidP="00851ED3">
      <w:pPr>
        <w:pStyle w:val="FootnoteText"/>
        <w:rPr>
          <w:lang w:val="en-US"/>
        </w:rPr>
      </w:pPr>
      <w:r>
        <w:rPr>
          <w:rStyle w:val="FootnoteReference"/>
        </w:rPr>
        <w:footnoteRef/>
      </w:r>
      <w:r>
        <w:t>Ammonia used in refrigeration systems is anhydrous ammonia meaning it does not contain water, the chemical symbol is NH</w:t>
      </w:r>
      <w:r w:rsidRPr="009B2352">
        <w:rPr>
          <w:vertAlign w:val="subscript"/>
        </w:rPr>
        <w:t>3</w:t>
      </w:r>
      <w:r>
        <w:t xml:space="preserve"> and the ASHRAE refrigerant number is R717.</w:t>
      </w:r>
    </w:p>
  </w:footnote>
  <w:footnote w:id="21">
    <w:p w14:paraId="16789E9B" w14:textId="09A2D176" w:rsidR="00FA4EEB" w:rsidRPr="002B297A" w:rsidRDefault="00FA4EEB" w:rsidP="00851ED3">
      <w:pPr>
        <w:pStyle w:val="FootnoteText"/>
      </w:pPr>
      <w:r>
        <w:rPr>
          <w:rStyle w:val="FootnoteReference"/>
        </w:rPr>
        <w:footnoteRef/>
      </w:r>
      <w:r>
        <w:t xml:space="preserve"> Industry participants of the </w:t>
      </w:r>
      <w:r w:rsidRPr="002B297A">
        <w:t>Refrigerated Warehouse and Transport Association.</w:t>
      </w:r>
    </w:p>
  </w:footnote>
  <w:footnote w:id="22">
    <w:p w14:paraId="2C696D69" w14:textId="2F73488A" w:rsidR="00FA4EEB" w:rsidRPr="005410EB" w:rsidRDefault="00FA4EEB" w:rsidP="00851ED3">
      <w:pPr>
        <w:pStyle w:val="FootnoteText"/>
        <w:rPr>
          <w:lang w:val="en-AU"/>
        </w:rPr>
      </w:pPr>
      <w:r>
        <w:rPr>
          <w:rStyle w:val="FootnoteReference"/>
        </w:rPr>
        <w:footnoteRef/>
      </w:r>
      <w:r>
        <w:t xml:space="preserve"> ABS </w:t>
      </w:r>
      <w:r w:rsidRPr="005410EB">
        <w:t>8165.0 Counts of Australian Businesses</w:t>
      </w:r>
      <w:r>
        <w:t xml:space="preserve">, as of June 2018 and includes codes 1111 Meat Processing and 1112 Poultry Processing. There were 52 business with more than 200 employees and 96 businesses with more than 20 and less than 200 employees. There were a further 710 businesses that were classified as non-employing or with less than 20 employees that are unlikely to have sufficient scale for an ammonia plant. </w:t>
      </w:r>
    </w:p>
  </w:footnote>
  <w:footnote w:id="23">
    <w:p w14:paraId="680135E2" w14:textId="77777777" w:rsidR="00FA4EEB" w:rsidRPr="00406FCD" w:rsidRDefault="00FA4EEB" w:rsidP="00AC09EC">
      <w:pPr>
        <w:pStyle w:val="FootnoteText"/>
        <w:rPr>
          <w:lang w:val="en-US"/>
        </w:rPr>
      </w:pPr>
      <w:r>
        <w:rPr>
          <w:rStyle w:val="FootnoteReference"/>
        </w:rPr>
        <w:footnoteRef/>
      </w:r>
      <w:r>
        <w:t xml:space="preserve"> </w:t>
      </w:r>
      <w:r w:rsidRPr="007E4D96">
        <w:rPr>
          <w:lang w:val="en-US"/>
        </w:rPr>
        <w:t>Deducting from this population of 19.7 million devices an estimated 980,000 portable and vehicle refrigerators, and an estimated 5% of devices that the CHF3 Model includes, but that are assumed to be used in business premises, such as restaurants and takeaway shops, and in office kitchens. The CHF RAC Stock model predicts an installed base of 17.82 million domestic refrigerators and freezers in residential buildings in Australia</w:t>
      </w:r>
      <w:r>
        <w:rPr>
          <w:lang w:val="en-US"/>
        </w:rPr>
        <w:t>,</w:t>
      </w:r>
      <w:r w:rsidRPr="007E4D96">
        <w:rPr>
          <w:lang w:val="en-US"/>
        </w:rPr>
        <w:t xml:space="preserve"> a value that aligns very well with the results of the Residential Baseline Study 2015 that estimated an installed base of 18.06 million refrigerators and freezers in Australian homes in 2018</w:t>
      </w:r>
      <w:r>
        <w:rPr>
          <w:lang w:val="en-US"/>
        </w:rPr>
        <w:t>.</w:t>
      </w:r>
    </w:p>
  </w:footnote>
  <w:footnote w:id="24">
    <w:p w14:paraId="235B5D6A" w14:textId="77777777" w:rsidR="00FA4EEB" w:rsidRPr="008F4393" w:rsidRDefault="00FA4EEB" w:rsidP="00E42FBC">
      <w:pPr>
        <w:pStyle w:val="FootnoteText"/>
        <w:rPr>
          <w:lang w:val="en-AU"/>
        </w:rPr>
      </w:pPr>
      <w:r>
        <w:rPr>
          <w:rStyle w:val="FootnoteReference"/>
        </w:rPr>
        <w:footnoteRef/>
      </w:r>
      <w:r>
        <w:t xml:space="preserve"> </w:t>
      </w:r>
      <w:r>
        <w:rPr>
          <w:lang w:val="en-AU"/>
        </w:rPr>
        <w:t>The average charge of a domestic refrigerator is 140 grams of HFC-134a and 55 grams of HC.</w:t>
      </w:r>
    </w:p>
  </w:footnote>
  <w:footnote w:id="25">
    <w:p w14:paraId="031B6DD3" w14:textId="0446EDE4" w:rsidR="00FA4EEB" w:rsidRPr="007F380B" w:rsidRDefault="00FA4EEB" w:rsidP="00E42FBC">
      <w:pPr>
        <w:pStyle w:val="FootnoteText"/>
        <w:rPr>
          <w:lang w:val="en-US"/>
        </w:rPr>
      </w:pPr>
      <w:r>
        <w:rPr>
          <w:rStyle w:val="FootnoteReference"/>
        </w:rPr>
        <w:footnoteRef/>
      </w:r>
      <w:r>
        <w:t xml:space="preserve"> </w:t>
      </w:r>
      <w:r w:rsidRPr="00AF7F10">
        <w:t>This older stock of equipment is just one of the sources of the 2 tonnes of CFCs still being returned every year to the RRA destruction program, the refrigerant most likely being recovered from fridges being repaired by dealers of second hand white goods.</w:t>
      </w:r>
    </w:p>
  </w:footnote>
  <w:footnote w:id="26">
    <w:p w14:paraId="4016F780" w14:textId="77777777" w:rsidR="00FA4EEB" w:rsidRPr="00193B05" w:rsidRDefault="00FA4EEB" w:rsidP="00CA2289">
      <w:pPr>
        <w:pStyle w:val="FootnoteText"/>
        <w:rPr>
          <w:rFonts w:asciiTheme="minorHAnsi" w:hAnsiTheme="minorHAnsi" w:cstheme="minorHAnsi"/>
          <w:szCs w:val="18"/>
        </w:rPr>
      </w:pPr>
      <w:r w:rsidRPr="00193B05">
        <w:rPr>
          <w:rStyle w:val="FootnoteReference"/>
          <w:rFonts w:asciiTheme="minorHAnsi" w:hAnsiTheme="minorHAnsi" w:cstheme="minorHAnsi"/>
          <w:sz w:val="18"/>
          <w:szCs w:val="18"/>
        </w:rPr>
        <w:footnoteRef/>
      </w:r>
      <w:r w:rsidRPr="00193B05">
        <w:rPr>
          <w:rFonts w:asciiTheme="minorHAnsi" w:hAnsiTheme="minorHAnsi" w:cstheme="minorHAnsi"/>
          <w:szCs w:val="18"/>
        </w:rPr>
        <w:t xml:space="preserve"> For further clarification on refrigerant properties, classifications and potential for replacement refer to ‘AS/NZS ISO 817:</w:t>
      </w:r>
      <w:r>
        <w:rPr>
          <w:rFonts w:asciiTheme="minorHAnsi" w:hAnsiTheme="minorHAnsi" w:cstheme="minorHAnsi"/>
          <w:szCs w:val="18"/>
        </w:rPr>
        <w:t xml:space="preserve"> </w:t>
      </w:r>
      <w:r w:rsidRPr="00193B05">
        <w:rPr>
          <w:rFonts w:asciiTheme="minorHAnsi" w:hAnsiTheme="minorHAnsi" w:cstheme="minorHAnsi"/>
          <w:szCs w:val="18"/>
        </w:rPr>
        <w:t>2016 Refrigerants - Designation and safety classification’; ‘AS/NZS: 2016 (ISO 5149-1:2014, MOD) Refrigerating systems and heat pumps - Safety and environmental requirements’; and ‘IEC 60335-2-89, Household and similar electrical appliances – Safety’.</w:t>
      </w:r>
    </w:p>
  </w:footnote>
  <w:footnote w:id="27">
    <w:p w14:paraId="4C21B3E7" w14:textId="29E5457D" w:rsidR="00FA4EEB" w:rsidRPr="00193B05" w:rsidRDefault="00FA4EEB" w:rsidP="00CA2289">
      <w:pPr>
        <w:pStyle w:val="ListBullet"/>
        <w:numPr>
          <w:ilvl w:val="0"/>
          <w:numId w:val="0"/>
        </w:numPr>
        <w:contextualSpacing w:val="0"/>
        <w:rPr>
          <w:rFonts w:asciiTheme="minorHAnsi" w:hAnsiTheme="minorHAnsi" w:cstheme="minorHAnsi"/>
          <w:i/>
          <w:sz w:val="18"/>
        </w:rPr>
      </w:pPr>
      <w:r>
        <w:rPr>
          <w:rStyle w:val="FootnoteReference"/>
        </w:rPr>
        <w:footnoteRef/>
      </w:r>
      <w:r>
        <w:t xml:space="preserve"> </w:t>
      </w:r>
      <w:r w:rsidRPr="00193B05">
        <w:rPr>
          <w:rFonts w:asciiTheme="minorHAnsi" w:hAnsiTheme="minorHAnsi" w:cstheme="minorHAnsi"/>
          <w:i/>
          <w:sz w:val="18"/>
        </w:rPr>
        <w:t xml:space="preserve">HFOs are not </w:t>
      </w:r>
      <w:r>
        <w:rPr>
          <w:rFonts w:asciiTheme="minorHAnsi" w:hAnsiTheme="minorHAnsi" w:cstheme="minorHAnsi"/>
          <w:i/>
          <w:sz w:val="18"/>
        </w:rPr>
        <w:t xml:space="preserve">defined as controlled substances under the </w:t>
      </w:r>
      <w:r w:rsidRPr="00193B05">
        <w:rPr>
          <w:rFonts w:asciiTheme="minorHAnsi" w:hAnsiTheme="minorHAnsi" w:cstheme="minorHAnsi"/>
          <w:i/>
          <w:sz w:val="18"/>
        </w:rPr>
        <w:t>Ozone Protection and Synthetic Greenhouse Gas Management Act 1989</w:t>
      </w:r>
      <w:r>
        <w:rPr>
          <w:rFonts w:asciiTheme="minorHAnsi" w:hAnsiTheme="minorHAnsi" w:cstheme="minorHAnsi"/>
          <w:i/>
          <w:sz w:val="18"/>
        </w:rPr>
        <w:t>,</w:t>
      </w:r>
      <w:r w:rsidRPr="00193B05">
        <w:rPr>
          <w:rFonts w:asciiTheme="minorHAnsi" w:hAnsiTheme="minorHAnsi" w:cstheme="minorHAnsi"/>
          <w:i/>
          <w:sz w:val="18"/>
        </w:rPr>
        <w:t xml:space="preserve"> </w:t>
      </w:r>
      <w:r>
        <w:rPr>
          <w:rFonts w:asciiTheme="minorHAnsi" w:hAnsiTheme="minorHAnsi" w:cstheme="minorHAnsi"/>
          <w:i/>
          <w:sz w:val="18"/>
        </w:rPr>
        <w:t xml:space="preserve">and therefore are not </w:t>
      </w:r>
      <w:r w:rsidRPr="00193B05">
        <w:rPr>
          <w:rFonts w:asciiTheme="minorHAnsi" w:hAnsiTheme="minorHAnsi" w:cstheme="minorHAnsi"/>
          <w:i/>
          <w:sz w:val="18"/>
        </w:rPr>
        <w:t>reportable in the same way that HFCs and HCFCs are at the point of importation</w:t>
      </w:r>
      <w:r>
        <w:rPr>
          <w:rFonts w:asciiTheme="minorHAnsi" w:hAnsiTheme="minorHAnsi" w:cstheme="minorHAnsi"/>
          <w:i/>
          <w:sz w:val="18"/>
        </w:rPr>
        <w:t>. Fu</w:t>
      </w:r>
      <w:r w:rsidRPr="00193B05">
        <w:rPr>
          <w:rFonts w:asciiTheme="minorHAnsi" w:hAnsiTheme="minorHAnsi" w:cstheme="minorHAnsi"/>
          <w:i/>
          <w:sz w:val="18"/>
        </w:rPr>
        <w:t xml:space="preserve">ture data on HFOs in the bank may not be available with the same accuracy that the Customs data on imports of HFCs and HCFCs </w:t>
      </w:r>
      <w:r>
        <w:rPr>
          <w:rFonts w:asciiTheme="minorHAnsi" w:hAnsiTheme="minorHAnsi" w:cstheme="minorHAnsi"/>
          <w:i/>
          <w:sz w:val="18"/>
        </w:rPr>
        <w:t xml:space="preserve">currently </w:t>
      </w:r>
      <w:r w:rsidRPr="00193B05">
        <w:rPr>
          <w:rFonts w:asciiTheme="minorHAnsi" w:hAnsiTheme="minorHAnsi" w:cstheme="minorHAnsi"/>
          <w:i/>
          <w:sz w:val="18"/>
        </w:rPr>
        <w:t>allows</w:t>
      </w:r>
      <w:r>
        <w:rPr>
          <w:rFonts w:asciiTheme="minorHAnsi" w:hAnsiTheme="minorHAnsi" w:cstheme="minorHAnsi"/>
          <w:i/>
          <w:sz w:val="18"/>
        </w:rPr>
        <w:t xml:space="preserve"> (i.e. pre-charged equipment data)</w:t>
      </w:r>
      <w:r w:rsidRPr="00193B05">
        <w:rPr>
          <w:rFonts w:asciiTheme="minorHAnsi" w:hAnsiTheme="minorHAnsi" w:cstheme="minorHAnsi"/>
          <w:i/>
          <w:sz w:val="18"/>
        </w:rPr>
        <w:t>.</w:t>
      </w:r>
    </w:p>
  </w:footnote>
  <w:footnote w:id="28">
    <w:p w14:paraId="2346F015" w14:textId="77777777" w:rsidR="00FA4EEB" w:rsidRPr="00CB3BC3" w:rsidRDefault="00FA4EEB" w:rsidP="00B2087D">
      <w:pPr>
        <w:pStyle w:val="FootnoteText"/>
        <w:rPr>
          <w:lang w:val="en-US"/>
        </w:rPr>
      </w:pPr>
      <w:r>
        <w:rPr>
          <w:rStyle w:val="FootnoteReference"/>
        </w:rPr>
        <w:footnoteRef/>
      </w:r>
      <w:r>
        <w:t xml:space="preserve"> </w:t>
      </w:r>
      <w:r w:rsidRPr="00CB3BC3">
        <w:t>A ban on imports of equipment containing HCFCs was implemented in July 2010.</w:t>
      </w:r>
    </w:p>
  </w:footnote>
  <w:footnote w:id="29">
    <w:p w14:paraId="7375208E" w14:textId="77777777" w:rsidR="00FA4EEB" w:rsidRPr="009C65CD" w:rsidRDefault="00FA4EEB" w:rsidP="00B2087D">
      <w:pPr>
        <w:pStyle w:val="FootnoteText"/>
        <w:rPr>
          <w:lang w:val="en-AU"/>
        </w:rPr>
      </w:pPr>
      <w:r>
        <w:rPr>
          <w:rStyle w:val="FootnoteReference"/>
        </w:rPr>
        <w:footnoteRef/>
      </w:r>
      <w:r>
        <w:t xml:space="preserve"> </w:t>
      </w:r>
      <w:r>
        <w:rPr>
          <w:lang w:val="en-AU"/>
        </w:rPr>
        <w:t>Based on pre-charged equipment imported until the end of 2018 calendar year.</w:t>
      </w:r>
    </w:p>
  </w:footnote>
  <w:footnote w:id="30">
    <w:p w14:paraId="6F6EDA00" w14:textId="04E2017D" w:rsidR="00FA4EEB" w:rsidRPr="007F3EA8" w:rsidRDefault="00FA4EEB" w:rsidP="00B2087D">
      <w:pPr>
        <w:pStyle w:val="FootnoteText"/>
        <w:rPr>
          <w:lang w:val="en-US"/>
        </w:rPr>
      </w:pPr>
      <w:r>
        <w:rPr>
          <w:rStyle w:val="FootnoteReference"/>
        </w:rPr>
        <w:footnoteRef/>
      </w:r>
      <w:r>
        <w:t xml:space="preserve"> </w:t>
      </w:r>
      <w:r w:rsidRPr="007F3EA8">
        <w:t>List of licenses and exemptions granted under the Ozone Protection and Synthetic Greenhouse Gas Management Act 1989, issued February 2012</w:t>
      </w:r>
      <w:r>
        <w:t xml:space="preserve"> and April 2019</w:t>
      </w:r>
      <w:r w:rsidRPr="007F3EA8">
        <w:t>.</w:t>
      </w:r>
      <w:r>
        <w:t xml:space="preserve"> There are other entities including the Department of the Environment and Energy that have an essential use licence and four entities that have a used substance licence.</w:t>
      </w:r>
    </w:p>
  </w:footnote>
  <w:footnote w:id="31">
    <w:p w14:paraId="5425708A" w14:textId="77777777" w:rsidR="00FA4EEB" w:rsidRPr="00014D84" w:rsidRDefault="00FA4EEB" w:rsidP="00B2087D">
      <w:pPr>
        <w:pStyle w:val="FootnoteText"/>
        <w:rPr>
          <w:rFonts w:asciiTheme="minorHAnsi" w:hAnsiTheme="minorHAnsi" w:cstheme="minorHAnsi"/>
          <w:szCs w:val="18"/>
          <w:lang w:val="en-AU"/>
        </w:rPr>
      </w:pPr>
      <w:r>
        <w:rPr>
          <w:rStyle w:val="FootnoteReference"/>
        </w:rPr>
        <w:footnoteRef/>
      </w:r>
      <w:r>
        <w:t xml:space="preserve"> </w:t>
      </w:r>
      <w:r w:rsidRPr="00014D84">
        <w:rPr>
          <w:rFonts w:asciiTheme="minorHAnsi" w:hAnsiTheme="minorHAnsi" w:cstheme="minorHAnsi"/>
          <w:szCs w:val="18"/>
          <w:lang w:val="en-AU"/>
        </w:rPr>
        <w:t>HCFC-22/CFC retrofit replacements include HFC-422D, HFC-437A, HFC-417A, HFC-422A, HFC-438A, HFC-426A, HFC-424A, HFC-428A, HCFC-508A, HCFC-508B, HCFC-408A and HCFC-409A.</w:t>
      </w:r>
    </w:p>
  </w:footnote>
  <w:footnote w:id="32">
    <w:p w14:paraId="3C2FB1A0" w14:textId="77777777" w:rsidR="00FA4EEB" w:rsidRPr="00E57E73" w:rsidRDefault="00FA4EEB" w:rsidP="00BD5045">
      <w:pPr>
        <w:pStyle w:val="FootnoteText"/>
        <w:rPr>
          <w:rFonts w:asciiTheme="minorHAnsi" w:hAnsiTheme="minorHAnsi" w:cstheme="minorHAnsi"/>
          <w:lang w:val="en-US"/>
        </w:rPr>
      </w:pPr>
      <w:r>
        <w:rPr>
          <w:rStyle w:val="FootnoteReference"/>
        </w:rPr>
        <w:footnoteRef/>
      </w:r>
      <w:r w:rsidRPr="00E57E73">
        <w:rPr>
          <w:rFonts w:asciiTheme="minorHAnsi" w:hAnsiTheme="minorHAnsi" w:cstheme="minorHAnsi"/>
        </w:rPr>
        <w:t>Ammonia used in refrigeration systems is anhydrous Ammonia meaning it does not contain water, the chemical symbol is NH</w:t>
      </w:r>
      <w:r w:rsidRPr="00E57E73">
        <w:rPr>
          <w:rFonts w:asciiTheme="minorHAnsi" w:hAnsiTheme="minorHAnsi" w:cstheme="minorHAnsi"/>
          <w:vertAlign w:val="subscript"/>
        </w:rPr>
        <w:t>3</w:t>
      </w:r>
      <w:r w:rsidRPr="00E57E73">
        <w:rPr>
          <w:rFonts w:asciiTheme="minorHAnsi" w:hAnsiTheme="minorHAnsi" w:cstheme="minorHAnsi"/>
        </w:rPr>
        <w:t xml:space="preserve"> and the ASHRAE refrigerant number is R717.</w:t>
      </w:r>
    </w:p>
  </w:footnote>
  <w:footnote w:id="33">
    <w:p w14:paraId="0CBE15CE" w14:textId="77777777" w:rsidR="00FA4EEB" w:rsidRPr="00E57E73" w:rsidRDefault="00FA4EEB" w:rsidP="00BD5045">
      <w:pPr>
        <w:pStyle w:val="FootnoteText"/>
        <w:rPr>
          <w:rFonts w:asciiTheme="minorHAnsi" w:hAnsiTheme="minorHAnsi" w:cstheme="minorHAnsi"/>
        </w:rPr>
      </w:pPr>
      <w:r>
        <w:rPr>
          <w:rStyle w:val="FootnoteReference"/>
        </w:rPr>
        <w:footnoteRef/>
      </w:r>
      <w:r>
        <w:t xml:space="preserve"> </w:t>
      </w:r>
      <w:r w:rsidRPr="00E57E73">
        <w:rPr>
          <w:rFonts w:asciiTheme="minorHAnsi" w:hAnsiTheme="minorHAnsi" w:cstheme="minorHAnsi"/>
        </w:rPr>
        <w:t>Industry source: Refrigerated Warehouse and Transport Association.</w:t>
      </w:r>
    </w:p>
  </w:footnote>
  <w:footnote w:id="34">
    <w:p w14:paraId="735728AB" w14:textId="77777777" w:rsidR="00FA4EEB" w:rsidRPr="00E57E73" w:rsidRDefault="00FA4EEB" w:rsidP="00BD5045">
      <w:pPr>
        <w:pStyle w:val="FootnoteText"/>
        <w:rPr>
          <w:rFonts w:asciiTheme="minorHAnsi" w:hAnsiTheme="minorHAnsi" w:cstheme="minorHAnsi"/>
          <w:lang w:val="en-AU"/>
        </w:rPr>
      </w:pPr>
      <w:r>
        <w:rPr>
          <w:rStyle w:val="FootnoteReference"/>
        </w:rPr>
        <w:footnoteRef/>
      </w:r>
      <w:r>
        <w:t xml:space="preserve"> </w:t>
      </w:r>
      <w:r w:rsidRPr="00E57E73">
        <w:rPr>
          <w:rFonts w:asciiTheme="minorHAnsi" w:hAnsiTheme="minorHAnsi" w:cstheme="minorHAnsi"/>
        </w:rPr>
        <w:t xml:space="preserve">JBS Australia, one of Australia's largest meat processors and exporters has a large plant in Dinmore, </w:t>
      </w:r>
      <w:proofErr w:type="spellStart"/>
      <w:r>
        <w:rPr>
          <w:rFonts w:asciiTheme="minorHAnsi" w:hAnsiTheme="minorHAnsi" w:cstheme="minorHAnsi"/>
        </w:rPr>
        <w:t>Q</w:t>
      </w:r>
      <w:r w:rsidRPr="00E57E73">
        <w:rPr>
          <w:rFonts w:asciiTheme="minorHAnsi" w:hAnsiTheme="minorHAnsi" w:cstheme="minorHAnsi"/>
        </w:rPr>
        <w:t>ld</w:t>
      </w:r>
      <w:proofErr w:type="spellEnd"/>
      <w:r w:rsidRPr="00E57E73">
        <w:rPr>
          <w:rFonts w:asciiTheme="minorHAnsi" w:hAnsiTheme="minorHAnsi" w:cstheme="minorHAnsi"/>
        </w:rPr>
        <w:t xml:space="preserve"> contains as much as 150 tonnes of ammonia.</w:t>
      </w:r>
    </w:p>
  </w:footnote>
  <w:footnote w:id="35">
    <w:p w14:paraId="73CF2A36" w14:textId="77777777" w:rsidR="00FA4EEB" w:rsidRPr="00B83F8A" w:rsidRDefault="00FA4EEB" w:rsidP="00BD5045">
      <w:pPr>
        <w:pStyle w:val="FootnoteText"/>
        <w:rPr>
          <w:rFonts w:asciiTheme="minorHAnsi" w:hAnsiTheme="minorHAnsi" w:cstheme="minorHAnsi"/>
          <w:lang w:val="en-US"/>
        </w:rPr>
      </w:pPr>
      <w:r>
        <w:rPr>
          <w:rStyle w:val="FootnoteReference"/>
        </w:rPr>
        <w:footnoteRef/>
      </w:r>
      <w:r>
        <w:t xml:space="preserve"> </w:t>
      </w:r>
      <w:r w:rsidRPr="00B83F8A">
        <w:rPr>
          <w:rFonts w:asciiTheme="minorHAnsi" w:hAnsiTheme="minorHAnsi" w:cstheme="minorHAnsi"/>
        </w:rPr>
        <w:t>Sanden Eco Hot water heat pump system achieves coefficients of performance of around 4.5.</w:t>
      </w:r>
    </w:p>
  </w:footnote>
  <w:footnote w:id="36">
    <w:p w14:paraId="6D933F71" w14:textId="77777777" w:rsidR="00FA4EEB" w:rsidRPr="00B83F8A" w:rsidRDefault="00FA4EEB" w:rsidP="00BD5045">
      <w:pPr>
        <w:pStyle w:val="FootnoteText"/>
        <w:rPr>
          <w:rFonts w:asciiTheme="minorHAnsi" w:hAnsiTheme="minorHAnsi" w:cstheme="minorHAnsi"/>
          <w:lang w:val="en-AU"/>
        </w:rPr>
      </w:pPr>
      <w:r>
        <w:rPr>
          <w:rStyle w:val="FootnoteReference"/>
        </w:rPr>
        <w:footnoteRef/>
      </w:r>
      <w:r>
        <w:t xml:space="preserve"> </w:t>
      </w:r>
      <w:r w:rsidRPr="00B83F8A">
        <w:rPr>
          <w:rFonts w:asciiTheme="minorHAnsi" w:hAnsiTheme="minorHAnsi" w:cstheme="minorHAnsi"/>
        </w:rPr>
        <w:t xml:space="preserve">Ammonia 21 publication by </w:t>
      </w:r>
      <w:proofErr w:type="spellStart"/>
      <w:r w:rsidRPr="00B83F8A">
        <w:rPr>
          <w:rFonts w:asciiTheme="minorHAnsi" w:hAnsiTheme="minorHAnsi" w:cstheme="minorHAnsi"/>
        </w:rPr>
        <w:t>Shecco</w:t>
      </w:r>
      <w:proofErr w:type="spellEnd"/>
      <w:r w:rsidRPr="00B83F8A">
        <w:rPr>
          <w:rFonts w:asciiTheme="minorHAnsi" w:hAnsiTheme="minorHAnsi" w:cstheme="minorHAnsi"/>
        </w:rPr>
        <w:t>, Media, January 2018.</w:t>
      </w:r>
    </w:p>
  </w:footnote>
  <w:footnote w:id="37">
    <w:p w14:paraId="44F5CC8F" w14:textId="77777777" w:rsidR="00FA4EEB" w:rsidRPr="00592505" w:rsidRDefault="00FA4EEB" w:rsidP="00BD5045">
      <w:pPr>
        <w:pStyle w:val="FootnoteText"/>
        <w:rPr>
          <w:rFonts w:asciiTheme="minorHAnsi" w:hAnsiTheme="minorHAnsi" w:cstheme="minorHAnsi"/>
          <w:lang w:val="en-AU"/>
        </w:rPr>
      </w:pPr>
      <w:r>
        <w:rPr>
          <w:rStyle w:val="FootnoteReference"/>
        </w:rPr>
        <w:footnoteRef/>
      </w:r>
      <w:r>
        <w:t xml:space="preserve"> </w:t>
      </w:r>
      <w:r w:rsidRPr="00592505">
        <w:rPr>
          <w:rFonts w:asciiTheme="minorHAnsi" w:hAnsiTheme="minorHAnsi" w:cstheme="minorHAnsi"/>
        </w:rPr>
        <w:t xml:space="preserve">Aldi had </w:t>
      </w:r>
      <w:r>
        <w:rPr>
          <w:rFonts w:asciiTheme="minorHAnsi" w:hAnsiTheme="minorHAnsi" w:cstheme="minorHAnsi"/>
        </w:rPr>
        <w:t>524</w:t>
      </w:r>
      <w:r w:rsidRPr="00592505">
        <w:rPr>
          <w:rFonts w:asciiTheme="minorHAnsi" w:hAnsiTheme="minorHAnsi" w:cstheme="minorHAnsi"/>
        </w:rPr>
        <w:t xml:space="preserve"> stores </w:t>
      </w:r>
      <w:r>
        <w:rPr>
          <w:rFonts w:asciiTheme="minorHAnsi" w:hAnsiTheme="minorHAnsi" w:cstheme="minorHAnsi"/>
        </w:rPr>
        <w:t xml:space="preserve">at the end of </w:t>
      </w:r>
      <w:r w:rsidRPr="00592505">
        <w:rPr>
          <w:rFonts w:asciiTheme="minorHAnsi" w:hAnsiTheme="minorHAnsi" w:cstheme="minorHAnsi"/>
        </w:rPr>
        <w:t>201</w:t>
      </w:r>
      <w:r>
        <w:rPr>
          <w:rFonts w:asciiTheme="minorHAnsi" w:hAnsiTheme="minorHAnsi" w:cstheme="minorHAnsi"/>
        </w:rPr>
        <w:t>8</w:t>
      </w:r>
      <w:r w:rsidRPr="00592505">
        <w:rPr>
          <w:rFonts w:asciiTheme="minorHAnsi" w:hAnsiTheme="minorHAnsi" w:cs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D51BA" w14:textId="77777777" w:rsidR="00014A8D" w:rsidRDefault="00014A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2901" w14:textId="77777777" w:rsidR="00014A8D" w:rsidRDefault="00014A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9C513" w14:textId="77777777" w:rsidR="00FA4EEB" w:rsidRDefault="00FA4EEB" w:rsidP="008352D3">
    <w:pPr>
      <w:pStyle w:val="Header"/>
      <w:shd w:val="clear" w:color="auto" w:fill="D9D9D9"/>
    </w:pPr>
  </w:p>
  <w:p w14:paraId="5F8A5892" w14:textId="77777777" w:rsidR="00FA4EEB" w:rsidRDefault="00FA4E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DC7DD" w14:textId="77777777" w:rsidR="00FA4EEB" w:rsidRDefault="00FA4E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C633A" w14:textId="77777777" w:rsidR="00FA4EEB" w:rsidRDefault="00FA4EEB" w:rsidP="00B61B6F">
    <w:pPr>
      <w:pStyle w:val="Header"/>
      <w:shd w:val="clear" w:color="auto" w:fill="D9D9D9"/>
    </w:pPr>
  </w:p>
  <w:p w14:paraId="48677AB7" w14:textId="77777777" w:rsidR="00FA4EEB" w:rsidRDefault="00FA4EE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7B726" w14:textId="77777777" w:rsidR="00FA4EEB" w:rsidRDefault="00FA4E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24015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F40A9"/>
    <w:multiLevelType w:val="hybridMultilevel"/>
    <w:tmpl w:val="C57CB4A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EF1F67"/>
    <w:multiLevelType w:val="multilevel"/>
    <w:tmpl w:val="F59854E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6F47FCD"/>
    <w:multiLevelType w:val="hybridMultilevel"/>
    <w:tmpl w:val="632E4C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5A79E8"/>
    <w:multiLevelType w:val="hybridMultilevel"/>
    <w:tmpl w:val="FD845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844412"/>
    <w:multiLevelType w:val="hybridMultilevel"/>
    <w:tmpl w:val="3D7E92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A11B91"/>
    <w:multiLevelType w:val="multilevel"/>
    <w:tmpl w:val="CAA833B8"/>
    <w:numStyleLink w:val="111111"/>
  </w:abstractNum>
  <w:abstractNum w:abstractNumId="7" w15:restartNumberingAfterBreak="0">
    <w:nsid w:val="16E21D1A"/>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AB83A03"/>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A885E5C"/>
    <w:multiLevelType w:val="hybridMultilevel"/>
    <w:tmpl w:val="D668F7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C696A"/>
    <w:multiLevelType w:val="hybridMultilevel"/>
    <w:tmpl w:val="86C22C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E37F3D"/>
    <w:multiLevelType w:val="hybridMultilevel"/>
    <w:tmpl w:val="445623F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5B6150"/>
    <w:multiLevelType w:val="hybridMultilevel"/>
    <w:tmpl w:val="1D7A44B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96698C"/>
    <w:multiLevelType w:val="hybridMultilevel"/>
    <w:tmpl w:val="CFCEAFF8"/>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524EF4"/>
    <w:multiLevelType w:val="hybridMultilevel"/>
    <w:tmpl w:val="D668F7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2A37F1"/>
    <w:multiLevelType w:val="hybridMultilevel"/>
    <w:tmpl w:val="95661434"/>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2025EA"/>
    <w:multiLevelType w:val="hybridMultilevel"/>
    <w:tmpl w:val="7B724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5632C68"/>
    <w:multiLevelType w:val="hybridMultilevel"/>
    <w:tmpl w:val="9A703F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EAF541E"/>
    <w:multiLevelType w:val="hybridMultilevel"/>
    <w:tmpl w:val="B7163BF4"/>
    <w:lvl w:ilvl="0" w:tplc="7A72EA0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1D4A0B"/>
    <w:multiLevelType w:val="hybridMultilevel"/>
    <w:tmpl w:val="632E4C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A179B6"/>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7C20039"/>
    <w:multiLevelType w:val="hybridMultilevel"/>
    <w:tmpl w:val="52A6208C"/>
    <w:lvl w:ilvl="0" w:tplc="08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7D42DE2"/>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C8A6F0E"/>
    <w:multiLevelType w:val="hybridMultilevel"/>
    <w:tmpl w:val="F3C6A782"/>
    <w:lvl w:ilvl="0" w:tplc="9C969862">
      <w:start w:val="1"/>
      <w:numFmt w:val="decimal"/>
      <w:lvlText w:val="%1."/>
      <w:lvlJc w:val="left"/>
      <w:pPr>
        <w:ind w:left="360" w:hanging="360"/>
      </w:pPr>
      <w:rPr>
        <w:rFonts w:ascii="Times New Roman" w:hAnsi="Times New Roman"/>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E2C0DF8"/>
    <w:multiLevelType w:val="multilevel"/>
    <w:tmpl w:val="CAA833B8"/>
    <w:styleLink w:val="111111"/>
    <w:lvl w:ilvl="0">
      <w:start w:val="1"/>
      <w:numFmt w:val="decimal"/>
      <w:pStyle w:val="RFQPartA-Lev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EC57AC2"/>
    <w:multiLevelType w:val="hybridMultilevel"/>
    <w:tmpl w:val="63982F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FE51D66"/>
    <w:multiLevelType w:val="hybridMultilevel"/>
    <w:tmpl w:val="1EB21C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1A832FE"/>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67618DB"/>
    <w:multiLevelType w:val="hybridMultilevel"/>
    <w:tmpl w:val="35F43B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9216396"/>
    <w:multiLevelType w:val="hybridMultilevel"/>
    <w:tmpl w:val="89D42D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DC328BB"/>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FA37FB7"/>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12D1BB3"/>
    <w:multiLevelType w:val="hybridMultilevel"/>
    <w:tmpl w:val="A2FE928E"/>
    <w:lvl w:ilvl="0" w:tplc="08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9016470"/>
    <w:multiLevelType w:val="hybridMultilevel"/>
    <w:tmpl w:val="E3C8F7D6"/>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6B6D51"/>
    <w:multiLevelType w:val="hybridMultilevel"/>
    <w:tmpl w:val="1554AE3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8B0137"/>
    <w:multiLevelType w:val="hybridMultilevel"/>
    <w:tmpl w:val="3D7E92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E6C3C6D"/>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F3866BA"/>
    <w:multiLevelType w:val="hybridMultilevel"/>
    <w:tmpl w:val="94F0562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24"/>
  </w:num>
  <w:num w:numId="4">
    <w:abstractNumId w:val="6"/>
    <w:lvlOverride w:ilvl="0">
      <w:lvl w:ilvl="0">
        <w:start w:val="1"/>
        <w:numFmt w:val="decimal"/>
        <w:pStyle w:val="RFQPartA-Level1"/>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sz w:val="20"/>
          <w:szCs w:val="2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5">
    <w:abstractNumId w:val="8"/>
  </w:num>
  <w:num w:numId="6">
    <w:abstractNumId w:val="11"/>
  </w:num>
  <w:num w:numId="7">
    <w:abstractNumId w:val="28"/>
  </w:num>
  <w:num w:numId="8">
    <w:abstractNumId w:val="20"/>
  </w:num>
  <w:num w:numId="9">
    <w:abstractNumId w:val="4"/>
  </w:num>
  <w:num w:numId="10">
    <w:abstractNumId w:val="5"/>
  </w:num>
  <w:num w:numId="11">
    <w:abstractNumId w:val="35"/>
  </w:num>
  <w:num w:numId="12">
    <w:abstractNumId w:val="32"/>
  </w:num>
  <w:num w:numId="13">
    <w:abstractNumId w:val="21"/>
  </w:num>
  <w:num w:numId="14">
    <w:abstractNumId w:val="12"/>
  </w:num>
  <w:num w:numId="15">
    <w:abstractNumId w:val="34"/>
  </w:num>
  <w:num w:numId="16">
    <w:abstractNumId w:val="7"/>
  </w:num>
  <w:num w:numId="17">
    <w:abstractNumId w:val="31"/>
  </w:num>
  <w:num w:numId="18">
    <w:abstractNumId w:val="30"/>
  </w:num>
  <w:num w:numId="19">
    <w:abstractNumId w:val="13"/>
  </w:num>
  <w:num w:numId="20">
    <w:abstractNumId w:val="1"/>
  </w:num>
  <w:num w:numId="21">
    <w:abstractNumId w:val="26"/>
  </w:num>
  <w:num w:numId="22">
    <w:abstractNumId w:val="14"/>
  </w:num>
  <w:num w:numId="23">
    <w:abstractNumId w:val="9"/>
  </w:num>
  <w:num w:numId="24">
    <w:abstractNumId w:val="10"/>
  </w:num>
  <w:num w:numId="25">
    <w:abstractNumId w:val="33"/>
  </w:num>
  <w:num w:numId="26">
    <w:abstractNumId w:val="25"/>
  </w:num>
  <w:num w:numId="27">
    <w:abstractNumId w:val="16"/>
  </w:num>
  <w:num w:numId="28">
    <w:abstractNumId w:val="29"/>
  </w:num>
  <w:num w:numId="29">
    <w:abstractNumId w:val="15"/>
  </w:num>
  <w:num w:numId="30">
    <w:abstractNumId w:val="17"/>
  </w:num>
  <w:num w:numId="31">
    <w:abstractNumId w:val="27"/>
  </w:num>
  <w:num w:numId="32">
    <w:abstractNumId w:val="37"/>
  </w:num>
  <w:num w:numId="33">
    <w:abstractNumId w:val="23"/>
  </w:num>
  <w:num w:numId="34">
    <w:abstractNumId w:val="22"/>
  </w:num>
  <w:num w:numId="35">
    <w:abstractNumId w:val="36"/>
  </w:num>
  <w:num w:numId="36">
    <w:abstractNumId w:val="18"/>
  </w:num>
  <w:num w:numId="37">
    <w:abstractNumId w:val="3"/>
  </w:num>
  <w:num w:numId="38">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099"/>
    <w:rsid w:val="00000874"/>
    <w:rsid w:val="000009C1"/>
    <w:rsid w:val="00001AAC"/>
    <w:rsid w:val="00001E16"/>
    <w:rsid w:val="00001FEC"/>
    <w:rsid w:val="00003600"/>
    <w:rsid w:val="00003790"/>
    <w:rsid w:val="000045FC"/>
    <w:rsid w:val="000047CA"/>
    <w:rsid w:val="0000485D"/>
    <w:rsid w:val="00004D81"/>
    <w:rsid w:val="0000529B"/>
    <w:rsid w:val="000052E6"/>
    <w:rsid w:val="00005756"/>
    <w:rsid w:val="000057CF"/>
    <w:rsid w:val="0000582A"/>
    <w:rsid w:val="00005946"/>
    <w:rsid w:val="00005F1B"/>
    <w:rsid w:val="00006891"/>
    <w:rsid w:val="0000702D"/>
    <w:rsid w:val="000073EB"/>
    <w:rsid w:val="00007B55"/>
    <w:rsid w:val="00010031"/>
    <w:rsid w:val="000103BC"/>
    <w:rsid w:val="00010F6D"/>
    <w:rsid w:val="0001184F"/>
    <w:rsid w:val="00011BE5"/>
    <w:rsid w:val="00012549"/>
    <w:rsid w:val="00012BE6"/>
    <w:rsid w:val="00012C3F"/>
    <w:rsid w:val="00012CDA"/>
    <w:rsid w:val="00012EB2"/>
    <w:rsid w:val="00013C38"/>
    <w:rsid w:val="00013DF4"/>
    <w:rsid w:val="00013FF3"/>
    <w:rsid w:val="00014231"/>
    <w:rsid w:val="00014A8D"/>
    <w:rsid w:val="00014C14"/>
    <w:rsid w:val="00014D67"/>
    <w:rsid w:val="00014D84"/>
    <w:rsid w:val="00014DE0"/>
    <w:rsid w:val="00015C04"/>
    <w:rsid w:val="00015E06"/>
    <w:rsid w:val="00016F48"/>
    <w:rsid w:val="000171ED"/>
    <w:rsid w:val="00017310"/>
    <w:rsid w:val="00017396"/>
    <w:rsid w:val="000177C7"/>
    <w:rsid w:val="00017BD7"/>
    <w:rsid w:val="00020DC3"/>
    <w:rsid w:val="0002173B"/>
    <w:rsid w:val="00021BB8"/>
    <w:rsid w:val="000224DB"/>
    <w:rsid w:val="0002259F"/>
    <w:rsid w:val="0002268F"/>
    <w:rsid w:val="000226CB"/>
    <w:rsid w:val="00022721"/>
    <w:rsid w:val="000228ED"/>
    <w:rsid w:val="0002408B"/>
    <w:rsid w:val="0002490E"/>
    <w:rsid w:val="00024B57"/>
    <w:rsid w:val="00024CF0"/>
    <w:rsid w:val="00024F0C"/>
    <w:rsid w:val="00024FAA"/>
    <w:rsid w:val="000252CD"/>
    <w:rsid w:val="0002575C"/>
    <w:rsid w:val="0002591A"/>
    <w:rsid w:val="0002672B"/>
    <w:rsid w:val="00027A98"/>
    <w:rsid w:val="000300D8"/>
    <w:rsid w:val="0003053B"/>
    <w:rsid w:val="00030841"/>
    <w:rsid w:val="00030B28"/>
    <w:rsid w:val="000310F6"/>
    <w:rsid w:val="000313A4"/>
    <w:rsid w:val="00032313"/>
    <w:rsid w:val="00032A83"/>
    <w:rsid w:val="00032F0E"/>
    <w:rsid w:val="000331C1"/>
    <w:rsid w:val="0003395D"/>
    <w:rsid w:val="000339E3"/>
    <w:rsid w:val="00033BDF"/>
    <w:rsid w:val="00033C12"/>
    <w:rsid w:val="00033D4C"/>
    <w:rsid w:val="000340C1"/>
    <w:rsid w:val="000341A2"/>
    <w:rsid w:val="000342FA"/>
    <w:rsid w:val="00034698"/>
    <w:rsid w:val="00034CC6"/>
    <w:rsid w:val="00034FD9"/>
    <w:rsid w:val="00035865"/>
    <w:rsid w:val="00035A13"/>
    <w:rsid w:val="00036829"/>
    <w:rsid w:val="00036DCB"/>
    <w:rsid w:val="00036F8F"/>
    <w:rsid w:val="00037311"/>
    <w:rsid w:val="0003781F"/>
    <w:rsid w:val="00037CD6"/>
    <w:rsid w:val="000406D7"/>
    <w:rsid w:val="000407D6"/>
    <w:rsid w:val="000408AF"/>
    <w:rsid w:val="00040FC9"/>
    <w:rsid w:val="00041327"/>
    <w:rsid w:val="00041A97"/>
    <w:rsid w:val="00041B83"/>
    <w:rsid w:val="00041BDB"/>
    <w:rsid w:val="00041EF4"/>
    <w:rsid w:val="0004239D"/>
    <w:rsid w:val="00042443"/>
    <w:rsid w:val="000425DE"/>
    <w:rsid w:val="00042727"/>
    <w:rsid w:val="00042FA8"/>
    <w:rsid w:val="000437B2"/>
    <w:rsid w:val="00043978"/>
    <w:rsid w:val="00043C8C"/>
    <w:rsid w:val="00043F26"/>
    <w:rsid w:val="000441EC"/>
    <w:rsid w:val="00044211"/>
    <w:rsid w:val="00044309"/>
    <w:rsid w:val="000443BD"/>
    <w:rsid w:val="0004465B"/>
    <w:rsid w:val="00044776"/>
    <w:rsid w:val="00044D67"/>
    <w:rsid w:val="00044DC5"/>
    <w:rsid w:val="00044E17"/>
    <w:rsid w:val="0004506D"/>
    <w:rsid w:val="00045263"/>
    <w:rsid w:val="00045488"/>
    <w:rsid w:val="0004554F"/>
    <w:rsid w:val="00045599"/>
    <w:rsid w:val="000456C5"/>
    <w:rsid w:val="00045B67"/>
    <w:rsid w:val="00045F0E"/>
    <w:rsid w:val="000461E2"/>
    <w:rsid w:val="00046887"/>
    <w:rsid w:val="00047359"/>
    <w:rsid w:val="00047821"/>
    <w:rsid w:val="00047DC3"/>
    <w:rsid w:val="0005033E"/>
    <w:rsid w:val="00050452"/>
    <w:rsid w:val="000508BB"/>
    <w:rsid w:val="00051199"/>
    <w:rsid w:val="00051510"/>
    <w:rsid w:val="0005209B"/>
    <w:rsid w:val="000523D4"/>
    <w:rsid w:val="00052486"/>
    <w:rsid w:val="00052FAC"/>
    <w:rsid w:val="000532B3"/>
    <w:rsid w:val="00053AC7"/>
    <w:rsid w:val="00053B8F"/>
    <w:rsid w:val="00054492"/>
    <w:rsid w:val="000552B4"/>
    <w:rsid w:val="00055424"/>
    <w:rsid w:val="0005583C"/>
    <w:rsid w:val="000559ED"/>
    <w:rsid w:val="00055EAF"/>
    <w:rsid w:val="0005675F"/>
    <w:rsid w:val="000569E7"/>
    <w:rsid w:val="00056ABF"/>
    <w:rsid w:val="00056B1E"/>
    <w:rsid w:val="00060792"/>
    <w:rsid w:val="000609F9"/>
    <w:rsid w:val="0006102A"/>
    <w:rsid w:val="000610C5"/>
    <w:rsid w:val="00061116"/>
    <w:rsid w:val="000615C2"/>
    <w:rsid w:val="0006197A"/>
    <w:rsid w:val="000628FF"/>
    <w:rsid w:val="000629A0"/>
    <w:rsid w:val="00062B56"/>
    <w:rsid w:val="0006309A"/>
    <w:rsid w:val="0006334F"/>
    <w:rsid w:val="000638FC"/>
    <w:rsid w:val="00063C04"/>
    <w:rsid w:val="00063CC6"/>
    <w:rsid w:val="00063F12"/>
    <w:rsid w:val="00063F46"/>
    <w:rsid w:val="00064943"/>
    <w:rsid w:val="00064A86"/>
    <w:rsid w:val="00065330"/>
    <w:rsid w:val="000657BB"/>
    <w:rsid w:val="00066351"/>
    <w:rsid w:val="000665BF"/>
    <w:rsid w:val="000665E1"/>
    <w:rsid w:val="0006668C"/>
    <w:rsid w:val="00066997"/>
    <w:rsid w:val="00066BB7"/>
    <w:rsid w:val="00066CDA"/>
    <w:rsid w:val="00066E49"/>
    <w:rsid w:val="0006755E"/>
    <w:rsid w:val="0006760D"/>
    <w:rsid w:val="000707EA"/>
    <w:rsid w:val="00070B1C"/>
    <w:rsid w:val="00070B76"/>
    <w:rsid w:val="00071098"/>
    <w:rsid w:val="000713EC"/>
    <w:rsid w:val="000714CD"/>
    <w:rsid w:val="000716A4"/>
    <w:rsid w:val="000716D6"/>
    <w:rsid w:val="00071A33"/>
    <w:rsid w:val="00071AA2"/>
    <w:rsid w:val="00072166"/>
    <w:rsid w:val="000724EB"/>
    <w:rsid w:val="00072AE8"/>
    <w:rsid w:val="0007306E"/>
    <w:rsid w:val="00073691"/>
    <w:rsid w:val="00074002"/>
    <w:rsid w:val="00074645"/>
    <w:rsid w:val="00075036"/>
    <w:rsid w:val="000750E6"/>
    <w:rsid w:val="000763BA"/>
    <w:rsid w:val="000763CF"/>
    <w:rsid w:val="000766C5"/>
    <w:rsid w:val="0007691F"/>
    <w:rsid w:val="00076DAF"/>
    <w:rsid w:val="00077097"/>
    <w:rsid w:val="000770E1"/>
    <w:rsid w:val="000771FD"/>
    <w:rsid w:val="00077B65"/>
    <w:rsid w:val="0008071F"/>
    <w:rsid w:val="00080783"/>
    <w:rsid w:val="000817D6"/>
    <w:rsid w:val="00081A67"/>
    <w:rsid w:val="00081B34"/>
    <w:rsid w:val="00082519"/>
    <w:rsid w:val="0008278E"/>
    <w:rsid w:val="00082C2C"/>
    <w:rsid w:val="00082CAF"/>
    <w:rsid w:val="000830D7"/>
    <w:rsid w:val="00083417"/>
    <w:rsid w:val="00083B82"/>
    <w:rsid w:val="0008419D"/>
    <w:rsid w:val="0008469F"/>
    <w:rsid w:val="00084858"/>
    <w:rsid w:val="00084AAB"/>
    <w:rsid w:val="00085E0C"/>
    <w:rsid w:val="00086E08"/>
    <w:rsid w:val="00086E95"/>
    <w:rsid w:val="00087352"/>
    <w:rsid w:val="000879C9"/>
    <w:rsid w:val="00087BAB"/>
    <w:rsid w:val="000900C0"/>
    <w:rsid w:val="00090303"/>
    <w:rsid w:val="00090466"/>
    <w:rsid w:val="00090B50"/>
    <w:rsid w:val="00090CEC"/>
    <w:rsid w:val="0009148C"/>
    <w:rsid w:val="00091594"/>
    <w:rsid w:val="00091697"/>
    <w:rsid w:val="00091F50"/>
    <w:rsid w:val="0009230F"/>
    <w:rsid w:val="000923C6"/>
    <w:rsid w:val="00092C0F"/>
    <w:rsid w:val="00093992"/>
    <w:rsid w:val="000942C8"/>
    <w:rsid w:val="00094FE8"/>
    <w:rsid w:val="000951E5"/>
    <w:rsid w:val="00095382"/>
    <w:rsid w:val="00095E91"/>
    <w:rsid w:val="00095EB8"/>
    <w:rsid w:val="000964C0"/>
    <w:rsid w:val="000968D5"/>
    <w:rsid w:val="00096B49"/>
    <w:rsid w:val="00096FA1"/>
    <w:rsid w:val="000972C0"/>
    <w:rsid w:val="00097430"/>
    <w:rsid w:val="000974DA"/>
    <w:rsid w:val="00097E38"/>
    <w:rsid w:val="000A030F"/>
    <w:rsid w:val="000A076A"/>
    <w:rsid w:val="000A08F0"/>
    <w:rsid w:val="000A0B6F"/>
    <w:rsid w:val="000A1186"/>
    <w:rsid w:val="000A141F"/>
    <w:rsid w:val="000A1B37"/>
    <w:rsid w:val="000A21D3"/>
    <w:rsid w:val="000A234C"/>
    <w:rsid w:val="000A34F7"/>
    <w:rsid w:val="000A35B4"/>
    <w:rsid w:val="000A36FA"/>
    <w:rsid w:val="000A3EE8"/>
    <w:rsid w:val="000A41ED"/>
    <w:rsid w:val="000A4B55"/>
    <w:rsid w:val="000A533E"/>
    <w:rsid w:val="000A5DF7"/>
    <w:rsid w:val="000A62D9"/>
    <w:rsid w:val="000A63B2"/>
    <w:rsid w:val="000A68D9"/>
    <w:rsid w:val="000A6D25"/>
    <w:rsid w:val="000A6F18"/>
    <w:rsid w:val="000A6FDD"/>
    <w:rsid w:val="000A70C4"/>
    <w:rsid w:val="000A70D0"/>
    <w:rsid w:val="000A7B72"/>
    <w:rsid w:val="000B0456"/>
    <w:rsid w:val="000B0924"/>
    <w:rsid w:val="000B09BB"/>
    <w:rsid w:val="000B0DBC"/>
    <w:rsid w:val="000B0F96"/>
    <w:rsid w:val="000B1B6D"/>
    <w:rsid w:val="000B2361"/>
    <w:rsid w:val="000B24C6"/>
    <w:rsid w:val="000B268D"/>
    <w:rsid w:val="000B319E"/>
    <w:rsid w:val="000B3E52"/>
    <w:rsid w:val="000B4385"/>
    <w:rsid w:val="000B4DE9"/>
    <w:rsid w:val="000B51E8"/>
    <w:rsid w:val="000B5588"/>
    <w:rsid w:val="000B590F"/>
    <w:rsid w:val="000B5B4E"/>
    <w:rsid w:val="000B5D38"/>
    <w:rsid w:val="000B6359"/>
    <w:rsid w:val="000B6423"/>
    <w:rsid w:val="000B6598"/>
    <w:rsid w:val="000B6E58"/>
    <w:rsid w:val="000B6E5B"/>
    <w:rsid w:val="000B70A5"/>
    <w:rsid w:val="000B7377"/>
    <w:rsid w:val="000B76E6"/>
    <w:rsid w:val="000B7B65"/>
    <w:rsid w:val="000B7E5E"/>
    <w:rsid w:val="000C04D6"/>
    <w:rsid w:val="000C0BE3"/>
    <w:rsid w:val="000C0D65"/>
    <w:rsid w:val="000C126F"/>
    <w:rsid w:val="000C141D"/>
    <w:rsid w:val="000C1487"/>
    <w:rsid w:val="000C1E5E"/>
    <w:rsid w:val="000C24C3"/>
    <w:rsid w:val="000C2D34"/>
    <w:rsid w:val="000C2D59"/>
    <w:rsid w:val="000C325A"/>
    <w:rsid w:val="000C32FF"/>
    <w:rsid w:val="000C33AD"/>
    <w:rsid w:val="000C35EE"/>
    <w:rsid w:val="000C3A0B"/>
    <w:rsid w:val="000C4A16"/>
    <w:rsid w:val="000C51CF"/>
    <w:rsid w:val="000C5531"/>
    <w:rsid w:val="000C5568"/>
    <w:rsid w:val="000C5965"/>
    <w:rsid w:val="000C62AA"/>
    <w:rsid w:val="000C68E3"/>
    <w:rsid w:val="000C72D8"/>
    <w:rsid w:val="000C7E34"/>
    <w:rsid w:val="000D01C4"/>
    <w:rsid w:val="000D0721"/>
    <w:rsid w:val="000D0928"/>
    <w:rsid w:val="000D1186"/>
    <w:rsid w:val="000D1321"/>
    <w:rsid w:val="000D1420"/>
    <w:rsid w:val="000D1BE9"/>
    <w:rsid w:val="000D1C76"/>
    <w:rsid w:val="000D1CDB"/>
    <w:rsid w:val="000D1FF7"/>
    <w:rsid w:val="000D38F4"/>
    <w:rsid w:val="000D3FC9"/>
    <w:rsid w:val="000D4941"/>
    <w:rsid w:val="000D49A9"/>
    <w:rsid w:val="000D4B44"/>
    <w:rsid w:val="000D529D"/>
    <w:rsid w:val="000D52D5"/>
    <w:rsid w:val="000D5486"/>
    <w:rsid w:val="000D5AB0"/>
    <w:rsid w:val="000D5BA7"/>
    <w:rsid w:val="000D5DFB"/>
    <w:rsid w:val="000D5FE2"/>
    <w:rsid w:val="000D6254"/>
    <w:rsid w:val="000D63C3"/>
    <w:rsid w:val="000D6A26"/>
    <w:rsid w:val="000D7398"/>
    <w:rsid w:val="000D75BE"/>
    <w:rsid w:val="000D75F5"/>
    <w:rsid w:val="000D77E4"/>
    <w:rsid w:val="000D7BA0"/>
    <w:rsid w:val="000D7D0D"/>
    <w:rsid w:val="000E0294"/>
    <w:rsid w:val="000E033B"/>
    <w:rsid w:val="000E0404"/>
    <w:rsid w:val="000E0408"/>
    <w:rsid w:val="000E0AEC"/>
    <w:rsid w:val="000E1286"/>
    <w:rsid w:val="000E218F"/>
    <w:rsid w:val="000E3673"/>
    <w:rsid w:val="000E41C8"/>
    <w:rsid w:val="000E48AD"/>
    <w:rsid w:val="000E4C6A"/>
    <w:rsid w:val="000E5148"/>
    <w:rsid w:val="000E5451"/>
    <w:rsid w:val="000E577B"/>
    <w:rsid w:val="000E6077"/>
    <w:rsid w:val="000E61CD"/>
    <w:rsid w:val="000E6628"/>
    <w:rsid w:val="000E6707"/>
    <w:rsid w:val="000E6A93"/>
    <w:rsid w:val="000E6AAF"/>
    <w:rsid w:val="000E71CA"/>
    <w:rsid w:val="000E7FA1"/>
    <w:rsid w:val="000F0A7B"/>
    <w:rsid w:val="000F1262"/>
    <w:rsid w:val="000F1511"/>
    <w:rsid w:val="000F19E8"/>
    <w:rsid w:val="000F1E05"/>
    <w:rsid w:val="000F24EB"/>
    <w:rsid w:val="000F2890"/>
    <w:rsid w:val="000F2BBC"/>
    <w:rsid w:val="000F2FBE"/>
    <w:rsid w:val="000F2FE9"/>
    <w:rsid w:val="000F3103"/>
    <w:rsid w:val="000F49AE"/>
    <w:rsid w:val="000F5291"/>
    <w:rsid w:val="000F56C0"/>
    <w:rsid w:val="000F59D5"/>
    <w:rsid w:val="000F5C49"/>
    <w:rsid w:val="000F5DAC"/>
    <w:rsid w:val="000F6657"/>
    <w:rsid w:val="000F69E0"/>
    <w:rsid w:val="000F6CD8"/>
    <w:rsid w:val="000F7373"/>
    <w:rsid w:val="000F7A90"/>
    <w:rsid w:val="000F7E3E"/>
    <w:rsid w:val="000F7EFB"/>
    <w:rsid w:val="000F7FAE"/>
    <w:rsid w:val="001005DB"/>
    <w:rsid w:val="001008A0"/>
    <w:rsid w:val="00100988"/>
    <w:rsid w:val="00100CBD"/>
    <w:rsid w:val="00100D3A"/>
    <w:rsid w:val="00100E4D"/>
    <w:rsid w:val="00100FA9"/>
    <w:rsid w:val="001013B8"/>
    <w:rsid w:val="00101777"/>
    <w:rsid w:val="00102651"/>
    <w:rsid w:val="00102AB2"/>
    <w:rsid w:val="00103376"/>
    <w:rsid w:val="001034AB"/>
    <w:rsid w:val="001039E2"/>
    <w:rsid w:val="00103A4A"/>
    <w:rsid w:val="0010457D"/>
    <w:rsid w:val="001045AC"/>
    <w:rsid w:val="00104C69"/>
    <w:rsid w:val="0010504F"/>
    <w:rsid w:val="00105361"/>
    <w:rsid w:val="00105702"/>
    <w:rsid w:val="001064B4"/>
    <w:rsid w:val="00107447"/>
    <w:rsid w:val="0010757B"/>
    <w:rsid w:val="001079AD"/>
    <w:rsid w:val="00107A47"/>
    <w:rsid w:val="00107B8B"/>
    <w:rsid w:val="00110088"/>
    <w:rsid w:val="00110111"/>
    <w:rsid w:val="001102A7"/>
    <w:rsid w:val="00110769"/>
    <w:rsid w:val="001107EE"/>
    <w:rsid w:val="00110F07"/>
    <w:rsid w:val="00111AD6"/>
    <w:rsid w:val="00112637"/>
    <w:rsid w:val="00112AE0"/>
    <w:rsid w:val="00112F63"/>
    <w:rsid w:val="00113B48"/>
    <w:rsid w:val="00114144"/>
    <w:rsid w:val="00114173"/>
    <w:rsid w:val="00114447"/>
    <w:rsid w:val="00114831"/>
    <w:rsid w:val="001149C1"/>
    <w:rsid w:val="00114CA6"/>
    <w:rsid w:val="00116557"/>
    <w:rsid w:val="0011693C"/>
    <w:rsid w:val="00116A01"/>
    <w:rsid w:val="00116C44"/>
    <w:rsid w:val="00117375"/>
    <w:rsid w:val="0011784B"/>
    <w:rsid w:val="00120688"/>
    <w:rsid w:val="00120F05"/>
    <w:rsid w:val="00121D49"/>
    <w:rsid w:val="00122CE2"/>
    <w:rsid w:val="001230F9"/>
    <w:rsid w:val="00123484"/>
    <w:rsid w:val="001238E1"/>
    <w:rsid w:val="001247DC"/>
    <w:rsid w:val="001248B9"/>
    <w:rsid w:val="001250DA"/>
    <w:rsid w:val="001254AB"/>
    <w:rsid w:val="00125BFF"/>
    <w:rsid w:val="00125D51"/>
    <w:rsid w:val="0012620B"/>
    <w:rsid w:val="00126227"/>
    <w:rsid w:val="0012737E"/>
    <w:rsid w:val="00127ECE"/>
    <w:rsid w:val="0013036A"/>
    <w:rsid w:val="00130702"/>
    <w:rsid w:val="001314F8"/>
    <w:rsid w:val="001314FB"/>
    <w:rsid w:val="001321C2"/>
    <w:rsid w:val="00132B79"/>
    <w:rsid w:val="00133D12"/>
    <w:rsid w:val="001343DE"/>
    <w:rsid w:val="001347B8"/>
    <w:rsid w:val="00134890"/>
    <w:rsid w:val="00135E24"/>
    <w:rsid w:val="001361E8"/>
    <w:rsid w:val="00136426"/>
    <w:rsid w:val="0013680B"/>
    <w:rsid w:val="00136C52"/>
    <w:rsid w:val="00136ECF"/>
    <w:rsid w:val="00137013"/>
    <w:rsid w:val="00137AE8"/>
    <w:rsid w:val="00137D1A"/>
    <w:rsid w:val="00137F3D"/>
    <w:rsid w:val="00137FEE"/>
    <w:rsid w:val="001402F6"/>
    <w:rsid w:val="00140F2C"/>
    <w:rsid w:val="0014118A"/>
    <w:rsid w:val="00141C4A"/>
    <w:rsid w:val="00141CE1"/>
    <w:rsid w:val="001429A9"/>
    <w:rsid w:val="0014367F"/>
    <w:rsid w:val="00143A01"/>
    <w:rsid w:val="00144050"/>
    <w:rsid w:val="0014496E"/>
    <w:rsid w:val="00144ADA"/>
    <w:rsid w:val="00144BD6"/>
    <w:rsid w:val="00144BF8"/>
    <w:rsid w:val="0014510E"/>
    <w:rsid w:val="001459B6"/>
    <w:rsid w:val="00145E68"/>
    <w:rsid w:val="001460E8"/>
    <w:rsid w:val="00146954"/>
    <w:rsid w:val="00146E93"/>
    <w:rsid w:val="001470CB"/>
    <w:rsid w:val="0014717B"/>
    <w:rsid w:val="00147DED"/>
    <w:rsid w:val="001502DB"/>
    <w:rsid w:val="0015116A"/>
    <w:rsid w:val="001515E6"/>
    <w:rsid w:val="00151738"/>
    <w:rsid w:val="00151F6F"/>
    <w:rsid w:val="00152907"/>
    <w:rsid w:val="00152D37"/>
    <w:rsid w:val="00152F88"/>
    <w:rsid w:val="0015317E"/>
    <w:rsid w:val="0015321D"/>
    <w:rsid w:val="001535E1"/>
    <w:rsid w:val="001542C6"/>
    <w:rsid w:val="00154992"/>
    <w:rsid w:val="00155127"/>
    <w:rsid w:val="00155270"/>
    <w:rsid w:val="00155636"/>
    <w:rsid w:val="00155B77"/>
    <w:rsid w:val="0015658F"/>
    <w:rsid w:val="001568EF"/>
    <w:rsid w:val="001569C9"/>
    <w:rsid w:val="00156E8D"/>
    <w:rsid w:val="00156F16"/>
    <w:rsid w:val="0015708A"/>
    <w:rsid w:val="001570A5"/>
    <w:rsid w:val="00157263"/>
    <w:rsid w:val="001573D9"/>
    <w:rsid w:val="0015746B"/>
    <w:rsid w:val="00157886"/>
    <w:rsid w:val="00157C3B"/>
    <w:rsid w:val="00157D55"/>
    <w:rsid w:val="00157DFD"/>
    <w:rsid w:val="001601C5"/>
    <w:rsid w:val="001602F7"/>
    <w:rsid w:val="001607C3"/>
    <w:rsid w:val="00160D68"/>
    <w:rsid w:val="00161A3C"/>
    <w:rsid w:val="00161C43"/>
    <w:rsid w:val="0016221F"/>
    <w:rsid w:val="00162A3F"/>
    <w:rsid w:val="00162DF2"/>
    <w:rsid w:val="00163AEC"/>
    <w:rsid w:val="00163FAB"/>
    <w:rsid w:val="00163FF9"/>
    <w:rsid w:val="0016411D"/>
    <w:rsid w:val="001643A1"/>
    <w:rsid w:val="00164672"/>
    <w:rsid w:val="00164739"/>
    <w:rsid w:val="00164992"/>
    <w:rsid w:val="00164A15"/>
    <w:rsid w:val="00164DBA"/>
    <w:rsid w:val="00165034"/>
    <w:rsid w:val="00165C0A"/>
    <w:rsid w:val="00166698"/>
    <w:rsid w:val="001666A2"/>
    <w:rsid w:val="0016721C"/>
    <w:rsid w:val="001672F5"/>
    <w:rsid w:val="0016778B"/>
    <w:rsid w:val="0016779B"/>
    <w:rsid w:val="0017032F"/>
    <w:rsid w:val="0017046D"/>
    <w:rsid w:val="001708BC"/>
    <w:rsid w:val="00171878"/>
    <w:rsid w:val="00171B14"/>
    <w:rsid w:val="001729AF"/>
    <w:rsid w:val="00172CC7"/>
    <w:rsid w:val="00172EEA"/>
    <w:rsid w:val="00172FD1"/>
    <w:rsid w:val="0017318A"/>
    <w:rsid w:val="00173947"/>
    <w:rsid w:val="00173E25"/>
    <w:rsid w:val="001744ED"/>
    <w:rsid w:val="0017594D"/>
    <w:rsid w:val="00175A3A"/>
    <w:rsid w:val="0017603E"/>
    <w:rsid w:val="001760A4"/>
    <w:rsid w:val="001761A1"/>
    <w:rsid w:val="0017629F"/>
    <w:rsid w:val="00176B29"/>
    <w:rsid w:val="00176E4E"/>
    <w:rsid w:val="00176FD3"/>
    <w:rsid w:val="00177234"/>
    <w:rsid w:val="0017735B"/>
    <w:rsid w:val="00177560"/>
    <w:rsid w:val="00177606"/>
    <w:rsid w:val="00180A02"/>
    <w:rsid w:val="0018279A"/>
    <w:rsid w:val="001828C0"/>
    <w:rsid w:val="00182B5D"/>
    <w:rsid w:val="00182E46"/>
    <w:rsid w:val="00183AE9"/>
    <w:rsid w:val="00184603"/>
    <w:rsid w:val="001853DE"/>
    <w:rsid w:val="001857B2"/>
    <w:rsid w:val="00185B73"/>
    <w:rsid w:val="001865A3"/>
    <w:rsid w:val="00186844"/>
    <w:rsid w:val="0018688F"/>
    <w:rsid w:val="00186F78"/>
    <w:rsid w:val="0018719D"/>
    <w:rsid w:val="001871CE"/>
    <w:rsid w:val="0019019F"/>
    <w:rsid w:val="0019063E"/>
    <w:rsid w:val="00190720"/>
    <w:rsid w:val="0019092A"/>
    <w:rsid w:val="00191965"/>
    <w:rsid w:val="00191D19"/>
    <w:rsid w:val="00191E13"/>
    <w:rsid w:val="00192108"/>
    <w:rsid w:val="001934CD"/>
    <w:rsid w:val="00193828"/>
    <w:rsid w:val="00193BD0"/>
    <w:rsid w:val="00193D1E"/>
    <w:rsid w:val="00193D9B"/>
    <w:rsid w:val="00193DB7"/>
    <w:rsid w:val="00194C08"/>
    <w:rsid w:val="00195217"/>
    <w:rsid w:val="00195455"/>
    <w:rsid w:val="00195784"/>
    <w:rsid w:val="00195886"/>
    <w:rsid w:val="00195F1C"/>
    <w:rsid w:val="001963D0"/>
    <w:rsid w:val="00196929"/>
    <w:rsid w:val="00196A48"/>
    <w:rsid w:val="00197CD1"/>
    <w:rsid w:val="001A02C4"/>
    <w:rsid w:val="001A10A9"/>
    <w:rsid w:val="001A10E2"/>
    <w:rsid w:val="001A1192"/>
    <w:rsid w:val="001A11A1"/>
    <w:rsid w:val="001A12FD"/>
    <w:rsid w:val="001A237C"/>
    <w:rsid w:val="001A2405"/>
    <w:rsid w:val="001A3258"/>
    <w:rsid w:val="001A38D7"/>
    <w:rsid w:val="001A3F64"/>
    <w:rsid w:val="001A3FDE"/>
    <w:rsid w:val="001A4814"/>
    <w:rsid w:val="001A4C9D"/>
    <w:rsid w:val="001A4DA2"/>
    <w:rsid w:val="001A4FB4"/>
    <w:rsid w:val="001A53DC"/>
    <w:rsid w:val="001A5550"/>
    <w:rsid w:val="001A57A5"/>
    <w:rsid w:val="001A5814"/>
    <w:rsid w:val="001A5DDE"/>
    <w:rsid w:val="001A5F15"/>
    <w:rsid w:val="001A62F0"/>
    <w:rsid w:val="001A64A9"/>
    <w:rsid w:val="001A64D3"/>
    <w:rsid w:val="001A6737"/>
    <w:rsid w:val="001A68A7"/>
    <w:rsid w:val="001A6FC2"/>
    <w:rsid w:val="001A7896"/>
    <w:rsid w:val="001A7965"/>
    <w:rsid w:val="001A7FD4"/>
    <w:rsid w:val="001B0A95"/>
    <w:rsid w:val="001B0EF1"/>
    <w:rsid w:val="001B112A"/>
    <w:rsid w:val="001B1547"/>
    <w:rsid w:val="001B1563"/>
    <w:rsid w:val="001B1A4A"/>
    <w:rsid w:val="001B1D7C"/>
    <w:rsid w:val="001B21B9"/>
    <w:rsid w:val="001B2302"/>
    <w:rsid w:val="001B2762"/>
    <w:rsid w:val="001B2D63"/>
    <w:rsid w:val="001B300E"/>
    <w:rsid w:val="001B3362"/>
    <w:rsid w:val="001B3B5C"/>
    <w:rsid w:val="001B3CDF"/>
    <w:rsid w:val="001B3CFA"/>
    <w:rsid w:val="001B41E1"/>
    <w:rsid w:val="001B4619"/>
    <w:rsid w:val="001B4F59"/>
    <w:rsid w:val="001B501F"/>
    <w:rsid w:val="001B544A"/>
    <w:rsid w:val="001B55BB"/>
    <w:rsid w:val="001B5CE0"/>
    <w:rsid w:val="001B6FCA"/>
    <w:rsid w:val="001B73B4"/>
    <w:rsid w:val="001B7687"/>
    <w:rsid w:val="001B78C4"/>
    <w:rsid w:val="001B7CB6"/>
    <w:rsid w:val="001C0124"/>
    <w:rsid w:val="001C03E6"/>
    <w:rsid w:val="001C0429"/>
    <w:rsid w:val="001C066C"/>
    <w:rsid w:val="001C0CEE"/>
    <w:rsid w:val="001C0FCC"/>
    <w:rsid w:val="001C1118"/>
    <w:rsid w:val="001C13A2"/>
    <w:rsid w:val="001C1679"/>
    <w:rsid w:val="001C1CF2"/>
    <w:rsid w:val="001C2086"/>
    <w:rsid w:val="001C331C"/>
    <w:rsid w:val="001C3335"/>
    <w:rsid w:val="001C37B7"/>
    <w:rsid w:val="001C3823"/>
    <w:rsid w:val="001C391C"/>
    <w:rsid w:val="001C3D3F"/>
    <w:rsid w:val="001C3D4D"/>
    <w:rsid w:val="001C40C8"/>
    <w:rsid w:val="001C4288"/>
    <w:rsid w:val="001C4347"/>
    <w:rsid w:val="001C44B0"/>
    <w:rsid w:val="001C4E28"/>
    <w:rsid w:val="001C52C3"/>
    <w:rsid w:val="001C52E7"/>
    <w:rsid w:val="001C5B35"/>
    <w:rsid w:val="001C6134"/>
    <w:rsid w:val="001C6255"/>
    <w:rsid w:val="001C6364"/>
    <w:rsid w:val="001C6486"/>
    <w:rsid w:val="001C6BA9"/>
    <w:rsid w:val="001C6DD0"/>
    <w:rsid w:val="001C6DDD"/>
    <w:rsid w:val="001C7650"/>
    <w:rsid w:val="001C7867"/>
    <w:rsid w:val="001C7B87"/>
    <w:rsid w:val="001D027C"/>
    <w:rsid w:val="001D0BAE"/>
    <w:rsid w:val="001D0DA3"/>
    <w:rsid w:val="001D0F15"/>
    <w:rsid w:val="001D118D"/>
    <w:rsid w:val="001D1518"/>
    <w:rsid w:val="001D1562"/>
    <w:rsid w:val="001D1740"/>
    <w:rsid w:val="001D1768"/>
    <w:rsid w:val="001D1AEF"/>
    <w:rsid w:val="001D21D8"/>
    <w:rsid w:val="001D23FC"/>
    <w:rsid w:val="001D255E"/>
    <w:rsid w:val="001D3150"/>
    <w:rsid w:val="001D33D8"/>
    <w:rsid w:val="001D3DD5"/>
    <w:rsid w:val="001D4398"/>
    <w:rsid w:val="001D447D"/>
    <w:rsid w:val="001D4D37"/>
    <w:rsid w:val="001D55DC"/>
    <w:rsid w:val="001D5B2F"/>
    <w:rsid w:val="001D668E"/>
    <w:rsid w:val="001D6A05"/>
    <w:rsid w:val="001D6D59"/>
    <w:rsid w:val="001D7052"/>
    <w:rsid w:val="001D70F4"/>
    <w:rsid w:val="001D76FC"/>
    <w:rsid w:val="001D79BB"/>
    <w:rsid w:val="001D7F27"/>
    <w:rsid w:val="001D7F45"/>
    <w:rsid w:val="001E0218"/>
    <w:rsid w:val="001E08B9"/>
    <w:rsid w:val="001E0FEE"/>
    <w:rsid w:val="001E126D"/>
    <w:rsid w:val="001E15FA"/>
    <w:rsid w:val="001E198A"/>
    <w:rsid w:val="001E1B31"/>
    <w:rsid w:val="001E1D9F"/>
    <w:rsid w:val="001E25DC"/>
    <w:rsid w:val="001E26C7"/>
    <w:rsid w:val="001E28AA"/>
    <w:rsid w:val="001E2E14"/>
    <w:rsid w:val="001E34D3"/>
    <w:rsid w:val="001E36B8"/>
    <w:rsid w:val="001E386D"/>
    <w:rsid w:val="001E3B3D"/>
    <w:rsid w:val="001E489E"/>
    <w:rsid w:val="001E4C31"/>
    <w:rsid w:val="001E4DE1"/>
    <w:rsid w:val="001E4EF6"/>
    <w:rsid w:val="001E4F19"/>
    <w:rsid w:val="001E528D"/>
    <w:rsid w:val="001E5628"/>
    <w:rsid w:val="001E6117"/>
    <w:rsid w:val="001E68A3"/>
    <w:rsid w:val="001E6A8B"/>
    <w:rsid w:val="001E6BB5"/>
    <w:rsid w:val="001E72EB"/>
    <w:rsid w:val="001E75FD"/>
    <w:rsid w:val="001E7601"/>
    <w:rsid w:val="001E7654"/>
    <w:rsid w:val="001E7885"/>
    <w:rsid w:val="001E7D47"/>
    <w:rsid w:val="001E7E4A"/>
    <w:rsid w:val="001F0635"/>
    <w:rsid w:val="001F0716"/>
    <w:rsid w:val="001F0838"/>
    <w:rsid w:val="001F0BB2"/>
    <w:rsid w:val="001F10E5"/>
    <w:rsid w:val="001F1144"/>
    <w:rsid w:val="001F13A0"/>
    <w:rsid w:val="001F1FB2"/>
    <w:rsid w:val="001F25F7"/>
    <w:rsid w:val="001F2CBC"/>
    <w:rsid w:val="001F2D12"/>
    <w:rsid w:val="001F36AE"/>
    <w:rsid w:val="001F37A2"/>
    <w:rsid w:val="001F3C11"/>
    <w:rsid w:val="001F4A68"/>
    <w:rsid w:val="001F56A1"/>
    <w:rsid w:val="001F56BA"/>
    <w:rsid w:val="001F5E4C"/>
    <w:rsid w:val="001F5FAE"/>
    <w:rsid w:val="001F64CE"/>
    <w:rsid w:val="001F6E8C"/>
    <w:rsid w:val="001F713B"/>
    <w:rsid w:val="00200416"/>
    <w:rsid w:val="0020042A"/>
    <w:rsid w:val="00200A75"/>
    <w:rsid w:val="002013B1"/>
    <w:rsid w:val="002016BF"/>
    <w:rsid w:val="002019A0"/>
    <w:rsid w:val="00201AEA"/>
    <w:rsid w:val="00201C55"/>
    <w:rsid w:val="00201C97"/>
    <w:rsid w:val="002024C7"/>
    <w:rsid w:val="002028B3"/>
    <w:rsid w:val="00203828"/>
    <w:rsid w:val="0020393F"/>
    <w:rsid w:val="00203A75"/>
    <w:rsid w:val="0020499C"/>
    <w:rsid w:val="00205A97"/>
    <w:rsid w:val="00206C47"/>
    <w:rsid w:val="00206CD4"/>
    <w:rsid w:val="00206E8C"/>
    <w:rsid w:val="00207145"/>
    <w:rsid w:val="00207559"/>
    <w:rsid w:val="00210124"/>
    <w:rsid w:val="00210351"/>
    <w:rsid w:val="002103FB"/>
    <w:rsid w:val="00210686"/>
    <w:rsid w:val="00210C65"/>
    <w:rsid w:val="00210FF3"/>
    <w:rsid w:val="0021115A"/>
    <w:rsid w:val="00211C68"/>
    <w:rsid w:val="00211E5C"/>
    <w:rsid w:val="002123EB"/>
    <w:rsid w:val="0021248D"/>
    <w:rsid w:val="002127E9"/>
    <w:rsid w:val="002127F1"/>
    <w:rsid w:val="00212886"/>
    <w:rsid w:val="00212894"/>
    <w:rsid w:val="00212D00"/>
    <w:rsid w:val="0021357D"/>
    <w:rsid w:val="0021378A"/>
    <w:rsid w:val="002137E7"/>
    <w:rsid w:val="00213D35"/>
    <w:rsid w:val="0021420A"/>
    <w:rsid w:val="0021420B"/>
    <w:rsid w:val="0021435F"/>
    <w:rsid w:val="002149BE"/>
    <w:rsid w:val="00214A6A"/>
    <w:rsid w:val="00214D2D"/>
    <w:rsid w:val="0021575F"/>
    <w:rsid w:val="002157D3"/>
    <w:rsid w:val="00215A1A"/>
    <w:rsid w:val="00215A98"/>
    <w:rsid w:val="0021609C"/>
    <w:rsid w:val="00217142"/>
    <w:rsid w:val="002179D2"/>
    <w:rsid w:val="00217A98"/>
    <w:rsid w:val="00217DDB"/>
    <w:rsid w:val="00220888"/>
    <w:rsid w:val="0022088E"/>
    <w:rsid w:val="00220AB1"/>
    <w:rsid w:val="0022100E"/>
    <w:rsid w:val="002211B4"/>
    <w:rsid w:val="0022162B"/>
    <w:rsid w:val="0022259D"/>
    <w:rsid w:val="0022263B"/>
    <w:rsid w:val="00222D4D"/>
    <w:rsid w:val="0022359E"/>
    <w:rsid w:val="00223FDA"/>
    <w:rsid w:val="002243BC"/>
    <w:rsid w:val="002250D4"/>
    <w:rsid w:val="002254D5"/>
    <w:rsid w:val="002256B8"/>
    <w:rsid w:val="00225ABC"/>
    <w:rsid w:val="00225AD8"/>
    <w:rsid w:val="00225E01"/>
    <w:rsid w:val="002266F0"/>
    <w:rsid w:val="002267F3"/>
    <w:rsid w:val="00226B35"/>
    <w:rsid w:val="0023000D"/>
    <w:rsid w:val="00230073"/>
    <w:rsid w:val="0023014D"/>
    <w:rsid w:val="002303D6"/>
    <w:rsid w:val="00230E2E"/>
    <w:rsid w:val="00230F5C"/>
    <w:rsid w:val="002319F7"/>
    <w:rsid w:val="00231A8A"/>
    <w:rsid w:val="00231F17"/>
    <w:rsid w:val="00232983"/>
    <w:rsid w:val="00232AE8"/>
    <w:rsid w:val="00232AED"/>
    <w:rsid w:val="00232E83"/>
    <w:rsid w:val="002339D9"/>
    <w:rsid w:val="00233A42"/>
    <w:rsid w:val="00234081"/>
    <w:rsid w:val="00234DDB"/>
    <w:rsid w:val="00234F03"/>
    <w:rsid w:val="002350DC"/>
    <w:rsid w:val="002352D9"/>
    <w:rsid w:val="00235793"/>
    <w:rsid w:val="0023594B"/>
    <w:rsid w:val="00235C7B"/>
    <w:rsid w:val="00235ED9"/>
    <w:rsid w:val="00235FA2"/>
    <w:rsid w:val="0023612A"/>
    <w:rsid w:val="00236229"/>
    <w:rsid w:val="00236A2B"/>
    <w:rsid w:val="002372BA"/>
    <w:rsid w:val="00237440"/>
    <w:rsid w:val="002374F9"/>
    <w:rsid w:val="0023799B"/>
    <w:rsid w:val="00237BF5"/>
    <w:rsid w:val="00237D63"/>
    <w:rsid w:val="002402B4"/>
    <w:rsid w:val="00240361"/>
    <w:rsid w:val="002409D0"/>
    <w:rsid w:val="00240A0E"/>
    <w:rsid w:val="00240AA8"/>
    <w:rsid w:val="00240D86"/>
    <w:rsid w:val="00240FB3"/>
    <w:rsid w:val="002413CC"/>
    <w:rsid w:val="002413D9"/>
    <w:rsid w:val="00241A71"/>
    <w:rsid w:val="00241A9B"/>
    <w:rsid w:val="00242098"/>
    <w:rsid w:val="002420DF"/>
    <w:rsid w:val="00243012"/>
    <w:rsid w:val="00243784"/>
    <w:rsid w:val="00244668"/>
    <w:rsid w:val="00244B21"/>
    <w:rsid w:val="00244F2A"/>
    <w:rsid w:val="0024531D"/>
    <w:rsid w:val="00245A2C"/>
    <w:rsid w:val="00245A2F"/>
    <w:rsid w:val="00245DB5"/>
    <w:rsid w:val="0024605B"/>
    <w:rsid w:val="002473B9"/>
    <w:rsid w:val="002475C4"/>
    <w:rsid w:val="00247770"/>
    <w:rsid w:val="002502D8"/>
    <w:rsid w:val="0025089B"/>
    <w:rsid w:val="00250CE9"/>
    <w:rsid w:val="00250D23"/>
    <w:rsid w:val="00251736"/>
    <w:rsid w:val="0025177D"/>
    <w:rsid w:val="00251BAE"/>
    <w:rsid w:val="0025215E"/>
    <w:rsid w:val="00252A3E"/>
    <w:rsid w:val="00252E8E"/>
    <w:rsid w:val="00253828"/>
    <w:rsid w:val="00253986"/>
    <w:rsid w:val="00253B71"/>
    <w:rsid w:val="00253FFD"/>
    <w:rsid w:val="00254556"/>
    <w:rsid w:val="00254785"/>
    <w:rsid w:val="002552E6"/>
    <w:rsid w:val="002558A7"/>
    <w:rsid w:val="00255F5A"/>
    <w:rsid w:val="0025650B"/>
    <w:rsid w:val="00256516"/>
    <w:rsid w:val="002567BE"/>
    <w:rsid w:val="00256B93"/>
    <w:rsid w:val="002577C6"/>
    <w:rsid w:val="0026022C"/>
    <w:rsid w:val="0026041C"/>
    <w:rsid w:val="002607C2"/>
    <w:rsid w:val="00260C25"/>
    <w:rsid w:val="002612D0"/>
    <w:rsid w:val="00261401"/>
    <w:rsid w:val="002617D5"/>
    <w:rsid w:val="00261BD7"/>
    <w:rsid w:val="00261CF7"/>
    <w:rsid w:val="00261EB1"/>
    <w:rsid w:val="0026204D"/>
    <w:rsid w:val="0026219C"/>
    <w:rsid w:val="00262780"/>
    <w:rsid w:val="00262A66"/>
    <w:rsid w:val="00262D4C"/>
    <w:rsid w:val="002633CA"/>
    <w:rsid w:val="00263424"/>
    <w:rsid w:val="002640F9"/>
    <w:rsid w:val="002648C0"/>
    <w:rsid w:val="0026556C"/>
    <w:rsid w:val="0026592D"/>
    <w:rsid w:val="00265A2C"/>
    <w:rsid w:val="00265A85"/>
    <w:rsid w:val="00266AAA"/>
    <w:rsid w:val="00266EEB"/>
    <w:rsid w:val="00267D21"/>
    <w:rsid w:val="00270510"/>
    <w:rsid w:val="00270882"/>
    <w:rsid w:val="00270B15"/>
    <w:rsid w:val="00270CB4"/>
    <w:rsid w:val="00270ED7"/>
    <w:rsid w:val="0027102C"/>
    <w:rsid w:val="002713D0"/>
    <w:rsid w:val="00271823"/>
    <w:rsid w:val="00271C15"/>
    <w:rsid w:val="00272167"/>
    <w:rsid w:val="002723ED"/>
    <w:rsid w:val="00272457"/>
    <w:rsid w:val="002725E1"/>
    <w:rsid w:val="00272D69"/>
    <w:rsid w:val="00272E7C"/>
    <w:rsid w:val="002736EB"/>
    <w:rsid w:val="0027416A"/>
    <w:rsid w:val="002741E0"/>
    <w:rsid w:val="0027449B"/>
    <w:rsid w:val="002744A2"/>
    <w:rsid w:val="002744BA"/>
    <w:rsid w:val="00274A89"/>
    <w:rsid w:val="00275269"/>
    <w:rsid w:val="00276058"/>
    <w:rsid w:val="002764B9"/>
    <w:rsid w:val="0027674A"/>
    <w:rsid w:val="0027679B"/>
    <w:rsid w:val="00276B2B"/>
    <w:rsid w:val="002770F1"/>
    <w:rsid w:val="0027756B"/>
    <w:rsid w:val="0027794B"/>
    <w:rsid w:val="00277B70"/>
    <w:rsid w:val="00277CA0"/>
    <w:rsid w:val="0028008A"/>
    <w:rsid w:val="00280CBF"/>
    <w:rsid w:val="00281452"/>
    <w:rsid w:val="0028213D"/>
    <w:rsid w:val="00282DA7"/>
    <w:rsid w:val="002837D8"/>
    <w:rsid w:val="00283C04"/>
    <w:rsid w:val="002842FC"/>
    <w:rsid w:val="00284989"/>
    <w:rsid w:val="00284B16"/>
    <w:rsid w:val="002850A6"/>
    <w:rsid w:val="00285558"/>
    <w:rsid w:val="00285682"/>
    <w:rsid w:val="00285EDA"/>
    <w:rsid w:val="00285FF8"/>
    <w:rsid w:val="00287747"/>
    <w:rsid w:val="00287E7E"/>
    <w:rsid w:val="0029039F"/>
    <w:rsid w:val="00290508"/>
    <w:rsid w:val="002907AC"/>
    <w:rsid w:val="00290841"/>
    <w:rsid w:val="00290A9E"/>
    <w:rsid w:val="00290B13"/>
    <w:rsid w:val="00290D90"/>
    <w:rsid w:val="00290E0E"/>
    <w:rsid w:val="002912EC"/>
    <w:rsid w:val="0029179E"/>
    <w:rsid w:val="00291F2D"/>
    <w:rsid w:val="00292682"/>
    <w:rsid w:val="00292A91"/>
    <w:rsid w:val="002938D6"/>
    <w:rsid w:val="00293948"/>
    <w:rsid w:val="00293C73"/>
    <w:rsid w:val="00293E60"/>
    <w:rsid w:val="00294104"/>
    <w:rsid w:val="00294361"/>
    <w:rsid w:val="00294B13"/>
    <w:rsid w:val="00294D09"/>
    <w:rsid w:val="00294D2C"/>
    <w:rsid w:val="00295078"/>
    <w:rsid w:val="002951A5"/>
    <w:rsid w:val="00295A29"/>
    <w:rsid w:val="00295B44"/>
    <w:rsid w:val="00295CB1"/>
    <w:rsid w:val="00295E1A"/>
    <w:rsid w:val="00295ECC"/>
    <w:rsid w:val="002965C7"/>
    <w:rsid w:val="0029682C"/>
    <w:rsid w:val="002968F3"/>
    <w:rsid w:val="00296A82"/>
    <w:rsid w:val="002970C1"/>
    <w:rsid w:val="0029727E"/>
    <w:rsid w:val="00297430"/>
    <w:rsid w:val="002975C4"/>
    <w:rsid w:val="00297632"/>
    <w:rsid w:val="002977F6"/>
    <w:rsid w:val="0029793D"/>
    <w:rsid w:val="00297C63"/>
    <w:rsid w:val="002A019B"/>
    <w:rsid w:val="002A04A3"/>
    <w:rsid w:val="002A06F4"/>
    <w:rsid w:val="002A08A8"/>
    <w:rsid w:val="002A09FC"/>
    <w:rsid w:val="002A0DD1"/>
    <w:rsid w:val="002A101C"/>
    <w:rsid w:val="002A1114"/>
    <w:rsid w:val="002A11E1"/>
    <w:rsid w:val="002A14D5"/>
    <w:rsid w:val="002A17ED"/>
    <w:rsid w:val="002A19F1"/>
    <w:rsid w:val="002A1D47"/>
    <w:rsid w:val="002A2420"/>
    <w:rsid w:val="002A2444"/>
    <w:rsid w:val="002A276A"/>
    <w:rsid w:val="002A2899"/>
    <w:rsid w:val="002A2B56"/>
    <w:rsid w:val="002A2D08"/>
    <w:rsid w:val="002A30C0"/>
    <w:rsid w:val="002A3697"/>
    <w:rsid w:val="002A37C2"/>
    <w:rsid w:val="002A3C66"/>
    <w:rsid w:val="002A3D0E"/>
    <w:rsid w:val="002A4277"/>
    <w:rsid w:val="002A4337"/>
    <w:rsid w:val="002A4405"/>
    <w:rsid w:val="002A4B87"/>
    <w:rsid w:val="002A4DF3"/>
    <w:rsid w:val="002A5904"/>
    <w:rsid w:val="002A5B58"/>
    <w:rsid w:val="002A6035"/>
    <w:rsid w:val="002A76BC"/>
    <w:rsid w:val="002A76BE"/>
    <w:rsid w:val="002A7795"/>
    <w:rsid w:val="002A7FDF"/>
    <w:rsid w:val="002B0425"/>
    <w:rsid w:val="002B0742"/>
    <w:rsid w:val="002B20B5"/>
    <w:rsid w:val="002B2235"/>
    <w:rsid w:val="002B27CA"/>
    <w:rsid w:val="002B2870"/>
    <w:rsid w:val="002B297A"/>
    <w:rsid w:val="002B31DF"/>
    <w:rsid w:val="002B475B"/>
    <w:rsid w:val="002B4EBE"/>
    <w:rsid w:val="002B4EC0"/>
    <w:rsid w:val="002B57CE"/>
    <w:rsid w:val="002B59AF"/>
    <w:rsid w:val="002B695E"/>
    <w:rsid w:val="002B6D25"/>
    <w:rsid w:val="002B6DF1"/>
    <w:rsid w:val="002B7286"/>
    <w:rsid w:val="002B7915"/>
    <w:rsid w:val="002C004A"/>
    <w:rsid w:val="002C0587"/>
    <w:rsid w:val="002C099A"/>
    <w:rsid w:val="002C0D76"/>
    <w:rsid w:val="002C115B"/>
    <w:rsid w:val="002C1E0D"/>
    <w:rsid w:val="002C2A4B"/>
    <w:rsid w:val="002C2B8D"/>
    <w:rsid w:val="002C345C"/>
    <w:rsid w:val="002C44B8"/>
    <w:rsid w:val="002C4831"/>
    <w:rsid w:val="002C4E58"/>
    <w:rsid w:val="002C4E74"/>
    <w:rsid w:val="002C4F3D"/>
    <w:rsid w:val="002C5680"/>
    <w:rsid w:val="002C56EC"/>
    <w:rsid w:val="002C5D69"/>
    <w:rsid w:val="002C5D85"/>
    <w:rsid w:val="002C6456"/>
    <w:rsid w:val="002C70DA"/>
    <w:rsid w:val="002C7AF3"/>
    <w:rsid w:val="002C7BF0"/>
    <w:rsid w:val="002D028B"/>
    <w:rsid w:val="002D06C8"/>
    <w:rsid w:val="002D27F5"/>
    <w:rsid w:val="002D2AE2"/>
    <w:rsid w:val="002D331B"/>
    <w:rsid w:val="002D3638"/>
    <w:rsid w:val="002D4C74"/>
    <w:rsid w:val="002D4F3C"/>
    <w:rsid w:val="002D5961"/>
    <w:rsid w:val="002D5B2F"/>
    <w:rsid w:val="002D5D7A"/>
    <w:rsid w:val="002D62EB"/>
    <w:rsid w:val="002D6732"/>
    <w:rsid w:val="002D6905"/>
    <w:rsid w:val="002D69B6"/>
    <w:rsid w:val="002D710B"/>
    <w:rsid w:val="002D7154"/>
    <w:rsid w:val="002D74D2"/>
    <w:rsid w:val="002D7DD7"/>
    <w:rsid w:val="002E0504"/>
    <w:rsid w:val="002E088B"/>
    <w:rsid w:val="002E0A1C"/>
    <w:rsid w:val="002E1194"/>
    <w:rsid w:val="002E123D"/>
    <w:rsid w:val="002E1422"/>
    <w:rsid w:val="002E1A54"/>
    <w:rsid w:val="002E1E3C"/>
    <w:rsid w:val="002E24D6"/>
    <w:rsid w:val="002E2FCB"/>
    <w:rsid w:val="002E34B1"/>
    <w:rsid w:val="002E3E9A"/>
    <w:rsid w:val="002E3EAF"/>
    <w:rsid w:val="002E443D"/>
    <w:rsid w:val="002E44F7"/>
    <w:rsid w:val="002E5035"/>
    <w:rsid w:val="002E5514"/>
    <w:rsid w:val="002E55C8"/>
    <w:rsid w:val="002E55C9"/>
    <w:rsid w:val="002E5B1D"/>
    <w:rsid w:val="002E5BCD"/>
    <w:rsid w:val="002E6AC8"/>
    <w:rsid w:val="002E6F59"/>
    <w:rsid w:val="002E711D"/>
    <w:rsid w:val="002E7DA3"/>
    <w:rsid w:val="002F0B13"/>
    <w:rsid w:val="002F0DA0"/>
    <w:rsid w:val="002F2168"/>
    <w:rsid w:val="002F2316"/>
    <w:rsid w:val="002F2533"/>
    <w:rsid w:val="002F2889"/>
    <w:rsid w:val="002F2966"/>
    <w:rsid w:val="002F2C3E"/>
    <w:rsid w:val="002F2CE3"/>
    <w:rsid w:val="002F32C4"/>
    <w:rsid w:val="002F3700"/>
    <w:rsid w:val="002F42EF"/>
    <w:rsid w:val="002F4981"/>
    <w:rsid w:val="002F4A0A"/>
    <w:rsid w:val="002F5140"/>
    <w:rsid w:val="002F651F"/>
    <w:rsid w:val="002F67F0"/>
    <w:rsid w:val="002F68E5"/>
    <w:rsid w:val="002F744A"/>
    <w:rsid w:val="002F77B5"/>
    <w:rsid w:val="002F7974"/>
    <w:rsid w:val="002F7AED"/>
    <w:rsid w:val="002F7B7D"/>
    <w:rsid w:val="002F7CE7"/>
    <w:rsid w:val="002F7FDE"/>
    <w:rsid w:val="00300C2D"/>
    <w:rsid w:val="00300C77"/>
    <w:rsid w:val="00301120"/>
    <w:rsid w:val="00301166"/>
    <w:rsid w:val="003018C6"/>
    <w:rsid w:val="00301B11"/>
    <w:rsid w:val="00301CC6"/>
    <w:rsid w:val="00301D49"/>
    <w:rsid w:val="00301FD5"/>
    <w:rsid w:val="00302112"/>
    <w:rsid w:val="00302455"/>
    <w:rsid w:val="003024FB"/>
    <w:rsid w:val="00302552"/>
    <w:rsid w:val="003046D2"/>
    <w:rsid w:val="00304B85"/>
    <w:rsid w:val="00304C10"/>
    <w:rsid w:val="00306A29"/>
    <w:rsid w:val="00306BB8"/>
    <w:rsid w:val="00306BD3"/>
    <w:rsid w:val="00306EC5"/>
    <w:rsid w:val="0030784C"/>
    <w:rsid w:val="00307938"/>
    <w:rsid w:val="00307B28"/>
    <w:rsid w:val="00307E5A"/>
    <w:rsid w:val="0031030D"/>
    <w:rsid w:val="00310665"/>
    <w:rsid w:val="0031133F"/>
    <w:rsid w:val="003114A5"/>
    <w:rsid w:val="00311794"/>
    <w:rsid w:val="00311813"/>
    <w:rsid w:val="00311821"/>
    <w:rsid w:val="00311D78"/>
    <w:rsid w:val="00311F1B"/>
    <w:rsid w:val="003124C2"/>
    <w:rsid w:val="003129F3"/>
    <w:rsid w:val="00312A0A"/>
    <w:rsid w:val="00313331"/>
    <w:rsid w:val="003137F8"/>
    <w:rsid w:val="00313889"/>
    <w:rsid w:val="00313B1E"/>
    <w:rsid w:val="00313EFE"/>
    <w:rsid w:val="00314033"/>
    <w:rsid w:val="00314B55"/>
    <w:rsid w:val="00315322"/>
    <w:rsid w:val="0031533D"/>
    <w:rsid w:val="00315B87"/>
    <w:rsid w:val="00316B3A"/>
    <w:rsid w:val="00316CE5"/>
    <w:rsid w:val="00317144"/>
    <w:rsid w:val="003174D2"/>
    <w:rsid w:val="003175B0"/>
    <w:rsid w:val="003179A1"/>
    <w:rsid w:val="003206BC"/>
    <w:rsid w:val="003206C8"/>
    <w:rsid w:val="00320758"/>
    <w:rsid w:val="003209EE"/>
    <w:rsid w:val="00321D4C"/>
    <w:rsid w:val="00321FDA"/>
    <w:rsid w:val="003220F2"/>
    <w:rsid w:val="00322B4F"/>
    <w:rsid w:val="00322B70"/>
    <w:rsid w:val="003230A4"/>
    <w:rsid w:val="00323540"/>
    <w:rsid w:val="00323DC8"/>
    <w:rsid w:val="00323FAB"/>
    <w:rsid w:val="00324002"/>
    <w:rsid w:val="0032482F"/>
    <w:rsid w:val="003251AD"/>
    <w:rsid w:val="0032559E"/>
    <w:rsid w:val="00325721"/>
    <w:rsid w:val="00325DFE"/>
    <w:rsid w:val="003260FA"/>
    <w:rsid w:val="0032645B"/>
    <w:rsid w:val="003266B3"/>
    <w:rsid w:val="003270E5"/>
    <w:rsid w:val="0032728A"/>
    <w:rsid w:val="00327719"/>
    <w:rsid w:val="00327C26"/>
    <w:rsid w:val="00330065"/>
    <w:rsid w:val="003304E5"/>
    <w:rsid w:val="0033123E"/>
    <w:rsid w:val="0033139B"/>
    <w:rsid w:val="0033167F"/>
    <w:rsid w:val="003317F0"/>
    <w:rsid w:val="00331FCF"/>
    <w:rsid w:val="003320B8"/>
    <w:rsid w:val="00332510"/>
    <w:rsid w:val="00332813"/>
    <w:rsid w:val="00332F83"/>
    <w:rsid w:val="00333270"/>
    <w:rsid w:val="00333882"/>
    <w:rsid w:val="003338CF"/>
    <w:rsid w:val="00333967"/>
    <w:rsid w:val="00333E46"/>
    <w:rsid w:val="00334060"/>
    <w:rsid w:val="003341C8"/>
    <w:rsid w:val="003343C6"/>
    <w:rsid w:val="0033504C"/>
    <w:rsid w:val="0033539F"/>
    <w:rsid w:val="003353BD"/>
    <w:rsid w:val="003356A0"/>
    <w:rsid w:val="0033573A"/>
    <w:rsid w:val="00335D15"/>
    <w:rsid w:val="00336A0E"/>
    <w:rsid w:val="00336A56"/>
    <w:rsid w:val="00337BC3"/>
    <w:rsid w:val="00337CA1"/>
    <w:rsid w:val="00337D9D"/>
    <w:rsid w:val="00340174"/>
    <w:rsid w:val="003404B7"/>
    <w:rsid w:val="00340666"/>
    <w:rsid w:val="00341134"/>
    <w:rsid w:val="00341219"/>
    <w:rsid w:val="0034186A"/>
    <w:rsid w:val="0034191A"/>
    <w:rsid w:val="00341B3C"/>
    <w:rsid w:val="00341BB7"/>
    <w:rsid w:val="00341E2D"/>
    <w:rsid w:val="0034201A"/>
    <w:rsid w:val="00342406"/>
    <w:rsid w:val="00342EC8"/>
    <w:rsid w:val="00343BEE"/>
    <w:rsid w:val="00343E9A"/>
    <w:rsid w:val="003440C8"/>
    <w:rsid w:val="00344AC4"/>
    <w:rsid w:val="00344B74"/>
    <w:rsid w:val="00344E94"/>
    <w:rsid w:val="003451BB"/>
    <w:rsid w:val="003451C0"/>
    <w:rsid w:val="0034694D"/>
    <w:rsid w:val="00347061"/>
    <w:rsid w:val="00347893"/>
    <w:rsid w:val="003478A5"/>
    <w:rsid w:val="00347D0F"/>
    <w:rsid w:val="0035050B"/>
    <w:rsid w:val="00350659"/>
    <w:rsid w:val="00350817"/>
    <w:rsid w:val="00350B75"/>
    <w:rsid w:val="0035179A"/>
    <w:rsid w:val="0035211C"/>
    <w:rsid w:val="003527CA"/>
    <w:rsid w:val="00352F5E"/>
    <w:rsid w:val="00353232"/>
    <w:rsid w:val="00353646"/>
    <w:rsid w:val="003536E9"/>
    <w:rsid w:val="00353734"/>
    <w:rsid w:val="00353CF7"/>
    <w:rsid w:val="00353D98"/>
    <w:rsid w:val="00353DC3"/>
    <w:rsid w:val="00354449"/>
    <w:rsid w:val="0035448C"/>
    <w:rsid w:val="003549B3"/>
    <w:rsid w:val="003549C8"/>
    <w:rsid w:val="00354C3C"/>
    <w:rsid w:val="00354FD8"/>
    <w:rsid w:val="0035509E"/>
    <w:rsid w:val="003554B7"/>
    <w:rsid w:val="003557C7"/>
    <w:rsid w:val="003558D4"/>
    <w:rsid w:val="00355EF6"/>
    <w:rsid w:val="0035613F"/>
    <w:rsid w:val="00356682"/>
    <w:rsid w:val="0035684B"/>
    <w:rsid w:val="00356DBC"/>
    <w:rsid w:val="00357108"/>
    <w:rsid w:val="003572C5"/>
    <w:rsid w:val="00360460"/>
    <w:rsid w:val="00360E14"/>
    <w:rsid w:val="00360F46"/>
    <w:rsid w:val="003613E2"/>
    <w:rsid w:val="00361A82"/>
    <w:rsid w:val="003621A3"/>
    <w:rsid w:val="003622A9"/>
    <w:rsid w:val="00362302"/>
    <w:rsid w:val="003628CA"/>
    <w:rsid w:val="00362A83"/>
    <w:rsid w:val="00362AE7"/>
    <w:rsid w:val="00362AF1"/>
    <w:rsid w:val="0036355B"/>
    <w:rsid w:val="003637B0"/>
    <w:rsid w:val="003638F5"/>
    <w:rsid w:val="00363D2E"/>
    <w:rsid w:val="00363D72"/>
    <w:rsid w:val="003650AD"/>
    <w:rsid w:val="00365342"/>
    <w:rsid w:val="00366DCB"/>
    <w:rsid w:val="0036712B"/>
    <w:rsid w:val="00367541"/>
    <w:rsid w:val="00367D5E"/>
    <w:rsid w:val="00367DAC"/>
    <w:rsid w:val="00367E2A"/>
    <w:rsid w:val="00367E7C"/>
    <w:rsid w:val="00367F59"/>
    <w:rsid w:val="00370228"/>
    <w:rsid w:val="0037090F"/>
    <w:rsid w:val="00370DA5"/>
    <w:rsid w:val="0037108D"/>
    <w:rsid w:val="0037195F"/>
    <w:rsid w:val="003719E6"/>
    <w:rsid w:val="00371F93"/>
    <w:rsid w:val="00372156"/>
    <w:rsid w:val="00372A39"/>
    <w:rsid w:val="00373284"/>
    <w:rsid w:val="00373889"/>
    <w:rsid w:val="00373E19"/>
    <w:rsid w:val="003745B7"/>
    <w:rsid w:val="0037474F"/>
    <w:rsid w:val="00374882"/>
    <w:rsid w:val="00374D54"/>
    <w:rsid w:val="003755A8"/>
    <w:rsid w:val="003756FD"/>
    <w:rsid w:val="0037591E"/>
    <w:rsid w:val="00376A67"/>
    <w:rsid w:val="00376EC1"/>
    <w:rsid w:val="00377530"/>
    <w:rsid w:val="00377CDE"/>
    <w:rsid w:val="00380870"/>
    <w:rsid w:val="003808B3"/>
    <w:rsid w:val="00380B85"/>
    <w:rsid w:val="00380C66"/>
    <w:rsid w:val="00380E53"/>
    <w:rsid w:val="00380EBF"/>
    <w:rsid w:val="00380FBA"/>
    <w:rsid w:val="00381260"/>
    <w:rsid w:val="0038181B"/>
    <w:rsid w:val="00381AFC"/>
    <w:rsid w:val="00381DDC"/>
    <w:rsid w:val="00381E08"/>
    <w:rsid w:val="0038225B"/>
    <w:rsid w:val="00382A1D"/>
    <w:rsid w:val="00382A79"/>
    <w:rsid w:val="00383C10"/>
    <w:rsid w:val="00384D78"/>
    <w:rsid w:val="00384F36"/>
    <w:rsid w:val="003855EA"/>
    <w:rsid w:val="00385A15"/>
    <w:rsid w:val="0038618D"/>
    <w:rsid w:val="003861AB"/>
    <w:rsid w:val="0038724E"/>
    <w:rsid w:val="0038734B"/>
    <w:rsid w:val="00387CE5"/>
    <w:rsid w:val="00390656"/>
    <w:rsid w:val="00390837"/>
    <w:rsid w:val="003908AE"/>
    <w:rsid w:val="00390AC1"/>
    <w:rsid w:val="00391135"/>
    <w:rsid w:val="00391C3B"/>
    <w:rsid w:val="0039205F"/>
    <w:rsid w:val="00392E5A"/>
    <w:rsid w:val="0039303E"/>
    <w:rsid w:val="0039332E"/>
    <w:rsid w:val="0039375B"/>
    <w:rsid w:val="003937A5"/>
    <w:rsid w:val="003939E2"/>
    <w:rsid w:val="00393EE8"/>
    <w:rsid w:val="003949E5"/>
    <w:rsid w:val="003955F1"/>
    <w:rsid w:val="00395868"/>
    <w:rsid w:val="00395917"/>
    <w:rsid w:val="00395CB8"/>
    <w:rsid w:val="003961CE"/>
    <w:rsid w:val="0039662C"/>
    <w:rsid w:val="00396E29"/>
    <w:rsid w:val="00396F09"/>
    <w:rsid w:val="00396FA8"/>
    <w:rsid w:val="00397ED6"/>
    <w:rsid w:val="00397FC8"/>
    <w:rsid w:val="003A0D1B"/>
    <w:rsid w:val="003A0FEF"/>
    <w:rsid w:val="003A173D"/>
    <w:rsid w:val="003A1844"/>
    <w:rsid w:val="003A2649"/>
    <w:rsid w:val="003A2A91"/>
    <w:rsid w:val="003A3251"/>
    <w:rsid w:val="003A39AA"/>
    <w:rsid w:val="003A4279"/>
    <w:rsid w:val="003A454A"/>
    <w:rsid w:val="003A4C9F"/>
    <w:rsid w:val="003A4F60"/>
    <w:rsid w:val="003A56AC"/>
    <w:rsid w:val="003A5B1F"/>
    <w:rsid w:val="003A5DF6"/>
    <w:rsid w:val="003A6108"/>
    <w:rsid w:val="003A617E"/>
    <w:rsid w:val="003A630B"/>
    <w:rsid w:val="003A6372"/>
    <w:rsid w:val="003A6590"/>
    <w:rsid w:val="003A6839"/>
    <w:rsid w:val="003A7908"/>
    <w:rsid w:val="003A7BA9"/>
    <w:rsid w:val="003B000C"/>
    <w:rsid w:val="003B05E7"/>
    <w:rsid w:val="003B0686"/>
    <w:rsid w:val="003B0A5E"/>
    <w:rsid w:val="003B0CFD"/>
    <w:rsid w:val="003B0E3E"/>
    <w:rsid w:val="003B13FC"/>
    <w:rsid w:val="003B1471"/>
    <w:rsid w:val="003B1718"/>
    <w:rsid w:val="003B1944"/>
    <w:rsid w:val="003B1ADB"/>
    <w:rsid w:val="003B1C04"/>
    <w:rsid w:val="003B25BC"/>
    <w:rsid w:val="003B28F3"/>
    <w:rsid w:val="003B2D38"/>
    <w:rsid w:val="003B2DCF"/>
    <w:rsid w:val="003B2F53"/>
    <w:rsid w:val="003B32E7"/>
    <w:rsid w:val="003B4AA0"/>
    <w:rsid w:val="003B5525"/>
    <w:rsid w:val="003B5A37"/>
    <w:rsid w:val="003B673D"/>
    <w:rsid w:val="003B6CEE"/>
    <w:rsid w:val="003B6E42"/>
    <w:rsid w:val="003B6F66"/>
    <w:rsid w:val="003B7307"/>
    <w:rsid w:val="003B7367"/>
    <w:rsid w:val="003B74AD"/>
    <w:rsid w:val="003B7666"/>
    <w:rsid w:val="003B7684"/>
    <w:rsid w:val="003B76E8"/>
    <w:rsid w:val="003B7836"/>
    <w:rsid w:val="003B795E"/>
    <w:rsid w:val="003B7A8C"/>
    <w:rsid w:val="003C0156"/>
    <w:rsid w:val="003C022F"/>
    <w:rsid w:val="003C023B"/>
    <w:rsid w:val="003C0683"/>
    <w:rsid w:val="003C099D"/>
    <w:rsid w:val="003C09E3"/>
    <w:rsid w:val="003C0DD3"/>
    <w:rsid w:val="003C209B"/>
    <w:rsid w:val="003C2A2C"/>
    <w:rsid w:val="003C3511"/>
    <w:rsid w:val="003C3B8B"/>
    <w:rsid w:val="003C3E9C"/>
    <w:rsid w:val="003C41D6"/>
    <w:rsid w:val="003C42F0"/>
    <w:rsid w:val="003C504F"/>
    <w:rsid w:val="003C54C1"/>
    <w:rsid w:val="003C5F7F"/>
    <w:rsid w:val="003C6465"/>
    <w:rsid w:val="003C67E6"/>
    <w:rsid w:val="003C6CAB"/>
    <w:rsid w:val="003C6EBE"/>
    <w:rsid w:val="003C790F"/>
    <w:rsid w:val="003C7A4D"/>
    <w:rsid w:val="003C7BC5"/>
    <w:rsid w:val="003D0843"/>
    <w:rsid w:val="003D10FF"/>
    <w:rsid w:val="003D11DB"/>
    <w:rsid w:val="003D1D0F"/>
    <w:rsid w:val="003D1E16"/>
    <w:rsid w:val="003D1F51"/>
    <w:rsid w:val="003D24FC"/>
    <w:rsid w:val="003D290E"/>
    <w:rsid w:val="003D2ED3"/>
    <w:rsid w:val="003D3336"/>
    <w:rsid w:val="003D340C"/>
    <w:rsid w:val="003D386B"/>
    <w:rsid w:val="003D3CF5"/>
    <w:rsid w:val="003D3EA7"/>
    <w:rsid w:val="003D46D0"/>
    <w:rsid w:val="003D4A8D"/>
    <w:rsid w:val="003D5419"/>
    <w:rsid w:val="003D5856"/>
    <w:rsid w:val="003D5ECE"/>
    <w:rsid w:val="003D6C9C"/>
    <w:rsid w:val="003D72AA"/>
    <w:rsid w:val="003D7702"/>
    <w:rsid w:val="003D77DB"/>
    <w:rsid w:val="003E073F"/>
    <w:rsid w:val="003E074C"/>
    <w:rsid w:val="003E13F6"/>
    <w:rsid w:val="003E169A"/>
    <w:rsid w:val="003E19E1"/>
    <w:rsid w:val="003E2230"/>
    <w:rsid w:val="003E2540"/>
    <w:rsid w:val="003E2AC2"/>
    <w:rsid w:val="003E3201"/>
    <w:rsid w:val="003E32D8"/>
    <w:rsid w:val="003E445E"/>
    <w:rsid w:val="003E4727"/>
    <w:rsid w:val="003E47FD"/>
    <w:rsid w:val="003E4D8F"/>
    <w:rsid w:val="003E4DD4"/>
    <w:rsid w:val="003E4FC1"/>
    <w:rsid w:val="003E5135"/>
    <w:rsid w:val="003E590A"/>
    <w:rsid w:val="003E5D02"/>
    <w:rsid w:val="003E5FF4"/>
    <w:rsid w:val="003E62D3"/>
    <w:rsid w:val="003E64F4"/>
    <w:rsid w:val="003E658C"/>
    <w:rsid w:val="003E665A"/>
    <w:rsid w:val="003E6CEC"/>
    <w:rsid w:val="003E7346"/>
    <w:rsid w:val="003E76DA"/>
    <w:rsid w:val="003E7764"/>
    <w:rsid w:val="003E77F1"/>
    <w:rsid w:val="003E79B9"/>
    <w:rsid w:val="003E7B20"/>
    <w:rsid w:val="003E7CF6"/>
    <w:rsid w:val="003F0437"/>
    <w:rsid w:val="003F09F1"/>
    <w:rsid w:val="003F0EF1"/>
    <w:rsid w:val="003F0F27"/>
    <w:rsid w:val="003F0F3E"/>
    <w:rsid w:val="003F119E"/>
    <w:rsid w:val="003F12EA"/>
    <w:rsid w:val="003F14FA"/>
    <w:rsid w:val="003F1AA2"/>
    <w:rsid w:val="003F1B6B"/>
    <w:rsid w:val="003F1EDA"/>
    <w:rsid w:val="003F2222"/>
    <w:rsid w:val="003F2D72"/>
    <w:rsid w:val="003F3045"/>
    <w:rsid w:val="003F3460"/>
    <w:rsid w:val="003F3B5E"/>
    <w:rsid w:val="003F4567"/>
    <w:rsid w:val="003F493B"/>
    <w:rsid w:val="003F53B8"/>
    <w:rsid w:val="003F5FBD"/>
    <w:rsid w:val="003F6018"/>
    <w:rsid w:val="003F628A"/>
    <w:rsid w:val="003F6468"/>
    <w:rsid w:val="003F6A24"/>
    <w:rsid w:val="003F6FAA"/>
    <w:rsid w:val="003F736A"/>
    <w:rsid w:val="003F776D"/>
    <w:rsid w:val="004005E9"/>
    <w:rsid w:val="004006CE"/>
    <w:rsid w:val="0040150F"/>
    <w:rsid w:val="00401766"/>
    <w:rsid w:val="00401C62"/>
    <w:rsid w:val="00401C73"/>
    <w:rsid w:val="00401D93"/>
    <w:rsid w:val="00402148"/>
    <w:rsid w:val="0040239A"/>
    <w:rsid w:val="00402ADB"/>
    <w:rsid w:val="00402BF5"/>
    <w:rsid w:val="00403616"/>
    <w:rsid w:val="004036A5"/>
    <w:rsid w:val="004037C0"/>
    <w:rsid w:val="00403FC8"/>
    <w:rsid w:val="0040456A"/>
    <w:rsid w:val="004049A3"/>
    <w:rsid w:val="00404BA9"/>
    <w:rsid w:val="00404BD9"/>
    <w:rsid w:val="00404CC1"/>
    <w:rsid w:val="00404E8D"/>
    <w:rsid w:val="004051E7"/>
    <w:rsid w:val="00405A71"/>
    <w:rsid w:val="00405DE1"/>
    <w:rsid w:val="004060C9"/>
    <w:rsid w:val="0040682E"/>
    <w:rsid w:val="00406B47"/>
    <w:rsid w:val="0040712D"/>
    <w:rsid w:val="0040757F"/>
    <w:rsid w:val="00407783"/>
    <w:rsid w:val="00407C33"/>
    <w:rsid w:val="0041035B"/>
    <w:rsid w:val="004103AA"/>
    <w:rsid w:val="004104CF"/>
    <w:rsid w:val="00410DFA"/>
    <w:rsid w:val="00410EB9"/>
    <w:rsid w:val="00410EF4"/>
    <w:rsid w:val="00411351"/>
    <w:rsid w:val="00411643"/>
    <w:rsid w:val="00411A13"/>
    <w:rsid w:val="00412423"/>
    <w:rsid w:val="00412678"/>
    <w:rsid w:val="00412BDC"/>
    <w:rsid w:val="00413320"/>
    <w:rsid w:val="0041427A"/>
    <w:rsid w:val="00414521"/>
    <w:rsid w:val="004148E5"/>
    <w:rsid w:val="00414AA9"/>
    <w:rsid w:val="00415499"/>
    <w:rsid w:val="004159D8"/>
    <w:rsid w:val="00415BDC"/>
    <w:rsid w:val="00415E88"/>
    <w:rsid w:val="00415F3C"/>
    <w:rsid w:val="004161C9"/>
    <w:rsid w:val="004164EB"/>
    <w:rsid w:val="0041692C"/>
    <w:rsid w:val="00417595"/>
    <w:rsid w:val="00417CEE"/>
    <w:rsid w:val="00417D6E"/>
    <w:rsid w:val="00420550"/>
    <w:rsid w:val="00420587"/>
    <w:rsid w:val="0042084E"/>
    <w:rsid w:val="00420CE9"/>
    <w:rsid w:val="0042139D"/>
    <w:rsid w:val="00421775"/>
    <w:rsid w:val="00421852"/>
    <w:rsid w:val="00422041"/>
    <w:rsid w:val="004226D7"/>
    <w:rsid w:val="00422A75"/>
    <w:rsid w:val="00422EA8"/>
    <w:rsid w:val="00423173"/>
    <w:rsid w:val="00423626"/>
    <w:rsid w:val="00423CD4"/>
    <w:rsid w:val="0042423E"/>
    <w:rsid w:val="0042439C"/>
    <w:rsid w:val="004243A5"/>
    <w:rsid w:val="004247B1"/>
    <w:rsid w:val="00424CEC"/>
    <w:rsid w:val="004258D2"/>
    <w:rsid w:val="004258EA"/>
    <w:rsid w:val="00425BFD"/>
    <w:rsid w:val="0042615E"/>
    <w:rsid w:val="00426F9E"/>
    <w:rsid w:val="0042756B"/>
    <w:rsid w:val="004277AD"/>
    <w:rsid w:val="004277C7"/>
    <w:rsid w:val="00427A46"/>
    <w:rsid w:val="00427C33"/>
    <w:rsid w:val="0043039A"/>
    <w:rsid w:val="00431107"/>
    <w:rsid w:val="00431595"/>
    <w:rsid w:val="0043161C"/>
    <w:rsid w:val="0043194D"/>
    <w:rsid w:val="004321C9"/>
    <w:rsid w:val="00432B56"/>
    <w:rsid w:val="00432C3E"/>
    <w:rsid w:val="00432EB2"/>
    <w:rsid w:val="00433B5D"/>
    <w:rsid w:val="00433EF6"/>
    <w:rsid w:val="004341A7"/>
    <w:rsid w:val="0043456E"/>
    <w:rsid w:val="0043476C"/>
    <w:rsid w:val="00434CB5"/>
    <w:rsid w:val="00434EB2"/>
    <w:rsid w:val="004351DB"/>
    <w:rsid w:val="00436039"/>
    <w:rsid w:val="00436438"/>
    <w:rsid w:val="00436656"/>
    <w:rsid w:val="00436674"/>
    <w:rsid w:val="00436A8E"/>
    <w:rsid w:val="00436D19"/>
    <w:rsid w:val="00436D53"/>
    <w:rsid w:val="00436D8B"/>
    <w:rsid w:val="0043729C"/>
    <w:rsid w:val="00440019"/>
    <w:rsid w:val="00440437"/>
    <w:rsid w:val="004407C6"/>
    <w:rsid w:val="00440863"/>
    <w:rsid w:val="0044090B"/>
    <w:rsid w:val="00440AF3"/>
    <w:rsid w:val="004414A9"/>
    <w:rsid w:val="004415E3"/>
    <w:rsid w:val="00441A11"/>
    <w:rsid w:val="00441B4C"/>
    <w:rsid w:val="00441F67"/>
    <w:rsid w:val="004422FA"/>
    <w:rsid w:val="004425EA"/>
    <w:rsid w:val="00442990"/>
    <w:rsid w:val="00442DFE"/>
    <w:rsid w:val="00442FD9"/>
    <w:rsid w:val="0044312D"/>
    <w:rsid w:val="00443921"/>
    <w:rsid w:val="00443F81"/>
    <w:rsid w:val="004442BB"/>
    <w:rsid w:val="004442C1"/>
    <w:rsid w:val="00444564"/>
    <w:rsid w:val="00444CB4"/>
    <w:rsid w:val="00444F1C"/>
    <w:rsid w:val="00444F81"/>
    <w:rsid w:val="0044528D"/>
    <w:rsid w:val="004453C3"/>
    <w:rsid w:val="00445485"/>
    <w:rsid w:val="0044565A"/>
    <w:rsid w:val="00445950"/>
    <w:rsid w:val="00445EBA"/>
    <w:rsid w:val="00446371"/>
    <w:rsid w:val="004463B9"/>
    <w:rsid w:val="00446D5E"/>
    <w:rsid w:val="00447533"/>
    <w:rsid w:val="00450035"/>
    <w:rsid w:val="004504F9"/>
    <w:rsid w:val="00450544"/>
    <w:rsid w:val="0045057A"/>
    <w:rsid w:val="004505A3"/>
    <w:rsid w:val="0045088E"/>
    <w:rsid w:val="00450F96"/>
    <w:rsid w:val="0045124B"/>
    <w:rsid w:val="00451437"/>
    <w:rsid w:val="004517B7"/>
    <w:rsid w:val="00451C08"/>
    <w:rsid w:val="00451ED2"/>
    <w:rsid w:val="004520E0"/>
    <w:rsid w:val="004528C3"/>
    <w:rsid w:val="00452C58"/>
    <w:rsid w:val="00453245"/>
    <w:rsid w:val="0045332F"/>
    <w:rsid w:val="00453427"/>
    <w:rsid w:val="00453BB7"/>
    <w:rsid w:val="004541D3"/>
    <w:rsid w:val="004542E7"/>
    <w:rsid w:val="00454431"/>
    <w:rsid w:val="0045455D"/>
    <w:rsid w:val="00454736"/>
    <w:rsid w:val="00455D29"/>
    <w:rsid w:val="00456071"/>
    <w:rsid w:val="00457E12"/>
    <w:rsid w:val="00460051"/>
    <w:rsid w:val="00460724"/>
    <w:rsid w:val="00460B1E"/>
    <w:rsid w:val="00460EBE"/>
    <w:rsid w:val="0046131C"/>
    <w:rsid w:val="00461990"/>
    <w:rsid w:val="0046213B"/>
    <w:rsid w:val="00462777"/>
    <w:rsid w:val="004633BE"/>
    <w:rsid w:val="00463951"/>
    <w:rsid w:val="00463A53"/>
    <w:rsid w:val="00463FCF"/>
    <w:rsid w:val="00464431"/>
    <w:rsid w:val="00464568"/>
    <w:rsid w:val="00464BA0"/>
    <w:rsid w:val="00464D3E"/>
    <w:rsid w:val="00464E9B"/>
    <w:rsid w:val="00464EDC"/>
    <w:rsid w:val="004652F0"/>
    <w:rsid w:val="00465969"/>
    <w:rsid w:val="00465CCF"/>
    <w:rsid w:val="0046618F"/>
    <w:rsid w:val="00466FD6"/>
    <w:rsid w:val="00467234"/>
    <w:rsid w:val="00467371"/>
    <w:rsid w:val="0046751C"/>
    <w:rsid w:val="00467BC5"/>
    <w:rsid w:val="00467DEE"/>
    <w:rsid w:val="00470564"/>
    <w:rsid w:val="00470C8A"/>
    <w:rsid w:val="00470D51"/>
    <w:rsid w:val="00470E87"/>
    <w:rsid w:val="004711B1"/>
    <w:rsid w:val="00471445"/>
    <w:rsid w:val="00471E48"/>
    <w:rsid w:val="00472285"/>
    <w:rsid w:val="00472368"/>
    <w:rsid w:val="0047253B"/>
    <w:rsid w:val="004728E2"/>
    <w:rsid w:val="00472A27"/>
    <w:rsid w:val="004735E1"/>
    <w:rsid w:val="00473CBE"/>
    <w:rsid w:val="004740F7"/>
    <w:rsid w:val="0047465A"/>
    <w:rsid w:val="00474B83"/>
    <w:rsid w:val="00474BD3"/>
    <w:rsid w:val="00474C15"/>
    <w:rsid w:val="00475235"/>
    <w:rsid w:val="00475332"/>
    <w:rsid w:val="004754BB"/>
    <w:rsid w:val="0047551A"/>
    <w:rsid w:val="004755E9"/>
    <w:rsid w:val="00475E60"/>
    <w:rsid w:val="00476933"/>
    <w:rsid w:val="00476D50"/>
    <w:rsid w:val="0047724F"/>
    <w:rsid w:val="00477C2A"/>
    <w:rsid w:val="00477FFA"/>
    <w:rsid w:val="00480388"/>
    <w:rsid w:val="00480500"/>
    <w:rsid w:val="004808F3"/>
    <w:rsid w:val="00481199"/>
    <w:rsid w:val="00481DAB"/>
    <w:rsid w:val="0048227F"/>
    <w:rsid w:val="00482409"/>
    <w:rsid w:val="00482A8A"/>
    <w:rsid w:val="00482AFC"/>
    <w:rsid w:val="00482FCD"/>
    <w:rsid w:val="004831D9"/>
    <w:rsid w:val="00484352"/>
    <w:rsid w:val="00484748"/>
    <w:rsid w:val="0048514B"/>
    <w:rsid w:val="00485A56"/>
    <w:rsid w:val="004863FE"/>
    <w:rsid w:val="004874F6"/>
    <w:rsid w:val="0049008B"/>
    <w:rsid w:val="004906B5"/>
    <w:rsid w:val="00490B92"/>
    <w:rsid w:val="00491313"/>
    <w:rsid w:val="00491EAC"/>
    <w:rsid w:val="0049214B"/>
    <w:rsid w:val="00492675"/>
    <w:rsid w:val="0049341E"/>
    <w:rsid w:val="00493660"/>
    <w:rsid w:val="00493AC5"/>
    <w:rsid w:val="00494690"/>
    <w:rsid w:val="00494833"/>
    <w:rsid w:val="00494DE8"/>
    <w:rsid w:val="0049507D"/>
    <w:rsid w:val="004955CA"/>
    <w:rsid w:val="00495ADF"/>
    <w:rsid w:val="004963EE"/>
    <w:rsid w:val="00496B73"/>
    <w:rsid w:val="00497684"/>
    <w:rsid w:val="00497CFD"/>
    <w:rsid w:val="004A0306"/>
    <w:rsid w:val="004A03C3"/>
    <w:rsid w:val="004A0531"/>
    <w:rsid w:val="004A0DD4"/>
    <w:rsid w:val="004A0E4B"/>
    <w:rsid w:val="004A109D"/>
    <w:rsid w:val="004A125F"/>
    <w:rsid w:val="004A1E1A"/>
    <w:rsid w:val="004A204F"/>
    <w:rsid w:val="004A2687"/>
    <w:rsid w:val="004A36D7"/>
    <w:rsid w:val="004A3768"/>
    <w:rsid w:val="004A3C90"/>
    <w:rsid w:val="004A4706"/>
    <w:rsid w:val="004A4C6F"/>
    <w:rsid w:val="004A5B08"/>
    <w:rsid w:val="004A6857"/>
    <w:rsid w:val="004A69AE"/>
    <w:rsid w:val="004A6F7A"/>
    <w:rsid w:val="004A7211"/>
    <w:rsid w:val="004A7404"/>
    <w:rsid w:val="004A76F0"/>
    <w:rsid w:val="004A7F94"/>
    <w:rsid w:val="004B03DD"/>
    <w:rsid w:val="004B0648"/>
    <w:rsid w:val="004B0AF8"/>
    <w:rsid w:val="004B0DFA"/>
    <w:rsid w:val="004B0FB5"/>
    <w:rsid w:val="004B103D"/>
    <w:rsid w:val="004B1619"/>
    <w:rsid w:val="004B16BC"/>
    <w:rsid w:val="004B1735"/>
    <w:rsid w:val="004B201C"/>
    <w:rsid w:val="004B22D8"/>
    <w:rsid w:val="004B274E"/>
    <w:rsid w:val="004B2E7E"/>
    <w:rsid w:val="004B359A"/>
    <w:rsid w:val="004B3881"/>
    <w:rsid w:val="004B38C9"/>
    <w:rsid w:val="004B3E2F"/>
    <w:rsid w:val="004B4210"/>
    <w:rsid w:val="004B441C"/>
    <w:rsid w:val="004B4479"/>
    <w:rsid w:val="004B52EE"/>
    <w:rsid w:val="004B5955"/>
    <w:rsid w:val="004B59E0"/>
    <w:rsid w:val="004B5B5F"/>
    <w:rsid w:val="004B5E5D"/>
    <w:rsid w:val="004B63D9"/>
    <w:rsid w:val="004B6B4A"/>
    <w:rsid w:val="004B782C"/>
    <w:rsid w:val="004B7CAE"/>
    <w:rsid w:val="004C0154"/>
    <w:rsid w:val="004C0184"/>
    <w:rsid w:val="004C1A29"/>
    <w:rsid w:val="004C1DCD"/>
    <w:rsid w:val="004C1EF8"/>
    <w:rsid w:val="004C2006"/>
    <w:rsid w:val="004C26B9"/>
    <w:rsid w:val="004C2A0A"/>
    <w:rsid w:val="004C3A68"/>
    <w:rsid w:val="004C45A7"/>
    <w:rsid w:val="004C648E"/>
    <w:rsid w:val="004C67D5"/>
    <w:rsid w:val="004C6805"/>
    <w:rsid w:val="004C702B"/>
    <w:rsid w:val="004C785E"/>
    <w:rsid w:val="004C7EB9"/>
    <w:rsid w:val="004D009C"/>
    <w:rsid w:val="004D0604"/>
    <w:rsid w:val="004D09F6"/>
    <w:rsid w:val="004D0A8C"/>
    <w:rsid w:val="004D170E"/>
    <w:rsid w:val="004D1836"/>
    <w:rsid w:val="004D19DE"/>
    <w:rsid w:val="004D1CF8"/>
    <w:rsid w:val="004D1E03"/>
    <w:rsid w:val="004D2049"/>
    <w:rsid w:val="004D2135"/>
    <w:rsid w:val="004D2792"/>
    <w:rsid w:val="004D2D7E"/>
    <w:rsid w:val="004D2FA2"/>
    <w:rsid w:val="004D352C"/>
    <w:rsid w:val="004D3900"/>
    <w:rsid w:val="004D3A80"/>
    <w:rsid w:val="004D3AD0"/>
    <w:rsid w:val="004D3C64"/>
    <w:rsid w:val="004D3DE4"/>
    <w:rsid w:val="004D43F9"/>
    <w:rsid w:val="004D4482"/>
    <w:rsid w:val="004D4D52"/>
    <w:rsid w:val="004D56B6"/>
    <w:rsid w:val="004D69F3"/>
    <w:rsid w:val="004D6E74"/>
    <w:rsid w:val="004D6ED8"/>
    <w:rsid w:val="004D7134"/>
    <w:rsid w:val="004D71A5"/>
    <w:rsid w:val="004D7512"/>
    <w:rsid w:val="004D766E"/>
    <w:rsid w:val="004E038D"/>
    <w:rsid w:val="004E04A9"/>
    <w:rsid w:val="004E0F4D"/>
    <w:rsid w:val="004E10D3"/>
    <w:rsid w:val="004E1514"/>
    <w:rsid w:val="004E1736"/>
    <w:rsid w:val="004E2B86"/>
    <w:rsid w:val="004E32EB"/>
    <w:rsid w:val="004E3300"/>
    <w:rsid w:val="004E33CD"/>
    <w:rsid w:val="004E3588"/>
    <w:rsid w:val="004E3E2D"/>
    <w:rsid w:val="004E3ED3"/>
    <w:rsid w:val="004E4032"/>
    <w:rsid w:val="004E40E3"/>
    <w:rsid w:val="004E41B6"/>
    <w:rsid w:val="004E41E6"/>
    <w:rsid w:val="004E43D6"/>
    <w:rsid w:val="004E44C1"/>
    <w:rsid w:val="004E45E8"/>
    <w:rsid w:val="004E4BEF"/>
    <w:rsid w:val="004E5550"/>
    <w:rsid w:val="004E56D1"/>
    <w:rsid w:val="004E5B78"/>
    <w:rsid w:val="004E5C1A"/>
    <w:rsid w:val="004E6A06"/>
    <w:rsid w:val="004E6A89"/>
    <w:rsid w:val="004E7435"/>
    <w:rsid w:val="004F0016"/>
    <w:rsid w:val="004F0762"/>
    <w:rsid w:val="004F175A"/>
    <w:rsid w:val="004F1D6B"/>
    <w:rsid w:val="004F2410"/>
    <w:rsid w:val="004F3996"/>
    <w:rsid w:val="004F3E07"/>
    <w:rsid w:val="004F4584"/>
    <w:rsid w:val="004F458E"/>
    <w:rsid w:val="004F4C6D"/>
    <w:rsid w:val="004F4D00"/>
    <w:rsid w:val="004F4DC3"/>
    <w:rsid w:val="004F4F4D"/>
    <w:rsid w:val="004F5F5E"/>
    <w:rsid w:val="004F61F0"/>
    <w:rsid w:val="004F69A9"/>
    <w:rsid w:val="004F6AA6"/>
    <w:rsid w:val="004F768B"/>
    <w:rsid w:val="00500D32"/>
    <w:rsid w:val="00500DF0"/>
    <w:rsid w:val="00501217"/>
    <w:rsid w:val="005016C9"/>
    <w:rsid w:val="00501859"/>
    <w:rsid w:val="00501951"/>
    <w:rsid w:val="00501AE7"/>
    <w:rsid w:val="00502144"/>
    <w:rsid w:val="0050228E"/>
    <w:rsid w:val="00502E04"/>
    <w:rsid w:val="00502EF5"/>
    <w:rsid w:val="00502F17"/>
    <w:rsid w:val="005031CB"/>
    <w:rsid w:val="00503834"/>
    <w:rsid w:val="0050385D"/>
    <w:rsid w:val="005043CB"/>
    <w:rsid w:val="0050460C"/>
    <w:rsid w:val="0050469B"/>
    <w:rsid w:val="00504954"/>
    <w:rsid w:val="00504AC3"/>
    <w:rsid w:val="00504BCC"/>
    <w:rsid w:val="005055F3"/>
    <w:rsid w:val="00506495"/>
    <w:rsid w:val="005065CE"/>
    <w:rsid w:val="00506617"/>
    <w:rsid w:val="005070C1"/>
    <w:rsid w:val="005078E7"/>
    <w:rsid w:val="0051018C"/>
    <w:rsid w:val="00511269"/>
    <w:rsid w:val="00511637"/>
    <w:rsid w:val="00511B9D"/>
    <w:rsid w:val="00511C5F"/>
    <w:rsid w:val="00511D18"/>
    <w:rsid w:val="005120A8"/>
    <w:rsid w:val="005120BE"/>
    <w:rsid w:val="005122F7"/>
    <w:rsid w:val="00512E93"/>
    <w:rsid w:val="00513F57"/>
    <w:rsid w:val="00513FF4"/>
    <w:rsid w:val="0051410C"/>
    <w:rsid w:val="005141D6"/>
    <w:rsid w:val="005143F5"/>
    <w:rsid w:val="00514672"/>
    <w:rsid w:val="00514A16"/>
    <w:rsid w:val="00514D51"/>
    <w:rsid w:val="00514F05"/>
    <w:rsid w:val="005157CC"/>
    <w:rsid w:val="00515F28"/>
    <w:rsid w:val="005169C2"/>
    <w:rsid w:val="005177B1"/>
    <w:rsid w:val="0051781A"/>
    <w:rsid w:val="00517CBC"/>
    <w:rsid w:val="00517FB4"/>
    <w:rsid w:val="005202BA"/>
    <w:rsid w:val="005206A3"/>
    <w:rsid w:val="00520952"/>
    <w:rsid w:val="00520CC4"/>
    <w:rsid w:val="00521064"/>
    <w:rsid w:val="00521165"/>
    <w:rsid w:val="0052140E"/>
    <w:rsid w:val="00521910"/>
    <w:rsid w:val="005219F5"/>
    <w:rsid w:val="00521ECD"/>
    <w:rsid w:val="00521F58"/>
    <w:rsid w:val="00521F81"/>
    <w:rsid w:val="0052211E"/>
    <w:rsid w:val="00522438"/>
    <w:rsid w:val="0052299E"/>
    <w:rsid w:val="00522F8F"/>
    <w:rsid w:val="00524301"/>
    <w:rsid w:val="005247EE"/>
    <w:rsid w:val="00524995"/>
    <w:rsid w:val="00524A39"/>
    <w:rsid w:val="00524ADB"/>
    <w:rsid w:val="00524D15"/>
    <w:rsid w:val="00525B19"/>
    <w:rsid w:val="00525F2C"/>
    <w:rsid w:val="005261F0"/>
    <w:rsid w:val="005263E6"/>
    <w:rsid w:val="00526939"/>
    <w:rsid w:val="00526B4C"/>
    <w:rsid w:val="0052701D"/>
    <w:rsid w:val="00527087"/>
    <w:rsid w:val="005271BB"/>
    <w:rsid w:val="0053017A"/>
    <w:rsid w:val="005301C9"/>
    <w:rsid w:val="005306D7"/>
    <w:rsid w:val="00530DD8"/>
    <w:rsid w:val="00530FC1"/>
    <w:rsid w:val="005312FA"/>
    <w:rsid w:val="00531FF4"/>
    <w:rsid w:val="00532907"/>
    <w:rsid w:val="0053290D"/>
    <w:rsid w:val="00532C8F"/>
    <w:rsid w:val="0053361E"/>
    <w:rsid w:val="00533731"/>
    <w:rsid w:val="0053388B"/>
    <w:rsid w:val="00533A0B"/>
    <w:rsid w:val="00533BA7"/>
    <w:rsid w:val="00534300"/>
    <w:rsid w:val="00534778"/>
    <w:rsid w:val="00534C1F"/>
    <w:rsid w:val="00534DA4"/>
    <w:rsid w:val="00536297"/>
    <w:rsid w:val="00536DA7"/>
    <w:rsid w:val="00536FFE"/>
    <w:rsid w:val="0053770F"/>
    <w:rsid w:val="0053785D"/>
    <w:rsid w:val="00537BDB"/>
    <w:rsid w:val="005403D2"/>
    <w:rsid w:val="00540740"/>
    <w:rsid w:val="00540BA2"/>
    <w:rsid w:val="00540E05"/>
    <w:rsid w:val="005410EB"/>
    <w:rsid w:val="00541305"/>
    <w:rsid w:val="00541542"/>
    <w:rsid w:val="00541FEE"/>
    <w:rsid w:val="0054235D"/>
    <w:rsid w:val="005427B1"/>
    <w:rsid w:val="00542C7C"/>
    <w:rsid w:val="00542CD2"/>
    <w:rsid w:val="00542FFB"/>
    <w:rsid w:val="00543C27"/>
    <w:rsid w:val="00543C60"/>
    <w:rsid w:val="00543E91"/>
    <w:rsid w:val="005441AE"/>
    <w:rsid w:val="005442AA"/>
    <w:rsid w:val="0054431E"/>
    <w:rsid w:val="0054445B"/>
    <w:rsid w:val="00544EC8"/>
    <w:rsid w:val="00545358"/>
    <w:rsid w:val="00545A97"/>
    <w:rsid w:val="00545E98"/>
    <w:rsid w:val="00546B0D"/>
    <w:rsid w:val="00547107"/>
    <w:rsid w:val="005478F9"/>
    <w:rsid w:val="00547C8A"/>
    <w:rsid w:val="005500C5"/>
    <w:rsid w:val="005502D6"/>
    <w:rsid w:val="0055230B"/>
    <w:rsid w:val="00552421"/>
    <w:rsid w:val="00552636"/>
    <w:rsid w:val="00552B60"/>
    <w:rsid w:val="00554170"/>
    <w:rsid w:val="00554283"/>
    <w:rsid w:val="00554616"/>
    <w:rsid w:val="00554A7B"/>
    <w:rsid w:val="0055519E"/>
    <w:rsid w:val="00555D17"/>
    <w:rsid w:val="0055633E"/>
    <w:rsid w:val="0055733C"/>
    <w:rsid w:val="005575A8"/>
    <w:rsid w:val="00557B48"/>
    <w:rsid w:val="00557F16"/>
    <w:rsid w:val="005608EA"/>
    <w:rsid w:val="00560CAE"/>
    <w:rsid w:val="00560EFE"/>
    <w:rsid w:val="00561446"/>
    <w:rsid w:val="005615D9"/>
    <w:rsid w:val="00561D00"/>
    <w:rsid w:val="00562DF8"/>
    <w:rsid w:val="005631FA"/>
    <w:rsid w:val="005633B3"/>
    <w:rsid w:val="00563E73"/>
    <w:rsid w:val="005646D1"/>
    <w:rsid w:val="0056477D"/>
    <w:rsid w:val="005647D1"/>
    <w:rsid w:val="00564EE6"/>
    <w:rsid w:val="0056567F"/>
    <w:rsid w:val="005659B7"/>
    <w:rsid w:val="00565AE0"/>
    <w:rsid w:val="0056640B"/>
    <w:rsid w:val="0056645E"/>
    <w:rsid w:val="0056680F"/>
    <w:rsid w:val="00566A14"/>
    <w:rsid w:val="00567008"/>
    <w:rsid w:val="00567A16"/>
    <w:rsid w:val="00567B0F"/>
    <w:rsid w:val="00570810"/>
    <w:rsid w:val="005715DE"/>
    <w:rsid w:val="00571670"/>
    <w:rsid w:val="00571F94"/>
    <w:rsid w:val="00572B70"/>
    <w:rsid w:val="00572CF0"/>
    <w:rsid w:val="00572D8F"/>
    <w:rsid w:val="00572EE2"/>
    <w:rsid w:val="005730BE"/>
    <w:rsid w:val="005735A5"/>
    <w:rsid w:val="00573A03"/>
    <w:rsid w:val="00573A8B"/>
    <w:rsid w:val="00573DA1"/>
    <w:rsid w:val="00573EFC"/>
    <w:rsid w:val="00574B1B"/>
    <w:rsid w:val="00574E1E"/>
    <w:rsid w:val="00574F70"/>
    <w:rsid w:val="00575037"/>
    <w:rsid w:val="00575236"/>
    <w:rsid w:val="005755C3"/>
    <w:rsid w:val="005759B7"/>
    <w:rsid w:val="00576B16"/>
    <w:rsid w:val="005770CF"/>
    <w:rsid w:val="0057797B"/>
    <w:rsid w:val="00577B9D"/>
    <w:rsid w:val="00577CEF"/>
    <w:rsid w:val="00577ED9"/>
    <w:rsid w:val="005803F9"/>
    <w:rsid w:val="00580579"/>
    <w:rsid w:val="00580882"/>
    <w:rsid w:val="00580A16"/>
    <w:rsid w:val="00581303"/>
    <w:rsid w:val="00581A4F"/>
    <w:rsid w:val="00582070"/>
    <w:rsid w:val="00582497"/>
    <w:rsid w:val="00582B65"/>
    <w:rsid w:val="00582CDC"/>
    <w:rsid w:val="00583005"/>
    <w:rsid w:val="005832AC"/>
    <w:rsid w:val="00584F16"/>
    <w:rsid w:val="005856BA"/>
    <w:rsid w:val="00585D34"/>
    <w:rsid w:val="005861F1"/>
    <w:rsid w:val="00586265"/>
    <w:rsid w:val="00586FDA"/>
    <w:rsid w:val="00587ACB"/>
    <w:rsid w:val="005903C1"/>
    <w:rsid w:val="005906DB"/>
    <w:rsid w:val="0059178D"/>
    <w:rsid w:val="0059200F"/>
    <w:rsid w:val="00592712"/>
    <w:rsid w:val="0059285D"/>
    <w:rsid w:val="00592A51"/>
    <w:rsid w:val="00592DC5"/>
    <w:rsid w:val="0059369F"/>
    <w:rsid w:val="005938DE"/>
    <w:rsid w:val="00593D9E"/>
    <w:rsid w:val="00595347"/>
    <w:rsid w:val="0059556D"/>
    <w:rsid w:val="00595DEE"/>
    <w:rsid w:val="005960AF"/>
    <w:rsid w:val="00597996"/>
    <w:rsid w:val="005A077A"/>
    <w:rsid w:val="005A07E8"/>
    <w:rsid w:val="005A0ADE"/>
    <w:rsid w:val="005A0B3B"/>
    <w:rsid w:val="005A11B9"/>
    <w:rsid w:val="005A120D"/>
    <w:rsid w:val="005A1422"/>
    <w:rsid w:val="005A1640"/>
    <w:rsid w:val="005A19DD"/>
    <w:rsid w:val="005A1A8A"/>
    <w:rsid w:val="005A1FD2"/>
    <w:rsid w:val="005A2A05"/>
    <w:rsid w:val="005A3452"/>
    <w:rsid w:val="005A3FAF"/>
    <w:rsid w:val="005A40E4"/>
    <w:rsid w:val="005A40EE"/>
    <w:rsid w:val="005A572D"/>
    <w:rsid w:val="005A57F4"/>
    <w:rsid w:val="005A5BC7"/>
    <w:rsid w:val="005A5D61"/>
    <w:rsid w:val="005A62C0"/>
    <w:rsid w:val="005A67D5"/>
    <w:rsid w:val="005A6921"/>
    <w:rsid w:val="005A6A77"/>
    <w:rsid w:val="005A6CC0"/>
    <w:rsid w:val="005A6EEC"/>
    <w:rsid w:val="005A7687"/>
    <w:rsid w:val="005A78B7"/>
    <w:rsid w:val="005A7E57"/>
    <w:rsid w:val="005B0278"/>
    <w:rsid w:val="005B0601"/>
    <w:rsid w:val="005B1220"/>
    <w:rsid w:val="005B15BB"/>
    <w:rsid w:val="005B25A4"/>
    <w:rsid w:val="005B27AA"/>
    <w:rsid w:val="005B2BAE"/>
    <w:rsid w:val="005B2BFC"/>
    <w:rsid w:val="005B318E"/>
    <w:rsid w:val="005B322C"/>
    <w:rsid w:val="005B38F1"/>
    <w:rsid w:val="005B4358"/>
    <w:rsid w:val="005B47AF"/>
    <w:rsid w:val="005B4C0A"/>
    <w:rsid w:val="005B4C6C"/>
    <w:rsid w:val="005B4C7E"/>
    <w:rsid w:val="005B4F3D"/>
    <w:rsid w:val="005B52F7"/>
    <w:rsid w:val="005B548B"/>
    <w:rsid w:val="005B611F"/>
    <w:rsid w:val="005B66A4"/>
    <w:rsid w:val="005B6858"/>
    <w:rsid w:val="005B797F"/>
    <w:rsid w:val="005B7BFF"/>
    <w:rsid w:val="005C05BB"/>
    <w:rsid w:val="005C089B"/>
    <w:rsid w:val="005C09D9"/>
    <w:rsid w:val="005C0B51"/>
    <w:rsid w:val="005C0DDF"/>
    <w:rsid w:val="005C1961"/>
    <w:rsid w:val="005C1EB0"/>
    <w:rsid w:val="005C3266"/>
    <w:rsid w:val="005C342E"/>
    <w:rsid w:val="005C3586"/>
    <w:rsid w:val="005C3858"/>
    <w:rsid w:val="005C3A38"/>
    <w:rsid w:val="005C3D84"/>
    <w:rsid w:val="005C3F5E"/>
    <w:rsid w:val="005C41A2"/>
    <w:rsid w:val="005C44AC"/>
    <w:rsid w:val="005C4931"/>
    <w:rsid w:val="005C4F96"/>
    <w:rsid w:val="005C51AD"/>
    <w:rsid w:val="005C5275"/>
    <w:rsid w:val="005C5436"/>
    <w:rsid w:val="005C6950"/>
    <w:rsid w:val="005C6A85"/>
    <w:rsid w:val="005C6F3D"/>
    <w:rsid w:val="005C7185"/>
    <w:rsid w:val="005C7647"/>
    <w:rsid w:val="005C79D9"/>
    <w:rsid w:val="005C7A5E"/>
    <w:rsid w:val="005D1508"/>
    <w:rsid w:val="005D159D"/>
    <w:rsid w:val="005D17E6"/>
    <w:rsid w:val="005D194F"/>
    <w:rsid w:val="005D1ACF"/>
    <w:rsid w:val="005D1B7B"/>
    <w:rsid w:val="005D210B"/>
    <w:rsid w:val="005D263F"/>
    <w:rsid w:val="005D28CB"/>
    <w:rsid w:val="005D2ACB"/>
    <w:rsid w:val="005D2E12"/>
    <w:rsid w:val="005D30C8"/>
    <w:rsid w:val="005D3522"/>
    <w:rsid w:val="005D366D"/>
    <w:rsid w:val="005D3A80"/>
    <w:rsid w:val="005D3BE5"/>
    <w:rsid w:val="005D4082"/>
    <w:rsid w:val="005D41DA"/>
    <w:rsid w:val="005D4997"/>
    <w:rsid w:val="005D4B7C"/>
    <w:rsid w:val="005D5E83"/>
    <w:rsid w:val="005D62E2"/>
    <w:rsid w:val="005D64D8"/>
    <w:rsid w:val="005D6A53"/>
    <w:rsid w:val="005D7351"/>
    <w:rsid w:val="005D76FC"/>
    <w:rsid w:val="005D7BD8"/>
    <w:rsid w:val="005E01C3"/>
    <w:rsid w:val="005E0833"/>
    <w:rsid w:val="005E112C"/>
    <w:rsid w:val="005E1951"/>
    <w:rsid w:val="005E2065"/>
    <w:rsid w:val="005E24D7"/>
    <w:rsid w:val="005E27C5"/>
    <w:rsid w:val="005E2B83"/>
    <w:rsid w:val="005E3024"/>
    <w:rsid w:val="005E322E"/>
    <w:rsid w:val="005E3891"/>
    <w:rsid w:val="005E3929"/>
    <w:rsid w:val="005E39D1"/>
    <w:rsid w:val="005E3ADF"/>
    <w:rsid w:val="005E3F00"/>
    <w:rsid w:val="005E42B0"/>
    <w:rsid w:val="005E4558"/>
    <w:rsid w:val="005E4A63"/>
    <w:rsid w:val="005E4E61"/>
    <w:rsid w:val="005E5455"/>
    <w:rsid w:val="005E5687"/>
    <w:rsid w:val="005E5BAD"/>
    <w:rsid w:val="005E5FD0"/>
    <w:rsid w:val="005E6C8D"/>
    <w:rsid w:val="005E6CCA"/>
    <w:rsid w:val="005E6DF4"/>
    <w:rsid w:val="005E7172"/>
    <w:rsid w:val="005F0446"/>
    <w:rsid w:val="005F073D"/>
    <w:rsid w:val="005F0A17"/>
    <w:rsid w:val="005F0B8C"/>
    <w:rsid w:val="005F0CC1"/>
    <w:rsid w:val="005F0EB5"/>
    <w:rsid w:val="005F0FCF"/>
    <w:rsid w:val="005F1352"/>
    <w:rsid w:val="005F1637"/>
    <w:rsid w:val="005F1DC6"/>
    <w:rsid w:val="005F20DB"/>
    <w:rsid w:val="005F2892"/>
    <w:rsid w:val="005F2CFD"/>
    <w:rsid w:val="005F35DA"/>
    <w:rsid w:val="005F38DF"/>
    <w:rsid w:val="005F3947"/>
    <w:rsid w:val="005F3E57"/>
    <w:rsid w:val="005F421E"/>
    <w:rsid w:val="005F44B6"/>
    <w:rsid w:val="005F464D"/>
    <w:rsid w:val="005F4673"/>
    <w:rsid w:val="005F47C4"/>
    <w:rsid w:val="005F4840"/>
    <w:rsid w:val="005F4CF7"/>
    <w:rsid w:val="005F4E72"/>
    <w:rsid w:val="005F4E7E"/>
    <w:rsid w:val="005F51BB"/>
    <w:rsid w:val="005F55F8"/>
    <w:rsid w:val="005F5820"/>
    <w:rsid w:val="005F5B5D"/>
    <w:rsid w:val="005F6103"/>
    <w:rsid w:val="005F6380"/>
    <w:rsid w:val="005F64D0"/>
    <w:rsid w:val="005F65BF"/>
    <w:rsid w:val="005F68C1"/>
    <w:rsid w:val="005F6A7D"/>
    <w:rsid w:val="005F6FE7"/>
    <w:rsid w:val="005F7220"/>
    <w:rsid w:val="00600295"/>
    <w:rsid w:val="006002E4"/>
    <w:rsid w:val="0060100D"/>
    <w:rsid w:val="0060154D"/>
    <w:rsid w:val="00601E81"/>
    <w:rsid w:val="00601F8A"/>
    <w:rsid w:val="00602255"/>
    <w:rsid w:val="006035EC"/>
    <w:rsid w:val="00603850"/>
    <w:rsid w:val="0060449E"/>
    <w:rsid w:val="00604C40"/>
    <w:rsid w:val="00604E57"/>
    <w:rsid w:val="006050A4"/>
    <w:rsid w:val="0060544B"/>
    <w:rsid w:val="00605A63"/>
    <w:rsid w:val="00605B6F"/>
    <w:rsid w:val="006062D2"/>
    <w:rsid w:val="00606BCB"/>
    <w:rsid w:val="00606F2C"/>
    <w:rsid w:val="00606F78"/>
    <w:rsid w:val="0060717D"/>
    <w:rsid w:val="0060725B"/>
    <w:rsid w:val="00607679"/>
    <w:rsid w:val="006106CB"/>
    <w:rsid w:val="00610969"/>
    <w:rsid w:val="00610E6B"/>
    <w:rsid w:val="00610FF4"/>
    <w:rsid w:val="00611791"/>
    <w:rsid w:val="00611B00"/>
    <w:rsid w:val="00611BD2"/>
    <w:rsid w:val="00611F88"/>
    <w:rsid w:val="00612055"/>
    <w:rsid w:val="00612476"/>
    <w:rsid w:val="00612570"/>
    <w:rsid w:val="006126F6"/>
    <w:rsid w:val="00612C0A"/>
    <w:rsid w:val="00612E95"/>
    <w:rsid w:val="0061313E"/>
    <w:rsid w:val="0061370D"/>
    <w:rsid w:val="00613B21"/>
    <w:rsid w:val="00613F5E"/>
    <w:rsid w:val="00614862"/>
    <w:rsid w:val="006149A6"/>
    <w:rsid w:val="00614D4B"/>
    <w:rsid w:val="006151D8"/>
    <w:rsid w:val="00615D42"/>
    <w:rsid w:val="006168D8"/>
    <w:rsid w:val="00616CDE"/>
    <w:rsid w:val="006175F1"/>
    <w:rsid w:val="00620A2F"/>
    <w:rsid w:val="00620A9C"/>
    <w:rsid w:val="00620AEB"/>
    <w:rsid w:val="0062107B"/>
    <w:rsid w:val="00621343"/>
    <w:rsid w:val="00621489"/>
    <w:rsid w:val="00621B10"/>
    <w:rsid w:val="00621DA9"/>
    <w:rsid w:val="00621DD0"/>
    <w:rsid w:val="00621F53"/>
    <w:rsid w:val="0062241D"/>
    <w:rsid w:val="006224A9"/>
    <w:rsid w:val="00622503"/>
    <w:rsid w:val="006229BD"/>
    <w:rsid w:val="0062393C"/>
    <w:rsid w:val="00624526"/>
    <w:rsid w:val="006249B2"/>
    <w:rsid w:val="00624CB7"/>
    <w:rsid w:val="006253B6"/>
    <w:rsid w:val="0062578B"/>
    <w:rsid w:val="00625793"/>
    <w:rsid w:val="00625900"/>
    <w:rsid w:val="00625E9A"/>
    <w:rsid w:val="006261EC"/>
    <w:rsid w:val="00626978"/>
    <w:rsid w:val="006269FF"/>
    <w:rsid w:val="006276D1"/>
    <w:rsid w:val="00627832"/>
    <w:rsid w:val="00627A06"/>
    <w:rsid w:val="006303E0"/>
    <w:rsid w:val="006317E5"/>
    <w:rsid w:val="00631934"/>
    <w:rsid w:val="0063196F"/>
    <w:rsid w:val="00631D4A"/>
    <w:rsid w:val="00631DB1"/>
    <w:rsid w:val="00632414"/>
    <w:rsid w:val="00632436"/>
    <w:rsid w:val="00632AB1"/>
    <w:rsid w:val="00632B22"/>
    <w:rsid w:val="006332AF"/>
    <w:rsid w:val="006333AB"/>
    <w:rsid w:val="006338AA"/>
    <w:rsid w:val="006338C2"/>
    <w:rsid w:val="006342E7"/>
    <w:rsid w:val="0063444C"/>
    <w:rsid w:val="00634941"/>
    <w:rsid w:val="00635328"/>
    <w:rsid w:val="006354A2"/>
    <w:rsid w:val="0063578D"/>
    <w:rsid w:val="006361A5"/>
    <w:rsid w:val="006364CA"/>
    <w:rsid w:val="006370BC"/>
    <w:rsid w:val="00637320"/>
    <w:rsid w:val="00637841"/>
    <w:rsid w:val="0063796E"/>
    <w:rsid w:val="006379FE"/>
    <w:rsid w:val="00640C57"/>
    <w:rsid w:val="00641CB9"/>
    <w:rsid w:val="00641EF2"/>
    <w:rsid w:val="00642E98"/>
    <w:rsid w:val="00642EF3"/>
    <w:rsid w:val="006437AA"/>
    <w:rsid w:val="00643A6C"/>
    <w:rsid w:val="00644254"/>
    <w:rsid w:val="00644422"/>
    <w:rsid w:val="00644840"/>
    <w:rsid w:val="0064569F"/>
    <w:rsid w:val="006456C3"/>
    <w:rsid w:val="00646C49"/>
    <w:rsid w:val="006471B9"/>
    <w:rsid w:val="006479AA"/>
    <w:rsid w:val="00650391"/>
    <w:rsid w:val="00650D66"/>
    <w:rsid w:val="006510C2"/>
    <w:rsid w:val="006514C3"/>
    <w:rsid w:val="00651751"/>
    <w:rsid w:val="00651C55"/>
    <w:rsid w:val="00652E7D"/>
    <w:rsid w:val="00653684"/>
    <w:rsid w:val="00653757"/>
    <w:rsid w:val="006537AD"/>
    <w:rsid w:val="00653AED"/>
    <w:rsid w:val="00654176"/>
    <w:rsid w:val="006542B3"/>
    <w:rsid w:val="00654AC6"/>
    <w:rsid w:val="00654C11"/>
    <w:rsid w:val="00654DD4"/>
    <w:rsid w:val="00654DDB"/>
    <w:rsid w:val="006553C6"/>
    <w:rsid w:val="00655B22"/>
    <w:rsid w:val="00655FCF"/>
    <w:rsid w:val="0065622F"/>
    <w:rsid w:val="00656285"/>
    <w:rsid w:val="00656883"/>
    <w:rsid w:val="00656E68"/>
    <w:rsid w:val="006573C7"/>
    <w:rsid w:val="006576E9"/>
    <w:rsid w:val="00660EAC"/>
    <w:rsid w:val="00660F94"/>
    <w:rsid w:val="006614BA"/>
    <w:rsid w:val="006616D5"/>
    <w:rsid w:val="00661BEC"/>
    <w:rsid w:val="00661F00"/>
    <w:rsid w:val="00662022"/>
    <w:rsid w:val="0066216C"/>
    <w:rsid w:val="006625D9"/>
    <w:rsid w:val="00662D1C"/>
    <w:rsid w:val="006633A6"/>
    <w:rsid w:val="0066343E"/>
    <w:rsid w:val="00663926"/>
    <w:rsid w:val="006639FE"/>
    <w:rsid w:val="00663A41"/>
    <w:rsid w:val="00663B1F"/>
    <w:rsid w:val="00663E9B"/>
    <w:rsid w:val="0066458E"/>
    <w:rsid w:val="00664C8A"/>
    <w:rsid w:val="00665DD4"/>
    <w:rsid w:val="00666018"/>
    <w:rsid w:val="00666080"/>
    <w:rsid w:val="00666350"/>
    <w:rsid w:val="00666819"/>
    <w:rsid w:val="00666FB8"/>
    <w:rsid w:val="006671F3"/>
    <w:rsid w:val="0067084D"/>
    <w:rsid w:val="0067096F"/>
    <w:rsid w:val="00670A4E"/>
    <w:rsid w:val="00670D4B"/>
    <w:rsid w:val="00671BCD"/>
    <w:rsid w:val="0067224E"/>
    <w:rsid w:val="006728FD"/>
    <w:rsid w:val="00673267"/>
    <w:rsid w:val="00673288"/>
    <w:rsid w:val="0067336A"/>
    <w:rsid w:val="00673569"/>
    <w:rsid w:val="00673721"/>
    <w:rsid w:val="00674BB0"/>
    <w:rsid w:val="00674E1C"/>
    <w:rsid w:val="0067556F"/>
    <w:rsid w:val="0067557C"/>
    <w:rsid w:val="00675DBF"/>
    <w:rsid w:val="006762C2"/>
    <w:rsid w:val="0067683B"/>
    <w:rsid w:val="00676D10"/>
    <w:rsid w:val="0067746E"/>
    <w:rsid w:val="00677F86"/>
    <w:rsid w:val="00677FC8"/>
    <w:rsid w:val="00680DC8"/>
    <w:rsid w:val="006815E8"/>
    <w:rsid w:val="006818AD"/>
    <w:rsid w:val="00681E0F"/>
    <w:rsid w:val="006821DD"/>
    <w:rsid w:val="0068225F"/>
    <w:rsid w:val="0068265E"/>
    <w:rsid w:val="00682AA7"/>
    <w:rsid w:val="0068391F"/>
    <w:rsid w:val="006839E9"/>
    <w:rsid w:val="00683CA1"/>
    <w:rsid w:val="00684A81"/>
    <w:rsid w:val="006853B6"/>
    <w:rsid w:val="006855EB"/>
    <w:rsid w:val="00685944"/>
    <w:rsid w:val="00685B96"/>
    <w:rsid w:val="00685F4D"/>
    <w:rsid w:val="00687450"/>
    <w:rsid w:val="00690A68"/>
    <w:rsid w:val="00690B41"/>
    <w:rsid w:val="00690C7D"/>
    <w:rsid w:val="0069138E"/>
    <w:rsid w:val="00691742"/>
    <w:rsid w:val="00691D4F"/>
    <w:rsid w:val="006928E9"/>
    <w:rsid w:val="0069320E"/>
    <w:rsid w:val="006934EE"/>
    <w:rsid w:val="00693BC7"/>
    <w:rsid w:val="00693DB4"/>
    <w:rsid w:val="006944E2"/>
    <w:rsid w:val="0069475E"/>
    <w:rsid w:val="00694BF9"/>
    <w:rsid w:val="00694D28"/>
    <w:rsid w:val="006950D2"/>
    <w:rsid w:val="00695787"/>
    <w:rsid w:val="00695864"/>
    <w:rsid w:val="00695F4E"/>
    <w:rsid w:val="00695F8B"/>
    <w:rsid w:val="00696493"/>
    <w:rsid w:val="00696691"/>
    <w:rsid w:val="00696826"/>
    <w:rsid w:val="00696E7A"/>
    <w:rsid w:val="00696ECE"/>
    <w:rsid w:val="006973C6"/>
    <w:rsid w:val="006974AA"/>
    <w:rsid w:val="0069760D"/>
    <w:rsid w:val="0069765B"/>
    <w:rsid w:val="00697804"/>
    <w:rsid w:val="00697A0C"/>
    <w:rsid w:val="00697F52"/>
    <w:rsid w:val="006A027F"/>
    <w:rsid w:val="006A0D0B"/>
    <w:rsid w:val="006A0ECC"/>
    <w:rsid w:val="006A0EF0"/>
    <w:rsid w:val="006A1266"/>
    <w:rsid w:val="006A141F"/>
    <w:rsid w:val="006A1A92"/>
    <w:rsid w:val="006A1B65"/>
    <w:rsid w:val="006A2570"/>
    <w:rsid w:val="006A2C7C"/>
    <w:rsid w:val="006A3437"/>
    <w:rsid w:val="006A34BA"/>
    <w:rsid w:val="006A3762"/>
    <w:rsid w:val="006A3F7C"/>
    <w:rsid w:val="006A409C"/>
    <w:rsid w:val="006A453A"/>
    <w:rsid w:val="006A4D6F"/>
    <w:rsid w:val="006A572B"/>
    <w:rsid w:val="006A58AC"/>
    <w:rsid w:val="006A5E3C"/>
    <w:rsid w:val="006A5F6D"/>
    <w:rsid w:val="006A610E"/>
    <w:rsid w:val="006A6252"/>
    <w:rsid w:val="006A6666"/>
    <w:rsid w:val="006A6BA7"/>
    <w:rsid w:val="006A6FDB"/>
    <w:rsid w:val="006A718A"/>
    <w:rsid w:val="006A7955"/>
    <w:rsid w:val="006A7BE6"/>
    <w:rsid w:val="006A7DBB"/>
    <w:rsid w:val="006A7F34"/>
    <w:rsid w:val="006B0426"/>
    <w:rsid w:val="006B04F0"/>
    <w:rsid w:val="006B058A"/>
    <w:rsid w:val="006B067F"/>
    <w:rsid w:val="006B1097"/>
    <w:rsid w:val="006B1747"/>
    <w:rsid w:val="006B1F35"/>
    <w:rsid w:val="006B2B8B"/>
    <w:rsid w:val="006B2FEE"/>
    <w:rsid w:val="006B330E"/>
    <w:rsid w:val="006B3710"/>
    <w:rsid w:val="006B3C80"/>
    <w:rsid w:val="006B3CCF"/>
    <w:rsid w:val="006B3E7F"/>
    <w:rsid w:val="006B49E6"/>
    <w:rsid w:val="006B4DC1"/>
    <w:rsid w:val="006B4FEF"/>
    <w:rsid w:val="006B54A4"/>
    <w:rsid w:val="006B5BDC"/>
    <w:rsid w:val="006B5E98"/>
    <w:rsid w:val="006B6799"/>
    <w:rsid w:val="006B6C77"/>
    <w:rsid w:val="006B6DD1"/>
    <w:rsid w:val="006B7596"/>
    <w:rsid w:val="006C07F5"/>
    <w:rsid w:val="006C0926"/>
    <w:rsid w:val="006C0DB1"/>
    <w:rsid w:val="006C1471"/>
    <w:rsid w:val="006C14F7"/>
    <w:rsid w:val="006C1A6E"/>
    <w:rsid w:val="006C233A"/>
    <w:rsid w:val="006C2364"/>
    <w:rsid w:val="006C26ED"/>
    <w:rsid w:val="006C29F6"/>
    <w:rsid w:val="006C307F"/>
    <w:rsid w:val="006C3088"/>
    <w:rsid w:val="006C3195"/>
    <w:rsid w:val="006C351F"/>
    <w:rsid w:val="006C4256"/>
    <w:rsid w:val="006C45B7"/>
    <w:rsid w:val="006C4746"/>
    <w:rsid w:val="006C491B"/>
    <w:rsid w:val="006C4B4F"/>
    <w:rsid w:val="006C5B02"/>
    <w:rsid w:val="006C5B2C"/>
    <w:rsid w:val="006C5DD4"/>
    <w:rsid w:val="006C61FF"/>
    <w:rsid w:val="006C6398"/>
    <w:rsid w:val="006C6667"/>
    <w:rsid w:val="006C6675"/>
    <w:rsid w:val="006C69F6"/>
    <w:rsid w:val="006C6A60"/>
    <w:rsid w:val="006C79D3"/>
    <w:rsid w:val="006C7E03"/>
    <w:rsid w:val="006D0A35"/>
    <w:rsid w:val="006D0B15"/>
    <w:rsid w:val="006D0D5C"/>
    <w:rsid w:val="006D0FF1"/>
    <w:rsid w:val="006D1986"/>
    <w:rsid w:val="006D240A"/>
    <w:rsid w:val="006D2712"/>
    <w:rsid w:val="006D2E9A"/>
    <w:rsid w:val="006D3088"/>
    <w:rsid w:val="006D3424"/>
    <w:rsid w:val="006D3952"/>
    <w:rsid w:val="006D3E85"/>
    <w:rsid w:val="006D48B9"/>
    <w:rsid w:val="006D51CF"/>
    <w:rsid w:val="006D5805"/>
    <w:rsid w:val="006D5A9D"/>
    <w:rsid w:val="006D60AC"/>
    <w:rsid w:val="006D621D"/>
    <w:rsid w:val="006D6509"/>
    <w:rsid w:val="006D6F09"/>
    <w:rsid w:val="006D7E2C"/>
    <w:rsid w:val="006E00DA"/>
    <w:rsid w:val="006E0480"/>
    <w:rsid w:val="006E05BC"/>
    <w:rsid w:val="006E10A0"/>
    <w:rsid w:val="006E1935"/>
    <w:rsid w:val="006E1D59"/>
    <w:rsid w:val="006E228B"/>
    <w:rsid w:val="006E2BEC"/>
    <w:rsid w:val="006E2DED"/>
    <w:rsid w:val="006E2EDD"/>
    <w:rsid w:val="006E2FC0"/>
    <w:rsid w:val="006E3439"/>
    <w:rsid w:val="006E366A"/>
    <w:rsid w:val="006E38D5"/>
    <w:rsid w:val="006E3CDD"/>
    <w:rsid w:val="006E461B"/>
    <w:rsid w:val="006E5E47"/>
    <w:rsid w:val="006E6723"/>
    <w:rsid w:val="006E677F"/>
    <w:rsid w:val="006E6C6A"/>
    <w:rsid w:val="006E6D54"/>
    <w:rsid w:val="006E709D"/>
    <w:rsid w:val="006E719A"/>
    <w:rsid w:val="006E74B5"/>
    <w:rsid w:val="006E7A71"/>
    <w:rsid w:val="006E7EB6"/>
    <w:rsid w:val="006F0891"/>
    <w:rsid w:val="006F0C7A"/>
    <w:rsid w:val="006F10CC"/>
    <w:rsid w:val="006F10F0"/>
    <w:rsid w:val="006F12F7"/>
    <w:rsid w:val="006F1A00"/>
    <w:rsid w:val="006F1C73"/>
    <w:rsid w:val="006F1F88"/>
    <w:rsid w:val="006F2085"/>
    <w:rsid w:val="006F2220"/>
    <w:rsid w:val="006F22DC"/>
    <w:rsid w:val="006F22F4"/>
    <w:rsid w:val="006F2364"/>
    <w:rsid w:val="006F263E"/>
    <w:rsid w:val="006F31E1"/>
    <w:rsid w:val="006F3323"/>
    <w:rsid w:val="006F3A04"/>
    <w:rsid w:val="006F3BDA"/>
    <w:rsid w:val="006F3DD8"/>
    <w:rsid w:val="006F3DEA"/>
    <w:rsid w:val="006F4866"/>
    <w:rsid w:val="006F53E6"/>
    <w:rsid w:val="006F56B9"/>
    <w:rsid w:val="006F56F3"/>
    <w:rsid w:val="006F57A6"/>
    <w:rsid w:val="006F5898"/>
    <w:rsid w:val="006F6280"/>
    <w:rsid w:val="006F6B22"/>
    <w:rsid w:val="006F6DC5"/>
    <w:rsid w:val="006F73AB"/>
    <w:rsid w:val="006F78B3"/>
    <w:rsid w:val="006F7C78"/>
    <w:rsid w:val="007000C0"/>
    <w:rsid w:val="00700720"/>
    <w:rsid w:val="00700A74"/>
    <w:rsid w:val="00701343"/>
    <w:rsid w:val="00701949"/>
    <w:rsid w:val="00701F14"/>
    <w:rsid w:val="0070240A"/>
    <w:rsid w:val="00702E06"/>
    <w:rsid w:val="00702EED"/>
    <w:rsid w:val="00702FED"/>
    <w:rsid w:val="00703419"/>
    <w:rsid w:val="00703A81"/>
    <w:rsid w:val="00704267"/>
    <w:rsid w:val="007044E7"/>
    <w:rsid w:val="00704889"/>
    <w:rsid w:val="007051AF"/>
    <w:rsid w:val="00705642"/>
    <w:rsid w:val="0070596E"/>
    <w:rsid w:val="00705A93"/>
    <w:rsid w:val="00705B36"/>
    <w:rsid w:val="00705CFC"/>
    <w:rsid w:val="00706523"/>
    <w:rsid w:val="007068E2"/>
    <w:rsid w:val="00706C1A"/>
    <w:rsid w:val="007073E9"/>
    <w:rsid w:val="00707FD8"/>
    <w:rsid w:val="00710E34"/>
    <w:rsid w:val="00711088"/>
    <w:rsid w:val="007114CA"/>
    <w:rsid w:val="00711791"/>
    <w:rsid w:val="00711A6C"/>
    <w:rsid w:val="007128F2"/>
    <w:rsid w:val="00712B8E"/>
    <w:rsid w:val="007137FA"/>
    <w:rsid w:val="00713C7F"/>
    <w:rsid w:val="00713E81"/>
    <w:rsid w:val="00713F2C"/>
    <w:rsid w:val="007153D8"/>
    <w:rsid w:val="00715E05"/>
    <w:rsid w:val="00716474"/>
    <w:rsid w:val="007165E8"/>
    <w:rsid w:val="00716638"/>
    <w:rsid w:val="00716760"/>
    <w:rsid w:val="007173FA"/>
    <w:rsid w:val="0071756C"/>
    <w:rsid w:val="007209FE"/>
    <w:rsid w:val="00720E46"/>
    <w:rsid w:val="007215EE"/>
    <w:rsid w:val="007216A3"/>
    <w:rsid w:val="00721862"/>
    <w:rsid w:val="00722396"/>
    <w:rsid w:val="00723550"/>
    <w:rsid w:val="00723982"/>
    <w:rsid w:val="00723F40"/>
    <w:rsid w:val="007249E8"/>
    <w:rsid w:val="00724AA2"/>
    <w:rsid w:val="00725D12"/>
    <w:rsid w:val="00726538"/>
    <w:rsid w:val="00726632"/>
    <w:rsid w:val="00726637"/>
    <w:rsid w:val="00726744"/>
    <w:rsid w:val="007268F1"/>
    <w:rsid w:val="00727261"/>
    <w:rsid w:val="00730E93"/>
    <w:rsid w:val="00730F97"/>
    <w:rsid w:val="007312D6"/>
    <w:rsid w:val="00731B7E"/>
    <w:rsid w:val="007320BE"/>
    <w:rsid w:val="0073214B"/>
    <w:rsid w:val="00732378"/>
    <w:rsid w:val="007326CD"/>
    <w:rsid w:val="007328B1"/>
    <w:rsid w:val="007335E0"/>
    <w:rsid w:val="00733627"/>
    <w:rsid w:val="00733ED4"/>
    <w:rsid w:val="0073427C"/>
    <w:rsid w:val="00734314"/>
    <w:rsid w:val="007349B4"/>
    <w:rsid w:val="007351CF"/>
    <w:rsid w:val="0073541B"/>
    <w:rsid w:val="007355A8"/>
    <w:rsid w:val="00735D84"/>
    <w:rsid w:val="00736A62"/>
    <w:rsid w:val="00736DDE"/>
    <w:rsid w:val="007373E0"/>
    <w:rsid w:val="00737E96"/>
    <w:rsid w:val="00740296"/>
    <w:rsid w:val="0074042E"/>
    <w:rsid w:val="00740A9E"/>
    <w:rsid w:val="00740AB9"/>
    <w:rsid w:val="00740CB1"/>
    <w:rsid w:val="00741484"/>
    <w:rsid w:val="00741687"/>
    <w:rsid w:val="0074170E"/>
    <w:rsid w:val="0074185D"/>
    <w:rsid w:val="00741D90"/>
    <w:rsid w:val="00742399"/>
    <w:rsid w:val="0074260D"/>
    <w:rsid w:val="00742BFB"/>
    <w:rsid w:val="00743DA3"/>
    <w:rsid w:val="00744171"/>
    <w:rsid w:val="007448A4"/>
    <w:rsid w:val="00744F34"/>
    <w:rsid w:val="007450BE"/>
    <w:rsid w:val="007453F0"/>
    <w:rsid w:val="007454B3"/>
    <w:rsid w:val="00745609"/>
    <w:rsid w:val="00745891"/>
    <w:rsid w:val="0074598F"/>
    <w:rsid w:val="00745FA8"/>
    <w:rsid w:val="0074630D"/>
    <w:rsid w:val="00746622"/>
    <w:rsid w:val="00746972"/>
    <w:rsid w:val="00746A47"/>
    <w:rsid w:val="00750012"/>
    <w:rsid w:val="00750182"/>
    <w:rsid w:val="007506DD"/>
    <w:rsid w:val="0075135A"/>
    <w:rsid w:val="0075166D"/>
    <w:rsid w:val="00751D16"/>
    <w:rsid w:val="007527D5"/>
    <w:rsid w:val="00752F2C"/>
    <w:rsid w:val="00753943"/>
    <w:rsid w:val="00754A6A"/>
    <w:rsid w:val="00754A8D"/>
    <w:rsid w:val="00754F2F"/>
    <w:rsid w:val="007552F7"/>
    <w:rsid w:val="0075545C"/>
    <w:rsid w:val="007557F1"/>
    <w:rsid w:val="00755B02"/>
    <w:rsid w:val="00756AD4"/>
    <w:rsid w:val="00756F93"/>
    <w:rsid w:val="007576BC"/>
    <w:rsid w:val="00757735"/>
    <w:rsid w:val="00757B89"/>
    <w:rsid w:val="00757CA8"/>
    <w:rsid w:val="00757D4E"/>
    <w:rsid w:val="00757E6E"/>
    <w:rsid w:val="00760610"/>
    <w:rsid w:val="0076089F"/>
    <w:rsid w:val="00760C0D"/>
    <w:rsid w:val="00760FDC"/>
    <w:rsid w:val="007611CA"/>
    <w:rsid w:val="00761349"/>
    <w:rsid w:val="00761685"/>
    <w:rsid w:val="007616C9"/>
    <w:rsid w:val="00761D42"/>
    <w:rsid w:val="00761EEF"/>
    <w:rsid w:val="00761F8A"/>
    <w:rsid w:val="0076206D"/>
    <w:rsid w:val="0076243A"/>
    <w:rsid w:val="00762C3B"/>
    <w:rsid w:val="00763010"/>
    <w:rsid w:val="00763B34"/>
    <w:rsid w:val="0076403F"/>
    <w:rsid w:val="00764319"/>
    <w:rsid w:val="007646C1"/>
    <w:rsid w:val="00764BE6"/>
    <w:rsid w:val="00764D5E"/>
    <w:rsid w:val="00764FF9"/>
    <w:rsid w:val="007653EE"/>
    <w:rsid w:val="00765C1A"/>
    <w:rsid w:val="00765EAD"/>
    <w:rsid w:val="007664AB"/>
    <w:rsid w:val="00766662"/>
    <w:rsid w:val="00766791"/>
    <w:rsid w:val="00770139"/>
    <w:rsid w:val="007706B0"/>
    <w:rsid w:val="00770900"/>
    <w:rsid w:val="00771220"/>
    <w:rsid w:val="007713AA"/>
    <w:rsid w:val="007715F1"/>
    <w:rsid w:val="007718CC"/>
    <w:rsid w:val="00771933"/>
    <w:rsid w:val="007723C4"/>
    <w:rsid w:val="007729DA"/>
    <w:rsid w:val="0077344D"/>
    <w:rsid w:val="00773F12"/>
    <w:rsid w:val="00773FBC"/>
    <w:rsid w:val="007742D5"/>
    <w:rsid w:val="007745D4"/>
    <w:rsid w:val="0077490E"/>
    <w:rsid w:val="00774A7C"/>
    <w:rsid w:val="00774C01"/>
    <w:rsid w:val="00774C96"/>
    <w:rsid w:val="007755AF"/>
    <w:rsid w:val="007758A9"/>
    <w:rsid w:val="00775DC1"/>
    <w:rsid w:val="00775F23"/>
    <w:rsid w:val="007762BE"/>
    <w:rsid w:val="00776638"/>
    <w:rsid w:val="00776748"/>
    <w:rsid w:val="0077751F"/>
    <w:rsid w:val="00777991"/>
    <w:rsid w:val="00780226"/>
    <w:rsid w:val="0078102A"/>
    <w:rsid w:val="0078156B"/>
    <w:rsid w:val="0078159F"/>
    <w:rsid w:val="00781B3F"/>
    <w:rsid w:val="00781C2A"/>
    <w:rsid w:val="00781C3C"/>
    <w:rsid w:val="00781CC7"/>
    <w:rsid w:val="00781E0A"/>
    <w:rsid w:val="00782924"/>
    <w:rsid w:val="007829D8"/>
    <w:rsid w:val="00783A3D"/>
    <w:rsid w:val="00784611"/>
    <w:rsid w:val="00784657"/>
    <w:rsid w:val="007847A4"/>
    <w:rsid w:val="00784879"/>
    <w:rsid w:val="00784964"/>
    <w:rsid w:val="00784A3F"/>
    <w:rsid w:val="00784D8B"/>
    <w:rsid w:val="00784F17"/>
    <w:rsid w:val="00785D86"/>
    <w:rsid w:val="0078619C"/>
    <w:rsid w:val="00786419"/>
    <w:rsid w:val="0078645C"/>
    <w:rsid w:val="007866AB"/>
    <w:rsid w:val="00787A03"/>
    <w:rsid w:val="00787A9A"/>
    <w:rsid w:val="00787D7A"/>
    <w:rsid w:val="00790158"/>
    <w:rsid w:val="007904C0"/>
    <w:rsid w:val="0079065C"/>
    <w:rsid w:val="00790959"/>
    <w:rsid w:val="00790BAD"/>
    <w:rsid w:val="0079115B"/>
    <w:rsid w:val="0079172D"/>
    <w:rsid w:val="007920F1"/>
    <w:rsid w:val="00792CD2"/>
    <w:rsid w:val="00794A2E"/>
    <w:rsid w:val="0079524E"/>
    <w:rsid w:val="00795C2B"/>
    <w:rsid w:val="00796716"/>
    <w:rsid w:val="007967E2"/>
    <w:rsid w:val="007A021F"/>
    <w:rsid w:val="007A078B"/>
    <w:rsid w:val="007A0848"/>
    <w:rsid w:val="007A08A5"/>
    <w:rsid w:val="007A1095"/>
    <w:rsid w:val="007A10C0"/>
    <w:rsid w:val="007A1335"/>
    <w:rsid w:val="007A19F0"/>
    <w:rsid w:val="007A1E7E"/>
    <w:rsid w:val="007A1FEB"/>
    <w:rsid w:val="007A2889"/>
    <w:rsid w:val="007A2CD6"/>
    <w:rsid w:val="007A3651"/>
    <w:rsid w:val="007A3837"/>
    <w:rsid w:val="007A3A21"/>
    <w:rsid w:val="007A3B2A"/>
    <w:rsid w:val="007A3DB9"/>
    <w:rsid w:val="007A4A68"/>
    <w:rsid w:val="007A4CA0"/>
    <w:rsid w:val="007A4E6A"/>
    <w:rsid w:val="007A5335"/>
    <w:rsid w:val="007A53FE"/>
    <w:rsid w:val="007A54D9"/>
    <w:rsid w:val="007A5540"/>
    <w:rsid w:val="007A5558"/>
    <w:rsid w:val="007A5A65"/>
    <w:rsid w:val="007A5FD5"/>
    <w:rsid w:val="007A640A"/>
    <w:rsid w:val="007A6D80"/>
    <w:rsid w:val="007A7033"/>
    <w:rsid w:val="007A7735"/>
    <w:rsid w:val="007B03CF"/>
    <w:rsid w:val="007B07DD"/>
    <w:rsid w:val="007B0A43"/>
    <w:rsid w:val="007B0C64"/>
    <w:rsid w:val="007B0E26"/>
    <w:rsid w:val="007B1373"/>
    <w:rsid w:val="007B1738"/>
    <w:rsid w:val="007B1FD8"/>
    <w:rsid w:val="007B2495"/>
    <w:rsid w:val="007B2527"/>
    <w:rsid w:val="007B2A74"/>
    <w:rsid w:val="007B3F0D"/>
    <w:rsid w:val="007B42E7"/>
    <w:rsid w:val="007B4471"/>
    <w:rsid w:val="007B48FC"/>
    <w:rsid w:val="007B4948"/>
    <w:rsid w:val="007B4D7D"/>
    <w:rsid w:val="007B4FB0"/>
    <w:rsid w:val="007B4FF9"/>
    <w:rsid w:val="007B500D"/>
    <w:rsid w:val="007B5040"/>
    <w:rsid w:val="007B54A2"/>
    <w:rsid w:val="007B573E"/>
    <w:rsid w:val="007B61A5"/>
    <w:rsid w:val="007B64AA"/>
    <w:rsid w:val="007B6646"/>
    <w:rsid w:val="007B69BA"/>
    <w:rsid w:val="007B6A8F"/>
    <w:rsid w:val="007B711D"/>
    <w:rsid w:val="007B79D5"/>
    <w:rsid w:val="007B7A2C"/>
    <w:rsid w:val="007C034A"/>
    <w:rsid w:val="007C0B21"/>
    <w:rsid w:val="007C0F28"/>
    <w:rsid w:val="007C1A60"/>
    <w:rsid w:val="007C2626"/>
    <w:rsid w:val="007C2664"/>
    <w:rsid w:val="007C2826"/>
    <w:rsid w:val="007C2D36"/>
    <w:rsid w:val="007C4376"/>
    <w:rsid w:val="007C4568"/>
    <w:rsid w:val="007C4C97"/>
    <w:rsid w:val="007C4DBE"/>
    <w:rsid w:val="007C4F53"/>
    <w:rsid w:val="007C4F86"/>
    <w:rsid w:val="007C5C52"/>
    <w:rsid w:val="007C614C"/>
    <w:rsid w:val="007C678B"/>
    <w:rsid w:val="007C6BEF"/>
    <w:rsid w:val="007C6DE8"/>
    <w:rsid w:val="007D0C95"/>
    <w:rsid w:val="007D12CD"/>
    <w:rsid w:val="007D17EC"/>
    <w:rsid w:val="007D1918"/>
    <w:rsid w:val="007D1AB0"/>
    <w:rsid w:val="007D1DDD"/>
    <w:rsid w:val="007D210D"/>
    <w:rsid w:val="007D2403"/>
    <w:rsid w:val="007D2638"/>
    <w:rsid w:val="007D292A"/>
    <w:rsid w:val="007D2A27"/>
    <w:rsid w:val="007D2A4C"/>
    <w:rsid w:val="007D2BD9"/>
    <w:rsid w:val="007D2E21"/>
    <w:rsid w:val="007D32A6"/>
    <w:rsid w:val="007D32C4"/>
    <w:rsid w:val="007D3896"/>
    <w:rsid w:val="007D3C2B"/>
    <w:rsid w:val="007D4089"/>
    <w:rsid w:val="007D491A"/>
    <w:rsid w:val="007D4B9A"/>
    <w:rsid w:val="007D4CD8"/>
    <w:rsid w:val="007D4EB4"/>
    <w:rsid w:val="007D4ED6"/>
    <w:rsid w:val="007D559F"/>
    <w:rsid w:val="007D60CF"/>
    <w:rsid w:val="007D610A"/>
    <w:rsid w:val="007D6211"/>
    <w:rsid w:val="007D651B"/>
    <w:rsid w:val="007D7BE9"/>
    <w:rsid w:val="007D7EE9"/>
    <w:rsid w:val="007D7F0F"/>
    <w:rsid w:val="007E0085"/>
    <w:rsid w:val="007E053F"/>
    <w:rsid w:val="007E0901"/>
    <w:rsid w:val="007E0A92"/>
    <w:rsid w:val="007E0EA2"/>
    <w:rsid w:val="007E1395"/>
    <w:rsid w:val="007E162B"/>
    <w:rsid w:val="007E168A"/>
    <w:rsid w:val="007E186B"/>
    <w:rsid w:val="007E2F49"/>
    <w:rsid w:val="007E3BAC"/>
    <w:rsid w:val="007E3F08"/>
    <w:rsid w:val="007E41D9"/>
    <w:rsid w:val="007E4C24"/>
    <w:rsid w:val="007E63C7"/>
    <w:rsid w:val="007E6657"/>
    <w:rsid w:val="007E6FD6"/>
    <w:rsid w:val="007E7050"/>
    <w:rsid w:val="007E7E2A"/>
    <w:rsid w:val="007F05BE"/>
    <w:rsid w:val="007F05D8"/>
    <w:rsid w:val="007F13D4"/>
    <w:rsid w:val="007F162F"/>
    <w:rsid w:val="007F176C"/>
    <w:rsid w:val="007F19EB"/>
    <w:rsid w:val="007F3414"/>
    <w:rsid w:val="007F380B"/>
    <w:rsid w:val="007F38D8"/>
    <w:rsid w:val="007F3B4D"/>
    <w:rsid w:val="007F3C9D"/>
    <w:rsid w:val="007F3EA8"/>
    <w:rsid w:val="007F406D"/>
    <w:rsid w:val="007F40AB"/>
    <w:rsid w:val="007F4BFB"/>
    <w:rsid w:val="007F4D1A"/>
    <w:rsid w:val="007F5265"/>
    <w:rsid w:val="007F59EB"/>
    <w:rsid w:val="007F66B1"/>
    <w:rsid w:val="007F689E"/>
    <w:rsid w:val="007F7722"/>
    <w:rsid w:val="007F77DC"/>
    <w:rsid w:val="007F7AB4"/>
    <w:rsid w:val="0080059B"/>
    <w:rsid w:val="008005E5"/>
    <w:rsid w:val="008008C4"/>
    <w:rsid w:val="00800F06"/>
    <w:rsid w:val="008018A8"/>
    <w:rsid w:val="00801AFA"/>
    <w:rsid w:val="00801EA4"/>
    <w:rsid w:val="00802173"/>
    <w:rsid w:val="008023A5"/>
    <w:rsid w:val="0080288D"/>
    <w:rsid w:val="008039F6"/>
    <w:rsid w:val="00803DF0"/>
    <w:rsid w:val="008040B0"/>
    <w:rsid w:val="0080418F"/>
    <w:rsid w:val="0080451D"/>
    <w:rsid w:val="008047D5"/>
    <w:rsid w:val="00804B41"/>
    <w:rsid w:val="008054ED"/>
    <w:rsid w:val="00805727"/>
    <w:rsid w:val="008059DB"/>
    <w:rsid w:val="00806B2C"/>
    <w:rsid w:val="00806CFE"/>
    <w:rsid w:val="00807C60"/>
    <w:rsid w:val="00807CA8"/>
    <w:rsid w:val="00807CE1"/>
    <w:rsid w:val="00807F50"/>
    <w:rsid w:val="00807FC9"/>
    <w:rsid w:val="00810532"/>
    <w:rsid w:val="00810865"/>
    <w:rsid w:val="008109F3"/>
    <w:rsid w:val="00810BE6"/>
    <w:rsid w:val="00811B92"/>
    <w:rsid w:val="00811C28"/>
    <w:rsid w:val="008122CB"/>
    <w:rsid w:val="00812647"/>
    <w:rsid w:val="008129A7"/>
    <w:rsid w:val="00812AF9"/>
    <w:rsid w:val="00813441"/>
    <w:rsid w:val="00813B74"/>
    <w:rsid w:val="008144EC"/>
    <w:rsid w:val="00814FFE"/>
    <w:rsid w:val="008154E0"/>
    <w:rsid w:val="00815BDF"/>
    <w:rsid w:val="0081635B"/>
    <w:rsid w:val="008164A8"/>
    <w:rsid w:val="008164B2"/>
    <w:rsid w:val="00816601"/>
    <w:rsid w:val="008168F0"/>
    <w:rsid w:val="00816A58"/>
    <w:rsid w:val="008170B2"/>
    <w:rsid w:val="00817175"/>
    <w:rsid w:val="00817C04"/>
    <w:rsid w:val="00820398"/>
    <w:rsid w:val="008203F1"/>
    <w:rsid w:val="00820460"/>
    <w:rsid w:val="008207C1"/>
    <w:rsid w:val="00821034"/>
    <w:rsid w:val="0082124E"/>
    <w:rsid w:val="00821250"/>
    <w:rsid w:val="008214B1"/>
    <w:rsid w:val="00821725"/>
    <w:rsid w:val="00821A4E"/>
    <w:rsid w:val="00821BA8"/>
    <w:rsid w:val="00821F8D"/>
    <w:rsid w:val="0082202A"/>
    <w:rsid w:val="008222E3"/>
    <w:rsid w:val="0082286C"/>
    <w:rsid w:val="00822BCE"/>
    <w:rsid w:val="0082314B"/>
    <w:rsid w:val="00823426"/>
    <w:rsid w:val="00824716"/>
    <w:rsid w:val="00824AE8"/>
    <w:rsid w:val="00825C93"/>
    <w:rsid w:val="00825FE1"/>
    <w:rsid w:val="008263E9"/>
    <w:rsid w:val="00826A09"/>
    <w:rsid w:val="00826F20"/>
    <w:rsid w:val="008271CB"/>
    <w:rsid w:val="008302B3"/>
    <w:rsid w:val="00830B40"/>
    <w:rsid w:val="008310D8"/>
    <w:rsid w:val="00831199"/>
    <w:rsid w:val="00831788"/>
    <w:rsid w:val="008317A1"/>
    <w:rsid w:val="0083185C"/>
    <w:rsid w:val="00831E10"/>
    <w:rsid w:val="00831E8E"/>
    <w:rsid w:val="00832584"/>
    <w:rsid w:val="00832F57"/>
    <w:rsid w:val="00833483"/>
    <w:rsid w:val="00833856"/>
    <w:rsid w:val="0083397C"/>
    <w:rsid w:val="00834C8F"/>
    <w:rsid w:val="008352D3"/>
    <w:rsid w:val="00835529"/>
    <w:rsid w:val="00835712"/>
    <w:rsid w:val="00835A3D"/>
    <w:rsid w:val="00835EFF"/>
    <w:rsid w:val="008360E8"/>
    <w:rsid w:val="0083682A"/>
    <w:rsid w:val="00836C5B"/>
    <w:rsid w:val="00836E33"/>
    <w:rsid w:val="008373D1"/>
    <w:rsid w:val="00837924"/>
    <w:rsid w:val="00840061"/>
    <w:rsid w:val="0084014D"/>
    <w:rsid w:val="00840A52"/>
    <w:rsid w:val="00840B92"/>
    <w:rsid w:val="00840BAF"/>
    <w:rsid w:val="008412EF"/>
    <w:rsid w:val="00841B31"/>
    <w:rsid w:val="0084216D"/>
    <w:rsid w:val="008426A4"/>
    <w:rsid w:val="008426FE"/>
    <w:rsid w:val="008434C7"/>
    <w:rsid w:val="00843CB5"/>
    <w:rsid w:val="008445DA"/>
    <w:rsid w:val="00844A5D"/>
    <w:rsid w:val="00844AB9"/>
    <w:rsid w:val="00844BC3"/>
    <w:rsid w:val="00844E17"/>
    <w:rsid w:val="00844F36"/>
    <w:rsid w:val="008456E0"/>
    <w:rsid w:val="00845EBD"/>
    <w:rsid w:val="00845FAB"/>
    <w:rsid w:val="00845FE0"/>
    <w:rsid w:val="00846681"/>
    <w:rsid w:val="008467C2"/>
    <w:rsid w:val="00846B6A"/>
    <w:rsid w:val="008472B5"/>
    <w:rsid w:val="008476C3"/>
    <w:rsid w:val="00847B12"/>
    <w:rsid w:val="00847D29"/>
    <w:rsid w:val="008500EA"/>
    <w:rsid w:val="00850809"/>
    <w:rsid w:val="00850CFE"/>
    <w:rsid w:val="00850D50"/>
    <w:rsid w:val="0085160E"/>
    <w:rsid w:val="00851864"/>
    <w:rsid w:val="00851A1C"/>
    <w:rsid w:val="00851AF5"/>
    <w:rsid w:val="00851D30"/>
    <w:rsid w:val="00851ED3"/>
    <w:rsid w:val="008522F4"/>
    <w:rsid w:val="0085239F"/>
    <w:rsid w:val="0085278C"/>
    <w:rsid w:val="00852F5D"/>
    <w:rsid w:val="00853409"/>
    <w:rsid w:val="00853467"/>
    <w:rsid w:val="008534BB"/>
    <w:rsid w:val="0085499D"/>
    <w:rsid w:val="00854DF3"/>
    <w:rsid w:val="00854E19"/>
    <w:rsid w:val="008552F8"/>
    <w:rsid w:val="00855A7A"/>
    <w:rsid w:val="0085603B"/>
    <w:rsid w:val="0085695F"/>
    <w:rsid w:val="00856FDF"/>
    <w:rsid w:val="00857088"/>
    <w:rsid w:val="00857385"/>
    <w:rsid w:val="00857EDA"/>
    <w:rsid w:val="0086092D"/>
    <w:rsid w:val="00860D56"/>
    <w:rsid w:val="00860F03"/>
    <w:rsid w:val="008614DC"/>
    <w:rsid w:val="0086173C"/>
    <w:rsid w:val="008617A7"/>
    <w:rsid w:val="00861817"/>
    <w:rsid w:val="00861EE6"/>
    <w:rsid w:val="00862EC4"/>
    <w:rsid w:val="0086335C"/>
    <w:rsid w:val="008637A3"/>
    <w:rsid w:val="008637D3"/>
    <w:rsid w:val="00863F1D"/>
    <w:rsid w:val="0086423D"/>
    <w:rsid w:val="00864B42"/>
    <w:rsid w:val="00864F12"/>
    <w:rsid w:val="008650A4"/>
    <w:rsid w:val="00865176"/>
    <w:rsid w:val="00865859"/>
    <w:rsid w:val="00865893"/>
    <w:rsid w:val="0086637C"/>
    <w:rsid w:val="00866793"/>
    <w:rsid w:val="00866799"/>
    <w:rsid w:val="00866C5E"/>
    <w:rsid w:val="00866E5A"/>
    <w:rsid w:val="00867C33"/>
    <w:rsid w:val="00867F60"/>
    <w:rsid w:val="00870552"/>
    <w:rsid w:val="00870C66"/>
    <w:rsid w:val="00870CF9"/>
    <w:rsid w:val="00870F76"/>
    <w:rsid w:val="008713D6"/>
    <w:rsid w:val="00871D53"/>
    <w:rsid w:val="00872451"/>
    <w:rsid w:val="008726DD"/>
    <w:rsid w:val="008738FD"/>
    <w:rsid w:val="00873A47"/>
    <w:rsid w:val="0087407F"/>
    <w:rsid w:val="008744A5"/>
    <w:rsid w:val="00874679"/>
    <w:rsid w:val="00874D41"/>
    <w:rsid w:val="00875CAB"/>
    <w:rsid w:val="00875E50"/>
    <w:rsid w:val="00876382"/>
    <w:rsid w:val="008763B4"/>
    <w:rsid w:val="0087686E"/>
    <w:rsid w:val="0087796F"/>
    <w:rsid w:val="00877C77"/>
    <w:rsid w:val="00877E26"/>
    <w:rsid w:val="00880C08"/>
    <w:rsid w:val="00880F7F"/>
    <w:rsid w:val="008814D5"/>
    <w:rsid w:val="008819B6"/>
    <w:rsid w:val="00881B34"/>
    <w:rsid w:val="00881B85"/>
    <w:rsid w:val="00882606"/>
    <w:rsid w:val="00882D53"/>
    <w:rsid w:val="00882F05"/>
    <w:rsid w:val="0088336E"/>
    <w:rsid w:val="0088381A"/>
    <w:rsid w:val="008839E1"/>
    <w:rsid w:val="00883E28"/>
    <w:rsid w:val="008840C5"/>
    <w:rsid w:val="00885289"/>
    <w:rsid w:val="008856B2"/>
    <w:rsid w:val="00886333"/>
    <w:rsid w:val="008869A8"/>
    <w:rsid w:val="008875A1"/>
    <w:rsid w:val="00887E75"/>
    <w:rsid w:val="0089013F"/>
    <w:rsid w:val="008913BA"/>
    <w:rsid w:val="0089174F"/>
    <w:rsid w:val="00891EC7"/>
    <w:rsid w:val="008921F7"/>
    <w:rsid w:val="008924C0"/>
    <w:rsid w:val="00892F18"/>
    <w:rsid w:val="00892F4C"/>
    <w:rsid w:val="00893202"/>
    <w:rsid w:val="00893E09"/>
    <w:rsid w:val="008949AF"/>
    <w:rsid w:val="00894EFD"/>
    <w:rsid w:val="008950C0"/>
    <w:rsid w:val="008959D7"/>
    <w:rsid w:val="00895B22"/>
    <w:rsid w:val="00895F18"/>
    <w:rsid w:val="00896796"/>
    <w:rsid w:val="008969AD"/>
    <w:rsid w:val="00896EB9"/>
    <w:rsid w:val="008977BE"/>
    <w:rsid w:val="008977F7"/>
    <w:rsid w:val="00897835"/>
    <w:rsid w:val="00897E0E"/>
    <w:rsid w:val="008A096A"/>
    <w:rsid w:val="008A0D8F"/>
    <w:rsid w:val="008A0F55"/>
    <w:rsid w:val="008A123E"/>
    <w:rsid w:val="008A18E1"/>
    <w:rsid w:val="008A19E8"/>
    <w:rsid w:val="008A29A5"/>
    <w:rsid w:val="008A2F0D"/>
    <w:rsid w:val="008A3022"/>
    <w:rsid w:val="008A3520"/>
    <w:rsid w:val="008A3539"/>
    <w:rsid w:val="008A3750"/>
    <w:rsid w:val="008A3FF3"/>
    <w:rsid w:val="008A4079"/>
    <w:rsid w:val="008A41AC"/>
    <w:rsid w:val="008A423A"/>
    <w:rsid w:val="008A52C8"/>
    <w:rsid w:val="008A5501"/>
    <w:rsid w:val="008A6078"/>
    <w:rsid w:val="008A63DD"/>
    <w:rsid w:val="008A65EC"/>
    <w:rsid w:val="008A6DE3"/>
    <w:rsid w:val="008A6F99"/>
    <w:rsid w:val="008A7DB5"/>
    <w:rsid w:val="008A7F07"/>
    <w:rsid w:val="008A7F34"/>
    <w:rsid w:val="008B096C"/>
    <w:rsid w:val="008B19EE"/>
    <w:rsid w:val="008B1A41"/>
    <w:rsid w:val="008B1A46"/>
    <w:rsid w:val="008B1C50"/>
    <w:rsid w:val="008B1C6E"/>
    <w:rsid w:val="008B20BC"/>
    <w:rsid w:val="008B32BA"/>
    <w:rsid w:val="008B36A6"/>
    <w:rsid w:val="008B4787"/>
    <w:rsid w:val="008B4A26"/>
    <w:rsid w:val="008B50AA"/>
    <w:rsid w:val="008B5B07"/>
    <w:rsid w:val="008B5BBD"/>
    <w:rsid w:val="008B627D"/>
    <w:rsid w:val="008B6867"/>
    <w:rsid w:val="008B714D"/>
    <w:rsid w:val="008B78F4"/>
    <w:rsid w:val="008B7D1A"/>
    <w:rsid w:val="008C01B0"/>
    <w:rsid w:val="008C114F"/>
    <w:rsid w:val="008C12B7"/>
    <w:rsid w:val="008C1339"/>
    <w:rsid w:val="008C2553"/>
    <w:rsid w:val="008C27EE"/>
    <w:rsid w:val="008C3B4F"/>
    <w:rsid w:val="008C3B88"/>
    <w:rsid w:val="008C4239"/>
    <w:rsid w:val="008C4425"/>
    <w:rsid w:val="008C44D0"/>
    <w:rsid w:val="008C49D6"/>
    <w:rsid w:val="008C5077"/>
    <w:rsid w:val="008C50FD"/>
    <w:rsid w:val="008C5BBF"/>
    <w:rsid w:val="008C5E3F"/>
    <w:rsid w:val="008C5E8C"/>
    <w:rsid w:val="008C61E7"/>
    <w:rsid w:val="008C62A4"/>
    <w:rsid w:val="008C677B"/>
    <w:rsid w:val="008C697F"/>
    <w:rsid w:val="008C6B1C"/>
    <w:rsid w:val="008C6C6D"/>
    <w:rsid w:val="008C6E0F"/>
    <w:rsid w:val="008C6F9E"/>
    <w:rsid w:val="008C7068"/>
    <w:rsid w:val="008C72BC"/>
    <w:rsid w:val="008C7388"/>
    <w:rsid w:val="008C771D"/>
    <w:rsid w:val="008D07FB"/>
    <w:rsid w:val="008D089B"/>
    <w:rsid w:val="008D08E2"/>
    <w:rsid w:val="008D097B"/>
    <w:rsid w:val="008D0A5B"/>
    <w:rsid w:val="008D0C7E"/>
    <w:rsid w:val="008D10C5"/>
    <w:rsid w:val="008D1119"/>
    <w:rsid w:val="008D11E0"/>
    <w:rsid w:val="008D1386"/>
    <w:rsid w:val="008D145B"/>
    <w:rsid w:val="008D20C9"/>
    <w:rsid w:val="008D28B9"/>
    <w:rsid w:val="008D3146"/>
    <w:rsid w:val="008D3172"/>
    <w:rsid w:val="008D3358"/>
    <w:rsid w:val="008D33E8"/>
    <w:rsid w:val="008D3AE7"/>
    <w:rsid w:val="008D4178"/>
    <w:rsid w:val="008D4263"/>
    <w:rsid w:val="008D43CB"/>
    <w:rsid w:val="008D4545"/>
    <w:rsid w:val="008D49BB"/>
    <w:rsid w:val="008D4FBA"/>
    <w:rsid w:val="008D5223"/>
    <w:rsid w:val="008D5783"/>
    <w:rsid w:val="008D5A0E"/>
    <w:rsid w:val="008D61C4"/>
    <w:rsid w:val="008D61F7"/>
    <w:rsid w:val="008D649F"/>
    <w:rsid w:val="008D6B50"/>
    <w:rsid w:val="008D6C0B"/>
    <w:rsid w:val="008D6DF7"/>
    <w:rsid w:val="008D70D1"/>
    <w:rsid w:val="008D775F"/>
    <w:rsid w:val="008E0071"/>
    <w:rsid w:val="008E07AA"/>
    <w:rsid w:val="008E0983"/>
    <w:rsid w:val="008E1312"/>
    <w:rsid w:val="008E14E1"/>
    <w:rsid w:val="008E17AA"/>
    <w:rsid w:val="008E192F"/>
    <w:rsid w:val="008E1DB4"/>
    <w:rsid w:val="008E23A3"/>
    <w:rsid w:val="008E2954"/>
    <w:rsid w:val="008E2AD9"/>
    <w:rsid w:val="008E31E5"/>
    <w:rsid w:val="008E3576"/>
    <w:rsid w:val="008E37C3"/>
    <w:rsid w:val="008E413B"/>
    <w:rsid w:val="008E41CF"/>
    <w:rsid w:val="008E48D2"/>
    <w:rsid w:val="008E4A26"/>
    <w:rsid w:val="008E4A28"/>
    <w:rsid w:val="008E4DC1"/>
    <w:rsid w:val="008E524B"/>
    <w:rsid w:val="008E5DD6"/>
    <w:rsid w:val="008E5EFC"/>
    <w:rsid w:val="008E638B"/>
    <w:rsid w:val="008E654D"/>
    <w:rsid w:val="008E669D"/>
    <w:rsid w:val="008E66AD"/>
    <w:rsid w:val="008E68A7"/>
    <w:rsid w:val="008E77B3"/>
    <w:rsid w:val="008E7A19"/>
    <w:rsid w:val="008E7F4D"/>
    <w:rsid w:val="008F0AB1"/>
    <w:rsid w:val="008F1349"/>
    <w:rsid w:val="008F1694"/>
    <w:rsid w:val="008F20F9"/>
    <w:rsid w:val="008F2611"/>
    <w:rsid w:val="008F26FC"/>
    <w:rsid w:val="008F2CD7"/>
    <w:rsid w:val="008F331C"/>
    <w:rsid w:val="008F3538"/>
    <w:rsid w:val="008F3B74"/>
    <w:rsid w:val="008F3C6F"/>
    <w:rsid w:val="008F4166"/>
    <w:rsid w:val="008F4393"/>
    <w:rsid w:val="008F4551"/>
    <w:rsid w:val="008F4BC0"/>
    <w:rsid w:val="008F5059"/>
    <w:rsid w:val="008F5965"/>
    <w:rsid w:val="008F5B7E"/>
    <w:rsid w:val="008F63AF"/>
    <w:rsid w:val="008F6AF2"/>
    <w:rsid w:val="008F6E86"/>
    <w:rsid w:val="008F6FF1"/>
    <w:rsid w:val="008F7012"/>
    <w:rsid w:val="008F774B"/>
    <w:rsid w:val="008F78E8"/>
    <w:rsid w:val="008F7D76"/>
    <w:rsid w:val="00900088"/>
    <w:rsid w:val="00900892"/>
    <w:rsid w:val="009008E5"/>
    <w:rsid w:val="00900966"/>
    <w:rsid w:val="0090132C"/>
    <w:rsid w:val="009016E5"/>
    <w:rsid w:val="00901CDC"/>
    <w:rsid w:val="0090224B"/>
    <w:rsid w:val="009026D9"/>
    <w:rsid w:val="0090281E"/>
    <w:rsid w:val="009028B4"/>
    <w:rsid w:val="00902BFE"/>
    <w:rsid w:val="00903235"/>
    <w:rsid w:val="00904CB4"/>
    <w:rsid w:val="00905F5E"/>
    <w:rsid w:val="00906893"/>
    <w:rsid w:val="00906C42"/>
    <w:rsid w:val="0090770E"/>
    <w:rsid w:val="00907B20"/>
    <w:rsid w:val="0091033E"/>
    <w:rsid w:val="00911205"/>
    <w:rsid w:val="00911293"/>
    <w:rsid w:val="00911E8A"/>
    <w:rsid w:val="0091268C"/>
    <w:rsid w:val="00912691"/>
    <w:rsid w:val="009128D6"/>
    <w:rsid w:val="00913369"/>
    <w:rsid w:val="00913426"/>
    <w:rsid w:val="00913AEE"/>
    <w:rsid w:val="009146CB"/>
    <w:rsid w:val="0091479D"/>
    <w:rsid w:val="00915574"/>
    <w:rsid w:val="0091580F"/>
    <w:rsid w:val="00915C34"/>
    <w:rsid w:val="00915F68"/>
    <w:rsid w:val="00915F7D"/>
    <w:rsid w:val="009166A1"/>
    <w:rsid w:val="009167E6"/>
    <w:rsid w:val="00916866"/>
    <w:rsid w:val="0091686D"/>
    <w:rsid w:val="00916B29"/>
    <w:rsid w:val="00916BF8"/>
    <w:rsid w:val="00916C94"/>
    <w:rsid w:val="00916E12"/>
    <w:rsid w:val="00917AC2"/>
    <w:rsid w:val="00917D13"/>
    <w:rsid w:val="00917F0D"/>
    <w:rsid w:val="00917F46"/>
    <w:rsid w:val="00920BB2"/>
    <w:rsid w:val="00920EF8"/>
    <w:rsid w:val="00921510"/>
    <w:rsid w:val="00921EB3"/>
    <w:rsid w:val="00921FF5"/>
    <w:rsid w:val="00922054"/>
    <w:rsid w:val="00922193"/>
    <w:rsid w:val="009228B2"/>
    <w:rsid w:val="009230EA"/>
    <w:rsid w:val="00923102"/>
    <w:rsid w:val="00923182"/>
    <w:rsid w:val="009231F3"/>
    <w:rsid w:val="00923471"/>
    <w:rsid w:val="00923578"/>
    <w:rsid w:val="0092361B"/>
    <w:rsid w:val="00923829"/>
    <w:rsid w:val="009238AD"/>
    <w:rsid w:val="0092393E"/>
    <w:rsid w:val="00923BD8"/>
    <w:rsid w:val="0092459A"/>
    <w:rsid w:val="00924C7B"/>
    <w:rsid w:val="009257C0"/>
    <w:rsid w:val="009257EE"/>
    <w:rsid w:val="00925BB2"/>
    <w:rsid w:val="00925DF3"/>
    <w:rsid w:val="00926373"/>
    <w:rsid w:val="00930D9B"/>
    <w:rsid w:val="00930EA4"/>
    <w:rsid w:val="009310D7"/>
    <w:rsid w:val="0093155B"/>
    <w:rsid w:val="00931A1A"/>
    <w:rsid w:val="00931B72"/>
    <w:rsid w:val="00932039"/>
    <w:rsid w:val="0093219B"/>
    <w:rsid w:val="009321DA"/>
    <w:rsid w:val="00932222"/>
    <w:rsid w:val="00932C1C"/>
    <w:rsid w:val="0093365C"/>
    <w:rsid w:val="0093379E"/>
    <w:rsid w:val="00933B35"/>
    <w:rsid w:val="00933D3C"/>
    <w:rsid w:val="00934A3C"/>
    <w:rsid w:val="00934E8A"/>
    <w:rsid w:val="0093565D"/>
    <w:rsid w:val="00936029"/>
    <w:rsid w:val="0093613B"/>
    <w:rsid w:val="00936C99"/>
    <w:rsid w:val="0093777E"/>
    <w:rsid w:val="00940703"/>
    <w:rsid w:val="0094116D"/>
    <w:rsid w:val="00941642"/>
    <w:rsid w:val="00941BA9"/>
    <w:rsid w:val="00941CAD"/>
    <w:rsid w:val="00941E84"/>
    <w:rsid w:val="00941F11"/>
    <w:rsid w:val="009428B1"/>
    <w:rsid w:val="00942977"/>
    <w:rsid w:val="00942E83"/>
    <w:rsid w:val="0094323D"/>
    <w:rsid w:val="0094369C"/>
    <w:rsid w:val="009439DF"/>
    <w:rsid w:val="00943FE1"/>
    <w:rsid w:val="00944112"/>
    <w:rsid w:val="00944674"/>
    <w:rsid w:val="00944C5E"/>
    <w:rsid w:val="00944DAF"/>
    <w:rsid w:val="00944EFB"/>
    <w:rsid w:val="009452F4"/>
    <w:rsid w:val="009467F3"/>
    <w:rsid w:val="009469C9"/>
    <w:rsid w:val="00947E65"/>
    <w:rsid w:val="009503E6"/>
    <w:rsid w:val="0095043C"/>
    <w:rsid w:val="00950525"/>
    <w:rsid w:val="009510C8"/>
    <w:rsid w:val="0095126B"/>
    <w:rsid w:val="009516EF"/>
    <w:rsid w:val="009519E2"/>
    <w:rsid w:val="00951A8C"/>
    <w:rsid w:val="00951CBE"/>
    <w:rsid w:val="00951E8A"/>
    <w:rsid w:val="00952379"/>
    <w:rsid w:val="009525E2"/>
    <w:rsid w:val="0095280C"/>
    <w:rsid w:val="0095284B"/>
    <w:rsid w:val="00952C41"/>
    <w:rsid w:val="00952F17"/>
    <w:rsid w:val="00952FE7"/>
    <w:rsid w:val="0095322E"/>
    <w:rsid w:val="009546FA"/>
    <w:rsid w:val="00954B3D"/>
    <w:rsid w:val="00955057"/>
    <w:rsid w:val="0095607D"/>
    <w:rsid w:val="009560FA"/>
    <w:rsid w:val="0095632E"/>
    <w:rsid w:val="00956D5A"/>
    <w:rsid w:val="009575E9"/>
    <w:rsid w:val="009578A9"/>
    <w:rsid w:val="009601AA"/>
    <w:rsid w:val="00960802"/>
    <w:rsid w:val="00960C86"/>
    <w:rsid w:val="00961919"/>
    <w:rsid w:val="00961A43"/>
    <w:rsid w:val="00961F75"/>
    <w:rsid w:val="00962007"/>
    <w:rsid w:val="009621BE"/>
    <w:rsid w:val="00962996"/>
    <w:rsid w:val="009636EB"/>
    <w:rsid w:val="009651F5"/>
    <w:rsid w:val="00965981"/>
    <w:rsid w:val="00965E34"/>
    <w:rsid w:val="00965FDA"/>
    <w:rsid w:val="00966005"/>
    <w:rsid w:val="009665BC"/>
    <w:rsid w:val="00966666"/>
    <w:rsid w:val="00966AC4"/>
    <w:rsid w:val="00966E14"/>
    <w:rsid w:val="00967743"/>
    <w:rsid w:val="00967807"/>
    <w:rsid w:val="00967C95"/>
    <w:rsid w:val="0097021A"/>
    <w:rsid w:val="009702EF"/>
    <w:rsid w:val="0097035C"/>
    <w:rsid w:val="009705D0"/>
    <w:rsid w:val="00970674"/>
    <w:rsid w:val="0097083E"/>
    <w:rsid w:val="00970C40"/>
    <w:rsid w:val="00971069"/>
    <w:rsid w:val="009712DE"/>
    <w:rsid w:val="009715A8"/>
    <w:rsid w:val="0097189F"/>
    <w:rsid w:val="0097198A"/>
    <w:rsid w:val="00971B22"/>
    <w:rsid w:val="00971EEF"/>
    <w:rsid w:val="009720C1"/>
    <w:rsid w:val="00972A80"/>
    <w:rsid w:val="00972BC7"/>
    <w:rsid w:val="00972ED7"/>
    <w:rsid w:val="00973517"/>
    <w:rsid w:val="009736EF"/>
    <w:rsid w:val="00973B1C"/>
    <w:rsid w:val="00973D2C"/>
    <w:rsid w:val="00974123"/>
    <w:rsid w:val="00974161"/>
    <w:rsid w:val="00974632"/>
    <w:rsid w:val="00974E2D"/>
    <w:rsid w:val="00974F9A"/>
    <w:rsid w:val="00974FBA"/>
    <w:rsid w:val="00975F99"/>
    <w:rsid w:val="009768D7"/>
    <w:rsid w:val="009771E9"/>
    <w:rsid w:val="009773A9"/>
    <w:rsid w:val="00977C4A"/>
    <w:rsid w:val="00977DEF"/>
    <w:rsid w:val="00977EEB"/>
    <w:rsid w:val="0098073B"/>
    <w:rsid w:val="00980E6A"/>
    <w:rsid w:val="00980EBF"/>
    <w:rsid w:val="00981252"/>
    <w:rsid w:val="00981CCD"/>
    <w:rsid w:val="00982124"/>
    <w:rsid w:val="0098254F"/>
    <w:rsid w:val="00982721"/>
    <w:rsid w:val="00982EF0"/>
    <w:rsid w:val="00982F86"/>
    <w:rsid w:val="009842EF"/>
    <w:rsid w:val="00984838"/>
    <w:rsid w:val="00984987"/>
    <w:rsid w:val="00984E06"/>
    <w:rsid w:val="0098546D"/>
    <w:rsid w:val="00985CF4"/>
    <w:rsid w:val="0098658B"/>
    <w:rsid w:val="009867A1"/>
    <w:rsid w:val="00986D65"/>
    <w:rsid w:val="009878CA"/>
    <w:rsid w:val="00987AE2"/>
    <w:rsid w:val="00987B4D"/>
    <w:rsid w:val="00987BD7"/>
    <w:rsid w:val="00990924"/>
    <w:rsid w:val="00990DCD"/>
    <w:rsid w:val="00990EA1"/>
    <w:rsid w:val="009912C4"/>
    <w:rsid w:val="00991475"/>
    <w:rsid w:val="00992E05"/>
    <w:rsid w:val="00993B4F"/>
    <w:rsid w:val="00993BD1"/>
    <w:rsid w:val="00993CA4"/>
    <w:rsid w:val="009942A9"/>
    <w:rsid w:val="009944BF"/>
    <w:rsid w:val="00994EBD"/>
    <w:rsid w:val="009954E7"/>
    <w:rsid w:val="00995708"/>
    <w:rsid w:val="00995A28"/>
    <w:rsid w:val="00995A9C"/>
    <w:rsid w:val="0099657B"/>
    <w:rsid w:val="009966DB"/>
    <w:rsid w:val="009971E0"/>
    <w:rsid w:val="00997C94"/>
    <w:rsid w:val="009A02F2"/>
    <w:rsid w:val="009A041E"/>
    <w:rsid w:val="009A0579"/>
    <w:rsid w:val="009A05ED"/>
    <w:rsid w:val="009A0780"/>
    <w:rsid w:val="009A095F"/>
    <w:rsid w:val="009A11F6"/>
    <w:rsid w:val="009A1408"/>
    <w:rsid w:val="009A20BD"/>
    <w:rsid w:val="009A23AA"/>
    <w:rsid w:val="009A27B7"/>
    <w:rsid w:val="009A294A"/>
    <w:rsid w:val="009A2A38"/>
    <w:rsid w:val="009A2D49"/>
    <w:rsid w:val="009A307C"/>
    <w:rsid w:val="009A36A3"/>
    <w:rsid w:val="009A385C"/>
    <w:rsid w:val="009A3D7C"/>
    <w:rsid w:val="009A42D2"/>
    <w:rsid w:val="009A437A"/>
    <w:rsid w:val="009A43A3"/>
    <w:rsid w:val="009A4747"/>
    <w:rsid w:val="009A4A57"/>
    <w:rsid w:val="009A59D5"/>
    <w:rsid w:val="009A60EF"/>
    <w:rsid w:val="009A68AE"/>
    <w:rsid w:val="009A68DD"/>
    <w:rsid w:val="009A6ACD"/>
    <w:rsid w:val="009A6BBA"/>
    <w:rsid w:val="009A6E0C"/>
    <w:rsid w:val="009A7473"/>
    <w:rsid w:val="009A79F8"/>
    <w:rsid w:val="009A7A86"/>
    <w:rsid w:val="009A7B0B"/>
    <w:rsid w:val="009A7C44"/>
    <w:rsid w:val="009B0DB5"/>
    <w:rsid w:val="009B10B6"/>
    <w:rsid w:val="009B15DE"/>
    <w:rsid w:val="009B1861"/>
    <w:rsid w:val="009B19A2"/>
    <w:rsid w:val="009B1BB1"/>
    <w:rsid w:val="009B2352"/>
    <w:rsid w:val="009B273F"/>
    <w:rsid w:val="009B28CD"/>
    <w:rsid w:val="009B33A0"/>
    <w:rsid w:val="009B3B06"/>
    <w:rsid w:val="009B3E99"/>
    <w:rsid w:val="009B4376"/>
    <w:rsid w:val="009B48B2"/>
    <w:rsid w:val="009B53F3"/>
    <w:rsid w:val="009B56DA"/>
    <w:rsid w:val="009B5B13"/>
    <w:rsid w:val="009B5CD9"/>
    <w:rsid w:val="009B5EC7"/>
    <w:rsid w:val="009B64EE"/>
    <w:rsid w:val="009B689E"/>
    <w:rsid w:val="009B6B84"/>
    <w:rsid w:val="009B7427"/>
    <w:rsid w:val="009B78CE"/>
    <w:rsid w:val="009B7B9F"/>
    <w:rsid w:val="009B7F34"/>
    <w:rsid w:val="009C04DE"/>
    <w:rsid w:val="009C0BC1"/>
    <w:rsid w:val="009C0C40"/>
    <w:rsid w:val="009C0D66"/>
    <w:rsid w:val="009C2781"/>
    <w:rsid w:val="009C2EB1"/>
    <w:rsid w:val="009C2F53"/>
    <w:rsid w:val="009C30F1"/>
    <w:rsid w:val="009C31C0"/>
    <w:rsid w:val="009C37A8"/>
    <w:rsid w:val="009C3D86"/>
    <w:rsid w:val="009C3F90"/>
    <w:rsid w:val="009C42C6"/>
    <w:rsid w:val="009C4353"/>
    <w:rsid w:val="009C45F1"/>
    <w:rsid w:val="009C47C7"/>
    <w:rsid w:val="009C48DA"/>
    <w:rsid w:val="009C4BD0"/>
    <w:rsid w:val="009C4D62"/>
    <w:rsid w:val="009C5740"/>
    <w:rsid w:val="009C5802"/>
    <w:rsid w:val="009C5C01"/>
    <w:rsid w:val="009C5D4F"/>
    <w:rsid w:val="009C5DF0"/>
    <w:rsid w:val="009C5DF5"/>
    <w:rsid w:val="009C6728"/>
    <w:rsid w:val="009C6760"/>
    <w:rsid w:val="009C7616"/>
    <w:rsid w:val="009C78A3"/>
    <w:rsid w:val="009C7C7D"/>
    <w:rsid w:val="009C7CD2"/>
    <w:rsid w:val="009D0727"/>
    <w:rsid w:val="009D0752"/>
    <w:rsid w:val="009D0B43"/>
    <w:rsid w:val="009D0BB3"/>
    <w:rsid w:val="009D0BC5"/>
    <w:rsid w:val="009D0F1D"/>
    <w:rsid w:val="009D10DB"/>
    <w:rsid w:val="009D1256"/>
    <w:rsid w:val="009D256A"/>
    <w:rsid w:val="009D2649"/>
    <w:rsid w:val="009D33B5"/>
    <w:rsid w:val="009D36B6"/>
    <w:rsid w:val="009D3A72"/>
    <w:rsid w:val="009D3D57"/>
    <w:rsid w:val="009D41B9"/>
    <w:rsid w:val="009D423A"/>
    <w:rsid w:val="009D4516"/>
    <w:rsid w:val="009D50F5"/>
    <w:rsid w:val="009D5380"/>
    <w:rsid w:val="009D6843"/>
    <w:rsid w:val="009D7051"/>
    <w:rsid w:val="009D7074"/>
    <w:rsid w:val="009D708F"/>
    <w:rsid w:val="009D7391"/>
    <w:rsid w:val="009E081E"/>
    <w:rsid w:val="009E157A"/>
    <w:rsid w:val="009E18B5"/>
    <w:rsid w:val="009E1AA6"/>
    <w:rsid w:val="009E1EF8"/>
    <w:rsid w:val="009E259D"/>
    <w:rsid w:val="009E2642"/>
    <w:rsid w:val="009E2EA5"/>
    <w:rsid w:val="009E2FF2"/>
    <w:rsid w:val="009E3930"/>
    <w:rsid w:val="009E3DCA"/>
    <w:rsid w:val="009E4011"/>
    <w:rsid w:val="009E431C"/>
    <w:rsid w:val="009E51E4"/>
    <w:rsid w:val="009E53F0"/>
    <w:rsid w:val="009E5BE4"/>
    <w:rsid w:val="009E64BB"/>
    <w:rsid w:val="009E69CD"/>
    <w:rsid w:val="009E6F5F"/>
    <w:rsid w:val="009E6F66"/>
    <w:rsid w:val="009E6F76"/>
    <w:rsid w:val="009E715C"/>
    <w:rsid w:val="009E7689"/>
    <w:rsid w:val="009E7E5E"/>
    <w:rsid w:val="009E7E93"/>
    <w:rsid w:val="009F0103"/>
    <w:rsid w:val="009F0DB7"/>
    <w:rsid w:val="009F1885"/>
    <w:rsid w:val="009F2097"/>
    <w:rsid w:val="009F2670"/>
    <w:rsid w:val="009F2F54"/>
    <w:rsid w:val="009F3EF5"/>
    <w:rsid w:val="009F442D"/>
    <w:rsid w:val="009F48AE"/>
    <w:rsid w:val="009F4CB3"/>
    <w:rsid w:val="009F4D47"/>
    <w:rsid w:val="009F51EE"/>
    <w:rsid w:val="009F5305"/>
    <w:rsid w:val="009F5952"/>
    <w:rsid w:val="009F5A15"/>
    <w:rsid w:val="009F5BD8"/>
    <w:rsid w:val="009F5EAE"/>
    <w:rsid w:val="009F6156"/>
    <w:rsid w:val="009F6B38"/>
    <w:rsid w:val="009F6EA8"/>
    <w:rsid w:val="009F7491"/>
    <w:rsid w:val="009F7800"/>
    <w:rsid w:val="009F7998"/>
    <w:rsid w:val="009F7C3C"/>
    <w:rsid w:val="00A004A8"/>
    <w:rsid w:val="00A004B7"/>
    <w:rsid w:val="00A00A4A"/>
    <w:rsid w:val="00A00B43"/>
    <w:rsid w:val="00A0109B"/>
    <w:rsid w:val="00A01220"/>
    <w:rsid w:val="00A02742"/>
    <w:rsid w:val="00A028EC"/>
    <w:rsid w:val="00A02C8F"/>
    <w:rsid w:val="00A035DE"/>
    <w:rsid w:val="00A037FF"/>
    <w:rsid w:val="00A0385D"/>
    <w:rsid w:val="00A076A2"/>
    <w:rsid w:val="00A078CC"/>
    <w:rsid w:val="00A07955"/>
    <w:rsid w:val="00A07A80"/>
    <w:rsid w:val="00A1007E"/>
    <w:rsid w:val="00A1062E"/>
    <w:rsid w:val="00A106BE"/>
    <w:rsid w:val="00A10A63"/>
    <w:rsid w:val="00A10C40"/>
    <w:rsid w:val="00A11767"/>
    <w:rsid w:val="00A11ABE"/>
    <w:rsid w:val="00A123FC"/>
    <w:rsid w:val="00A131A7"/>
    <w:rsid w:val="00A13C49"/>
    <w:rsid w:val="00A145CF"/>
    <w:rsid w:val="00A1466E"/>
    <w:rsid w:val="00A146FB"/>
    <w:rsid w:val="00A14795"/>
    <w:rsid w:val="00A14DF7"/>
    <w:rsid w:val="00A14EAE"/>
    <w:rsid w:val="00A14F96"/>
    <w:rsid w:val="00A1511B"/>
    <w:rsid w:val="00A157E5"/>
    <w:rsid w:val="00A15B94"/>
    <w:rsid w:val="00A15CC5"/>
    <w:rsid w:val="00A16874"/>
    <w:rsid w:val="00A169F6"/>
    <w:rsid w:val="00A16E6E"/>
    <w:rsid w:val="00A1779A"/>
    <w:rsid w:val="00A1793A"/>
    <w:rsid w:val="00A20240"/>
    <w:rsid w:val="00A20BCB"/>
    <w:rsid w:val="00A210BC"/>
    <w:rsid w:val="00A211A1"/>
    <w:rsid w:val="00A21209"/>
    <w:rsid w:val="00A21304"/>
    <w:rsid w:val="00A223DC"/>
    <w:rsid w:val="00A2283B"/>
    <w:rsid w:val="00A22E7C"/>
    <w:rsid w:val="00A23927"/>
    <w:rsid w:val="00A23A14"/>
    <w:rsid w:val="00A23FF3"/>
    <w:rsid w:val="00A2416C"/>
    <w:rsid w:val="00A24A5D"/>
    <w:rsid w:val="00A256BB"/>
    <w:rsid w:val="00A260B4"/>
    <w:rsid w:val="00A260D1"/>
    <w:rsid w:val="00A264D1"/>
    <w:rsid w:val="00A2695A"/>
    <w:rsid w:val="00A26E83"/>
    <w:rsid w:val="00A2756C"/>
    <w:rsid w:val="00A27581"/>
    <w:rsid w:val="00A27686"/>
    <w:rsid w:val="00A27810"/>
    <w:rsid w:val="00A27888"/>
    <w:rsid w:val="00A27E31"/>
    <w:rsid w:val="00A27F3A"/>
    <w:rsid w:val="00A3036C"/>
    <w:rsid w:val="00A31052"/>
    <w:rsid w:val="00A319AB"/>
    <w:rsid w:val="00A31A0D"/>
    <w:rsid w:val="00A32739"/>
    <w:rsid w:val="00A33C16"/>
    <w:rsid w:val="00A35229"/>
    <w:rsid w:val="00A3523C"/>
    <w:rsid w:val="00A354FB"/>
    <w:rsid w:val="00A3570C"/>
    <w:rsid w:val="00A35DEE"/>
    <w:rsid w:val="00A36602"/>
    <w:rsid w:val="00A36BDE"/>
    <w:rsid w:val="00A36D3C"/>
    <w:rsid w:val="00A37394"/>
    <w:rsid w:val="00A37983"/>
    <w:rsid w:val="00A379C3"/>
    <w:rsid w:val="00A37C5B"/>
    <w:rsid w:val="00A37D85"/>
    <w:rsid w:val="00A409E3"/>
    <w:rsid w:val="00A40DD8"/>
    <w:rsid w:val="00A412A4"/>
    <w:rsid w:val="00A41368"/>
    <w:rsid w:val="00A417D0"/>
    <w:rsid w:val="00A41D39"/>
    <w:rsid w:val="00A4202C"/>
    <w:rsid w:val="00A420C1"/>
    <w:rsid w:val="00A42E3E"/>
    <w:rsid w:val="00A43A03"/>
    <w:rsid w:val="00A43A32"/>
    <w:rsid w:val="00A4426A"/>
    <w:rsid w:val="00A4458E"/>
    <w:rsid w:val="00A4484C"/>
    <w:rsid w:val="00A44937"/>
    <w:rsid w:val="00A44AB7"/>
    <w:rsid w:val="00A44EBA"/>
    <w:rsid w:val="00A45241"/>
    <w:rsid w:val="00A45590"/>
    <w:rsid w:val="00A45804"/>
    <w:rsid w:val="00A45AB6"/>
    <w:rsid w:val="00A45C98"/>
    <w:rsid w:val="00A468AF"/>
    <w:rsid w:val="00A46950"/>
    <w:rsid w:val="00A46A45"/>
    <w:rsid w:val="00A46F4C"/>
    <w:rsid w:val="00A50098"/>
    <w:rsid w:val="00A50119"/>
    <w:rsid w:val="00A50429"/>
    <w:rsid w:val="00A5070D"/>
    <w:rsid w:val="00A50BDE"/>
    <w:rsid w:val="00A517C6"/>
    <w:rsid w:val="00A51A83"/>
    <w:rsid w:val="00A51BA1"/>
    <w:rsid w:val="00A51D04"/>
    <w:rsid w:val="00A521EC"/>
    <w:rsid w:val="00A52215"/>
    <w:rsid w:val="00A5223B"/>
    <w:rsid w:val="00A52314"/>
    <w:rsid w:val="00A52379"/>
    <w:rsid w:val="00A52787"/>
    <w:rsid w:val="00A528D9"/>
    <w:rsid w:val="00A532C8"/>
    <w:rsid w:val="00A5330A"/>
    <w:rsid w:val="00A538E1"/>
    <w:rsid w:val="00A53D60"/>
    <w:rsid w:val="00A54880"/>
    <w:rsid w:val="00A54AB3"/>
    <w:rsid w:val="00A5542A"/>
    <w:rsid w:val="00A55E0B"/>
    <w:rsid w:val="00A55FE7"/>
    <w:rsid w:val="00A56117"/>
    <w:rsid w:val="00A561F7"/>
    <w:rsid w:val="00A562BD"/>
    <w:rsid w:val="00A563D7"/>
    <w:rsid w:val="00A5674D"/>
    <w:rsid w:val="00A56BE3"/>
    <w:rsid w:val="00A56C99"/>
    <w:rsid w:val="00A56F25"/>
    <w:rsid w:val="00A56F6E"/>
    <w:rsid w:val="00A57800"/>
    <w:rsid w:val="00A579C3"/>
    <w:rsid w:val="00A6066A"/>
    <w:rsid w:val="00A607B8"/>
    <w:rsid w:val="00A60B2D"/>
    <w:rsid w:val="00A60CDA"/>
    <w:rsid w:val="00A612A2"/>
    <w:rsid w:val="00A617F7"/>
    <w:rsid w:val="00A6185D"/>
    <w:rsid w:val="00A61CF0"/>
    <w:rsid w:val="00A61E4F"/>
    <w:rsid w:val="00A62170"/>
    <w:rsid w:val="00A625B4"/>
    <w:rsid w:val="00A628C1"/>
    <w:rsid w:val="00A62A44"/>
    <w:rsid w:val="00A62E60"/>
    <w:rsid w:val="00A631ED"/>
    <w:rsid w:val="00A63433"/>
    <w:rsid w:val="00A64C9C"/>
    <w:rsid w:val="00A64F40"/>
    <w:rsid w:val="00A64FA2"/>
    <w:rsid w:val="00A64FBF"/>
    <w:rsid w:val="00A6571B"/>
    <w:rsid w:val="00A65F9F"/>
    <w:rsid w:val="00A668EB"/>
    <w:rsid w:val="00A66925"/>
    <w:rsid w:val="00A66C4E"/>
    <w:rsid w:val="00A66F78"/>
    <w:rsid w:val="00A67FC1"/>
    <w:rsid w:val="00A7009B"/>
    <w:rsid w:val="00A70932"/>
    <w:rsid w:val="00A70BCC"/>
    <w:rsid w:val="00A71048"/>
    <w:rsid w:val="00A7211F"/>
    <w:rsid w:val="00A72D1B"/>
    <w:rsid w:val="00A72DB4"/>
    <w:rsid w:val="00A72F36"/>
    <w:rsid w:val="00A72F99"/>
    <w:rsid w:val="00A73D83"/>
    <w:rsid w:val="00A73F2F"/>
    <w:rsid w:val="00A74230"/>
    <w:rsid w:val="00A74788"/>
    <w:rsid w:val="00A74AAB"/>
    <w:rsid w:val="00A74E5F"/>
    <w:rsid w:val="00A752B2"/>
    <w:rsid w:val="00A75A86"/>
    <w:rsid w:val="00A75E9D"/>
    <w:rsid w:val="00A76A76"/>
    <w:rsid w:val="00A76B07"/>
    <w:rsid w:val="00A76D22"/>
    <w:rsid w:val="00A76DBC"/>
    <w:rsid w:val="00A76DC2"/>
    <w:rsid w:val="00A773D0"/>
    <w:rsid w:val="00A77F37"/>
    <w:rsid w:val="00A8054D"/>
    <w:rsid w:val="00A80A59"/>
    <w:rsid w:val="00A80E27"/>
    <w:rsid w:val="00A811C4"/>
    <w:rsid w:val="00A8121C"/>
    <w:rsid w:val="00A813CB"/>
    <w:rsid w:val="00A813E5"/>
    <w:rsid w:val="00A816E6"/>
    <w:rsid w:val="00A81E96"/>
    <w:rsid w:val="00A81FC2"/>
    <w:rsid w:val="00A8207B"/>
    <w:rsid w:val="00A82942"/>
    <w:rsid w:val="00A8331B"/>
    <w:rsid w:val="00A834E8"/>
    <w:rsid w:val="00A83E2E"/>
    <w:rsid w:val="00A842ED"/>
    <w:rsid w:val="00A84527"/>
    <w:rsid w:val="00A85138"/>
    <w:rsid w:val="00A85177"/>
    <w:rsid w:val="00A85411"/>
    <w:rsid w:val="00A861CE"/>
    <w:rsid w:val="00A862A5"/>
    <w:rsid w:val="00A86471"/>
    <w:rsid w:val="00A867F2"/>
    <w:rsid w:val="00A8688A"/>
    <w:rsid w:val="00A868FC"/>
    <w:rsid w:val="00A86AFD"/>
    <w:rsid w:val="00A86BE1"/>
    <w:rsid w:val="00A86BE3"/>
    <w:rsid w:val="00A86CF5"/>
    <w:rsid w:val="00A86FE4"/>
    <w:rsid w:val="00A876DC"/>
    <w:rsid w:val="00A87735"/>
    <w:rsid w:val="00A879F8"/>
    <w:rsid w:val="00A87C08"/>
    <w:rsid w:val="00A900BD"/>
    <w:rsid w:val="00A90441"/>
    <w:rsid w:val="00A90FB1"/>
    <w:rsid w:val="00A9105F"/>
    <w:rsid w:val="00A91206"/>
    <w:rsid w:val="00A9129A"/>
    <w:rsid w:val="00A91652"/>
    <w:rsid w:val="00A91985"/>
    <w:rsid w:val="00A91B3E"/>
    <w:rsid w:val="00A91C33"/>
    <w:rsid w:val="00A92324"/>
    <w:rsid w:val="00A926BE"/>
    <w:rsid w:val="00A929F3"/>
    <w:rsid w:val="00A92A3B"/>
    <w:rsid w:val="00A92CE9"/>
    <w:rsid w:val="00A9321C"/>
    <w:rsid w:val="00A937D9"/>
    <w:rsid w:val="00A93BEF"/>
    <w:rsid w:val="00A93D14"/>
    <w:rsid w:val="00A93ED9"/>
    <w:rsid w:val="00A93F01"/>
    <w:rsid w:val="00A9412C"/>
    <w:rsid w:val="00A94222"/>
    <w:rsid w:val="00A949FA"/>
    <w:rsid w:val="00A94AB6"/>
    <w:rsid w:val="00A94AC7"/>
    <w:rsid w:val="00A9515A"/>
    <w:rsid w:val="00A95271"/>
    <w:rsid w:val="00A95762"/>
    <w:rsid w:val="00A95D35"/>
    <w:rsid w:val="00A95DFD"/>
    <w:rsid w:val="00A9625F"/>
    <w:rsid w:val="00A965D0"/>
    <w:rsid w:val="00A96C7C"/>
    <w:rsid w:val="00A97266"/>
    <w:rsid w:val="00A976D0"/>
    <w:rsid w:val="00AA03A0"/>
    <w:rsid w:val="00AA0633"/>
    <w:rsid w:val="00AA0FF7"/>
    <w:rsid w:val="00AA11CD"/>
    <w:rsid w:val="00AA21BD"/>
    <w:rsid w:val="00AA2556"/>
    <w:rsid w:val="00AA25C0"/>
    <w:rsid w:val="00AA27BA"/>
    <w:rsid w:val="00AA2AF1"/>
    <w:rsid w:val="00AA2B87"/>
    <w:rsid w:val="00AA3618"/>
    <w:rsid w:val="00AA3D0C"/>
    <w:rsid w:val="00AA4016"/>
    <w:rsid w:val="00AA45F7"/>
    <w:rsid w:val="00AA5820"/>
    <w:rsid w:val="00AA5BAF"/>
    <w:rsid w:val="00AA5C8E"/>
    <w:rsid w:val="00AA5DA0"/>
    <w:rsid w:val="00AA7981"/>
    <w:rsid w:val="00AA7B32"/>
    <w:rsid w:val="00AB04D0"/>
    <w:rsid w:val="00AB0757"/>
    <w:rsid w:val="00AB0F76"/>
    <w:rsid w:val="00AB198F"/>
    <w:rsid w:val="00AB1A59"/>
    <w:rsid w:val="00AB2134"/>
    <w:rsid w:val="00AB37AC"/>
    <w:rsid w:val="00AB4528"/>
    <w:rsid w:val="00AB47FD"/>
    <w:rsid w:val="00AB4FD6"/>
    <w:rsid w:val="00AB51B8"/>
    <w:rsid w:val="00AB541F"/>
    <w:rsid w:val="00AB6CE7"/>
    <w:rsid w:val="00AB6E23"/>
    <w:rsid w:val="00AB7B77"/>
    <w:rsid w:val="00AC028E"/>
    <w:rsid w:val="00AC06EA"/>
    <w:rsid w:val="00AC09EC"/>
    <w:rsid w:val="00AC0CE4"/>
    <w:rsid w:val="00AC0DDF"/>
    <w:rsid w:val="00AC0F6F"/>
    <w:rsid w:val="00AC10A1"/>
    <w:rsid w:val="00AC136E"/>
    <w:rsid w:val="00AC1A42"/>
    <w:rsid w:val="00AC1EE6"/>
    <w:rsid w:val="00AC2518"/>
    <w:rsid w:val="00AC2881"/>
    <w:rsid w:val="00AC2DEA"/>
    <w:rsid w:val="00AC31AC"/>
    <w:rsid w:val="00AC31C0"/>
    <w:rsid w:val="00AC3533"/>
    <w:rsid w:val="00AC396D"/>
    <w:rsid w:val="00AC40DB"/>
    <w:rsid w:val="00AC4121"/>
    <w:rsid w:val="00AC433A"/>
    <w:rsid w:val="00AC46F9"/>
    <w:rsid w:val="00AC486E"/>
    <w:rsid w:val="00AC51AD"/>
    <w:rsid w:val="00AC54E6"/>
    <w:rsid w:val="00AC7035"/>
    <w:rsid w:val="00AC7177"/>
    <w:rsid w:val="00AC72F8"/>
    <w:rsid w:val="00AD07ED"/>
    <w:rsid w:val="00AD08A0"/>
    <w:rsid w:val="00AD0E63"/>
    <w:rsid w:val="00AD0F04"/>
    <w:rsid w:val="00AD104D"/>
    <w:rsid w:val="00AD10E2"/>
    <w:rsid w:val="00AD13B6"/>
    <w:rsid w:val="00AD1670"/>
    <w:rsid w:val="00AD1EB8"/>
    <w:rsid w:val="00AD2783"/>
    <w:rsid w:val="00AD3254"/>
    <w:rsid w:val="00AD3E60"/>
    <w:rsid w:val="00AD44DF"/>
    <w:rsid w:val="00AD48D0"/>
    <w:rsid w:val="00AD49EA"/>
    <w:rsid w:val="00AD4B28"/>
    <w:rsid w:val="00AD501D"/>
    <w:rsid w:val="00AD50B1"/>
    <w:rsid w:val="00AD548B"/>
    <w:rsid w:val="00AD554E"/>
    <w:rsid w:val="00AD5DCC"/>
    <w:rsid w:val="00AD5EC0"/>
    <w:rsid w:val="00AD62C8"/>
    <w:rsid w:val="00AD67A3"/>
    <w:rsid w:val="00AD7823"/>
    <w:rsid w:val="00AE0146"/>
    <w:rsid w:val="00AE0B08"/>
    <w:rsid w:val="00AE0B26"/>
    <w:rsid w:val="00AE17ED"/>
    <w:rsid w:val="00AE183B"/>
    <w:rsid w:val="00AE2032"/>
    <w:rsid w:val="00AE218E"/>
    <w:rsid w:val="00AE2B5A"/>
    <w:rsid w:val="00AE2DD7"/>
    <w:rsid w:val="00AE2EDB"/>
    <w:rsid w:val="00AE32DA"/>
    <w:rsid w:val="00AE4967"/>
    <w:rsid w:val="00AE50FB"/>
    <w:rsid w:val="00AE63ED"/>
    <w:rsid w:val="00AE64A9"/>
    <w:rsid w:val="00AE6AA9"/>
    <w:rsid w:val="00AE774A"/>
    <w:rsid w:val="00AE7758"/>
    <w:rsid w:val="00AE7DD3"/>
    <w:rsid w:val="00AE7E10"/>
    <w:rsid w:val="00AE7EAA"/>
    <w:rsid w:val="00AF0148"/>
    <w:rsid w:val="00AF04AD"/>
    <w:rsid w:val="00AF06BE"/>
    <w:rsid w:val="00AF0C92"/>
    <w:rsid w:val="00AF0EAB"/>
    <w:rsid w:val="00AF10E8"/>
    <w:rsid w:val="00AF1136"/>
    <w:rsid w:val="00AF1285"/>
    <w:rsid w:val="00AF1D46"/>
    <w:rsid w:val="00AF1EE1"/>
    <w:rsid w:val="00AF25A2"/>
    <w:rsid w:val="00AF2AC7"/>
    <w:rsid w:val="00AF2C1E"/>
    <w:rsid w:val="00AF2CBE"/>
    <w:rsid w:val="00AF2D35"/>
    <w:rsid w:val="00AF3794"/>
    <w:rsid w:val="00AF37A1"/>
    <w:rsid w:val="00AF383F"/>
    <w:rsid w:val="00AF3C31"/>
    <w:rsid w:val="00AF3F53"/>
    <w:rsid w:val="00AF4DC9"/>
    <w:rsid w:val="00AF5A9B"/>
    <w:rsid w:val="00AF6238"/>
    <w:rsid w:val="00AF6C28"/>
    <w:rsid w:val="00AF6D1F"/>
    <w:rsid w:val="00AF6D55"/>
    <w:rsid w:val="00AF7054"/>
    <w:rsid w:val="00AF7F10"/>
    <w:rsid w:val="00AF7FAA"/>
    <w:rsid w:val="00B00050"/>
    <w:rsid w:val="00B00132"/>
    <w:rsid w:val="00B0092C"/>
    <w:rsid w:val="00B00AB4"/>
    <w:rsid w:val="00B00B6A"/>
    <w:rsid w:val="00B00DEB"/>
    <w:rsid w:val="00B01081"/>
    <w:rsid w:val="00B01568"/>
    <w:rsid w:val="00B01D85"/>
    <w:rsid w:val="00B028BE"/>
    <w:rsid w:val="00B02949"/>
    <w:rsid w:val="00B02CED"/>
    <w:rsid w:val="00B02E46"/>
    <w:rsid w:val="00B03574"/>
    <w:rsid w:val="00B03A19"/>
    <w:rsid w:val="00B03D2E"/>
    <w:rsid w:val="00B043D6"/>
    <w:rsid w:val="00B04690"/>
    <w:rsid w:val="00B04B0A"/>
    <w:rsid w:val="00B0541E"/>
    <w:rsid w:val="00B0575B"/>
    <w:rsid w:val="00B05938"/>
    <w:rsid w:val="00B05C4D"/>
    <w:rsid w:val="00B05E2E"/>
    <w:rsid w:val="00B06341"/>
    <w:rsid w:val="00B067BA"/>
    <w:rsid w:val="00B06B4B"/>
    <w:rsid w:val="00B06C2E"/>
    <w:rsid w:val="00B06D76"/>
    <w:rsid w:val="00B07270"/>
    <w:rsid w:val="00B0778D"/>
    <w:rsid w:val="00B079FB"/>
    <w:rsid w:val="00B11070"/>
    <w:rsid w:val="00B11649"/>
    <w:rsid w:val="00B11A5B"/>
    <w:rsid w:val="00B11DB0"/>
    <w:rsid w:val="00B11DBA"/>
    <w:rsid w:val="00B12DE9"/>
    <w:rsid w:val="00B12E4C"/>
    <w:rsid w:val="00B13393"/>
    <w:rsid w:val="00B13807"/>
    <w:rsid w:val="00B13857"/>
    <w:rsid w:val="00B13860"/>
    <w:rsid w:val="00B138DA"/>
    <w:rsid w:val="00B13905"/>
    <w:rsid w:val="00B13A31"/>
    <w:rsid w:val="00B147A0"/>
    <w:rsid w:val="00B14AE4"/>
    <w:rsid w:val="00B14C07"/>
    <w:rsid w:val="00B154FE"/>
    <w:rsid w:val="00B173F7"/>
    <w:rsid w:val="00B1767D"/>
    <w:rsid w:val="00B1786C"/>
    <w:rsid w:val="00B179C3"/>
    <w:rsid w:val="00B17DCE"/>
    <w:rsid w:val="00B20015"/>
    <w:rsid w:val="00B201B3"/>
    <w:rsid w:val="00B202FF"/>
    <w:rsid w:val="00B2087D"/>
    <w:rsid w:val="00B20B7F"/>
    <w:rsid w:val="00B216CD"/>
    <w:rsid w:val="00B222B0"/>
    <w:rsid w:val="00B22422"/>
    <w:rsid w:val="00B22B17"/>
    <w:rsid w:val="00B2305A"/>
    <w:rsid w:val="00B2337F"/>
    <w:rsid w:val="00B23FA4"/>
    <w:rsid w:val="00B241E6"/>
    <w:rsid w:val="00B24208"/>
    <w:rsid w:val="00B2434E"/>
    <w:rsid w:val="00B243A3"/>
    <w:rsid w:val="00B252F2"/>
    <w:rsid w:val="00B25C86"/>
    <w:rsid w:val="00B25DCE"/>
    <w:rsid w:val="00B25DD0"/>
    <w:rsid w:val="00B25EF4"/>
    <w:rsid w:val="00B25F19"/>
    <w:rsid w:val="00B25F4D"/>
    <w:rsid w:val="00B2659C"/>
    <w:rsid w:val="00B26A45"/>
    <w:rsid w:val="00B26D87"/>
    <w:rsid w:val="00B27562"/>
    <w:rsid w:val="00B275D4"/>
    <w:rsid w:val="00B27F9C"/>
    <w:rsid w:val="00B3008C"/>
    <w:rsid w:val="00B309EE"/>
    <w:rsid w:val="00B30F64"/>
    <w:rsid w:val="00B3118E"/>
    <w:rsid w:val="00B3119A"/>
    <w:rsid w:val="00B314CA"/>
    <w:rsid w:val="00B31CDE"/>
    <w:rsid w:val="00B32391"/>
    <w:rsid w:val="00B329BB"/>
    <w:rsid w:val="00B33486"/>
    <w:rsid w:val="00B33926"/>
    <w:rsid w:val="00B33DE3"/>
    <w:rsid w:val="00B34530"/>
    <w:rsid w:val="00B3459B"/>
    <w:rsid w:val="00B345F3"/>
    <w:rsid w:val="00B3467F"/>
    <w:rsid w:val="00B346EF"/>
    <w:rsid w:val="00B34A6C"/>
    <w:rsid w:val="00B34C14"/>
    <w:rsid w:val="00B34D35"/>
    <w:rsid w:val="00B35303"/>
    <w:rsid w:val="00B359B5"/>
    <w:rsid w:val="00B35C6E"/>
    <w:rsid w:val="00B35CB5"/>
    <w:rsid w:val="00B36359"/>
    <w:rsid w:val="00B36F7C"/>
    <w:rsid w:val="00B37302"/>
    <w:rsid w:val="00B374AA"/>
    <w:rsid w:val="00B37CFE"/>
    <w:rsid w:val="00B37F8A"/>
    <w:rsid w:val="00B400F9"/>
    <w:rsid w:val="00B40ABD"/>
    <w:rsid w:val="00B41630"/>
    <w:rsid w:val="00B41707"/>
    <w:rsid w:val="00B41B18"/>
    <w:rsid w:val="00B41D95"/>
    <w:rsid w:val="00B420C9"/>
    <w:rsid w:val="00B4249F"/>
    <w:rsid w:val="00B42686"/>
    <w:rsid w:val="00B43EE8"/>
    <w:rsid w:val="00B43F90"/>
    <w:rsid w:val="00B44793"/>
    <w:rsid w:val="00B448EF"/>
    <w:rsid w:val="00B44914"/>
    <w:rsid w:val="00B44D5D"/>
    <w:rsid w:val="00B450D5"/>
    <w:rsid w:val="00B457AA"/>
    <w:rsid w:val="00B45972"/>
    <w:rsid w:val="00B46012"/>
    <w:rsid w:val="00B464ED"/>
    <w:rsid w:val="00B46519"/>
    <w:rsid w:val="00B46E11"/>
    <w:rsid w:val="00B475E1"/>
    <w:rsid w:val="00B4772A"/>
    <w:rsid w:val="00B47CF0"/>
    <w:rsid w:val="00B47F6C"/>
    <w:rsid w:val="00B50040"/>
    <w:rsid w:val="00B50218"/>
    <w:rsid w:val="00B50FED"/>
    <w:rsid w:val="00B514B4"/>
    <w:rsid w:val="00B517E2"/>
    <w:rsid w:val="00B51862"/>
    <w:rsid w:val="00B518DB"/>
    <w:rsid w:val="00B51964"/>
    <w:rsid w:val="00B5198B"/>
    <w:rsid w:val="00B5198F"/>
    <w:rsid w:val="00B51ADE"/>
    <w:rsid w:val="00B521CC"/>
    <w:rsid w:val="00B526FB"/>
    <w:rsid w:val="00B52906"/>
    <w:rsid w:val="00B52D58"/>
    <w:rsid w:val="00B53254"/>
    <w:rsid w:val="00B532F8"/>
    <w:rsid w:val="00B5351F"/>
    <w:rsid w:val="00B53C5B"/>
    <w:rsid w:val="00B53E06"/>
    <w:rsid w:val="00B54678"/>
    <w:rsid w:val="00B55197"/>
    <w:rsid w:val="00B554F4"/>
    <w:rsid w:val="00B56280"/>
    <w:rsid w:val="00B56AB3"/>
    <w:rsid w:val="00B57042"/>
    <w:rsid w:val="00B57790"/>
    <w:rsid w:val="00B57970"/>
    <w:rsid w:val="00B57FD7"/>
    <w:rsid w:val="00B600B6"/>
    <w:rsid w:val="00B6061A"/>
    <w:rsid w:val="00B606F4"/>
    <w:rsid w:val="00B60B26"/>
    <w:rsid w:val="00B61B6F"/>
    <w:rsid w:val="00B61E3E"/>
    <w:rsid w:val="00B62063"/>
    <w:rsid w:val="00B623A1"/>
    <w:rsid w:val="00B625A6"/>
    <w:rsid w:val="00B629FF"/>
    <w:rsid w:val="00B62A2D"/>
    <w:rsid w:val="00B63E59"/>
    <w:rsid w:val="00B6466F"/>
    <w:rsid w:val="00B6470E"/>
    <w:rsid w:val="00B64A6D"/>
    <w:rsid w:val="00B64B1F"/>
    <w:rsid w:val="00B64D09"/>
    <w:rsid w:val="00B64D2C"/>
    <w:rsid w:val="00B65371"/>
    <w:rsid w:val="00B65471"/>
    <w:rsid w:val="00B65AFF"/>
    <w:rsid w:val="00B65D8D"/>
    <w:rsid w:val="00B6612C"/>
    <w:rsid w:val="00B66A12"/>
    <w:rsid w:val="00B66ECA"/>
    <w:rsid w:val="00B66F13"/>
    <w:rsid w:val="00B67753"/>
    <w:rsid w:val="00B67D96"/>
    <w:rsid w:val="00B700D3"/>
    <w:rsid w:val="00B70620"/>
    <w:rsid w:val="00B70BF6"/>
    <w:rsid w:val="00B70C17"/>
    <w:rsid w:val="00B71453"/>
    <w:rsid w:val="00B7150C"/>
    <w:rsid w:val="00B728DB"/>
    <w:rsid w:val="00B72E7F"/>
    <w:rsid w:val="00B7306D"/>
    <w:rsid w:val="00B731FE"/>
    <w:rsid w:val="00B735A1"/>
    <w:rsid w:val="00B73823"/>
    <w:rsid w:val="00B73C33"/>
    <w:rsid w:val="00B73C6D"/>
    <w:rsid w:val="00B73C84"/>
    <w:rsid w:val="00B740F5"/>
    <w:rsid w:val="00B7437D"/>
    <w:rsid w:val="00B748A8"/>
    <w:rsid w:val="00B74959"/>
    <w:rsid w:val="00B7497C"/>
    <w:rsid w:val="00B751AA"/>
    <w:rsid w:val="00B7534C"/>
    <w:rsid w:val="00B7543B"/>
    <w:rsid w:val="00B759A2"/>
    <w:rsid w:val="00B75BEE"/>
    <w:rsid w:val="00B76885"/>
    <w:rsid w:val="00B7698E"/>
    <w:rsid w:val="00B76A63"/>
    <w:rsid w:val="00B77474"/>
    <w:rsid w:val="00B77805"/>
    <w:rsid w:val="00B77D1F"/>
    <w:rsid w:val="00B80CB1"/>
    <w:rsid w:val="00B80F52"/>
    <w:rsid w:val="00B81515"/>
    <w:rsid w:val="00B8158B"/>
    <w:rsid w:val="00B81609"/>
    <w:rsid w:val="00B81EF8"/>
    <w:rsid w:val="00B82869"/>
    <w:rsid w:val="00B8298D"/>
    <w:rsid w:val="00B82BF5"/>
    <w:rsid w:val="00B83495"/>
    <w:rsid w:val="00B83873"/>
    <w:rsid w:val="00B848A6"/>
    <w:rsid w:val="00B84A9E"/>
    <w:rsid w:val="00B85D06"/>
    <w:rsid w:val="00B86124"/>
    <w:rsid w:val="00B861D9"/>
    <w:rsid w:val="00B86853"/>
    <w:rsid w:val="00B86B5B"/>
    <w:rsid w:val="00B87384"/>
    <w:rsid w:val="00B87B87"/>
    <w:rsid w:val="00B90463"/>
    <w:rsid w:val="00B905D6"/>
    <w:rsid w:val="00B90C80"/>
    <w:rsid w:val="00B918A6"/>
    <w:rsid w:val="00B91AEA"/>
    <w:rsid w:val="00B92185"/>
    <w:rsid w:val="00B9281E"/>
    <w:rsid w:val="00B92E16"/>
    <w:rsid w:val="00B92E65"/>
    <w:rsid w:val="00B93039"/>
    <w:rsid w:val="00B931FC"/>
    <w:rsid w:val="00B93751"/>
    <w:rsid w:val="00B9397D"/>
    <w:rsid w:val="00B9449A"/>
    <w:rsid w:val="00B944E8"/>
    <w:rsid w:val="00B948FC"/>
    <w:rsid w:val="00B94AB0"/>
    <w:rsid w:val="00B9597F"/>
    <w:rsid w:val="00B95C84"/>
    <w:rsid w:val="00B96444"/>
    <w:rsid w:val="00B96FD3"/>
    <w:rsid w:val="00B9700F"/>
    <w:rsid w:val="00B975C5"/>
    <w:rsid w:val="00B97938"/>
    <w:rsid w:val="00B97A6F"/>
    <w:rsid w:val="00BA01E1"/>
    <w:rsid w:val="00BA03F7"/>
    <w:rsid w:val="00BA214F"/>
    <w:rsid w:val="00BA2EC1"/>
    <w:rsid w:val="00BA318B"/>
    <w:rsid w:val="00BA34AB"/>
    <w:rsid w:val="00BA3907"/>
    <w:rsid w:val="00BA3C42"/>
    <w:rsid w:val="00BA3CD5"/>
    <w:rsid w:val="00BA3DC3"/>
    <w:rsid w:val="00BA3F6C"/>
    <w:rsid w:val="00BA4837"/>
    <w:rsid w:val="00BA4856"/>
    <w:rsid w:val="00BA4BD0"/>
    <w:rsid w:val="00BA5E9E"/>
    <w:rsid w:val="00BA612E"/>
    <w:rsid w:val="00BA67B7"/>
    <w:rsid w:val="00BA745C"/>
    <w:rsid w:val="00BB020F"/>
    <w:rsid w:val="00BB03AC"/>
    <w:rsid w:val="00BB16C6"/>
    <w:rsid w:val="00BB1775"/>
    <w:rsid w:val="00BB1DBD"/>
    <w:rsid w:val="00BB1FFD"/>
    <w:rsid w:val="00BB201E"/>
    <w:rsid w:val="00BB2E17"/>
    <w:rsid w:val="00BB30D3"/>
    <w:rsid w:val="00BB33B7"/>
    <w:rsid w:val="00BB426B"/>
    <w:rsid w:val="00BB444B"/>
    <w:rsid w:val="00BB547F"/>
    <w:rsid w:val="00BB566B"/>
    <w:rsid w:val="00BB5C1D"/>
    <w:rsid w:val="00BB5E17"/>
    <w:rsid w:val="00BB61E4"/>
    <w:rsid w:val="00BB6AF5"/>
    <w:rsid w:val="00BB6FF8"/>
    <w:rsid w:val="00BB75CC"/>
    <w:rsid w:val="00BC0934"/>
    <w:rsid w:val="00BC0C6C"/>
    <w:rsid w:val="00BC1160"/>
    <w:rsid w:val="00BC1483"/>
    <w:rsid w:val="00BC1A8F"/>
    <w:rsid w:val="00BC1EA9"/>
    <w:rsid w:val="00BC1FF5"/>
    <w:rsid w:val="00BC2030"/>
    <w:rsid w:val="00BC2272"/>
    <w:rsid w:val="00BC23F3"/>
    <w:rsid w:val="00BC2537"/>
    <w:rsid w:val="00BC2A33"/>
    <w:rsid w:val="00BC2CC2"/>
    <w:rsid w:val="00BC3D0F"/>
    <w:rsid w:val="00BC3EF3"/>
    <w:rsid w:val="00BC4C09"/>
    <w:rsid w:val="00BC506A"/>
    <w:rsid w:val="00BC506B"/>
    <w:rsid w:val="00BC52AB"/>
    <w:rsid w:val="00BC58AD"/>
    <w:rsid w:val="00BC5E7C"/>
    <w:rsid w:val="00BC6277"/>
    <w:rsid w:val="00BC6879"/>
    <w:rsid w:val="00BC6BB3"/>
    <w:rsid w:val="00BC72D4"/>
    <w:rsid w:val="00BC73A6"/>
    <w:rsid w:val="00BC7D86"/>
    <w:rsid w:val="00BC7FF8"/>
    <w:rsid w:val="00BD0171"/>
    <w:rsid w:val="00BD034A"/>
    <w:rsid w:val="00BD1365"/>
    <w:rsid w:val="00BD166E"/>
    <w:rsid w:val="00BD1749"/>
    <w:rsid w:val="00BD1A11"/>
    <w:rsid w:val="00BD1A67"/>
    <w:rsid w:val="00BD1BC7"/>
    <w:rsid w:val="00BD1EBA"/>
    <w:rsid w:val="00BD20D3"/>
    <w:rsid w:val="00BD28CA"/>
    <w:rsid w:val="00BD341D"/>
    <w:rsid w:val="00BD3440"/>
    <w:rsid w:val="00BD3CDA"/>
    <w:rsid w:val="00BD3D73"/>
    <w:rsid w:val="00BD426E"/>
    <w:rsid w:val="00BD4426"/>
    <w:rsid w:val="00BD4927"/>
    <w:rsid w:val="00BD4AE4"/>
    <w:rsid w:val="00BD5045"/>
    <w:rsid w:val="00BD526B"/>
    <w:rsid w:val="00BD5299"/>
    <w:rsid w:val="00BD5506"/>
    <w:rsid w:val="00BD58EA"/>
    <w:rsid w:val="00BD5B6C"/>
    <w:rsid w:val="00BD6C58"/>
    <w:rsid w:val="00BD6D05"/>
    <w:rsid w:val="00BD6F0F"/>
    <w:rsid w:val="00BD7030"/>
    <w:rsid w:val="00BD76D5"/>
    <w:rsid w:val="00BD79A6"/>
    <w:rsid w:val="00BD7F44"/>
    <w:rsid w:val="00BE01D9"/>
    <w:rsid w:val="00BE02AD"/>
    <w:rsid w:val="00BE056F"/>
    <w:rsid w:val="00BE1D41"/>
    <w:rsid w:val="00BE2920"/>
    <w:rsid w:val="00BE2B98"/>
    <w:rsid w:val="00BE2BC7"/>
    <w:rsid w:val="00BE2D22"/>
    <w:rsid w:val="00BE2F56"/>
    <w:rsid w:val="00BE3542"/>
    <w:rsid w:val="00BE355E"/>
    <w:rsid w:val="00BE3B27"/>
    <w:rsid w:val="00BE417E"/>
    <w:rsid w:val="00BE458D"/>
    <w:rsid w:val="00BE4A02"/>
    <w:rsid w:val="00BE4B87"/>
    <w:rsid w:val="00BE5804"/>
    <w:rsid w:val="00BE5D49"/>
    <w:rsid w:val="00BE667F"/>
    <w:rsid w:val="00BE6979"/>
    <w:rsid w:val="00BE6D5E"/>
    <w:rsid w:val="00BE6E91"/>
    <w:rsid w:val="00BE78D9"/>
    <w:rsid w:val="00BE7FA8"/>
    <w:rsid w:val="00BE7FB6"/>
    <w:rsid w:val="00BF011C"/>
    <w:rsid w:val="00BF02BC"/>
    <w:rsid w:val="00BF0561"/>
    <w:rsid w:val="00BF0D24"/>
    <w:rsid w:val="00BF12C1"/>
    <w:rsid w:val="00BF14F6"/>
    <w:rsid w:val="00BF181B"/>
    <w:rsid w:val="00BF1AD5"/>
    <w:rsid w:val="00BF1B86"/>
    <w:rsid w:val="00BF1DC6"/>
    <w:rsid w:val="00BF2AA4"/>
    <w:rsid w:val="00BF3142"/>
    <w:rsid w:val="00BF3615"/>
    <w:rsid w:val="00BF3750"/>
    <w:rsid w:val="00BF3AC7"/>
    <w:rsid w:val="00BF4958"/>
    <w:rsid w:val="00BF4B3D"/>
    <w:rsid w:val="00BF50FB"/>
    <w:rsid w:val="00BF52C0"/>
    <w:rsid w:val="00BF54D4"/>
    <w:rsid w:val="00BF58C6"/>
    <w:rsid w:val="00BF59CE"/>
    <w:rsid w:val="00BF5AE7"/>
    <w:rsid w:val="00BF5E8F"/>
    <w:rsid w:val="00BF6679"/>
    <w:rsid w:val="00BF6BE3"/>
    <w:rsid w:val="00BF7442"/>
    <w:rsid w:val="00BF7474"/>
    <w:rsid w:val="00BF797B"/>
    <w:rsid w:val="00BF7AF0"/>
    <w:rsid w:val="00BF7D57"/>
    <w:rsid w:val="00C00439"/>
    <w:rsid w:val="00C004D4"/>
    <w:rsid w:val="00C00B68"/>
    <w:rsid w:val="00C00FD5"/>
    <w:rsid w:val="00C011C4"/>
    <w:rsid w:val="00C018EB"/>
    <w:rsid w:val="00C019D6"/>
    <w:rsid w:val="00C0215F"/>
    <w:rsid w:val="00C029D0"/>
    <w:rsid w:val="00C02F5E"/>
    <w:rsid w:val="00C03A7A"/>
    <w:rsid w:val="00C03D98"/>
    <w:rsid w:val="00C045F8"/>
    <w:rsid w:val="00C04912"/>
    <w:rsid w:val="00C04FB7"/>
    <w:rsid w:val="00C052E4"/>
    <w:rsid w:val="00C05376"/>
    <w:rsid w:val="00C05BB3"/>
    <w:rsid w:val="00C05D9F"/>
    <w:rsid w:val="00C06F12"/>
    <w:rsid w:val="00C07AEC"/>
    <w:rsid w:val="00C1021A"/>
    <w:rsid w:val="00C10327"/>
    <w:rsid w:val="00C10940"/>
    <w:rsid w:val="00C10B81"/>
    <w:rsid w:val="00C11025"/>
    <w:rsid w:val="00C1116A"/>
    <w:rsid w:val="00C11355"/>
    <w:rsid w:val="00C12BE0"/>
    <w:rsid w:val="00C12EDE"/>
    <w:rsid w:val="00C13218"/>
    <w:rsid w:val="00C132C5"/>
    <w:rsid w:val="00C1334F"/>
    <w:rsid w:val="00C13671"/>
    <w:rsid w:val="00C14CBA"/>
    <w:rsid w:val="00C14F18"/>
    <w:rsid w:val="00C15469"/>
    <w:rsid w:val="00C154F5"/>
    <w:rsid w:val="00C15D03"/>
    <w:rsid w:val="00C15ED2"/>
    <w:rsid w:val="00C16249"/>
    <w:rsid w:val="00C16997"/>
    <w:rsid w:val="00C16A46"/>
    <w:rsid w:val="00C16BDF"/>
    <w:rsid w:val="00C1739B"/>
    <w:rsid w:val="00C17508"/>
    <w:rsid w:val="00C17FD0"/>
    <w:rsid w:val="00C20618"/>
    <w:rsid w:val="00C206B5"/>
    <w:rsid w:val="00C20BC2"/>
    <w:rsid w:val="00C20DA7"/>
    <w:rsid w:val="00C21235"/>
    <w:rsid w:val="00C2145A"/>
    <w:rsid w:val="00C21E10"/>
    <w:rsid w:val="00C22181"/>
    <w:rsid w:val="00C221BB"/>
    <w:rsid w:val="00C2253E"/>
    <w:rsid w:val="00C225C5"/>
    <w:rsid w:val="00C2286C"/>
    <w:rsid w:val="00C22C37"/>
    <w:rsid w:val="00C22C82"/>
    <w:rsid w:val="00C22CBA"/>
    <w:rsid w:val="00C22DCB"/>
    <w:rsid w:val="00C23005"/>
    <w:rsid w:val="00C2387C"/>
    <w:rsid w:val="00C243EF"/>
    <w:rsid w:val="00C245D8"/>
    <w:rsid w:val="00C24A86"/>
    <w:rsid w:val="00C257F0"/>
    <w:rsid w:val="00C258FF"/>
    <w:rsid w:val="00C25A70"/>
    <w:rsid w:val="00C25A7B"/>
    <w:rsid w:val="00C25E06"/>
    <w:rsid w:val="00C26112"/>
    <w:rsid w:val="00C265E8"/>
    <w:rsid w:val="00C26629"/>
    <w:rsid w:val="00C268DE"/>
    <w:rsid w:val="00C26A0F"/>
    <w:rsid w:val="00C26A92"/>
    <w:rsid w:val="00C26E89"/>
    <w:rsid w:val="00C27013"/>
    <w:rsid w:val="00C2771F"/>
    <w:rsid w:val="00C27776"/>
    <w:rsid w:val="00C3097B"/>
    <w:rsid w:val="00C30B94"/>
    <w:rsid w:val="00C30CC3"/>
    <w:rsid w:val="00C31463"/>
    <w:rsid w:val="00C314E5"/>
    <w:rsid w:val="00C314F0"/>
    <w:rsid w:val="00C31646"/>
    <w:rsid w:val="00C31982"/>
    <w:rsid w:val="00C319D5"/>
    <w:rsid w:val="00C31A15"/>
    <w:rsid w:val="00C31CA7"/>
    <w:rsid w:val="00C31CE7"/>
    <w:rsid w:val="00C31DDB"/>
    <w:rsid w:val="00C3211A"/>
    <w:rsid w:val="00C321DD"/>
    <w:rsid w:val="00C3226F"/>
    <w:rsid w:val="00C323F3"/>
    <w:rsid w:val="00C32EAF"/>
    <w:rsid w:val="00C33597"/>
    <w:rsid w:val="00C338D6"/>
    <w:rsid w:val="00C3395E"/>
    <w:rsid w:val="00C33C91"/>
    <w:rsid w:val="00C34004"/>
    <w:rsid w:val="00C342C8"/>
    <w:rsid w:val="00C34F01"/>
    <w:rsid w:val="00C35063"/>
    <w:rsid w:val="00C3525D"/>
    <w:rsid w:val="00C357E9"/>
    <w:rsid w:val="00C364C9"/>
    <w:rsid w:val="00C36552"/>
    <w:rsid w:val="00C3687F"/>
    <w:rsid w:val="00C37085"/>
    <w:rsid w:val="00C37DCD"/>
    <w:rsid w:val="00C400C7"/>
    <w:rsid w:val="00C4046E"/>
    <w:rsid w:val="00C40690"/>
    <w:rsid w:val="00C408C0"/>
    <w:rsid w:val="00C409F7"/>
    <w:rsid w:val="00C40E17"/>
    <w:rsid w:val="00C4192D"/>
    <w:rsid w:val="00C42604"/>
    <w:rsid w:val="00C42C04"/>
    <w:rsid w:val="00C42ECC"/>
    <w:rsid w:val="00C43087"/>
    <w:rsid w:val="00C4338A"/>
    <w:rsid w:val="00C4388F"/>
    <w:rsid w:val="00C438B6"/>
    <w:rsid w:val="00C44178"/>
    <w:rsid w:val="00C441EA"/>
    <w:rsid w:val="00C45179"/>
    <w:rsid w:val="00C45435"/>
    <w:rsid w:val="00C45BA1"/>
    <w:rsid w:val="00C45C37"/>
    <w:rsid w:val="00C45FEE"/>
    <w:rsid w:val="00C46110"/>
    <w:rsid w:val="00C46610"/>
    <w:rsid w:val="00C46659"/>
    <w:rsid w:val="00C467A5"/>
    <w:rsid w:val="00C46EC7"/>
    <w:rsid w:val="00C47165"/>
    <w:rsid w:val="00C472F1"/>
    <w:rsid w:val="00C477D4"/>
    <w:rsid w:val="00C4782B"/>
    <w:rsid w:val="00C47FD1"/>
    <w:rsid w:val="00C511DE"/>
    <w:rsid w:val="00C51A72"/>
    <w:rsid w:val="00C524A9"/>
    <w:rsid w:val="00C52907"/>
    <w:rsid w:val="00C52CDF"/>
    <w:rsid w:val="00C52E8E"/>
    <w:rsid w:val="00C54252"/>
    <w:rsid w:val="00C5432A"/>
    <w:rsid w:val="00C546B6"/>
    <w:rsid w:val="00C5626B"/>
    <w:rsid w:val="00C563EC"/>
    <w:rsid w:val="00C5651E"/>
    <w:rsid w:val="00C5682A"/>
    <w:rsid w:val="00C56A04"/>
    <w:rsid w:val="00C56ED8"/>
    <w:rsid w:val="00C56F79"/>
    <w:rsid w:val="00C57FDE"/>
    <w:rsid w:val="00C601D0"/>
    <w:rsid w:val="00C6022F"/>
    <w:rsid w:val="00C60424"/>
    <w:rsid w:val="00C6078E"/>
    <w:rsid w:val="00C60A82"/>
    <w:rsid w:val="00C612E4"/>
    <w:rsid w:val="00C613EB"/>
    <w:rsid w:val="00C613F0"/>
    <w:rsid w:val="00C61446"/>
    <w:rsid w:val="00C61FB3"/>
    <w:rsid w:val="00C620C7"/>
    <w:rsid w:val="00C623D8"/>
    <w:rsid w:val="00C6245C"/>
    <w:rsid w:val="00C634E0"/>
    <w:rsid w:val="00C635A0"/>
    <w:rsid w:val="00C635C0"/>
    <w:rsid w:val="00C63AF4"/>
    <w:rsid w:val="00C63B55"/>
    <w:rsid w:val="00C6410D"/>
    <w:rsid w:val="00C6430A"/>
    <w:rsid w:val="00C649CE"/>
    <w:rsid w:val="00C64F11"/>
    <w:rsid w:val="00C651E5"/>
    <w:rsid w:val="00C657E2"/>
    <w:rsid w:val="00C65FED"/>
    <w:rsid w:val="00C66568"/>
    <w:rsid w:val="00C66AAD"/>
    <w:rsid w:val="00C66DAF"/>
    <w:rsid w:val="00C66DD2"/>
    <w:rsid w:val="00C66E0C"/>
    <w:rsid w:val="00C6767D"/>
    <w:rsid w:val="00C67CAD"/>
    <w:rsid w:val="00C67D78"/>
    <w:rsid w:val="00C67E4E"/>
    <w:rsid w:val="00C704CC"/>
    <w:rsid w:val="00C70708"/>
    <w:rsid w:val="00C717D4"/>
    <w:rsid w:val="00C71F1D"/>
    <w:rsid w:val="00C71F7D"/>
    <w:rsid w:val="00C72A0D"/>
    <w:rsid w:val="00C72A42"/>
    <w:rsid w:val="00C72B54"/>
    <w:rsid w:val="00C730F4"/>
    <w:rsid w:val="00C7373C"/>
    <w:rsid w:val="00C73758"/>
    <w:rsid w:val="00C73C6A"/>
    <w:rsid w:val="00C74340"/>
    <w:rsid w:val="00C74351"/>
    <w:rsid w:val="00C74707"/>
    <w:rsid w:val="00C7533B"/>
    <w:rsid w:val="00C7565E"/>
    <w:rsid w:val="00C7585F"/>
    <w:rsid w:val="00C75997"/>
    <w:rsid w:val="00C75F54"/>
    <w:rsid w:val="00C76781"/>
    <w:rsid w:val="00C76D21"/>
    <w:rsid w:val="00C76DFA"/>
    <w:rsid w:val="00C77165"/>
    <w:rsid w:val="00C77192"/>
    <w:rsid w:val="00C774C6"/>
    <w:rsid w:val="00C7754C"/>
    <w:rsid w:val="00C779CF"/>
    <w:rsid w:val="00C77B5E"/>
    <w:rsid w:val="00C77C70"/>
    <w:rsid w:val="00C80284"/>
    <w:rsid w:val="00C8066B"/>
    <w:rsid w:val="00C8072B"/>
    <w:rsid w:val="00C80E0B"/>
    <w:rsid w:val="00C81143"/>
    <w:rsid w:val="00C81503"/>
    <w:rsid w:val="00C81639"/>
    <w:rsid w:val="00C81CA3"/>
    <w:rsid w:val="00C81D06"/>
    <w:rsid w:val="00C81DDA"/>
    <w:rsid w:val="00C8227A"/>
    <w:rsid w:val="00C8336D"/>
    <w:rsid w:val="00C8336F"/>
    <w:rsid w:val="00C83680"/>
    <w:rsid w:val="00C83890"/>
    <w:rsid w:val="00C83A03"/>
    <w:rsid w:val="00C83F1E"/>
    <w:rsid w:val="00C841D5"/>
    <w:rsid w:val="00C846B3"/>
    <w:rsid w:val="00C84973"/>
    <w:rsid w:val="00C849EB"/>
    <w:rsid w:val="00C84A8B"/>
    <w:rsid w:val="00C84D66"/>
    <w:rsid w:val="00C84E98"/>
    <w:rsid w:val="00C85284"/>
    <w:rsid w:val="00C8638D"/>
    <w:rsid w:val="00C86625"/>
    <w:rsid w:val="00C867D4"/>
    <w:rsid w:val="00C86BDC"/>
    <w:rsid w:val="00C87054"/>
    <w:rsid w:val="00C875BA"/>
    <w:rsid w:val="00C87AB0"/>
    <w:rsid w:val="00C87CA3"/>
    <w:rsid w:val="00C90311"/>
    <w:rsid w:val="00C905F5"/>
    <w:rsid w:val="00C907F2"/>
    <w:rsid w:val="00C908F0"/>
    <w:rsid w:val="00C911D4"/>
    <w:rsid w:val="00C9123B"/>
    <w:rsid w:val="00C91D3D"/>
    <w:rsid w:val="00C92F98"/>
    <w:rsid w:val="00C9319D"/>
    <w:rsid w:val="00C93832"/>
    <w:rsid w:val="00C93EFB"/>
    <w:rsid w:val="00C94724"/>
    <w:rsid w:val="00C94C16"/>
    <w:rsid w:val="00C95081"/>
    <w:rsid w:val="00C951BC"/>
    <w:rsid w:val="00C95965"/>
    <w:rsid w:val="00C960E3"/>
    <w:rsid w:val="00C9668C"/>
    <w:rsid w:val="00C9698F"/>
    <w:rsid w:val="00C96BFF"/>
    <w:rsid w:val="00C96E35"/>
    <w:rsid w:val="00C97391"/>
    <w:rsid w:val="00C974D1"/>
    <w:rsid w:val="00CA0208"/>
    <w:rsid w:val="00CA0362"/>
    <w:rsid w:val="00CA07A1"/>
    <w:rsid w:val="00CA1571"/>
    <w:rsid w:val="00CA18BF"/>
    <w:rsid w:val="00CA1ACB"/>
    <w:rsid w:val="00CA1B0D"/>
    <w:rsid w:val="00CA2289"/>
    <w:rsid w:val="00CA2683"/>
    <w:rsid w:val="00CA28BE"/>
    <w:rsid w:val="00CA3FEC"/>
    <w:rsid w:val="00CA49FA"/>
    <w:rsid w:val="00CA4B5A"/>
    <w:rsid w:val="00CA5131"/>
    <w:rsid w:val="00CA55FB"/>
    <w:rsid w:val="00CA6A67"/>
    <w:rsid w:val="00CA6C25"/>
    <w:rsid w:val="00CA72DB"/>
    <w:rsid w:val="00CA7310"/>
    <w:rsid w:val="00CA7454"/>
    <w:rsid w:val="00CA746D"/>
    <w:rsid w:val="00CA7C7C"/>
    <w:rsid w:val="00CB0097"/>
    <w:rsid w:val="00CB087B"/>
    <w:rsid w:val="00CB0A23"/>
    <w:rsid w:val="00CB1211"/>
    <w:rsid w:val="00CB133D"/>
    <w:rsid w:val="00CB1626"/>
    <w:rsid w:val="00CB1C2D"/>
    <w:rsid w:val="00CB1CBF"/>
    <w:rsid w:val="00CB2728"/>
    <w:rsid w:val="00CB2C24"/>
    <w:rsid w:val="00CB328E"/>
    <w:rsid w:val="00CB347E"/>
    <w:rsid w:val="00CB3BC3"/>
    <w:rsid w:val="00CB40B2"/>
    <w:rsid w:val="00CB4120"/>
    <w:rsid w:val="00CB4571"/>
    <w:rsid w:val="00CB4889"/>
    <w:rsid w:val="00CB4A1B"/>
    <w:rsid w:val="00CB4DA8"/>
    <w:rsid w:val="00CB512E"/>
    <w:rsid w:val="00CB5530"/>
    <w:rsid w:val="00CB5FE2"/>
    <w:rsid w:val="00CB62F0"/>
    <w:rsid w:val="00CB640B"/>
    <w:rsid w:val="00CB66D7"/>
    <w:rsid w:val="00CB6C27"/>
    <w:rsid w:val="00CB7CCB"/>
    <w:rsid w:val="00CC04FB"/>
    <w:rsid w:val="00CC06B8"/>
    <w:rsid w:val="00CC0915"/>
    <w:rsid w:val="00CC13DC"/>
    <w:rsid w:val="00CC1596"/>
    <w:rsid w:val="00CC15BB"/>
    <w:rsid w:val="00CC191B"/>
    <w:rsid w:val="00CC1D7A"/>
    <w:rsid w:val="00CC2CA6"/>
    <w:rsid w:val="00CC2DC0"/>
    <w:rsid w:val="00CC3384"/>
    <w:rsid w:val="00CC36B1"/>
    <w:rsid w:val="00CC3BC4"/>
    <w:rsid w:val="00CC3CEB"/>
    <w:rsid w:val="00CC3ED4"/>
    <w:rsid w:val="00CC42A5"/>
    <w:rsid w:val="00CC46A4"/>
    <w:rsid w:val="00CC5113"/>
    <w:rsid w:val="00CC56F1"/>
    <w:rsid w:val="00CC5847"/>
    <w:rsid w:val="00CC590B"/>
    <w:rsid w:val="00CC6307"/>
    <w:rsid w:val="00CC6351"/>
    <w:rsid w:val="00CC643C"/>
    <w:rsid w:val="00CC6712"/>
    <w:rsid w:val="00CC6F76"/>
    <w:rsid w:val="00CC7375"/>
    <w:rsid w:val="00CD039F"/>
    <w:rsid w:val="00CD05E5"/>
    <w:rsid w:val="00CD08A2"/>
    <w:rsid w:val="00CD1ACA"/>
    <w:rsid w:val="00CD1C38"/>
    <w:rsid w:val="00CD1C60"/>
    <w:rsid w:val="00CD1CF1"/>
    <w:rsid w:val="00CD2444"/>
    <w:rsid w:val="00CD2D7B"/>
    <w:rsid w:val="00CD35E8"/>
    <w:rsid w:val="00CD3C57"/>
    <w:rsid w:val="00CD4807"/>
    <w:rsid w:val="00CD4BAA"/>
    <w:rsid w:val="00CD5013"/>
    <w:rsid w:val="00CD51B3"/>
    <w:rsid w:val="00CD54B0"/>
    <w:rsid w:val="00CD5A5F"/>
    <w:rsid w:val="00CD5C81"/>
    <w:rsid w:val="00CD5F6A"/>
    <w:rsid w:val="00CD62DD"/>
    <w:rsid w:val="00CD64C2"/>
    <w:rsid w:val="00CD696F"/>
    <w:rsid w:val="00CD6B4A"/>
    <w:rsid w:val="00CD7090"/>
    <w:rsid w:val="00CD7112"/>
    <w:rsid w:val="00CD73A6"/>
    <w:rsid w:val="00CD76B1"/>
    <w:rsid w:val="00CD7A1A"/>
    <w:rsid w:val="00CD7B64"/>
    <w:rsid w:val="00CD7D96"/>
    <w:rsid w:val="00CE047B"/>
    <w:rsid w:val="00CE0C4C"/>
    <w:rsid w:val="00CE1EF2"/>
    <w:rsid w:val="00CE2022"/>
    <w:rsid w:val="00CE229B"/>
    <w:rsid w:val="00CE34CE"/>
    <w:rsid w:val="00CE3582"/>
    <w:rsid w:val="00CE3971"/>
    <w:rsid w:val="00CE39D9"/>
    <w:rsid w:val="00CE3CAD"/>
    <w:rsid w:val="00CE3D18"/>
    <w:rsid w:val="00CE3FBE"/>
    <w:rsid w:val="00CE407C"/>
    <w:rsid w:val="00CE428E"/>
    <w:rsid w:val="00CE4460"/>
    <w:rsid w:val="00CE476C"/>
    <w:rsid w:val="00CE4E0F"/>
    <w:rsid w:val="00CE517E"/>
    <w:rsid w:val="00CE5312"/>
    <w:rsid w:val="00CE62A7"/>
    <w:rsid w:val="00CE656C"/>
    <w:rsid w:val="00CE65CA"/>
    <w:rsid w:val="00CE6AB6"/>
    <w:rsid w:val="00CE6B8F"/>
    <w:rsid w:val="00CE6F99"/>
    <w:rsid w:val="00CE7066"/>
    <w:rsid w:val="00CE7FB3"/>
    <w:rsid w:val="00CF0027"/>
    <w:rsid w:val="00CF03F5"/>
    <w:rsid w:val="00CF12C4"/>
    <w:rsid w:val="00CF154A"/>
    <w:rsid w:val="00CF19E5"/>
    <w:rsid w:val="00CF2987"/>
    <w:rsid w:val="00CF3068"/>
    <w:rsid w:val="00CF358B"/>
    <w:rsid w:val="00CF3697"/>
    <w:rsid w:val="00CF37BF"/>
    <w:rsid w:val="00CF45A3"/>
    <w:rsid w:val="00CF4BF9"/>
    <w:rsid w:val="00CF4EED"/>
    <w:rsid w:val="00CF5442"/>
    <w:rsid w:val="00CF61BD"/>
    <w:rsid w:val="00CF6747"/>
    <w:rsid w:val="00CF6F93"/>
    <w:rsid w:val="00CF7C24"/>
    <w:rsid w:val="00CF7E35"/>
    <w:rsid w:val="00D003B7"/>
    <w:rsid w:val="00D00A84"/>
    <w:rsid w:val="00D00D60"/>
    <w:rsid w:val="00D00D92"/>
    <w:rsid w:val="00D0107F"/>
    <w:rsid w:val="00D015CD"/>
    <w:rsid w:val="00D01852"/>
    <w:rsid w:val="00D0186D"/>
    <w:rsid w:val="00D01B87"/>
    <w:rsid w:val="00D01E58"/>
    <w:rsid w:val="00D0213E"/>
    <w:rsid w:val="00D02254"/>
    <w:rsid w:val="00D026BF"/>
    <w:rsid w:val="00D02806"/>
    <w:rsid w:val="00D02EF9"/>
    <w:rsid w:val="00D03435"/>
    <w:rsid w:val="00D03FC4"/>
    <w:rsid w:val="00D04839"/>
    <w:rsid w:val="00D0513B"/>
    <w:rsid w:val="00D05407"/>
    <w:rsid w:val="00D05A74"/>
    <w:rsid w:val="00D05BA5"/>
    <w:rsid w:val="00D05CB5"/>
    <w:rsid w:val="00D060B6"/>
    <w:rsid w:val="00D061C1"/>
    <w:rsid w:val="00D06B4D"/>
    <w:rsid w:val="00D071EF"/>
    <w:rsid w:val="00D073AD"/>
    <w:rsid w:val="00D078A3"/>
    <w:rsid w:val="00D07AA2"/>
    <w:rsid w:val="00D100E1"/>
    <w:rsid w:val="00D1097A"/>
    <w:rsid w:val="00D10AF8"/>
    <w:rsid w:val="00D10C2C"/>
    <w:rsid w:val="00D10DA9"/>
    <w:rsid w:val="00D10E2C"/>
    <w:rsid w:val="00D10EE1"/>
    <w:rsid w:val="00D10FE8"/>
    <w:rsid w:val="00D113F9"/>
    <w:rsid w:val="00D11513"/>
    <w:rsid w:val="00D11BA2"/>
    <w:rsid w:val="00D12068"/>
    <w:rsid w:val="00D128CE"/>
    <w:rsid w:val="00D129A0"/>
    <w:rsid w:val="00D12A3D"/>
    <w:rsid w:val="00D131F1"/>
    <w:rsid w:val="00D133DC"/>
    <w:rsid w:val="00D136A3"/>
    <w:rsid w:val="00D13A5B"/>
    <w:rsid w:val="00D144E4"/>
    <w:rsid w:val="00D1466E"/>
    <w:rsid w:val="00D14CF4"/>
    <w:rsid w:val="00D1559B"/>
    <w:rsid w:val="00D15F49"/>
    <w:rsid w:val="00D15F52"/>
    <w:rsid w:val="00D161F4"/>
    <w:rsid w:val="00D16568"/>
    <w:rsid w:val="00D1682E"/>
    <w:rsid w:val="00D1696E"/>
    <w:rsid w:val="00D16B26"/>
    <w:rsid w:val="00D170D1"/>
    <w:rsid w:val="00D201B7"/>
    <w:rsid w:val="00D2022E"/>
    <w:rsid w:val="00D20840"/>
    <w:rsid w:val="00D20B61"/>
    <w:rsid w:val="00D21118"/>
    <w:rsid w:val="00D216CC"/>
    <w:rsid w:val="00D21978"/>
    <w:rsid w:val="00D22BA1"/>
    <w:rsid w:val="00D22FF1"/>
    <w:rsid w:val="00D23054"/>
    <w:rsid w:val="00D23262"/>
    <w:rsid w:val="00D24FE4"/>
    <w:rsid w:val="00D254A9"/>
    <w:rsid w:val="00D2583A"/>
    <w:rsid w:val="00D260D0"/>
    <w:rsid w:val="00D262CF"/>
    <w:rsid w:val="00D263FE"/>
    <w:rsid w:val="00D266F8"/>
    <w:rsid w:val="00D26A21"/>
    <w:rsid w:val="00D26B22"/>
    <w:rsid w:val="00D26FF4"/>
    <w:rsid w:val="00D2749A"/>
    <w:rsid w:val="00D274FE"/>
    <w:rsid w:val="00D2776C"/>
    <w:rsid w:val="00D277A8"/>
    <w:rsid w:val="00D278F9"/>
    <w:rsid w:val="00D27AE9"/>
    <w:rsid w:val="00D3062F"/>
    <w:rsid w:val="00D306E9"/>
    <w:rsid w:val="00D30706"/>
    <w:rsid w:val="00D30BD7"/>
    <w:rsid w:val="00D30C50"/>
    <w:rsid w:val="00D32278"/>
    <w:rsid w:val="00D32D3D"/>
    <w:rsid w:val="00D32EFF"/>
    <w:rsid w:val="00D331F0"/>
    <w:rsid w:val="00D33338"/>
    <w:rsid w:val="00D334C7"/>
    <w:rsid w:val="00D3360F"/>
    <w:rsid w:val="00D33F7E"/>
    <w:rsid w:val="00D34319"/>
    <w:rsid w:val="00D3546D"/>
    <w:rsid w:val="00D355A7"/>
    <w:rsid w:val="00D3588A"/>
    <w:rsid w:val="00D36648"/>
    <w:rsid w:val="00D366D2"/>
    <w:rsid w:val="00D367D3"/>
    <w:rsid w:val="00D36EB6"/>
    <w:rsid w:val="00D37122"/>
    <w:rsid w:val="00D374E7"/>
    <w:rsid w:val="00D37A89"/>
    <w:rsid w:val="00D37CDD"/>
    <w:rsid w:val="00D4014E"/>
    <w:rsid w:val="00D40D87"/>
    <w:rsid w:val="00D40F7B"/>
    <w:rsid w:val="00D4120B"/>
    <w:rsid w:val="00D412CB"/>
    <w:rsid w:val="00D415B3"/>
    <w:rsid w:val="00D41DD5"/>
    <w:rsid w:val="00D4267B"/>
    <w:rsid w:val="00D42C7D"/>
    <w:rsid w:val="00D42D0B"/>
    <w:rsid w:val="00D42D95"/>
    <w:rsid w:val="00D4326E"/>
    <w:rsid w:val="00D43367"/>
    <w:rsid w:val="00D43B3C"/>
    <w:rsid w:val="00D43BAD"/>
    <w:rsid w:val="00D43E43"/>
    <w:rsid w:val="00D44295"/>
    <w:rsid w:val="00D444C8"/>
    <w:rsid w:val="00D4489A"/>
    <w:rsid w:val="00D448C5"/>
    <w:rsid w:val="00D452C9"/>
    <w:rsid w:val="00D45726"/>
    <w:rsid w:val="00D45918"/>
    <w:rsid w:val="00D45A37"/>
    <w:rsid w:val="00D45E81"/>
    <w:rsid w:val="00D462A4"/>
    <w:rsid w:val="00D462C5"/>
    <w:rsid w:val="00D46996"/>
    <w:rsid w:val="00D478CF"/>
    <w:rsid w:val="00D47C7A"/>
    <w:rsid w:val="00D47CC7"/>
    <w:rsid w:val="00D47E4A"/>
    <w:rsid w:val="00D47E7E"/>
    <w:rsid w:val="00D47F9E"/>
    <w:rsid w:val="00D501A9"/>
    <w:rsid w:val="00D509BE"/>
    <w:rsid w:val="00D50E14"/>
    <w:rsid w:val="00D5138D"/>
    <w:rsid w:val="00D516FB"/>
    <w:rsid w:val="00D51BBD"/>
    <w:rsid w:val="00D51E76"/>
    <w:rsid w:val="00D51F04"/>
    <w:rsid w:val="00D52821"/>
    <w:rsid w:val="00D53166"/>
    <w:rsid w:val="00D532E7"/>
    <w:rsid w:val="00D53723"/>
    <w:rsid w:val="00D5380B"/>
    <w:rsid w:val="00D53A86"/>
    <w:rsid w:val="00D53C36"/>
    <w:rsid w:val="00D53C3E"/>
    <w:rsid w:val="00D53E84"/>
    <w:rsid w:val="00D5489E"/>
    <w:rsid w:val="00D560FE"/>
    <w:rsid w:val="00D56219"/>
    <w:rsid w:val="00D564EF"/>
    <w:rsid w:val="00D56A84"/>
    <w:rsid w:val="00D56C05"/>
    <w:rsid w:val="00D5711A"/>
    <w:rsid w:val="00D6002F"/>
    <w:rsid w:val="00D601CC"/>
    <w:rsid w:val="00D60478"/>
    <w:rsid w:val="00D60BF5"/>
    <w:rsid w:val="00D60C05"/>
    <w:rsid w:val="00D61075"/>
    <w:rsid w:val="00D61629"/>
    <w:rsid w:val="00D61DF6"/>
    <w:rsid w:val="00D62494"/>
    <w:rsid w:val="00D625D9"/>
    <w:rsid w:val="00D62725"/>
    <w:rsid w:val="00D63990"/>
    <w:rsid w:val="00D63C78"/>
    <w:rsid w:val="00D63E58"/>
    <w:rsid w:val="00D64AB4"/>
    <w:rsid w:val="00D65088"/>
    <w:rsid w:val="00D65162"/>
    <w:rsid w:val="00D6529B"/>
    <w:rsid w:val="00D659EF"/>
    <w:rsid w:val="00D65E3B"/>
    <w:rsid w:val="00D66388"/>
    <w:rsid w:val="00D668C6"/>
    <w:rsid w:val="00D66920"/>
    <w:rsid w:val="00D66C44"/>
    <w:rsid w:val="00D66D96"/>
    <w:rsid w:val="00D67535"/>
    <w:rsid w:val="00D67D1B"/>
    <w:rsid w:val="00D67F92"/>
    <w:rsid w:val="00D704EB"/>
    <w:rsid w:val="00D70712"/>
    <w:rsid w:val="00D70C9D"/>
    <w:rsid w:val="00D71524"/>
    <w:rsid w:val="00D715D5"/>
    <w:rsid w:val="00D71883"/>
    <w:rsid w:val="00D71B1A"/>
    <w:rsid w:val="00D71FD8"/>
    <w:rsid w:val="00D71FE7"/>
    <w:rsid w:val="00D7232E"/>
    <w:rsid w:val="00D7278C"/>
    <w:rsid w:val="00D72BD1"/>
    <w:rsid w:val="00D72BFF"/>
    <w:rsid w:val="00D7313A"/>
    <w:rsid w:val="00D73460"/>
    <w:rsid w:val="00D734D4"/>
    <w:rsid w:val="00D73587"/>
    <w:rsid w:val="00D73F1F"/>
    <w:rsid w:val="00D7402E"/>
    <w:rsid w:val="00D74084"/>
    <w:rsid w:val="00D74BCD"/>
    <w:rsid w:val="00D7552F"/>
    <w:rsid w:val="00D75A28"/>
    <w:rsid w:val="00D75C9D"/>
    <w:rsid w:val="00D76394"/>
    <w:rsid w:val="00D76464"/>
    <w:rsid w:val="00D76F4D"/>
    <w:rsid w:val="00D77709"/>
    <w:rsid w:val="00D77758"/>
    <w:rsid w:val="00D77A87"/>
    <w:rsid w:val="00D77B81"/>
    <w:rsid w:val="00D80044"/>
    <w:rsid w:val="00D812BC"/>
    <w:rsid w:val="00D8143E"/>
    <w:rsid w:val="00D81A42"/>
    <w:rsid w:val="00D82230"/>
    <w:rsid w:val="00D82F99"/>
    <w:rsid w:val="00D83332"/>
    <w:rsid w:val="00D833D2"/>
    <w:rsid w:val="00D836C0"/>
    <w:rsid w:val="00D83C4E"/>
    <w:rsid w:val="00D84235"/>
    <w:rsid w:val="00D84277"/>
    <w:rsid w:val="00D8436C"/>
    <w:rsid w:val="00D84558"/>
    <w:rsid w:val="00D84B19"/>
    <w:rsid w:val="00D850B5"/>
    <w:rsid w:val="00D8549E"/>
    <w:rsid w:val="00D8562C"/>
    <w:rsid w:val="00D857FE"/>
    <w:rsid w:val="00D85913"/>
    <w:rsid w:val="00D85E3A"/>
    <w:rsid w:val="00D86A99"/>
    <w:rsid w:val="00D87424"/>
    <w:rsid w:val="00D879F2"/>
    <w:rsid w:val="00D901B1"/>
    <w:rsid w:val="00D9082D"/>
    <w:rsid w:val="00D91165"/>
    <w:rsid w:val="00D92147"/>
    <w:rsid w:val="00D92253"/>
    <w:rsid w:val="00D931E9"/>
    <w:rsid w:val="00D93486"/>
    <w:rsid w:val="00D93F9C"/>
    <w:rsid w:val="00D94459"/>
    <w:rsid w:val="00D9457B"/>
    <w:rsid w:val="00D94647"/>
    <w:rsid w:val="00D9483A"/>
    <w:rsid w:val="00D94A72"/>
    <w:rsid w:val="00D95214"/>
    <w:rsid w:val="00D9523D"/>
    <w:rsid w:val="00D95839"/>
    <w:rsid w:val="00D95AF2"/>
    <w:rsid w:val="00D95B5B"/>
    <w:rsid w:val="00D96115"/>
    <w:rsid w:val="00D9630E"/>
    <w:rsid w:val="00DA03C3"/>
    <w:rsid w:val="00DA0D31"/>
    <w:rsid w:val="00DA11E1"/>
    <w:rsid w:val="00DA1796"/>
    <w:rsid w:val="00DA206A"/>
    <w:rsid w:val="00DA2553"/>
    <w:rsid w:val="00DA2AFB"/>
    <w:rsid w:val="00DA2E6F"/>
    <w:rsid w:val="00DA314C"/>
    <w:rsid w:val="00DA3408"/>
    <w:rsid w:val="00DA35AA"/>
    <w:rsid w:val="00DA39D0"/>
    <w:rsid w:val="00DA3E22"/>
    <w:rsid w:val="00DA41FE"/>
    <w:rsid w:val="00DA45F3"/>
    <w:rsid w:val="00DA4799"/>
    <w:rsid w:val="00DA4852"/>
    <w:rsid w:val="00DA497D"/>
    <w:rsid w:val="00DA4BD9"/>
    <w:rsid w:val="00DA4E3F"/>
    <w:rsid w:val="00DA53D2"/>
    <w:rsid w:val="00DA569B"/>
    <w:rsid w:val="00DA618D"/>
    <w:rsid w:val="00DA6201"/>
    <w:rsid w:val="00DA62BA"/>
    <w:rsid w:val="00DA684D"/>
    <w:rsid w:val="00DA6913"/>
    <w:rsid w:val="00DA6F9E"/>
    <w:rsid w:val="00DA7D1E"/>
    <w:rsid w:val="00DA7DBD"/>
    <w:rsid w:val="00DB047C"/>
    <w:rsid w:val="00DB05BA"/>
    <w:rsid w:val="00DB0993"/>
    <w:rsid w:val="00DB0F29"/>
    <w:rsid w:val="00DB15F7"/>
    <w:rsid w:val="00DB1A16"/>
    <w:rsid w:val="00DB1BD1"/>
    <w:rsid w:val="00DB1D87"/>
    <w:rsid w:val="00DB1E21"/>
    <w:rsid w:val="00DB1F50"/>
    <w:rsid w:val="00DB2322"/>
    <w:rsid w:val="00DB2648"/>
    <w:rsid w:val="00DB2E81"/>
    <w:rsid w:val="00DB316E"/>
    <w:rsid w:val="00DB41FA"/>
    <w:rsid w:val="00DB490F"/>
    <w:rsid w:val="00DB4F03"/>
    <w:rsid w:val="00DB56A1"/>
    <w:rsid w:val="00DB591F"/>
    <w:rsid w:val="00DB5B9D"/>
    <w:rsid w:val="00DB5C79"/>
    <w:rsid w:val="00DB5EA9"/>
    <w:rsid w:val="00DB64F0"/>
    <w:rsid w:val="00DB6DA0"/>
    <w:rsid w:val="00DB6EE9"/>
    <w:rsid w:val="00DB7A5A"/>
    <w:rsid w:val="00DB7BD3"/>
    <w:rsid w:val="00DB7E5D"/>
    <w:rsid w:val="00DC0026"/>
    <w:rsid w:val="00DC14EF"/>
    <w:rsid w:val="00DC17FD"/>
    <w:rsid w:val="00DC182F"/>
    <w:rsid w:val="00DC2117"/>
    <w:rsid w:val="00DC293E"/>
    <w:rsid w:val="00DC3096"/>
    <w:rsid w:val="00DC315D"/>
    <w:rsid w:val="00DC31F3"/>
    <w:rsid w:val="00DC3970"/>
    <w:rsid w:val="00DC44B5"/>
    <w:rsid w:val="00DC4DC5"/>
    <w:rsid w:val="00DC5211"/>
    <w:rsid w:val="00DC543A"/>
    <w:rsid w:val="00DC54B3"/>
    <w:rsid w:val="00DC5D2B"/>
    <w:rsid w:val="00DC6F48"/>
    <w:rsid w:val="00DC710B"/>
    <w:rsid w:val="00DC7347"/>
    <w:rsid w:val="00DC7473"/>
    <w:rsid w:val="00DC7657"/>
    <w:rsid w:val="00DC78D0"/>
    <w:rsid w:val="00DC7F80"/>
    <w:rsid w:val="00DD0604"/>
    <w:rsid w:val="00DD0675"/>
    <w:rsid w:val="00DD0F06"/>
    <w:rsid w:val="00DD1321"/>
    <w:rsid w:val="00DD1402"/>
    <w:rsid w:val="00DD15FF"/>
    <w:rsid w:val="00DD1E27"/>
    <w:rsid w:val="00DD25CC"/>
    <w:rsid w:val="00DD26A2"/>
    <w:rsid w:val="00DD2F90"/>
    <w:rsid w:val="00DD307B"/>
    <w:rsid w:val="00DD32B5"/>
    <w:rsid w:val="00DD37E4"/>
    <w:rsid w:val="00DD41DF"/>
    <w:rsid w:val="00DD429B"/>
    <w:rsid w:val="00DD44DA"/>
    <w:rsid w:val="00DD45AF"/>
    <w:rsid w:val="00DD4603"/>
    <w:rsid w:val="00DD4BD5"/>
    <w:rsid w:val="00DD4C6D"/>
    <w:rsid w:val="00DD4D4D"/>
    <w:rsid w:val="00DD5EB3"/>
    <w:rsid w:val="00DD620A"/>
    <w:rsid w:val="00DD6563"/>
    <w:rsid w:val="00DD6C76"/>
    <w:rsid w:val="00DD6E45"/>
    <w:rsid w:val="00DD6F10"/>
    <w:rsid w:val="00DD7831"/>
    <w:rsid w:val="00DD7ADB"/>
    <w:rsid w:val="00DD7E0D"/>
    <w:rsid w:val="00DD7E74"/>
    <w:rsid w:val="00DD7F81"/>
    <w:rsid w:val="00DE0813"/>
    <w:rsid w:val="00DE090D"/>
    <w:rsid w:val="00DE24B8"/>
    <w:rsid w:val="00DE265A"/>
    <w:rsid w:val="00DE2C81"/>
    <w:rsid w:val="00DE2E99"/>
    <w:rsid w:val="00DE3101"/>
    <w:rsid w:val="00DE35E3"/>
    <w:rsid w:val="00DE3D37"/>
    <w:rsid w:val="00DE413D"/>
    <w:rsid w:val="00DE494D"/>
    <w:rsid w:val="00DE49E4"/>
    <w:rsid w:val="00DE4D60"/>
    <w:rsid w:val="00DE56EC"/>
    <w:rsid w:val="00DE57E3"/>
    <w:rsid w:val="00DE59CD"/>
    <w:rsid w:val="00DE60B6"/>
    <w:rsid w:val="00DE66B8"/>
    <w:rsid w:val="00DE66BA"/>
    <w:rsid w:val="00DE68A2"/>
    <w:rsid w:val="00DE6E15"/>
    <w:rsid w:val="00DE7230"/>
    <w:rsid w:val="00DE79E5"/>
    <w:rsid w:val="00DE7CE3"/>
    <w:rsid w:val="00DE7DD6"/>
    <w:rsid w:val="00DF0359"/>
    <w:rsid w:val="00DF0715"/>
    <w:rsid w:val="00DF0B9F"/>
    <w:rsid w:val="00DF0E86"/>
    <w:rsid w:val="00DF10E3"/>
    <w:rsid w:val="00DF197F"/>
    <w:rsid w:val="00DF1BCB"/>
    <w:rsid w:val="00DF224E"/>
    <w:rsid w:val="00DF24DB"/>
    <w:rsid w:val="00DF2AB1"/>
    <w:rsid w:val="00DF2F9A"/>
    <w:rsid w:val="00DF351B"/>
    <w:rsid w:val="00DF372F"/>
    <w:rsid w:val="00DF40DC"/>
    <w:rsid w:val="00DF42FC"/>
    <w:rsid w:val="00DF47EA"/>
    <w:rsid w:val="00DF4C15"/>
    <w:rsid w:val="00DF5646"/>
    <w:rsid w:val="00DF69BC"/>
    <w:rsid w:val="00DF6B91"/>
    <w:rsid w:val="00DF6FF3"/>
    <w:rsid w:val="00DF7038"/>
    <w:rsid w:val="00DF792A"/>
    <w:rsid w:val="00DF79C0"/>
    <w:rsid w:val="00DF7F84"/>
    <w:rsid w:val="00E0007B"/>
    <w:rsid w:val="00E00099"/>
    <w:rsid w:val="00E00882"/>
    <w:rsid w:val="00E00AA3"/>
    <w:rsid w:val="00E00D2B"/>
    <w:rsid w:val="00E0107F"/>
    <w:rsid w:val="00E01839"/>
    <w:rsid w:val="00E01B31"/>
    <w:rsid w:val="00E01B7D"/>
    <w:rsid w:val="00E01C60"/>
    <w:rsid w:val="00E02678"/>
    <w:rsid w:val="00E029F3"/>
    <w:rsid w:val="00E02A30"/>
    <w:rsid w:val="00E02C14"/>
    <w:rsid w:val="00E02F71"/>
    <w:rsid w:val="00E037BC"/>
    <w:rsid w:val="00E041BB"/>
    <w:rsid w:val="00E04554"/>
    <w:rsid w:val="00E045F0"/>
    <w:rsid w:val="00E046A1"/>
    <w:rsid w:val="00E04867"/>
    <w:rsid w:val="00E04AD0"/>
    <w:rsid w:val="00E04B64"/>
    <w:rsid w:val="00E0514E"/>
    <w:rsid w:val="00E0585B"/>
    <w:rsid w:val="00E0657F"/>
    <w:rsid w:val="00E06DC2"/>
    <w:rsid w:val="00E072AE"/>
    <w:rsid w:val="00E07748"/>
    <w:rsid w:val="00E07856"/>
    <w:rsid w:val="00E07D20"/>
    <w:rsid w:val="00E07D88"/>
    <w:rsid w:val="00E07E74"/>
    <w:rsid w:val="00E07F25"/>
    <w:rsid w:val="00E10145"/>
    <w:rsid w:val="00E10196"/>
    <w:rsid w:val="00E1036D"/>
    <w:rsid w:val="00E1073E"/>
    <w:rsid w:val="00E120D6"/>
    <w:rsid w:val="00E1224B"/>
    <w:rsid w:val="00E1231C"/>
    <w:rsid w:val="00E12765"/>
    <w:rsid w:val="00E12A4F"/>
    <w:rsid w:val="00E12B09"/>
    <w:rsid w:val="00E12DD9"/>
    <w:rsid w:val="00E12E96"/>
    <w:rsid w:val="00E1328B"/>
    <w:rsid w:val="00E13391"/>
    <w:rsid w:val="00E1358E"/>
    <w:rsid w:val="00E13F35"/>
    <w:rsid w:val="00E1407B"/>
    <w:rsid w:val="00E141EE"/>
    <w:rsid w:val="00E14C8A"/>
    <w:rsid w:val="00E14D64"/>
    <w:rsid w:val="00E153E4"/>
    <w:rsid w:val="00E15518"/>
    <w:rsid w:val="00E15574"/>
    <w:rsid w:val="00E1589F"/>
    <w:rsid w:val="00E159AD"/>
    <w:rsid w:val="00E15AE6"/>
    <w:rsid w:val="00E160F7"/>
    <w:rsid w:val="00E163C2"/>
    <w:rsid w:val="00E16D5A"/>
    <w:rsid w:val="00E170A5"/>
    <w:rsid w:val="00E17973"/>
    <w:rsid w:val="00E17CBF"/>
    <w:rsid w:val="00E17FF7"/>
    <w:rsid w:val="00E202E8"/>
    <w:rsid w:val="00E203A2"/>
    <w:rsid w:val="00E208DA"/>
    <w:rsid w:val="00E2097B"/>
    <w:rsid w:val="00E20AFD"/>
    <w:rsid w:val="00E20B29"/>
    <w:rsid w:val="00E212AF"/>
    <w:rsid w:val="00E2172C"/>
    <w:rsid w:val="00E233FC"/>
    <w:rsid w:val="00E23B32"/>
    <w:rsid w:val="00E24306"/>
    <w:rsid w:val="00E24BC9"/>
    <w:rsid w:val="00E24C02"/>
    <w:rsid w:val="00E257A7"/>
    <w:rsid w:val="00E25831"/>
    <w:rsid w:val="00E25ECB"/>
    <w:rsid w:val="00E26099"/>
    <w:rsid w:val="00E26F44"/>
    <w:rsid w:val="00E2706F"/>
    <w:rsid w:val="00E27224"/>
    <w:rsid w:val="00E275B7"/>
    <w:rsid w:val="00E27904"/>
    <w:rsid w:val="00E300C5"/>
    <w:rsid w:val="00E30DE4"/>
    <w:rsid w:val="00E30F47"/>
    <w:rsid w:val="00E31659"/>
    <w:rsid w:val="00E3198C"/>
    <w:rsid w:val="00E31BF6"/>
    <w:rsid w:val="00E329ED"/>
    <w:rsid w:val="00E32B7E"/>
    <w:rsid w:val="00E32CEC"/>
    <w:rsid w:val="00E32F4A"/>
    <w:rsid w:val="00E333F2"/>
    <w:rsid w:val="00E3476E"/>
    <w:rsid w:val="00E34815"/>
    <w:rsid w:val="00E34C93"/>
    <w:rsid w:val="00E34E88"/>
    <w:rsid w:val="00E350E3"/>
    <w:rsid w:val="00E35544"/>
    <w:rsid w:val="00E35B7F"/>
    <w:rsid w:val="00E35E04"/>
    <w:rsid w:val="00E36067"/>
    <w:rsid w:val="00E36860"/>
    <w:rsid w:val="00E36B6F"/>
    <w:rsid w:val="00E37861"/>
    <w:rsid w:val="00E37C4E"/>
    <w:rsid w:val="00E37C92"/>
    <w:rsid w:val="00E405C6"/>
    <w:rsid w:val="00E40622"/>
    <w:rsid w:val="00E4085D"/>
    <w:rsid w:val="00E40B67"/>
    <w:rsid w:val="00E41276"/>
    <w:rsid w:val="00E413F6"/>
    <w:rsid w:val="00E413FE"/>
    <w:rsid w:val="00E418B7"/>
    <w:rsid w:val="00E42B39"/>
    <w:rsid w:val="00E42FBC"/>
    <w:rsid w:val="00E42FBD"/>
    <w:rsid w:val="00E43578"/>
    <w:rsid w:val="00E43721"/>
    <w:rsid w:val="00E439C5"/>
    <w:rsid w:val="00E43C64"/>
    <w:rsid w:val="00E44294"/>
    <w:rsid w:val="00E446E8"/>
    <w:rsid w:val="00E448A7"/>
    <w:rsid w:val="00E44FF4"/>
    <w:rsid w:val="00E451A1"/>
    <w:rsid w:val="00E45E77"/>
    <w:rsid w:val="00E4618B"/>
    <w:rsid w:val="00E4625C"/>
    <w:rsid w:val="00E4647D"/>
    <w:rsid w:val="00E46BF0"/>
    <w:rsid w:val="00E46C29"/>
    <w:rsid w:val="00E4738C"/>
    <w:rsid w:val="00E47667"/>
    <w:rsid w:val="00E476A8"/>
    <w:rsid w:val="00E476E1"/>
    <w:rsid w:val="00E47A3D"/>
    <w:rsid w:val="00E47AD7"/>
    <w:rsid w:val="00E47B54"/>
    <w:rsid w:val="00E47B65"/>
    <w:rsid w:val="00E5000A"/>
    <w:rsid w:val="00E50153"/>
    <w:rsid w:val="00E508E4"/>
    <w:rsid w:val="00E50A5A"/>
    <w:rsid w:val="00E50AF6"/>
    <w:rsid w:val="00E50CDD"/>
    <w:rsid w:val="00E514EC"/>
    <w:rsid w:val="00E51515"/>
    <w:rsid w:val="00E51DB1"/>
    <w:rsid w:val="00E52094"/>
    <w:rsid w:val="00E52D0F"/>
    <w:rsid w:val="00E52F3E"/>
    <w:rsid w:val="00E53175"/>
    <w:rsid w:val="00E53A63"/>
    <w:rsid w:val="00E541F5"/>
    <w:rsid w:val="00E545FF"/>
    <w:rsid w:val="00E548D0"/>
    <w:rsid w:val="00E549A6"/>
    <w:rsid w:val="00E553D6"/>
    <w:rsid w:val="00E5590D"/>
    <w:rsid w:val="00E56DD7"/>
    <w:rsid w:val="00E5701B"/>
    <w:rsid w:val="00E607C8"/>
    <w:rsid w:val="00E60A9D"/>
    <w:rsid w:val="00E615B4"/>
    <w:rsid w:val="00E61D9C"/>
    <w:rsid w:val="00E61EC1"/>
    <w:rsid w:val="00E6230E"/>
    <w:rsid w:val="00E624FE"/>
    <w:rsid w:val="00E62E7F"/>
    <w:rsid w:val="00E62F8C"/>
    <w:rsid w:val="00E633DA"/>
    <w:rsid w:val="00E63A0C"/>
    <w:rsid w:val="00E642D2"/>
    <w:rsid w:val="00E643E3"/>
    <w:rsid w:val="00E656D6"/>
    <w:rsid w:val="00E65793"/>
    <w:rsid w:val="00E65845"/>
    <w:rsid w:val="00E6586E"/>
    <w:rsid w:val="00E65CC1"/>
    <w:rsid w:val="00E6620F"/>
    <w:rsid w:val="00E6632E"/>
    <w:rsid w:val="00E66410"/>
    <w:rsid w:val="00E668CC"/>
    <w:rsid w:val="00E66B00"/>
    <w:rsid w:val="00E6742F"/>
    <w:rsid w:val="00E67865"/>
    <w:rsid w:val="00E67F96"/>
    <w:rsid w:val="00E702C6"/>
    <w:rsid w:val="00E703BB"/>
    <w:rsid w:val="00E705D7"/>
    <w:rsid w:val="00E70600"/>
    <w:rsid w:val="00E70BC2"/>
    <w:rsid w:val="00E713EC"/>
    <w:rsid w:val="00E716AF"/>
    <w:rsid w:val="00E71D55"/>
    <w:rsid w:val="00E71FA2"/>
    <w:rsid w:val="00E7212B"/>
    <w:rsid w:val="00E7218A"/>
    <w:rsid w:val="00E72735"/>
    <w:rsid w:val="00E72ADE"/>
    <w:rsid w:val="00E72B22"/>
    <w:rsid w:val="00E72C03"/>
    <w:rsid w:val="00E72FA8"/>
    <w:rsid w:val="00E7336C"/>
    <w:rsid w:val="00E733E5"/>
    <w:rsid w:val="00E7357F"/>
    <w:rsid w:val="00E73CB7"/>
    <w:rsid w:val="00E73EBF"/>
    <w:rsid w:val="00E74005"/>
    <w:rsid w:val="00E746DE"/>
    <w:rsid w:val="00E74991"/>
    <w:rsid w:val="00E74C4B"/>
    <w:rsid w:val="00E750CF"/>
    <w:rsid w:val="00E7568C"/>
    <w:rsid w:val="00E76417"/>
    <w:rsid w:val="00E7680E"/>
    <w:rsid w:val="00E76B69"/>
    <w:rsid w:val="00E76D1D"/>
    <w:rsid w:val="00E76E60"/>
    <w:rsid w:val="00E770EF"/>
    <w:rsid w:val="00E77130"/>
    <w:rsid w:val="00E7738B"/>
    <w:rsid w:val="00E77A97"/>
    <w:rsid w:val="00E77ABC"/>
    <w:rsid w:val="00E80CDC"/>
    <w:rsid w:val="00E81AAB"/>
    <w:rsid w:val="00E81F20"/>
    <w:rsid w:val="00E822AC"/>
    <w:rsid w:val="00E823CB"/>
    <w:rsid w:val="00E824E1"/>
    <w:rsid w:val="00E82532"/>
    <w:rsid w:val="00E82795"/>
    <w:rsid w:val="00E830D8"/>
    <w:rsid w:val="00E8334F"/>
    <w:rsid w:val="00E8362F"/>
    <w:rsid w:val="00E837D8"/>
    <w:rsid w:val="00E83913"/>
    <w:rsid w:val="00E83ED8"/>
    <w:rsid w:val="00E83F53"/>
    <w:rsid w:val="00E84C31"/>
    <w:rsid w:val="00E84C41"/>
    <w:rsid w:val="00E84D9C"/>
    <w:rsid w:val="00E84DB8"/>
    <w:rsid w:val="00E8570F"/>
    <w:rsid w:val="00E85EF2"/>
    <w:rsid w:val="00E85FEF"/>
    <w:rsid w:val="00E8642F"/>
    <w:rsid w:val="00E8666A"/>
    <w:rsid w:val="00E8704E"/>
    <w:rsid w:val="00E8789C"/>
    <w:rsid w:val="00E87D26"/>
    <w:rsid w:val="00E90290"/>
    <w:rsid w:val="00E90E2A"/>
    <w:rsid w:val="00E91596"/>
    <w:rsid w:val="00E916D0"/>
    <w:rsid w:val="00E91767"/>
    <w:rsid w:val="00E918E6"/>
    <w:rsid w:val="00E92142"/>
    <w:rsid w:val="00E93355"/>
    <w:rsid w:val="00E94279"/>
    <w:rsid w:val="00E943DE"/>
    <w:rsid w:val="00E94552"/>
    <w:rsid w:val="00E949A4"/>
    <w:rsid w:val="00E94A55"/>
    <w:rsid w:val="00E94C27"/>
    <w:rsid w:val="00E94EA5"/>
    <w:rsid w:val="00E957D0"/>
    <w:rsid w:val="00E95B0D"/>
    <w:rsid w:val="00E95B66"/>
    <w:rsid w:val="00E95D2E"/>
    <w:rsid w:val="00E95D9E"/>
    <w:rsid w:val="00E96CB4"/>
    <w:rsid w:val="00E96D15"/>
    <w:rsid w:val="00E96F02"/>
    <w:rsid w:val="00E97204"/>
    <w:rsid w:val="00E97935"/>
    <w:rsid w:val="00EA041A"/>
    <w:rsid w:val="00EA08CF"/>
    <w:rsid w:val="00EA0CF2"/>
    <w:rsid w:val="00EA1019"/>
    <w:rsid w:val="00EA17AA"/>
    <w:rsid w:val="00EA18BF"/>
    <w:rsid w:val="00EA258F"/>
    <w:rsid w:val="00EA26DE"/>
    <w:rsid w:val="00EA2B25"/>
    <w:rsid w:val="00EA2C32"/>
    <w:rsid w:val="00EA2CBF"/>
    <w:rsid w:val="00EA3383"/>
    <w:rsid w:val="00EA3C7B"/>
    <w:rsid w:val="00EA4111"/>
    <w:rsid w:val="00EA5C8B"/>
    <w:rsid w:val="00EA5E09"/>
    <w:rsid w:val="00EA65D9"/>
    <w:rsid w:val="00EA6BBC"/>
    <w:rsid w:val="00EA6C13"/>
    <w:rsid w:val="00EA7137"/>
    <w:rsid w:val="00EA7D8C"/>
    <w:rsid w:val="00EB0E4B"/>
    <w:rsid w:val="00EB0E9C"/>
    <w:rsid w:val="00EB0FE5"/>
    <w:rsid w:val="00EB1127"/>
    <w:rsid w:val="00EB1366"/>
    <w:rsid w:val="00EB1593"/>
    <w:rsid w:val="00EB16FF"/>
    <w:rsid w:val="00EB1AD0"/>
    <w:rsid w:val="00EB1E1B"/>
    <w:rsid w:val="00EB1E71"/>
    <w:rsid w:val="00EB23BE"/>
    <w:rsid w:val="00EB26CD"/>
    <w:rsid w:val="00EB31E0"/>
    <w:rsid w:val="00EB3237"/>
    <w:rsid w:val="00EB4664"/>
    <w:rsid w:val="00EB4751"/>
    <w:rsid w:val="00EB5196"/>
    <w:rsid w:val="00EB59F1"/>
    <w:rsid w:val="00EB5AF0"/>
    <w:rsid w:val="00EB5FBD"/>
    <w:rsid w:val="00EB6312"/>
    <w:rsid w:val="00EB637A"/>
    <w:rsid w:val="00EB67A5"/>
    <w:rsid w:val="00EB6A32"/>
    <w:rsid w:val="00EB6E20"/>
    <w:rsid w:val="00EB7315"/>
    <w:rsid w:val="00EB7732"/>
    <w:rsid w:val="00EB7A0D"/>
    <w:rsid w:val="00EC016B"/>
    <w:rsid w:val="00EC02DB"/>
    <w:rsid w:val="00EC03EF"/>
    <w:rsid w:val="00EC0AF3"/>
    <w:rsid w:val="00EC0AF6"/>
    <w:rsid w:val="00EC0E17"/>
    <w:rsid w:val="00EC0FE7"/>
    <w:rsid w:val="00EC180E"/>
    <w:rsid w:val="00EC3BD0"/>
    <w:rsid w:val="00EC4197"/>
    <w:rsid w:val="00EC4377"/>
    <w:rsid w:val="00EC4B7F"/>
    <w:rsid w:val="00EC4E44"/>
    <w:rsid w:val="00EC5261"/>
    <w:rsid w:val="00EC53F8"/>
    <w:rsid w:val="00EC540A"/>
    <w:rsid w:val="00EC5443"/>
    <w:rsid w:val="00EC5914"/>
    <w:rsid w:val="00EC6852"/>
    <w:rsid w:val="00EC6925"/>
    <w:rsid w:val="00EC6ABB"/>
    <w:rsid w:val="00EC6D46"/>
    <w:rsid w:val="00EC6E68"/>
    <w:rsid w:val="00EC703F"/>
    <w:rsid w:val="00EC7124"/>
    <w:rsid w:val="00EC76EA"/>
    <w:rsid w:val="00EC7869"/>
    <w:rsid w:val="00EC7B4A"/>
    <w:rsid w:val="00EC7DBE"/>
    <w:rsid w:val="00ED0127"/>
    <w:rsid w:val="00ED04D3"/>
    <w:rsid w:val="00ED0FC1"/>
    <w:rsid w:val="00ED16C1"/>
    <w:rsid w:val="00ED1DBE"/>
    <w:rsid w:val="00ED33D0"/>
    <w:rsid w:val="00ED38AB"/>
    <w:rsid w:val="00ED3D96"/>
    <w:rsid w:val="00ED434B"/>
    <w:rsid w:val="00ED4541"/>
    <w:rsid w:val="00ED4602"/>
    <w:rsid w:val="00ED47B2"/>
    <w:rsid w:val="00ED499D"/>
    <w:rsid w:val="00ED4ACF"/>
    <w:rsid w:val="00ED4E51"/>
    <w:rsid w:val="00ED5599"/>
    <w:rsid w:val="00ED57BE"/>
    <w:rsid w:val="00ED5919"/>
    <w:rsid w:val="00ED5C73"/>
    <w:rsid w:val="00ED6370"/>
    <w:rsid w:val="00ED641C"/>
    <w:rsid w:val="00ED69E3"/>
    <w:rsid w:val="00ED6CC8"/>
    <w:rsid w:val="00ED6D86"/>
    <w:rsid w:val="00ED7588"/>
    <w:rsid w:val="00ED7EB0"/>
    <w:rsid w:val="00EE0C9A"/>
    <w:rsid w:val="00EE0CE9"/>
    <w:rsid w:val="00EE0F6E"/>
    <w:rsid w:val="00EE1786"/>
    <w:rsid w:val="00EE24C5"/>
    <w:rsid w:val="00EE2C67"/>
    <w:rsid w:val="00EE334A"/>
    <w:rsid w:val="00EE3B22"/>
    <w:rsid w:val="00EE4145"/>
    <w:rsid w:val="00EE4B99"/>
    <w:rsid w:val="00EE5217"/>
    <w:rsid w:val="00EE542A"/>
    <w:rsid w:val="00EE543C"/>
    <w:rsid w:val="00EE6168"/>
    <w:rsid w:val="00EE6EA2"/>
    <w:rsid w:val="00EE7113"/>
    <w:rsid w:val="00EE71FF"/>
    <w:rsid w:val="00EE744A"/>
    <w:rsid w:val="00EE7509"/>
    <w:rsid w:val="00EE7692"/>
    <w:rsid w:val="00EE7972"/>
    <w:rsid w:val="00EE7BA6"/>
    <w:rsid w:val="00EE7DB8"/>
    <w:rsid w:val="00EF051C"/>
    <w:rsid w:val="00EF06D4"/>
    <w:rsid w:val="00EF0702"/>
    <w:rsid w:val="00EF0A0C"/>
    <w:rsid w:val="00EF0A81"/>
    <w:rsid w:val="00EF1474"/>
    <w:rsid w:val="00EF1E7F"/>
    <w:rsid w:val="00EF1FD0"/>
    <w:rsid w:val="00EF20D5"/>
    <w:rsid w:val="00EF2296"/>
    <w:rsid w:val="00EF234A"/>
    <w:rsid w:val="00EF293B"/>
    <w:rsid w:val="00EF2FC1"/>
    <w:rsid w:val="00EF31FA"/>
    <w:rsid w:val="00EF3862"/>
    <w:rsid w:val="00EF4098"/>
    <w:rsid w:val="00EF441C"/>
    <w:rsid w:val="00EF51C9"/>
    <w:rsid w:val="00EF5731"/>
    <w:rsid w:val="00EF5AFB"/>
    <w:rsid w:val="00EF6517"/>
    <w:rsid w:val="00EF6812"/>
    <w:rsid w:val="00EF6FD7"/>
    <w:rsid w:val="00EF7A12"/>
    <w:rsid w:val="00EF7EDD"/>
    <w:rsid w:val="00EF7F4F"/>
    <w:rsid w:val="00F00266"/>
    <w:rsid w:val="00F005B9"/>
    <w:rsid w:val="00F00BBF"/>
    <w:rsid w:val="00F00E40"/>
    <w:rsid w:val="00F0102B"/>
    <w:rsid w:val="00F01241"/>
    <w:rsid w:val="00F01799"/>
    <w:rsid w:val="00F01A9E"/>
    <w:rsid w:val="00F01F28"/>
    <w:rsid w:val="00F01FA8"/>
    <w:rsid w:val="00F02568"/>
    <w:rsid w:val="00F02B17"/>
    <w:rsid w:val="00F030DD"/>
    <w:rsid w:val="00F031F7"/>
    <w:rsid w:val="00F036B1"/>
    <w:rsid w:val="00F03C55"/>
    <w:rsid w:val="00F03C87"/>
    <w:rsid w:val="00F03FAB"/>
    <w:rsid w:val="00F043A2"/>
    <w:rsid w:val="00F043ED"/>
    <w:rsid w:val="00F05364"/>
    <w:rsid w:val="00F07244"/>
    <w:rsid w:val="00F07648"/>
    <w:rsid w:val="00F07F90"/>
    <w:rsid w:val="00F10094"/>
    <w:rsid w:val="00F104B7"/>
    <w:rsid w:val="00F10584"/>
    <w:rsid w:val="00F1126D"/>
    <w:rsid w:val="00F115BA"/>
    <w:rsid w:val="00F11684"/>
    <w:rsid w:val="00F11A43"/>
    <w:rsid w:val="00F1235E"/>
    <w:rsid w:val="00F1297F"/>
    <w:rsid w:val="00F129EC"/>
    <w:rsid w:val="00F13552"/>
    <w:rsid w:val="00F13654"/>
    <w:rsid w:val="00F1372D"/>
    <w:rsid w:val="00F13F58"/>
    <w:rsid w:val="00F1400F"/>
    <w:rsid w:val="00F153C3"/>
    <w:rsid w:val="00F15C6D"/>
    <w:rsid w:val="00F15DD0"/>
    <w:rsid w:val="00F162BD"/>
    <w:rsid w:val="00F16483"/>
    <w:rsid w:val="00F17406"/>
    <w:rsid w:val="00F20199"/>
    <w:rsid w:val="00F206F3"/>
    <w:rsid w:val="00F20DE0"/>
    <w:rsid w:val="00F210FC"/>
    <w:rsid w:val="00F21B2A"/>
    <w:rsid w:val="00F2200D"/>
    <w:rsid w:val="00F2225B"/>
    <w:rsid w:val="00F22667"/>
    <w:rsid w:val="00F22869"/>
    <w:rsid w:val="00F228BC"/>
    <w:rsid w:val="00F22973"/>
    <w:rsid w:val="00F22B6C"/>
    <w:rsid w:val="00F22D9D"/>
    <w:rsid w:val="00F23087"/>
    <w:rsid w:val="00F23888"/>
    <w:rsid w:val="00F23978"/>
    <w:rsid w:val="00F240A9"/>
    <w:rsid w:val="00F24C63"/>
    <w:rsid w:val="00F25264"/>
    <w:rsid w:val="00F25D84"/>
    <w:rsid w:val="00F25E5D"/>
    <w:rsid w:val="00F25F38"/>
    <w:rsid w:val="00F26C46"/>
    <w:rsid w:val="00F26D5C"/>
    <w:rsid w:val="00F26E74"/>
    <w:rsid w:val="00F26F94"/>
    <w:rsid w:val="00F2741C"/>
    <w:rsid w:val="00F27680"/>
    <w:rsid w:val="00F27CE6"/>
    <w:rsid w:val="00F30844"/>
    <w:rsid w:val="00F30BF7"/>
    <w:rsid w:val="00F311ED"/>
    <w:rsid w:val="00F3136A"/>
    <w:rsid w:val="00F3192E"/>
    <w:rsid w:val="00F31D4E"/>
    <w:rsid w:val="00F32497"/>
    <w:rsid w:val="00F324A8"/>
    <w:rsid w:val="00F336B1"/>
    <w:rsid w:val="00F33CEA"/>
    <w:rsid w:val="00F33FBC"/>
    <w:rsid w:val="00F34624"/>
    <w:rsid w:val="00F349AE"/>
    <w:rsid w:val="00F34BB6"/>
    <w:rsid w:val="00F34DF3"/>
    <w:rsid w:val="00F3555C"/>
    <w:rsid w:val="00F358A1"/>
    <w:rsid w:val="00F35B2D"/>
    <w:rsid w:val="00F3606B"/>
    <w:rsid w:val="00F3620A"/>
    <w:rsid w:val="00F36566"/>
    <w:rsid w:val="00F3662F"/>
    <w:rsid w:val="00F368B3"/>
    <w:rsid w:val="00F36A7D"/>
    <w:rsid w:val="00F376B9"/>
    <w:rsid w:val="00F37A62"/>
    <w:rsid w:val="00F37CA8"/>
    <w:rsid w:val="00F37F73"/>
    <w:rsid w:val="00F402C3"/>
    <w:rsid w:val="00F414F6"/>
    <w:rsid w:val="00F41858"/>
    <w:rsid w:val="00F418ED"/>
    <w:rsid w:val="00F41B8C"/>
    <w:rsid w:val="00F41DE1"/>
    <w:rsid w:val="00F4221A"/>
    <w:rsid w:val="00F42380"/>
    <w:rsid w:val="00F424A4"/>
    <w:rsid w:val="00F42773"/>
    <w:rsid w:val="00F428BF"/>
    <w:rsid w:val="00F42C7B"/>
    <w:rsid w:val="00F42E99"/>
    <w:rsid w:val="00F43070"/>
    <w:rsid w:val="00F430FC"/>
    <w:rsid w:val="00F43119"/>
    <w:rsid w:val="00F438E4"/>
    <w:rsid w:val="00F439AE"/>
    <w:rsid w:val="00F440F7"/>
    <w:rsid w:val="00F4430F"/>
    <w:rsid w:val="00F44E47"/>
    <w:rsid w:val="00F45AE4"/>
    <w:rsid w:val="00F45F2D"/>
    <w:rsid w:val="00F46688"/>
    <w:rsid w:val="00F4690F"/>
    <w:rsid w:val="00F46A2C"/>
    <w:rsid w:val="00F46DC8"/>
    <w:rsid w:val="00F46DCC"/>
    <w:rsid w:val="00F4734E"/>
    <w:rsid w:val="00F47E8A"/>
    <w:rsid w:val="00F47F6A"/>
    <w:rsid w:val="00F5011D"/>
    <w:rsid w:val="00F501B6"/>
    <w:rsid w:val="00F5035A"/>
    <w:rsid w:val="00F503A7"/>
    <w:rsid w:val="00F505D6"/>
    <w:rsid w:val="00F50CD8"/>
    <w:rsid w:val="00F50E84"/>
    <w:rsid w:val="00F51003"/>
    <w:rsid w:val="00F5137A"/>
    <w:rsid w:val="00F51E53"/>
    <w:rsid w:val="00F52122"/>
    <w:rsid w:val="00F52A48"/>
    <w:rsid w:val="00F52DB5"/>
    <w:rsid w:val="00F53119"/>
    <w:rsid w:val="00F5314E"/>
    <w:rsid w:val="00F532C6"/>
    <w:rsid w:val="00F53D13"/>
    <w:rsid w:val="00F54D87"/>
    <w:rsid w:val="00F54FCD"/>
    <w:rsid w:val="00F550E1"/>
    <w:rsid w:val="00F55168"/>
    <w:rsid w:val="00F55397"/>
    <w:rsid w:val="00F55818"/>
    <w:rsid w:val="00F56044"/>
    <w:rsid w:val="00F575C6"/>
    <w:rsid w:val="00F57C76"/>
    <w:rsid w:val="00F57D94"/>
    <w:rsid w:val="00F602B0"/>
    <w:rsid w:val="00F6036E"/>
    <w:rsid w:val="00F60475"/>
    <w:rsid w:val="00F60758"/>
    <w:rsid w:val="00F608AB"/>
    <w:rsid w:val="00F60E5C"/>
    <w:rsid w:val="00F612EC"/>
    <w:rsid w:val="00F616A3"/>
    <w:rsid w:val="00F61B87"/>
    <w:rsid w:val="00F61FD3"/>
    <w:rsid w:val="00F62242"/>
    <w:rsid w:val="00F627F9"/>
    <w:rsid w:val="00F62B9B"/>
    <w:rsid w:val="00F62BB0"/>
    <w:rsid w:val="00F62ED1"/>
    <w:rsid w:val="00F6393E"/>
    <w:rsid w:val="00F6400F"/>
    <w:rsid w:val="00F642ED"/>
    <w:rsid w:val="00F645EB"/>
    <w:rsid w:val="00F649A3"/>
    <w:rsid w:val="00F6525C"/>
    <w:rsid w:val="00F65BDA"/>
    <w:rsid w:val="00F661F5"/>
    <w:rsid w:val="00F666F0"/>
    <w:rsid w:val="00F66E89"/>
    <w:rsid w:val="00F674C6"/>
    <w:rsid w:val="00F67505"/>
    <w:rsid w:val="00F675EB"/>
    <w:rsid w:val="00F677D9"/>
    <w:rsid w:val="00F707CA"/>
    <w:rsid w:val="00F70B91"/>
    <w:rsid w:val="00F71692"/>
    <w:rsid w:val="00F717DB"/>
    <w:rsid w:val="00F724F6"/>
    <w:rsid w:val="00F727EA"/>
    <w:rsid w:val="00F72EC3"/>
    <w:rsid w:val="00F731E3"/>
    <w:rsid w:val="00F7360E"/>
    <w:rsid w:val="00F73BCD"/>
    <w:rsid w:val="00F741DC"/>
    <w:rsid w:val="00F74591"/>
    <w:rsid w:val="00F747C4"/>
    <w:rsid w:val="00F74FC5"/>
    <w:rsid w:val="00F74FF3"/>
    <w:rsid w:val="00F7529F"/>
    <w:rsid w:val="00F7561C"/>
    <w:rsid w:val="00F75806"/>
    <w:rsid w:val="00F7635A"/>
    <w:rsid w:val="00F765DA"/>
    <w:rsid w:val="00F76B96"/>
    <w:rsid w:val="00F773EE"/>
    <w:rsid w:val="00F77495"/>
    <w:rsid w:val="00F774F1"/>
    <w:rsid w:val="00F80BE5"/>
    <w:rsid w:val="00F80C71"/>
    <w:rsid w:val="00F80E70"/>
    <w:rsid w:val="00F81A1A"/>
    <w:rsid w:val="00F82605"/>
    <w:rsid w:val="00F82A13"/>
    <w:rsid w:val="00F83136"/>
    <w:rsid w:val="00F831C4"/>
    <w:rsid w:val="00F83D3E"/>
    <w:rsid w:val="00F83E4F"/>
    <w:rsid w:val="00F8426F"/>
    <w:rsid w:val="00F84336"/>
    <w:rsid w:val="00F84370"/>
    <w:rsid w:val="00F8460C"/>
    <w:rsid w:val="00F84AC9"/>
    <w:rsid w:val="00F84D55"/>
    <w:rsid w:val="00F85ABE"/>
    <w:rsid w:val="00F85C28"/>
    <w:rsid w:val="00F85F6E"/>
    <w:rsid w:val="00F85F99"/>
    <w:rsid w:val="00F863A5"/>
    <w:rsid w:val="00F86D39"/>
    <w:rsid w:val="00F86FF0"/>
    <w:rsid w:val="00F87193"/>
    <w:rsid w:val="00F873DC"/>
    <w:rsid w:val="00F875D6"/>
    <w:rsid w:val="00F87E45"/>
    <w:rsid w:val="00F90433"/>
    <w:rsid w:val="00F90537"/>
    <w:rsid w:val="00F905B5"/>
    <w:rsid w:val="00F90ADB"/>
    <w:rsid w:val="00F90AEE"/>
    <w:rsid w:val="00F9200C"/>
    <w:rsid w:val="00F92313"/>
    <w:rsid w:val="00F9253D"/>
    <w:rsid w:val="00F9285D"/>
    <w:rsid w:val="00F92D61"/>
    <w:rsid w:val="00F93FA5"/>
    <w:rsid w:val="00F944D8"/>
    <w:rsid w:val="00F94BC5"/>
    <w:rsid w:val="00F959CC"/>
    <w:rsid w:val="00F95C2B"/>
    <w:rsid w:val="00F96614"/>
    <w:rsid w:val="00F96635"/>
    <w:rsid w:val="00F97155"/>
    <w:rsid w:val="00F97691"/>
    <w:rsid w:val="00FA0605"/>
    <w:rsid w:val="00FA07DC"/>
    <w:rsid w:val="00FA0FB0"/>
    <w:rsid w:val="00FA2444"/>
    <w:rsid w:val="00FA271B"/>
    <w:rsid w:val="00FA2807"/>
    <w:rsid w:val="00FA2B88"/>
    <w:rsid w:val="00FA2EEE"/>
    <w:rsid w:val="00FA3427"/>
    <w:rsid w:val="00FA37FE"/>
    <w:rsid w:val="00FA4429"/>
    <w:rsid w:val="00FA4A5B"/>
    <w:rsid w:val="00FA4E81"/>
    <w:rsid w:val="00FA4EEB"/>
    <w:rsid w:val="00FA5003"/>
    <w:rsid w:val="00FA5209"/>
    <w:rsid w:val="00FA5729"/>
    <w:rsid w:val="00FA5B51"/>
    <w:rsid w:val="00FA5B85"/>
    <w:rsid w:val="00FA5D32"/>
    <w:rsid w:val="00FA5DE5"/>
    <w:rsid w:val="00FA5FAB"/>
    <w:rsid w:val="00FA6661"/>
    <w:rsid w:val="00FA6823"/>
    <w:rsid w:val="00FA6866"/>
    <w:rsid w:val="00FA6C50"/>
    <w:rsid w:val="00FA6D6C"/>
    <w:rsid w:val="00FA6F05"/>
    <w:rsid w:val="00FA707C"/>
    <w:rsid w:val="00FA795C"/>
    <w:rsid w:val="00FB0EF1"/>
    <w:rsid w:val="00FB0FAC"/>
    <w:rsid w:val="00FB1208"/>
    <w:rsid w:val="00FB14D3"/>
    <w:rsid w:val="00FB1693"/>
    <w:rsid w:val="00FB1723"/>
    <w:rsid w:val="00FB1B3B"/>
    <w:rsid w:val="00FB21BE"/>
    <w:rsid w:val="00FB30AA"/>
    <w:rsid w:val="00FB3974"/>
    <w:rsid w:val="00FB3D0B"/>
    <w:rsid w:val="00FB3EBA"/>
    <w:rsid w:val="00FB4CDC"/>
    <w:rsid w:val="00FB4DA6"/>
    <w:rsid w:val="00FB50C0"/>
    <w:rsid w:val="00FB513C"/>
    <w:rsid w:val="00FB52CB"/>
    <w:rsid w:val="00FB5483"/>
    <w:rsid w:val="00FB55D1"/>
    <w:rsid w:val="00FB55E9"/>
    <w:rsid w:val="00FB590C"/>
    <w:rsid w:val="00FB6C3A"/>
    <w:rsid w:val="00FB7BB2"/>
    <w:rsid w:val="00FC04A1"/>
    <w:rsid w:val="00FC0978"/>
    <w:rsid w:val="00FC0CED"/>
    <w:rsid w:val="00FC1222"/>
    <w:rsid w:val="00FC1FF3"/>
    <w:rsid w:val="00FC2E99"/>
    <w:rsid w:val="00FC307E"/>
    <w:rsid w:val="00FC3621"/>
    <w:rsid w:val="00FC3831"/>
    <w:rsid w:val="00FC3ECB"/>
    <w:rsid w:val="00FC4AC2"/>
    <w:rsid w:val="00FC54B2"/>
    <w:rsid w:val="00FC5A4E"/>
    <w:rsid w:val="00FC5DF9"/>
    <w:rsid w:val="00FC5FC6"/>
    <w:rsid w:val="00FC65F2"/>
    <w:rsid w:val="00FC6BD6"/>
    <w:rsid w:val="00FC6F65"/>
    <w:rsid w:val="00FC735C"/>
    <w:rsid w:val="00FC76EE"/>
    <w:rsid w:val="00FC78EE"/>
    <w:rsid w:val="00FC7A8F"/>
    <w:rsid w:val="00FC7FC4"/>
    <w:rsid w:val="00FD0371"/>
    <w:rsid w:val="00FD051B"/>
    <w:rsid w:val="00FD08D7"/>
    <w:rsid w:val="00FD0A42"/>
    <w:rsid w:val="00FD0C0E"/>
    <w:rsid w:val="00FD16F3"/>
    <w:rsid w:val="00FD19AE"/>
    <w:rsid w:val="00FD1D77"/>
    <w:rsid w:val="00FD1E86"/>
    <w:rsid w:val="00FD2320"/>
    <w:rsid w:val="00FD28D5"/>
    <w:rsid w:val="00FD3086"/>
    <w:rsid w:val="00FD314C"/>
    <w:rsid w:val="00FD34EF"/>
    <w:rsid w:val="00FD3BBE"/>
    <w:rsid w:val="00FD3ECD"/>
    <w:rsid w:val="00FD42C9"/>
    <w:rsid w:val="00FD458B"/>
    <w:rsid w:val="00FD46A1"/>
    <w:rsid w:val="00FD47CA"/>
    <w:rsid w:val="00FD56A4"/>
    <w:rsid w:val="00FD56B7"/>
    <w:rsid w:val="00FD58C2"/>
    <w:rsid w:val="00FD71FA"/>
    <w:rsid w:val="00FD767E"/>
    <w:rsid w:val="00FD7A4E"/>
    <w:rsid w:val="00FD7E54"/>
    <w:rsid w:val="00FD7F1D"/>
    <w:rsid w:val="00FE0131"/>
    <w:rsid w:val="00FE0CAE"/>
    <w:rsid w:val="00FE0D9F"/>
    <w:rsid w:val="00FE1A13"/>
    <w:rsid w:val="00FE1C57"/>
    <w:rsid w:val="00FE1D3E"/>
    <w:rsid w:val="00FE2EE0"/>
    <w:rsid w:val="00FE2F65"/>
    <w:rsid w:val="00FE2FBF"/>
    <w:rsid w:val="00FE3A48"/>
    <w:rsid w:val="00FE41C2"/>
    <w:rsid w:val="00FE43BD"/>
    <w:rsid w:val="00FE4555"/>
    <w:rsid w:val="00FE4B1F"/>
    <w:rsid w:val="00FE52B7"/>
    <w:rsid w:val="00FE52D6"/>
    <w:rsid w:val="00FE57A0"/>
    <w:rsid w:val="00FE5E3A"/>
    <w:rsid w:val="00FE5F27"/>
    <w:rsid w:val="00FE68C5"/>
    <w:rsid w:val="00FE6BFF"/>
    <w:rsid w:val="00FE6C0D"/>
    <w:rsid w:val="00FE6C20"/>
    <w:rsid w:val="00FE6E85"/>
    <w:rsid w:val="00FE6FF4"/>
    <w:rsid w:val="00FE7030"/>
    <w:rsid w:val="00FE70B7"/>
    <w:rsid w:val="00FE74F2"/>
    <w:rsid w:val="00FE7737"/>
    <w:rsid w:val="00FE79C5"/>
    <w:rsid w:val="00FE7AA0"/>
    <w:rsid w:val="00FE7F54"/>
    <w:rsid w:val="00FF0991"/>
    <w:rsid w:val="00FF0D9E"/>
    <w:rsid w:val="00FF0E9F"/>
    <w:rsid w:val="00FF1158"/>
    <w:rsid w:val="00FF12CB"/>
    <w:rsid w:val="00FF1430"/>
    <w:rsid w:val="00FF18ED"/>
    <w:rsid w:val="00FF2289"/>
    <w:rsid w:val="00FF25B7"/>
    <w:rsid w:val="00FF2937"/>
    <w:rsid w:val="00FF2A07"/>
    <w:rsid w:val="00FF2AFD"/>
    <w:rsid w:val="00FF2B50"/>
    <w:rsid w:val="00FF2E8B"/>
    <w:rsid w:val="00FF3075"/>
    <w:rsid w:val="00FF3621"/>
    <w:rsid w:val="00FF36CF"/>
    <w:rsid w:val="00FF3A50"/>
    <w:rsid w:val="00FF4A30"/>
    <w:rsid w:val="00FF5B07"/>
    <w:rsid w:val="00FF61C3"/>
    <w:rsid w:val="00FF716B"/>
    <w:rsid w:val="00FF729E"/>
    <w:rsid w:val="00FF75E7"/>
    <w:rsid w:val="00FF77FF"/>
    <w:rsid w:val="00FF7808"/>
    <w:rsid w:val="00FF7C0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358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4F2"/>
    <w:pPr>
      <w:spacing w:before="120"/>
      <w:jc w:val="both"/>
    </w:pPr>
    <w:rPr>
      <w:rFonts w:ascii="Times New Roman" w:hAnsi="Times New Roman"/>
      <w:sz w:val="22"/>
      <w:lang w:val="en-GB"/>
    </w:rPr>
  </w:style>
  <w:style w:type="paragraph" w:styleId="Heading1">
    <w:name w:val="heading 1"/>
    <w:basedOn w:val="Normal"/>
    <w:next w:val="Normal"/>
    <w:link w:val="Heading1Char"/>
    <w:qFormat/>
    <w:rsid w:val="003937A5"/>
    <w:pPr>
      <w:keepNext/>
      <w:numPr>
        <w:numId w:val="1"/>
      </w:numPr>
      <w:spacing w:before="240" w:after="60"/>
      <w:jc w:val="left"/>
      <w:outlineLvl w:val="0"/>
    </w:pPr>
    <w:rPr>
      <w:rFonts w:ascii="Calibri" w:eastAsia="Times New Roman" w:hAnsi="Calibri" w:cs="Times New Roman"/>
      <w:b/>
      <w:bCs/>
      <w:kern w:val="32"/>
      <w:sz w:val="32"/>
      <w:szCs w:val="32"/>
      <w:lang w:val="en-US"/>
    </w:rPr>
  </w:style>
  <w:style w:type="paragraph" w:styleId="Heading2">
    <w:name w:val="heading 2"/>
    <w:basedOn w:val="Normal"/>
    <w:next w:val="Normal"/>
    <w:link w:val="Heading2Char"/>
    <w:qFormat/>
    <w:rsid w:val="003937A5"/>
    <w:pPr>
      <w:keepNext/>
      <w:numPr>
        <w:ilvl w:val="1"/>
        <w:numId w:val="1"/>
      </w:numPr>
      <w:spacing w:before="240" w:after="60"/>
      <w:jc w:val="left"/>
      <w:outlineLvl w:val="1"/>
    </w:pPr>
    <w:rPr>
      <w:rFonts w:ascii="Calibri" w:eastAsia="Times New Roman" w:hAnsi="Calibri" w:cs="Times New Roman"/>
      <w:b/>
      <w:bCs/>
      <w:i/>
      <w:iCs/>
      <w:sz w:val="28"/>
      <w:szCs w:val="28"/>
      <w:lang w:val="en-US"/>
    </w:rPr>
  </w:style>
  <w:style w:type="paragraph" w:styleId="Heading3">
    <w:name w:val="heading 3"/>
    <w:basedOn w:val="Normal"/>
    <w:next w:val="Normal"/>
    <w:link w:val="Heading3Char"/>
    <w:qFormat/>
    <w:rsid w:val="00524A39"/>
    <w:pPr>
      <w:keepNext/>
      <w:numPr>
        <w:ilvl w:val="2"/>
        <w:numId w:val="1"/>
      </w:numPr>
      <w:spacing w:before="240" w:after="60"/>
      <w:jc w:val="left"/>
      <w:outlineLvl w:val="2"/>
    </w:pPr>
    <w:rPr>
      <w:rFonts w:ascii="Calibri" w:eastAsia="Times New Roman" w:hAnsi="Calibri" w:cs="Times New Roman"/>
      <w:b/>
      <w:bCs/>
      <w:sz w:val="26"/>
      <w:szCs w:val="26"/>
      <w:lang w:val="en-US"/>
    </w:rPr>
  </w:style>
  <w:style w:type="paragraph" w:styleId="Heading4">
    <w:name w:val="heading 4"/>
    <w:basedOn w:val="Normal"/>
    <w:next w:val="Normal"/>
    <w:link w:val="Heading4Char"/>
    <w:qFormat/>
    <w:rsid w:val="003937A5"/>
    <w:pPr>
      <w:keepNext/>
      <w:numPr>
        <w:ilvl w:val="3"/>
        <w:numId w:val="1"/>
      </w:numPr>
      <w:spacing w:before="240" w:after="60"/>
      <w:jc w:val="left"/>
      <w:outlineLvl w:val="3"/>
    </w:pPr>
    <w:rPr>
      <w:rFonts w:ascii="Cambria" w:eastAsia="Times New Roman" w:hAnsi="Cambria" w:cs="Times New Roman"/>
      <w:b/>
      <w:bCs/>
      <w:sz w:val="28"/>
      <w:szCs w:val="28"/>
      <w:lang w:val="en-US"/>
    </w:rPr>
  </w:style>
  <w:style w:type="paragraph" w:styleId="Heading5">
    <w:name w:val="heading 5"/>
    <w:basedOn w:val="Normal"/>
    <w:next w:val="Normal"/>
    <w:link w:val="Heading5Char"/>
    <w:qFormat/>
    <w:rsid w:val="003937A5"/>
    <w:pPr>
      <w:numPr>
        <w:ilvl w:val="4"/>
        <w:numId w:val="1"/>
      </w:numPr>
      <w:spacing w:before="240" w:after="60"/>
      <w:jc w:val="left"/>
      <w:outlineLvl w:val="4"/>
    </w:pPr>
    <w:rPr>
      <w:rFonts w:ascii="Cambria" w:eastAsia="Times New Roman" w:hAnsi="Cambria" w:cs="Times New Roman"/>
      <w:b/>
      <w:bCs/>
      <w:i/>
      <w:iCs/>
      <w:sz w:val="26"/>
      <w:szCs w:val="26"/>
      <w:lang w:val="en-US"/>
    </w:rPr>
  </w:style>
  <w:style w:type="paragraph" w:styleId="Heading6">
    <w:name w:val="heading 6"/>
    <w:basedOn w:val="Normal"/>
    <w:next w:val="Normal"/>
    <w:link w:val="Heading6Char"/>
    <w:qFormat/>
    <w:rsid w:val="003937A5"/>
    <w:pPr>
      <w:numPr>
        <w:ilvl w:val="5"/>
        <w:numId w:val="1"/>
      </w:numPr>
      <w:spacing w:before="240" w:after="60"/>
      <w:jc w:val="left"/>
      <w:outlineLvl w:val="5"/>
    </w:pPr>
    <w:rPr>
      <w:rFonts w:ascii="Cambria" w:eastAsia="Times New Roman" w:hAnsi="Cambria" w:cs="Times New Roman"/>
      <w:b/>
      <w:bCs/>
      <w:szCs w:val="22"/>
      <w:lang w:val="en-US"/>
    </w:rPr>
  </w:style>
  <w:style w:type="paragraph" w:styleId="Heading7">
    <w:name w:val="heading 7"/>
    <w:basedOn w:val="Normal"/>
    <w:next w:val="Normal"/>
    <w:link w:val="Heading7Char"/>
    <w:qFormat/>
    <w:rsid w:val="003937A5"/>
    <w:pPr>
      <w:numPr>
        <w:ilvl w:val="6"/>
        <w:numId w:val="1"/>
      </w:numPr>
      <w:spacing w:before="240" w:after="60"/>
      <w:jc w:val="left"/>
      <w:outlineLvl w:val="6"/>
    </w:pPr>
    <w:rPr>
      <w:rFonts w:ascii="Cambria" w:eastAsia="Times New Roman" w:hAnsi="Cambria" w:cs="Times New Roman"/>
      <w:sz w:val="24"/>
      <w:lang w:val="en-US"/>
    </w:rPr>
  </w:style>
  <w:style w:type="paragraph" w:styleId="Heading8">
    <w:name w:val="heading 8"/>
    <w:basedOn w:val="Normal"/>
    <w:next w:val="Normal"/>
    <w:link w:val="Heading8Char"/>
    <w:qFormat/>
    <w:rsid w:val="003937A5"/>
    <w:pPr>
      <w:numPr>
        <w:ilvl w:val="7"/>
        <w:numId w:val="1"/>
      </w:numPr>
      <w:spacing w:before="240" w:after="60"/>
      <w:jc w:val="left"/>
      <w:outlineLvl w:val="7"/>
    </w:pPr>
    <w:rPr>
      <w:rFonts w:ascii="Cambria" w:eastAsia="Times New Roman" w:hAnsi="Cambria" w:cs="Times New Roman"/>
      <w:i/>
      <w:iCs/>
      <w:sz w:val="24"/>
      <w:lang w:val="en-US"/>
    </w:rPr>
  </w:style>
  <w:style w:type="paragraph" w:styleId="Heading9">
    <w:name w:val="heading 9"/>
    <w:basedOn w:val="Normal"/>
    <w:next w:val="Normal"/>
    <w:link w:val="Heading9Char"/>
    <w:qFormat/>
    <w:rsid w:val="003937A5"/>
    <w:pPr>
      <w:numPr>
        <w:ilvl w:val="8"/>
        <w:numId w:val="1"/>
      </w:numPr>
      <w:spacing w:before="240" w:after="60"/>
      <w:jc w:val="left"/>
      <w:outlineLvl w:val="8"/>
    </w:pPr>
    <w:rPr>
      <w:rFonts w:ascii="Calibri" w:eastAsia="Times New Roman" w:hAnsi="Calibri" w:cs="Times New Roman"/>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0F3103"/>
    <w:rPr>
      <w:rFonts w:asciiTheme="majorHAnsi" w:hAnsiTheme="majorHAnsi"/>
      <w:sz w:val="22"/>
      <w:vertAlign w:val="superscript"/>
    </w:rPr>
  </w:style>
  <w:style w:type="paragraph" w:styleId="FootnoteText">
    <w:name w:val="footnote text"/>
    <w:basedOn w:val="Normal"/>
    <w:link w:val="FootnoteTextChar"/>
    <w:uiPriority w:val="99"/>
    <w:unhideWhenUsed/>
    <w:rsid w:val="000F3103"/>
    <w:pPr>
      <w:spacing w:before="0"/>
    </w:pPr>
    <w:rPr>
      <w:rFonts w:asciiTheme="majorHAnsi" w:hAnsiTheme="majorHAnsi"/>
      <w:i/>
      <w:sz w:val="18"/>
    </w:rPr>
  </w:style>
  <w:style w:type="character" w:customStyle="1" w:styleId="FootnoteTextChar">
    <w:name w:val="Footnote Text Char"/>
    <w:basedOn w:val="DefaultParagraphFont"/>
    <w:link w:val="FootnoteText"/>
    <w:uiPriority w:val="99"/>
    <w:rsid w:val="000F3103"/>
    <w:rPr>
      <w:rFonts w:asciiTheme="majorHAnsi" w:hAnsiTheme="majorHAnsi"/>
      <w:i/>
      <w:sz w:val="18"/>
      <w:lang w:val="en-AU"/>
    </w:rPr>
  </w:style>
  <w:style w:type="paragraph" w:styleId="NoSpacing">
    <w:name w:val="No Spacing"/>
    <w:link w:val="NoSpacingChar"/>
    <w:qFormat/>
    <w:rsid w:val="00FE74F2"/>
    <w:rPr>
      <w:rFonts w:ascii="PMingLiU" w:hAnsi="PMingLiU"/>
      <w:sz w:val="22"/>
      <w:szCs w:val="22"/>
    </w:rPr>
  </w:style>
  <w:style w:type="character" w:customStyle="1" w:styleId="NoSpacingChar">
    <w:name w:val="No Spacing Char"/>
    <w:basedOn w:val="DefaultParagraphFont"/>
    <w:link w:val="NoSpacing"/>
    <w:rsid w:val="00F6036E"/>
    <w:rPr>
      <w:rFonts w:ascii="PMingLiU" w:hAnsi="PMingLiU"/>
      <w:sz w:val="22"/>
      <w:szCs w:val="22"/>
    </w:rPr>
  </w:style>
  <w:style w:type="paragraph" w:styleId="Subtitle">
    <w:name w:val="Subtitle"/>
    <w:basedOn w:val="Normal"/>
    <w:next w:val="Normal"/>
    <w:link w:val="SubtitleChar"/>
    <w:uiPriority w:val="1"/>
    <w:rsid w:val="00F6036E"/>
    <w:pPr>
      <w:numPr>
        <w:ilvl w:val="1"/>
      </w:numPr>
      <w:spacing w:before="60" w:after="480"/>
      <w:jc w:val="right"/>
    </w:pPr>
    <w:rPr>
      <w:rFonts w:asciiTheme="minorHAnsi" w:hAnsiTheme="minorHAnsi"/>
      <w:iCs/>
      <w:color w:val="595959" w:themeColor="text1" w:themeTint="A6"/>
      <w:sz w:val="28"/>
      <w:szCs w:val="28"/>
      <w:lang w:val="en-US"/>
    </w:rPr>
  </w:style>
  <w:style w:type="character" w:customStyle="1" w:styleId="SubtitleChar">
    <w:name w:val="Subtitle Char"/>
    <w:basedOn w:val="DefaultParagraphFont"/>
    <w:link w:val="Subtitle"/>
    <w:uiPriority w:val="1"/>
    <w:rsid w:val="00F6036E"/>
    <w:rPr>
      <w:iCs/>
      <w:color w:val="595959" w:themeColor="text1" w:themeTint="A6"/>
      <w:sz w:val="28"/>
      <w:szCs w:val="28"/>
    </w:rPr>
  </w:style>
  <w:style w:type="paragraph" w:styleId="Date">
    <w:name w:val="Date"/>
    <w:basedOn w:val="Normal"/>
    <w:next w:val="Normal"/>
    <w:link w:val="DateChar"/>
    <w:uiPriority w:val="1"/>
    <w:rsid w:val="00F6036E"/>
    <w:pPr>
      <w:spacing w:before="0" w:line="276" w:lineRule="auto"/>
      <w:jc w:val="right"/>
    </w:pPr>
    <w:rPr>
      <w:rFonts w:asciiTheme="minorHAnsi" w:hAnsiTheme="minorHAnsi"/>
      <w:color w:val="4F81BD" w:themeColor="accent1"/>
      <w:sz w:val="24"/>
      <w:lang w:val="en-US"/>
    </w:rPr>
  </w:style>
  <w:style w:type="character" w:customStyle="1" w:styleId="DateChar">
    <w:name w:val="Date Char"/>
    <w:basedOn w:val="DefaultParagraphFont"/>
    <w:link w:val="Date"/>
    <w:uiPriority w:val="1"/>
    <w:rsid w:val="00F6036E"/>
    <w:rPr>
      <w:color w:val="4F81BD" w:themeColor="accent1"/>
    </w:rPr>
  </w:style>
  <w:style w:type="paragraph" w:styleId="BalloonText">
    <w:name w:val="Balloon Text"/>
    <w:basedOn w:val="Normal"/>
    <w:link w:val="BalloonTextChar"/>
    <w:uiPriority w:val="99"/>
    <w:unhideWhenUsed/>
    <w:rsid w:val="00F6036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6036E"/>
    <w:rPr>
      <w:rFonts w:ascii="Lucida Grande" w:hAnsi="Lucida Grande" w:cs="Lucida Grande"/>
      <w:sz w:val="18"/>
      <w:szCs w:val="18"/>
      <w:lang w:val="en-AU"/>
    </w:rPr>
  </w:style>
  <w:style w:type="character" w:customStyle="1" w:styleId="Heading1Char">
    <w:name w:val="Heading 1 Char"/>
    <w:basedOn w:val="DefaultParagraphFont"/>
    <w:link w:val="Heading1"/>
    <w:rsid w:val="003937A5"/>
    <w:rPr>
      <w:rFonts w:ascii="Calibri" w:eastAsia="Times New Roman" w:hAnsi="Calibri" w:cs="Times New Roman"/>
      <w:b/>
      <w:bCs/>
      <w:kern w:val="32"/>
      <w:sz w:val="32"/>
      <w:szCs w:val="32"/>
    </w:rPr>
  </w:style>
  <w:style w:type="character" w:customStyle="1" w:styleId="Heading2Char">
    <w:name w:val="Heading 2 Char"/>
    <w:basedOn w:val="DefaultParagraphFont"/>
    <w:link w:val="Heading2"/>
    <w:rsid w:val="003937A5"/>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3937A5"/>
    <w:rPr>
      <w:rFonts w:ascii="Calibri" w:eastAsia="Times New Roman" w:hAnsi="Calibri" w:cs="Times New Roman"/>
      <w:b/>
      <w:bCs/>
      <w:sz w:val="26"/>
      <w:szCs w:val="26"/>
    </w:rPr>
  </w:style>
  <w:style w:type="character" w:customStyle="1" w:styleId="Heading4Char">
    <w:name w:val="Heading 4 Char"/>
    <w:basedOn w:val="DefaultParagraphFont"/>
    <w:link w:val="Heading4"/>
    <w:rsid w:val="003937A5"/>
    <w:rPr>
      <w:rFonts w:ascii="Cambria" w:eastAsia="Times New Roman" w:hAnsi="Cambria" w:cs="Times New Roman"/>
      <w:b/>
      <w:bCs/>
      <w:sz w:val="28"/>
      <w:szCs w:val="28"/>
    </w:rPr>
  </w:style>
  <w:style w:type="character" w:customStyle="1" w:styleId="Heading5Char">
    <w:name w:val="Heading 5 Char"/>
    <w:basedOn w:val="DefaultParagraphFont"/>
    <w:link w:val="Heading5"/>
    <w:rsid w:val="003937A5"/>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3937A5"/>
    <w:rPr>
      <w:rFonts w:ascii="Cambria" w:eastAsia="Times New Roman" w:hAnsi="Cambria" w:cs="Times New Roman"/>
      <w:b/>
      <w:bCs/>
      <w:sz w:val="22"/>
      <w:szCs w:val="22"/>
    </w:rPr>
  </w:style>
  <w:style w:type="character" w:customStyle="1" w:styleId="Heading7Char">
    <w:name w:val="Heading 7 Char"/>
    <w:basedOn w:val="DefaultParagraphFont"/>
    <w:link w:val="Heading7"/>
    <w:rsid w:val="003937A5"/>
    <w:rPr>
      <w:rFonts w:ascii="Cambria" w:eastAsia="Times New Roman" w:hAnsi="Cambria" w:cs="Times New Roman"/>
    </w:rPr>
  </w:style>
  <w:style w:type="character" w:customStyle="1" w:styleId="Heading8Char">
    <w:name w:val="Heading 8 Char"/>
    <w:basedOn w:val="DefaultParagraphFont"/>
    <w:link w:val="Heading8"/>
    <w:rsid w:val="003937A5"/>
    <w:rPr>
      <w:rFonts w:ascii="Cambria" w:eastAsia="Times New Roman" w:hAnsi="Cambria" w:cs="Times New Roman"/>
      <w:i/>
      <w:iCs/>
    </w:rPr>
  </w:style>
  <w:style w:type="character" w:customStyle="1" w:styleId="Heading9Char">
    <w:name w:val="Heading 9 Char"/>
    <w:basedOn w:val="DefaultParagraphFont"/>
    <w:link w:val="Heading9"/>
    <w:rsid w:val="003937A5"/>
    <w:rPr>
      <w:rFonts w:ascii="Calibri" w:eastAsia="Times New Roman" w:hAnsi="Calibri" w:cs="Times New Roman"/>
      <w:sz w:val="22"/>
      <w:szCs w:val="22"/>
    </w:rPr>
  </w:style>
  <w:style w:type="paragraph" w:styleId="Header">
    <w:name w:val="header"/>
    <w:basedOn w:val="Normal"/>
    <w:link w:val="HeaderChar"/>
    <w:rsid w:val="003937A5"/>
    <w:pPr>
      <w:tabs>
        <w:tab w:val="center" w:pos="4320"/>
        <w:tab w:val="right" w:pos="8640"/>
      </w:tabs>
      <w:spacing w:before="0"/>
      <w:jc w:val="left"/>
    </w:pPr>
    <w:rPr>
      <w:rFonts w:eastAsia="Times New Roman" w:cs="Times New Roman"/>
      <w:sz w:val="24"/>
      <w:lang w:val="en-US"/>
    </w:rPr>
  </w:style>
  <w:style w:type="character" w:customStyle="1" w:styleId="HeaderChar">
    <w:name w:val="Header Char"/>
    <w:basedOn w:val="DefaultParagraphFont"/>
    <w:link w:val="Header"/>
    <w:rsid w:val="003937A5"/>
    <w:rPr>
      <w:rFonts w:ascii="Times New Roman" w:eastAsia="Times New Roman" w:hAnsi="Times New Roman" w:cs="Times New Roman"/>
    </w:rPr>
  </w:style>
  <w:style w:type="character" w:styleId="PageNumber">
    <w:name w:val="page number"/>
    <w:basedOn w:val="DefaultParagraphFont"/>
    <w:rsid w:val="003937A5"/>
  </w:style>
  <w:style w:type="character" w:styleId="Hyperlink">
    <w:name w:val="Hyperlink"/>
    <w:uiPriority w:val="99"/>
    <w:rsid w:val="003937A5"/>
    <w:rPr>
      <w:color w:val="0000FF"/>
      <w:u w:val="single"/>
    </w:rPr>
  </w:style>
  <w:style w:type="paragraph" w:styleId="Footer">
    <w:name w:val="footer"/>
    <w:basedOn w:val="Normal"/>
    <w:link w:val="FooterChar"/>
    <w:rsid w:val="003937A5"/>
    <w:pPr>
      <w:tabs>
        <w:tab w:val="center" w:pos="4320"/>
        <w:tab w:val="right" w:pos="8640"/>
      </w:tabs>
      <w:spacing w:before="0"/>
      <w:jc w:val="left"/>
    </w:pPr>
    <w:rPr>
      <w:rFonts w:eastAsia="Times New Roman" w:cs="Times New Roman"/>
      <w:sz w:val="24"/>
      <w:lang w:val="en-US"/>
    </w:rPr>
  </w:style>
  <w:style w:type="character" w:customStyle="1" w:styleId="FooterChar">
    <w:name w:val="Footer Char"/>
    <w:basedOn w:val="DefaultParagraphFont"/>
    <w:link w:val="Footer"/>
    <w:rsid w:val="003937A5"/>
    <w:rPr>
      <w:rFonts w:ascii="Times New Roman" w:eastAsia="Times New Roman" w:hAnsi="Times New Roman" w:cs="Times New Roman"/>
    </w:rPr>
  </w:style>
  <w:style w:type="table" w:styleId="TableGrid">
    <w:name w:val="Table Grid"/>
    <w:basedOn w:val="TableNormal"/>
    <w:uiPriority w:val="39"/>
    <w:rsid w:val="003937A5"/>
    <w:rPr>
      <w:rFonts w:ascii="Times New Roman" w:eastAsia="Times New Roman" w:hAnsi="Times New Roman" w:cs="Times New Roman"/>
      <w:sz w:val="20"/>
      <w:szCs w:val="20"/>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DA-1">
    <w:name w:val="CDA - 1"/>
    <w:aliases w:val="2,3"/>
    <w:rsid w:val="00FE74F2"/>
    <w:pPr>
      <w:widowControl w:val="0"/>
      <w:spacing w:after="283" w:line="328" w:lineRule="atLeast"/>
      <w:ind w:left="567"/>
      <w:jc w:val="both"/>
    </w:pPr>
    <w:rPr>
      <w:rFonts w:ascii="TimesNewRomanPS" w:eastAsia="Times New Roman" w:hAnsi="TimesNewRomanPS" w:cs="Times New Roman"/>
      <w:snapToGrid w:val="0"/>
      <w:color w:val="000000"/>
      <w:szCs w:val="20"/>
    </w:rPr>
  </w:style>
  <w:style w:type="paragraph" w:styleId="TOC1">
    <w:name w:val="toc 1"/>
    <w:basedOn w:val="Normal"/>
    <w:next w:val="Normal"/>
    <w:autoRedefine/>
    <w:uiPriority w:val="39"/>
    <w:rsid w:val="00B83873"/>
    <w:pPr>
      <w:tabs>
        <w:tab w:val="left" w:pos="362"/>
        <w:tab w:val="right" w:leader="dot" w:pos="9622"/>
      </w:tabs>
      <w:jc w:val="left"/>
    </w:pPr>
    <w:rPr>
      <w:rFonts w:ascii="Calibri" w:eastAsia="Times New Roman" w:hAnsi="Calibri" w:cs="Times New Roman"/>
      <w:b/>
      <w:noProof/>
      <w:color w:val="31849B" w:themeColor="accent5" w:themeShade="BF"/>
      <w:sz w:val="24"/>
      <w:lang w:val="en-US"/>
    </w:rPr>
  </w:style>
  <w:style w:type="paragraph" w:styleId="TOC2">
    <w:name w:val="toc 2"/>
    <w:basedOn w:val="Normal"/>
    <w:next w:val="Normal"/>
    <w:autoRedefine/>
    <w:uiPriority w:val="39"/>
    <w:rsid w:val="005F421E"/>
    <w:pPr>
      <w:tabs>
        <w:tab w:val="left" w:pos="529"/>
        <w:tab w:val="right" w:leader="dot" w:pos="9639"/>
      </w:tabs>
      <w:spacing w:before="0"/>
      <w:jc w:val="left"/>
    </w:pPr>
    <w:rPr>
      <w:rFonts w:ascii="Cambria" w:eastAsia="Times New Roman" w:hAnsi="Cambria" w:cs="Times New Roman"/>
      <w:szCs w:val="22"/>
      <w:lang w:val="en-US"/>
    </w:rPr>
  </w:style>
  <w:style w:type="paragraph" w:styleId="TOC3">
    <w:name w:val="toc 3"/>
    <w:basedOn w:val="Normal"/>
    <w:next w:val="Normal"/>
    <w:autoRedefine/>
    <w:uiPriority w:val="39"/>
    <w:rsid w:val="00A91985"/>
    <w:pPr>
      <w:tabs>
        <w:tab w:val="left" w:pos="916"/>
        <w:tab w:val="right" w:leader="dot" w:pos="9622"/>
      </w:tabs>
      <w:spacing w:before="0"/>
      <w:jc w:val="left"/>
    </w:pPr>
    <w:rPr>
      <w:rFonts w:ascii="Cambria" w:eastAsia="Times New Roman" w:hAnsi="Cambria" w:cs="Times New Roman"/>
      <w:i/>
      <w:szCs w:val="22"/>
      <w:lang w:val="en-US"/>
    </w:rPr>
  </w:style>
  <w:style w:type="paragraph" w:styleId="TOC4">
    <w:name w:val="toc 4"/>
    <w:basedOn w:val="Normal"/>
    <w:next w:val="Normal"/>
    <w:autoRedefine/>
    <w:uiPriority w:val="39"/>
    <w:rsid w:val="003937A5"/>
    <w:pPr>
      <w:pBdr>
        <w:between w:val="double" w:sz="6" w:space="0" w:color="auto"/>
      </w:pBdr>
      <w:spacing w:before="0"/>
      <w:ind w:left="480"/>
      <w:jc w:val="left"/>
    </w:pPr>
    <w:rPr>
      <w:rFonts w:ascii="Cambria" w:eastAsia="Times New Roman" w:hAnsi="Cambria" w:cs="Times New Roman"/>
      <w:sz w:val="20"/>
      <w:szCs w:val="20"/>
      <w:lang w:val="en-US"/>
    </w:rPr>
  </w:style>
  <w:style w:type="paragraph" w:styleId="TOC5">
    <w:name w:val="toc 5"/>
    <w:basedOn w:val="Normal"/>
    <w:next w:val="Normal"/>
    <w:autoRedefine/>
    <w:uiPriority w:val="39"/>
    <w:rsid w:val="003937A5"/>
    <w:pPr>
      <w:pBdr>
        <w:between w:val="double" w:sz="6" w:space="0" w:color="auto"/>
      </w:pBdr>
      <w:spacing w:before="0"/>
      <w:ind w:left="720"/>
      <w:jc w:val="left"/>
    </w:pPr>
    <w:rPr>
      <w:rFonts w:ascii="Cambria" w:eastAsia="Times New Roman" w:hAnsi="Cambria" w:cs="Times New Roman"/>
      <w:sz w:val="20"/>
      <w:szCs w:val="20"/>
      <w:lang w:val="en-US"/>
    </w:rPr>
  </w:style>
  <w:style w:type="paragraph" w:styleId="TOC6">
    <w:name w:val="toc 6"/>
    <w:basedOn w:val="Normal"/>
    <w:next w:val="Normal"/>
    <w:autoRedefine/>
    <w:uiPriority w:val="39"/>
    <w:rsid w:val="003937A5"/>
    <w:pPr>
      <w:pBdr>
        <w:between w:val="double" w:sz="6" w:space="0" w:color="auto"/>
      </w:pBdr>
      <w:spacing w:before="0"/>
      <w:ind w:left="960"/>
      <w:jc w:val="left"/>
    </w:pPr>
    <w:rPr>
      <w:rFonts w:ascii="Cambria" w:eastAsia="Times New Roman" w:hAnsi="Cambria" w:cs="Times New Roman"/>
      <w:sz w:val="20"/>
      <w:szCs w:val="20"/>
      <w:lang w:val="en-US"/>
    </w:rPr>
  </w:style>
  <w:style w:type="paragraph" w:styleId="TOC7">
    <w:name w:val="toc 7"/>
    <w:basedOn w:val="Normal"/>
    <w:next w:val="Normal"/>
    <w:autoRedefine/>
    <w:uiPriority w:val="39"/>
    <w:rsid w:val="003937A5"/>
    <w:pPr>
      <w:pBdr>
        <w:between w:val="double" w:sz="6" w:space="0" w:color="auto"/>
      </w:pBdr>
      <w:spacing w:before="0"/>
      <w:ind w:left="1200"/>
      <w:jc w:val="left"/>
    </w:pPr>
    <w:rPr>
      <w:rFonts w:ascii="Cambria" w:eastAsia="Times New Roman" w:hAnsi="Cambria" w:cs="Times New Roman"/>
      <w:sz w:val="20"/>
      <w:szCs w:val="20"/>
      <w:lang w:val="en-US"/>
    </w:rPr>
  </w:style>
  <w:style w:type="paragraph" w:styleId="TOC8">
    <w:name w:val="toc 8"/>
    <w:basedOn w:val="Normal"/>
    <w:next w:val="Normal"/>
    <w:autoRedefine/>
    <w:uiPriority w:val="39"/>
    <w:rsid w:val="003937A5"/>
    <w:pPr>
      <w:pBdr>
        <w:between w:val="double" w:sz="6" w:space="0" w:color="auto"/>
      </w:pBdr>
      <w:spacing w:before="0"/>
      <w:ind w:left="1440"/>
      <w:jc w:val="left"/>
    </w:pPr>
    <w:rPr>
      <w:rFonts w:ascii="Cambria" w:eastAsia="Times New Roman" w:hAnsi="Cambria" w:cs="Times New Roman"/>
      <w:sz w:val="20"/>
      <w:szCs w:val="20"/>
      <w:lang w:val="en-US"/>
    </w:rPr>
  </w:style>
  <w:style w:type="paragraph" w:styleId="TOC9">
    <w:name w:val="toc 9"/>
    <w:basedOn w:val="Normal"/>
    <w:next w:val="Normal"/>
    <w:autoRedefine/>
    <w:uiPriority w:val="39"/>
    <w:rsid w:val="003937A5"/>
    <w:pPr>
      <w:pBdr>
        <w:between w:val="double" w:sz="6" w:space="0" w:color="auto"/>
      </w:pBdr>
      <w:spacing w:before="0"/>
      <w:ind w:left="1680"/>
      <w:jc w:val="left"/>
    </w:pPr>
    <w:rPr>
      <w:rFonts w:ascii="Cambria" w:eastAsia="Times New Roman" w:hAnsi="Cambria" w:cs="Times New Roman"/>
      <w:sz w:val="20"/>
      <w:szCs w:val="20"/>
      <w:lang w:val="en-US"/>
    </w:rPr>
  </w:style>
  <w:style w:type="character" w:styleId="FollowedHyperlink">
    <w:name w:val="FollowedHyperlink"/>
    <w:rsid w:val="003937A5"/>
    <w:rPr>
      <w:color w:val="800080"/>
      <w:u w:val="single"/>
    </w:rPr>
  </w:style>
  <w:style w:type="character" w:styleId="CommentReference">
    <w:name w:val="annotation reference"/>
    <w:rsid w:val="003937A5"/>
    <w:rPr>
      <w:sz w:val="16"/>
      <w:szCs w:val="16"/>
    </w:rPr>
  </w:style>
  <w:style w:type="paragraph" w:styleId="CommentText">
    <w:name w:val="annotation text"/>
    <w:basedOn w:val="Normal"/>
    <w:link w:val="CommentTextChar"/>
    <w:uiPriority w:val="99"/>
    <w:rsid w:val="003937A5"/>
    <w:pPr>
      <w:spacing w:before="0"/>
      <w:jc w:val="left"/>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3937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937A5"/>
    <w:rPr>
      <w:b/>
      <w:bCs/>
    </w:rPr>
  </w:style>
  <w:style w:type="character" w:customStyle="1" w:styleId="CommentSubjectChar">
    <w:name w:val="Comment Subject Char"/>
    <w:basedOn w:val="CommentTextChar"/>
    <w:link w:val="CommentSubject"/>
    <w:rsid w:val="003937A5"/>
    <w:rPr>
      <w:rFonts w:ascii="Times New Roman" w:eastAsia="Times New Roman" w:hAnsi="Times New Roman" w:cs="Times New Roman"/>
      <w:b/>
      <w:bCs/>
      <w:sz w:val="20"/>
      <w:szCs w:val="20"/>
    </w:rPr>
  </w:style>
  <w:style w:type="paragraph" w:customStyle="1" w:styleId="MediumList1-Accent61">
    <w:name w:val="Medium List 1 - Accent 61"/>
    <w:basedOn w:val="Normal"/>
    <w:uiPriority w:val="34"/>
    <w:qFormat/>
    <w:rsid w:val="003937A5"/>
    <w:pPr>
      <w:spacing w:before="0"/>
      <w:ind w:left="720"/>
      <w:contextualSpacing/>
      <w:jc w:val="left"/>
    </w:pPr>
    <w:rPr>
      <w:rFonts w:ascii="Cambria" w:eastAsia="Cambria" w:hAnsi="Cambria" w:cs="Times New Roman"/>
      <w:sz w:val="24"/>
      <w:lang w:val="en-US"/>
    </w:rPr>
  </w:style>
  <w:style w:type="paragraph" w:customStyle="1" w:styleId="DarkList-Accent51">
    <w:name w:val="Dark List - Accent 51"/>
    <w:basedOn w:val="Normal"/>
    <w:rsid w:val="003937A5"/>
    <w:pPr>
      <w:spacing w:before="0"/>
      <w:ind w:left="720"/>
      <w:contextualSpacing/>
      <w:jc w:val="left"/>
    </w:pPr>
    <w:rPr>
      <w:rFonts w:ascii="Cambria" w:eastAsia="Cambria" w:hAnsi="Cambria" w:cs="Times New Roman"/>
      <w:sz w:val="24"/>
      <w:lang w:val="en-US"/>
    </w:rPr>
  </w:style>
  <w:style w:type="paragraph" w:styleId="Index1">
    <w:name w:val="index 1"/>
    <w:basedOn w:val="Normal"/>
    <w:next w:val="Normal"/>
    <w:autoRedefine/>
    <w:rsid w:val="003937A5"/>
    <w:pPr>
      <w:spacing w:before="0"/>
      <w:ind w:left="240" w:hanging="240"/>
      <w:jc w:val="left"/>
    </w:pPr>
    <w:rPr>
      <w:rFonts w:eastAsia="Times New Roman" w:cs="Times New Roman"/>
      <w:sz w:val="24"/>
      <w:lang w:val="en-US"/>
    </w:rPr>
  </w:style>
  <w:style w:type="paragraph" w:styleId="Index2">
    <w:name w:val="index 2"/>
    <w:basedOn w:val="Normal"/>
    <w:next w:val="Normal"/>
    <w:autoRedefine/>
    <w:rsid w:val="003937A5"/>
    <w:pPr>
      <w:spacing w:before="0"/>
      <w:ind w:left="480" w:hanging="240"/>
      <w:jc w:val="left"/>
    </w:pPr>
    <w:rPr>
      <w:rFonts w:eastAsia="Times New Roman" w:cs="Times New Roman"/>
      <w:sz w:val="24"/>
      <w:lang w:val="en-US"/>
    </w:rPr>
  </w:style>
  <w:style w:type="paragraph" w:styleId="Index3">
    <w:name w:val="index 3"/>
    <w:basedOn w:val="Normal"/>
    <w:next w:val="Normal"/>
    <w:autoRedefine/>
    <w:rsid w:val="003937A5"/>
    <w:pPr>
      <w:spacing w:before="0"/>
      <w:ind w:left="720" w:hanging="240"/>
      <w:jc w:val="left"/>
    </w:pPr>
    <w:rPr>
      <w:rFonts w:eastAsia="Times New Roman" w:cs="Times New Roman"/>
      <w:sz w:val="24"/>
      <w:lang w:val="en-US"/>
    </w:rPr>
  </w:style>
  <w:style w:type="paragraph" w:styleId="Index4">
    <w:name w:val="index 4"/>
    <w:basedOn w:val="Normal"/>
    <w:next w:val="Normal"/>
    <w:autoRedefine/>
    <w:rsid w:val="003937A5"/>
    <w:pPr>
      <w:spacing w:before="0"/>
      <w:ind w:left="960" w:hanging="240"/>
      <w:jc w:val="left"/>
    </w:pPr>
    <w:rPr>
      <w:rFonts w:eastAsia="Times New Roman" w:cs="Times New Roman"/>
      <w:sz w:val="24"/>
      <w:lang w:val="en-US"/>
    </w:rPr>
  </w:style>
  <w:style w:type="paragraph" w:styleId="Index5">
    <w:name w:val="index 5"/>
    <w:basedOn w:val="Normal"/>
    <w:next w:val="Normal"/>
    <w:autoRedefine/>
    <w:rsid w:val="003937A5"/>
    <w:pPr>
      <w:spacing w:before="0"/>
      <w:ind w:left="1200" w:hanging="240"/>
      <w:jc w:val="left"/>
    </w:pPr>
    <w:rPr>
      <w:rFonts w:eastAsia="Times New Roman" w:cs="Times New Roman"/>
      <w:sz w:val="24"/>
      <w:lang w:val="en-US"/>
    </w:rPr>
  </w:style>
  <w:style w:type="paragraph" w:styleId="Index6">
    <w:name w:val="index 6"/>
    <w:basedOn w:val="Normal"/>
    <w:next w:val="Normal"/>
    <w:autoRedefine/>
    <w:rsid w:val="003937A5"/>
    <w:pPr>
      <w:spacing w:before="0"/>
      <w:ind w:left="1440" w:hanging="240"/>
      <w:jc w:val="left"/>
    </w:pPr>
    <w:rPr>
      <w:rFonts w:eastAsia="Times New Roman" w:cs="Times New Roman"/>
      <w:sz w:val="24"/>
      <w:lang w:val="en-US"/>
    </w:rPr>
  </w:style>
  <w:style w:type="paragraph" w:styleId="Index7">
    <w:name w:val="index 7"/>
    <w:basedOn w:val="Normal"/>
    <w:next w:val="Normal"/>
    <w:autoRedefine/>
    <w:rsid w:val="003937A5"/>
    <w:pPr>
      <w:spacing w:before="0"/>
      <w:ind w:left="1680" w:hanging="240"/>
      <w:jc w:val="left"/>
    </w:pPr>
    <w:rPr>
      <w:rFonts w:eastAsia="Times New Roman" w:cs="Times New Roman"/>
      <w:sz w:val="24"/>
      <w:lang w:val="en-US"/>
    </w:rPr>
  </w:style>
  <w:style w:type="paragraph" w:styleId="Index8">
    <w:name w:val="index 8"/>
    <w:basedOn w:val="Normal"/>
    <w:next w:val="Normal"/>
    <w:autoRedefine/>
    <w:rsid w:val="003937A5"/>
    <w:pPr>
      <w:spacing w:before="0"/>
      <w:ind w:left="1920" w:hanging="240"/>
      <w:jc w:val="left"/>
    </w:pPr>
    <w:rPr>
      <w:rFonts w:eastAsia="Times New Roman" w:cs="Times New Roman"/>
      <w:sz w:val="24"/>
      <w:lang w:val="en-US"/>
    </w:rPr>
  </w:style>
  <w:style w:type="paragraph" w:styleId="Index9">
    <w:name w:val="index 9"/>
    <w:basedOn w:val="Normal"/>
    <w:next w:val="Normal"/>
    <w:autoRedefine/>
    <w:rsid w:val="003937A5"/>
    <w:pPr>
      <w:spacing w:before="0"/>
      <w:ind w:left="2160" w:hanging="240"/>
      <w:jc w:val="left"/>
    </w:pPr>
    <w:rPr>
      <w:rFonts w:eastAsia="Times New Roman" w:cs="Times New Roman"/>
      <w:sz w:val="24"/>
      <w:lang w:val="en-US"/>
    </w:rPr>
  </w:style>
  <w:style w:type="paragraph" w:styleId="IndexHeading">
    <w:name w:val="index heading"/>
    <w:basedOn w:val="Normal"/>
    <w:next w:val="Index1"/>
    <w:rsid w:val="003937A5"/>
    <w:pPr>
      <w:spacing w:before="0"/>
      <w:jc w:val="left"/>
    </w:pPr>
    <w:rPr>
      <w:rFonts w:eastAsia="Times New Roman" w:cs="Times New Roman"/>
      <w:sz w:val="24"/>
      <w:lang w:val="en-US"/>
    </w:rPr>
  </w:style>
  <w:style w:type="paragraph" w:customStyle="1" w:styleId="ColorfulShading-Accent31">
    <w:name w:val="Colorful Shading - Accent 31"/>
    <w:basedOn w:val="Normal"/>
    <w:qFormat/>
    <w:rsid w:val="003937A5"/>
    <w:pPr>
      <w:spacing w:before="0"/>
      <w:ind w:left="720"/>
      <w:contextualSpacing/>
      <w:jc w:val="left"/>
    </w:pPr>
    <w:rPr>
      <w:rFonts w:ascii="Cambria" w:eastAsia="Cambria" w:hAnsi="Cambria" w:cs="Times New Roman"/>
      <w:sz w:val="24"/>
      <w:lang w:val="en-US"/>
    </w:rPr>
  </w:style>
  <w:style w:type="paragraph" w:styleId="NormalWeb">
    <w:name w:val="Normal (Web)"/>
    <w:basedOn w:val="Normal"/>
    <w:uiPriority w:val="99"/>
    <w:rsid w:val="003937A5"/>
    <w:pPr>
      <w:spacing w:before="100" w:beforeAutospacing="1" w:after="100" w:afterAutospacing="1"/>
      <w:jc w:val="left"/>
    </w:pPr>
    <w:rPr>
      <w:rFonts w:eastAsia="Times New Roman" w:cs="Times New Roman"/>
      <w:sz w:val="24"/>
      <w:lang w:val="en-US"/>
    </w:rPr>
  </w:style>
  <w:style w:type="character" w:customStyle="1" w:styleId="BalloonTextChar1">
    <w:name w:val="Balloon Text Char1"/>
    <w:uiPriority w:val="99"/>
    <w:rsid w:val="003937A5"/>
    <w:rPr>
      <w:rFonts w:ascii="Tahoma" w:hAnsi="Tahoma" w:cs="Tahoma"/>
      <w:sz w:val="16"/>
      <w:szCs w:val="16"/>
      <w:lang w:val="en-US"/>
    </w:rPr>
  </w:style>
  <w:style w:type="paragraph" w:styleId="BodyText">
    <w:name w:val="Body Text"/>
    <w:basedOn w:val="Normal"/>
    <w:link w:val="BodyTextChar"/>
    <w:rsid w:val="003937A5"/>
    <w:pPr>
      <w:spacing w:before="0" w:after="120"/>
    </w:pPr>
    <w:rPr>
      <w:rFonts w:ascii="Cambria" w:eastAsia="Times New Roman" w:hAnsi="Cambria" w:cs="Times New Roman"/>
      <w:lang w:val="en-US"/>
    </w:rPr>
  </w:style>
  <w:style w:type="character" w:customStyle="1" w:styleId="BodyTextChar">
    <w:name w:val="Body Text Char"/>
    <w:basedOn w:val="DefaultParagraphFont"/>
    <w:link w:val="BodyText"/>
    <w:rsid w:val="003937A5"/>
    <w:rPr>
      <w:rFonts w:ascii="Cambria" w:eastAsia="Times New Roman" w:hAnsi="Cambria" w:cs="Times New Roman"/>
      <w:sz w:val="22"/>
    </w:rPr>
  </w:style>
  <w:style w:type="paragraph" w:styleId="EndnoteText">
    <w:name w:val="endnote text"/>
    <w:basedOn w:val="Normal"/>
    <w:link w:val="EndnoteTextChar"/>
    <w:uiPriority w:val="99"/>
    <w:rsid w:val="003937A5"/>
    <w:pPr>
      <w:spacing w:before="0"/>
      <w:jc w:val="left"/>
    </w:pPr>
    <w:rPr>
      <w:rFonts w:eastAsia="Times New Roman" w:cs="Times New Roman"/>
      <w:sz w:val="20"/>
      <w:szCs w:val="20"/>
      <w:lang w:val="en-US"/>
    </w:rPr>
  </w:style>
  <w:style w:type="character" w:customStyle="1" w:styleId="EndnoteTextChar">
    <w:name w:val="Endnote Text Char"/>
    <w:basedOn w:val="DefaultParagraphFont"/>
    <w:link w:val="EndnoteText"/>
    <w:uiPriority w:val="99"/>
    <w:rsid w:val="003937A5"/>
    <w:rPr>
      <w:rFonts w:ascii="Times New Roman" w:eastAsia="Times New Roman" w:hAnsi="Times New Roman" w:cs="Times New Roman"/>
      <w:sz w:val="20"/>
      <w:szCs w:val="20"/>
    </w:rPr>
  </w:style>
  <w:style w:type="character" w:styleId="EndnoteReference">
    <w:name w:val="endnote reference"/>
    <w:uiPriority w:val="99"/>
    <w:rsid w:val="003937A5"/>
    <w:rPr>
      <w:vertAlign w:val="superscript"/>
    </w:rPr>
  </w:style>
  <w:style w:type="character" w:customStyle="1" w:styleId="text">
    <w:name w:val="text"/>
    <w:rsid w:val="003937A5"/>
  </w:style>
  <w:style w:type="character" w:customStyle="1" w:styleId="comment-body">
    <w:name w:val="comment-body"/>
    <w:rsid w:val="003937A5"/>
  </w:style>
  <w:style w:type="paragraph" w:customStyle="1" w:styleId="summary">
    <w:name w:val="summary"/>
    <w:basedOn w:val="Normal"/>
    <w:rsid w:val="003937A5"/>
    <w:pPr>
      <w:spacing w:before="100" w:beforeAutospacing="1" w:after="100" w:afterAutospacing="1"/>
      <w:jc w:val="left"/>
    </w:pPr>
    <w:rPr>
      <w:rFonts w:eastAsia="Times New Roman" w:cs="Times New Roman"/>
      <w:sz w:val="24"/>
      <w:lang w:eastAsia="en-AU"/>
    </w:rPr>
  </w:style>
  <w:style w:type="paragraph" w:styleId="ListParagraph">
    <w:name w:val="List Paragraph"/>
    <w:basedOn w:val="Normal"/>
    <w:uiPriority w:val="34"/>
    <w:qFormat/>
    <w:rsid w:val="003937A5"/>
    <w:pPr>
      <w:spacing w:before="0" w:after="200" w:line="276" w:lineRule="auto"/>
      <w:ind w:left="720"/>
      <w:contextualSpacing/>
      <w:jc w:val="left"/>
    </w:pPr>
    <w:rPr>
      <w:rFonts w:ascii="Calibri" w:eastAsia="Calibri" w:hAnsi="Calibri" w:cs="Times New Roman"/>
      <w:szCs w:val="22"/>
    </w:rPr>
  </w:style>
  <w:style w:type="paragraph" w:styleId="Caption">
    <w:name w:val="caption"/>
    <w:basedOn w:val="Normal"/>
    <w:next w:val="Normal"/>
    <w:unhideWhenUsed/>
    <w:qFormat/>
    <w:rsid w:val="00EE7692"/>
    <w:pPr>
      <w:spacing w:before="60" w:after="60"/>
    </w:pPr>
    <w:rPr>
      <w:rFonts w:eastAsia="Times New Roman" w:cs="Times New Roman"/>
      <w:bCs/>
      <w:i/>
      <w:szCs w:val="20"/>
      <w:lang w:val="en-US"/>
    </w:rPr>
  </w:style>
  <w:style w:type="paragraph" w:styleId="TableofFigures">
    <w:name w:val="table of figures"/>
    <w:basedOn w:val="Normal"/>
    <w:next w:val="Normal"/>
    <w:uiPriority w:val="99"/>
    <w:rsid w:val="003937A5"/>
    <w:pPr>
      <w:spacing w:before="0"/>
      <w:ind w:left="480" w:hanging="480"/>
      <w:jc w:val="left"/>
    </w:pPr>
    <w:rPr>
      <w:rFonts w:asciiTheme="majorHAnsi" w:eastAsia="Times New Roman" w:hAnsiTheme="majorHAnsi" w:cs="Times New Roman"/>
      <w:sz w:val="20"/>
      <w:lang w:val="en-US"/>
    </w:rPr>
  </w:style>
  <w:style w:type="paragraph" w:styleId="ListBullet">
    <w:name w:val="List Bullet"/>
    <w:basedOn w:val="Normal"/>
    <w:uiPriority w:val="99"/>
    <w:unhideWhenUsed/>
    <w:rsid w:val="00E24BC9"/>
    <w:pPr>
      <w:numPr>
        <w:numId w:val="2"/>
      </w:numPr>
      <w:contextualSpacing/>
    </w:pPr>
  </w:style>
  <w:style w:type="paragraph" w:styleId="DocumentMap">
    <w:name w:val="Document Map"/>
    <w:basedOn w:val="Normal"/>
    <w:link w:val="DocumentMapChar"/>
    <w:uiPriority w:val="99"/>
    <w:semiHidden/>
    <w:unhideWhenUsed/>
    <w:rsid w:val="00B948FC"/>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B948FC"/>
    <w:rPr>
      <w:rFonts w:ascii="Lucida Grande" w:hAnsi="Lucida Grande" w:cs="Lucida Grande"/>
      <w:lang w:val="en-GB"/>
    </w:rPr>
  </w:style>
  <w:style w:type="paragraph" w:styleId="Revision">
    <w:name w:val="Revision"/>
    <w:hidden/>
    <w:uiPriority w:val="99"/>
    <w:semiHidden/>
    <w:rsid w:val="00FE74F2"/>
    <w:rPr>
      <w:rFonts w:ascii="Times New Roman" w:hAnsi="Times New Roman"/>
      <w:sz w:val="22"/>
      <w:lang w:val="en-GB"/>
    </w:rPr>
  </w:style>
  <w:style w:type="paragraph" w:customStyle="1" w:styleId="Default">
    <w:name w:val="Default"/>
    <w:rsid w:val="00FE74F2"/>
    <w:pPr>
      <w:widowControl w:val="0"/>
      <w:autoSpaceDE w:val="0"/>
      <w:autoSpaceDN w:val="0"/>
      <w:adjustRightInd w:val="0"/>
    </w:pPr>
    <w:rPr>
      <w:rFonts w:ascii="Arial" w:eastAsia="Times New Roman" w:hAnsi="Arial" w:cs="Arial"/>
      <w:color w:val="000000"/>
    </w:rPr>
  </w:style>
  <w:style w:type="paragraph" w:styleId="PlainText">
    <w:name w:val="Plain Text"/>
    <w:basedOn w:val="Normal"/>
    <w:link w:val="PlainTextChar"/>
    <w:uiPriority w:val="99"/>
    <w:semiHidden/>
    <w:unhideWhenUsed/>
    <w:rsid w:val="00E83F53"/>
    <w:pPr>
      <w:spacing w:before="0"/>
      <w:jc w:val="left"/>
    </w:pPr>
    <w:rPr>
      <w:rFonts w:ascii="Calibri" w:eastAsiaTheme="minorHAnsi" w:hAnsi="Calibri"/>
      <w:szCs w:val="21"/>
      <w:lang w:val="en-AU"/>
    </w:rPr>
  </w:style>
  <w:style w:type="character" w:customStyle="1" w:styleId="PlainTextChar">
    <w:name w:val="Plain Text Char"/>
    <w:basedOn w:val="DefaultParagraphFont"/>
    <w:link w:val="PlainText"/>
    <w:uiPriority w:val="99"/>
    <w:semiHidden/>
    <w:rsid w:val="00E83F53"/>
    <w:rPr>
      <w:rFonts w:ascii="Calibri" w:eastAsiaTheme="minorHAnsi" w:hAnsi="Calibri"/>
      <w:sz w:val="22"/>
      <w:szCs w:val="21"/>
      <w:lang w:val="en-AU"/>
    </w:rPr>
  </w:style>
  <w:style w:type="paragraph" w:customStyle="1" w:styleId="RFQPartA-Level1">
    <w:name w:val="RFQ Part A - Level 1"/>
    <w:basedOn w:val="Normal"/>
    <w:rsid w:val="005065CE"/>
    <w:pPr>
      <w:keepNext/>
      <w:numPr>
        <w:numId w:val="4"/>
      </w:numPr>
      <w:pBdr>
        <w:bottom w:val="single" w:sz="4" w:space="1" w:color="auto"/>
      </w:pBdr>
      <w:spacing w:before="200" w:line="280" w:lineRule="atLeast"/>
      <w:jc w:val="left"/>
      <w:outlineLvl w:val="0"/>
    </w:pPr>
    <w:rPr>
      <w:rFonts w:ascii="Arial" w:eastAsia="Times New Roman" w:hAnsi="Arial" w:cs="Arial"/>
      <w:b/>
      <w:lang w:val="en-AU"/>
    </w:rPr>
  </w:style>
  <w:style w:type="numbering" w:styleId="111111">
    <w:name w:val="Outline List 2"/>
    <w:aliases w:val="1 / 1.1"/>
    <w:basedOn w:val="NoList"/>
    <w:rsid w:val="005065CE"/>
    <w:pPr>
      <w:numPr>
        <w:numId w:val="3"/>
      </w:numPr>
    </w:pPr>
  </w:style>
  <w:style w:type="character" w:styleId="Emphasis">
    <w:name w:val="Emphasis"/>
    <w:basedOn w:val="DefaultParagraphFont"/>
    <w:uiPriority w:val="20"/>
    <w:qFormat/>
    <w:rsid w:val="006553C6"/>
    <w:rPr>
      <w:i/>
      <w:iCs/>
      <w:sz w:val="24"/>
      <w:szCs w:val="24"/>
      <w:bdr w:val="none" w:sz="0" w:space="0" w:color="auto" w:frame="1"/>
      <w:vertAlign w:val="baseline"/>
    </w:rPr>
  </w:style>
  <w:style w:type="paragraph" w:customStyle="1" w:styleId="TableText">
    <w:name w:val="Table Text"/>
    <w:basedOn w:val="BodyText"/>
    <w:rsid w:val="00040FC9"/>
    <w:pPr>
      <w:spacing w:before="60" w:after="60"/>
      <w:jc w:val="left"/>
    </w:pPr>
    <w:rPr>
      <w:rFonts w:ascii="Verdana" w:hAnsi="Verdana"/>
      <w:sz w:val="18"/>
      <w:szCs w:val="20"/>
      <w:lang w:val="en-AU"/>
    </w:rPr>
  </w:style>
  <w:style w:type="character" w:customStyle="1" w:styleId="UnresolvedMention1">
    <w:name w:val="Unresolved Mention1"/>
    <w:basedOn w:val="DefaultParagraphFont"/>
    <w:uiPriority w:val="99"/>
    <w:semiHidden/>
    <w:unhideWhenUsed/>
    <w:rsid w:val="002B6D25"/>
    <w:rPr>
      <w:color w:val="808080"/>
      <w:shd w:val="clear" w:color="auto" w:fill="E6E6E6"/>
    </w:rPr>
  </w:style>
  <w:style w:type="paragraph" w:customStyle="1" w:styleId="p1">
    <w:name w:val="p1"/>
    <w:basedOn w:val="Normal"/>
    <w:rsid w:val="00B85D06"/>
    <w:pPr>
      <w:spacing w:before="0"/>
      <w:jc w:val="left"/>
    </w:pPr>
    <w:rPr>
      <w:rFonts w:ascii="Times" w:eastAsiaTheme="minorHAnsi" w:hAnsi="Times" w:cs="Times New Roman"/>
      <w:sz w:val="15"/>
      <w:szCs w:val="15"/>
      <w:lang w:eastAsia="en-GB"/>
    </w:rPr>
  </w:style>
  <w:style w:type="character" w:customStyle="1" w:styleId="s1">
    <w:name w:val="s1"/>
    <w:basedOn w:val="DefaultParagraphFont"/>
    <w:rsid w:val="00B85D06"/>
    <w:rPr>
      <w:rFonts w:ascii="Times" w:hAnsi="Times" w:hint="default"/>
      <w:sz w:val="10"/>
      <w:szCs w:val="10"/>
    </w:rPr>
  </w:style>
  <w:style w:type="character" w:customStyle="1" w:styleId="apple-converted-space">
    <w:name w:val="apple-converted-space"/>
    <w:basedOn w:val="DefaultParagraphFont"/>
    <w:rsid w:val="00B85D06"/>
  </w:style>
  <w:style w:type="character" w:customStyle="1" w:styleId="apple-tab-span">
    <w:name w:val="apple-tab-span"/>
    <w:basedOn w:val="DefaultParagraphFont"/>
    <w:rsid w:val="00B85D06"/>
  </w:style>
  <w:style w:type="character" w:customStyle="1" w:styleId="UnresolvedMention2">
    <w:name w:val="Unresolved Mention2"/>
    <w:basedOn w:val="DefaultParagraphFont"/>
    <w:uiPriority w:val="99"/>
    <w:semiHidden/>
    <w:unhideWhenUsed/>
    <w:rsid w:val="00B20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27127">
      <w:bodyDiv w:val="1"/>
      <w:marLeft w:val="0"/>
      <w:marRight w:val="0"/>
      <w:marTop w:val="0"/>
      <w:marBottom w:val="0"/>
      <w:divBdr>
        <w:top w:val="none" w:sz="0" w:space="0" w:color="auto"/>
        <w:left w:val="none" w:sz="0" w:space="0" w:color="auto"/>
        <w:bottom w:val="none" w:sz="0" w:space="0" w:color="auto"/>
        <w:right w:val="none" w:sz="0" w:space="0" w:color="auto"/>
      </w:divBdr>
    </w:div>
    <w:div w:id="166596122">
      <w:bodyDiv w:val="1"/>
      <w:marLeft w:val="0"/>
      <w:marRight w:val="0"/>
      <w:marTop w:val="0"/>
      <w:marBottom w:val="0"/>
      <w:divBdr>
        <w:top w:val="none" w:sz="0" w:space="0" w:color="auto"/>
        <w:left w:val="none" w:sz="0" w:space="0" w:color="auto"/>
        <w:bottom w:val="none" w:sz="0" w:space="0" w:color="auto"/>
        <w:right w:val="none" w:sz="0" w:space="0" w:color="auto"/>
      </w:divBdr>
    </w:div>
    <w:div w:id="212427124">
      <w:bodyDiv w:val="1"/>
      <w:marLeft w:val="0"/>
      <w:marRight w:val="0"/>
      <w:marTop w:val="0"/>
      <w:marBottom w:val="0"/>
      <w:divBdr>
        <w:top w:val="none" w:sz="0" w:space="0" w:color="auto"/>
        <w:left w:val="none" w:sz="0" w:space="0" w:color="auto"/>
        <w:bottom w:val="none" w:sz="0" w:space="0" w:color="auto"/>
        <w:right w:val="none" w:sz="0" w:space="0" w:color="auto"/>
      </w:divBdr>
    </w:div>
    <w:div w:id="291328311">
      <w:bodyDiv w:val="1"/>
      <w:marLeft w:val="0"/>
      <w:marRight w:val="0"/>
      <w:marTop w:val="0"/>
      <w:marBottom w:val="0"/>
      <w:divBdr>
        <w:top w:val="none" w:sz="0" w:space="0" w:color="auto"/>
        <w:left w:val="none" w:sz="0" w:space="0" w:color="auto"/>
        <w:bottom w:val="none" w:sz="0" w:space="0" w:color="auto"/>
        <w:right w:val="none" w:sz="0" w:space="0" w:color="auto"/>
      </w:divBdr>
    </w:div>
    <w:div w:id="345637935">
      <w:bodyDiv w:val="1"/>
      <w:marLeft w:val="0"/>
      <w:marRight w:val="0"/>
      <w:marTop w:val="0"/>
      <w:marBottom w:val="0"/>
      <w:divBdr>
        <w:top w:val="none" w:sz="0" w:space="0" w:color="auto"/>
        <w:left w:val="none" w:sz="0" w:space="0" w:color="auto"/>
        <w:bottom w:val="none" w:sz="0" w:space="0" w:color="auto"/>
        <w:right w:val="none" w:sz="0" w:space="0" w:color="auto"/>
      </w:divBdr>
    </w:div>
    <w:div w:id="432629441">
      <w:bodyDiv w:val="1"/>
      <w:marLeft w:val="0"/>
      <w:marRight w:val="0"/>
      <w:marTop w:val="0"/>
      <w:marBottom w:val="0"/>
      <w:divBdr>
        <w:top w:val="none" w:sz="0" w:space="0" w:color="auto"/>
        <w:left w:val="none" w:sz="0" w:space="0" w:color="auto"/>
        <w:bottom w:val="none" w:sz="0" w:space="0" w:color="auto"/>
        <w:right w:val="none" w:sz="0" w:space="0" w:color="auto"/>
      </w:divBdr>
    </w:div>
    <w:div w:id="459955071">
      <w:bodyDiv w:val="1"/>
      <w:marLeft w:val="0"/>
      <w:marRight w:val="0"/>
      <w:marTop w:val="0"/>
      <w:marBottom w:val="0"/>
      <w:divBdr>
        <w:top w:val="none" w:sz="0" w:space="0" w:color="auto"/>
        <w:left w:val="none" w:sz="0" w:space="0" w:color="auto"/>
        <w:bottom w:val="none" w:sz="0" w:space="0" w:color="auto"/>
        <w:right w:val="none" w:sz="0" w:space="0" w:color="auto"/>
      </w:divBdr>
    </w:div>
    <w:div w:id="506796914">
      <w:bodyDiv w:val="1"/>
      <w:marLeft w:val="0"/>
      <w:marRight w:val="0"/>
      <w:marTop w:val="0"/>
      <w:marBottom w:val="0"/>
      <w:divBdr>
        <w:top w:val="none" w:sz="0" w:space="0" w:color="auto"/>
        <w:left w:val="none" w:sz="0" w:space="0" w:color="auto"/>
        <w:bottom w:val="none" w:sz="0" w:space="0" w:color="auto"/>
        <w:right w:val="none" w:sz="0" w:space="0" w:color="auto"/>
      </w:divBdr>
    </w:div>
    <w:div w:id="722367209">
      <w:bodyDiv w:val="1"/>
      <w:marLeft w:val="0"/>
      <w:marRight w:val="0"/>
      <w:marTop w:val="0"/>
      <w:marBottom w:val="0"/>
      <w:divBdr>
        <w:top w:val="none" w:sz="0" w:space="0" w:color="auto"/>
        <w:left w:val="none" w:sz="0" w:space="0" w:color="auto"/>
        <w:bottom w:val="none" w:sz="0" w:space="0" w:color="auto"/>
        <w:right w:val="none" w:sz="0" w:space="0" w:color="auto"/>
      </w:divBdr>
    </w:div>
    <w:div w:id="733896683">
      <w:bodyDiv w:val="1"/>
      <w:marLeft w:val="0"/>
      <w:marRight w:val="0"/>
      <w:marTop w:val="0"/>
      <w:marBottom w:val="0"/>
      <w:divBdr>
        <w:top w:val="none" w:sz="0" w:space="0" w:color="auto"/>
        <w:left w:val="none" w:sz="0" w:space="0" w:color="auto"/>
        <w:bottom w:val="none" w:sz="0" w:space="0" w:color="auto"/>
        <w:right w:val="none" w:sz="0" w:space="0" w:color="auto"/>
      </w:divBdr>
    </w:div>
    <w:div w:id="866672840">
      <w:bodyDiv w:val="1"/>
      <w:marLeft w:val="0"/>
      <w:marRight w:val="0"/>
      <w:marTop w:val="0"/>
      <w:marBottom w:val="0"/>
      <w:divBdr>
        <w:top w:val="none" w:sz="0" w:space="0" w:color="auto"/>
        <w:left w:val="none" w:sz="0" w:space="0" w:color="auto"/>
        <w:bottom w:val="none" w:sz="0" w:space="0" w:color="auto"/>
        <w:right w:val="none" w:sz="0" w:space="0" w:color="auto"/>
      </w:divBdr>
    </w:div>
    <w:div w:id="1020737016">
      <w:bodyDiv w:val="1"/>
      <w:marLeft w:val="0"/>
      <w:marRight w:val="0"/>
      <w:marTop w:val="0"/>
      <w:marBottom w:val="0"/>
      <w:divBdr>
        <w:top w:val="none" w:sz="0" w:space="0" w:color="auto"/>
        <w:left w:val="none" w:sz="0" w:space="0" w:color="auto"/>
        <w:bottom w:val="none" w:sz="0" w:space="0" w:color="auto"/>
        <w:right w:val="none" w:sz="0" w:space="0" w:color="auto"/>
      </w:divBdr>
    </w:div>
    <w:div w:id="1131676045">
      <w:bodyDiv w:val="1"/>
      <w:marLeft w:val="0"/>
      <w:marRight w:val="0"/>
      <w:marTop w:val="0"/>
      <w:marBottom w:val="0"/>
      <w:divBdr>
        <w:top w:val="none" w:sz="0" w:space="0" w:color="auto"/>
        <w:left w:val="none" w:sz="0" w:space="0" w:color="auto"/>
        <w:bottom w:val="none" w:sz="0" w:space="0" w:color="auto"/>
        <w:right w:val="none" w:sz="0" w:space="0" w:color="auto"/>
      </w:divBdr>
    </w:div>
    <w:div w:id="1134563178">
      <w:bodyDiv w:val="1"/>
      <w:marLeft w:val="0"/>
      <w:marRight w:val="0"/>
      <w:marTop w:val="0"/>
      <w:marBottom w:val="0"/>
      <w:divBdr>
        <w:top w:val="none" w:sz="0" w:space="0" w:color="auto"/>
        <w:left w:val="none" w:sz="0" w:space="0" w:color="auto"/>
        <w:bottom w:val="none" w:sz="0" w:space="0" w:color="auto"/>
        <w:right w:val="none" w:sz="0" w:space="0" w:color="auto"/>
      </w:divBdr>
    </w:div>
    <w:div w:id="1175536675">
      <w:bodyDiv w:val="1"/>
      <w:marLeft w:val="0"/>
      <w:marRight w:val="0"/>
      <w:marTop w:val="0"/>
      <w:marBottom w:val="0"/>
      <w:divBdr>
        <w:top w:val="none" w:sz="0" w:space="0" w:color="auto"/>
        <w:left w:val="none" w:sz="0" w:space="0" w:color="auto"/>
        <w:bottom w:val="none" w:sz="0" w:space="0" w:color="auto"/>
        <w:right w:val="none" w:sz="0" w:space="0" w:color="auto"/>
      </w:divBdr>
    </w:div>
    <w:div w:id="1293294229">
      <w:bodyDiv w:val="1"/>
      <w:marLeft w:val="0"/>
      <w:marRight w:val="0"/>
      <w:marTop w:val="0"/>
      <w:marBottom w:val="0"/>
      <w:divBdr>
        <w:top w:val="none" w:sz="0" w:space="0" w:color="auto"/>
        <w:left w:val="none" w:sz="0" w:space="0" w:color="auto"/>
        <w:bottom w:val="none" w:sz="0" w:space="0" w:color="auto"/>
        <w:right w:val="none" w:sz="0" w:space="0" w:color="auto"/>
      </w:divBdr>
    </w:div>
    <w:div w:id="1307390405">
      <w:bodyDiv w:val="1"/>
      <w:marLeft w:val="0"/>
      <w:marRight w:val="0"/>
      <w:marTop w:val="0"/>
      <w:marBottom w:val="0"/>
      <w:divBdr>
        <w:top w:val="none" w:sz="0" w:space="0" w:color="auto"/>
        <w:left w:val="none" w:sz="0" w:space="0" w:color="auto"/>
        <w:bottom w:val="none" w:sz="0" w:space="0" w:color="auto"/>
        <w:right w:val="none" w:sz="0" w:space="0" w:color="auto"/>
      </w:divBdr>
    </w:div>
    <w:div w:id="1408846743">
      <w:bodyDiv w:val="1"/>
      <w:marLeft w:val="0"/>
      <w:marRight w:val="0"/>
      <w:marTop w:val="0"/>
      <w:marBottom w:val="0"/>
      <w:divBdr>
        <w:top w:val="none" w:sz="0" w:space="0" w:color="auto"/>
        <w:left w:val="none" w:sz="0" w:space="0" w:color="auto"/>
        <w:bottom w:val="none" w:sz="0" w:space="0" w:color="auto"/>
        <w:right w:val="none" w:sz="0" w:space="0" w:color="auto"/>
      </w:divBdr>
    </w:div>
    <w:div w:id="1606187549">
      <w:bodyDiv w:val="1"/>
      <w:marLeft w:val="0"/>
      <w:marRight w:val="0"/>
      <w:marTop w:val="0"/>
      <w:marBottom w:val="0"/>
      <w:divBdr>
        <w:top w:val="none" w:sz="0" w:space="0" w:color="auto"/>
        <w:left w:val="none" w:sz="0" w:space="0" w:color="auto"/>
        <w:bottom w:val="none" w:sz="0" w:space="0" w:color="auto"/>
        <w:right w:val="none" w:sz="0" w:space="0" w:color="auto"/>
      </w:divBdr>
    </w:div>
    <w:div w:id="1863276038">
      <w:bodyDiv w:val="1"/>
      <w:marLeft w:val="0"/>
      <w:marRight w:val="0"/>
      <w:marTop w:val="0"/>
      <w:marBottom w:val="0"/>
      <w:divBdr>
        <w:top w:val="none" w:sz="0" w:space="0" w:color="auto"/>
        <w:left w:val="none" w:sz="0" w:space="0" w:color="auto"/>
        <w:bottom w:val="none" w:sz="0" w:space="0" w:color="auto"/>
        <w:right w:val="none" w:sz="0" w:space="0" w:color="auto"/>
      </w:divBdr>
    </w:div>
    <w:div w:id="1948154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hyperlink" Target="http://www.environment.gov.au/atmosphere/ozone/legislation/index.html" TargetMode="Externa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hyperlink" Target="mailto:public.affairs@environment.gov.au" TargetMode="Externa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yperlink" Target="http://www.environment.gov.au/atmosphere/ozone/legislation/index.html" TargetMode="External"/><Relationship Id="rId8" Type="http://schemas.openxmlformats.org/officeDocument/2006/relationships/image" Target="media/image1.png"/><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5AE80-C199-4C57-95EA-CBD33B9B0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10D9D2C8.dotm</Template>
  <TotalTime>0</TotalTime>
  <Pages>93</Pages>
  <Words>36604</Words>
  <Characters>208643</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 Hard Facts 2019</dc:title>
  <dc:subject/>
  <dc:creator/>
  <cp:keywords/>
  <dc:description/>
  <cp:lastModifiedBy/>
  <cp:revision>1</cp:revision>
  <dcterms:created xsi:type="dcterms:W3CDTF">2019-09-27T01:15:00Z</dcterms:created>
  <dcterms:modified xsi:type="dcterms:W3CDTF">2019-09-27T01:16:00Z</dcterms:modified>
</cp:coreProperties>
</file>