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22A76" w14:textId="77777777" w:rsidR="00626D90" w:rsidRDefault="00626D90" w:rsidP="00626D90">
      <w:r w:rsidRPr="007A7033">
        <w:rPr>
          <w:noProof/>
          <w:lang w:val="en-AU" w:eastAsia="en-AU"/>
        </w:rPr>
        <w:drawing>
          <wp:anchor distT="0" distB="0" distL="114300" distR="114300" simplePos="0" relativeHeight="251663360" behindDoc="1" locked="0" layoutInCell="1" allowOverlap="1" wp14:anchorId="50CFDB8D" wp14:editId="51268903">
            <wp:simplePos x="0" y="0"/>
            <wp:positionH relativeFrom="column">
              <wp:posOffset>-938098</wp:posOffset>
            </wp:positionH>
            <wp:positionV relativeFrom="paragraph">
              <wp:posOffset>-233045</wp:posOffset>
            </wp:positionV>
            <wp:extent cx="7145618" cy="6754495"/>
            <wp:effectExtent l="0" t="0" r="5080" b="1905"/>
            <wp:wrapNone/>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pic:cNvPicPr>
                      <a:picLocks noChangeAspect="1"/>
                    </pic:cNvPicPr>
                  </pic:nvPicPr>
                  <pic:blipFill>
                    <a:blip r:embed="rId8"/>
                    <a:stretch>
                      <a:fillRect/>
                    </a:stretch>
                  </pic:blipFill>
                  <pic:spPr bwMode="auto">
                    <a:xfrm>
                      <a:off x="0" y="0"/>
                      <a:ext cx="7145618" cy="6754495"/>
                    </a:xfrm>
                    <a:prstGeom prst="rect">
                      <a:avLst/>
                    </a:prstGeom>
                    <a:noFill/>
                    <a:ln>
                      <a:noFill/>
                    </a:ln>
                    <a:extLs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5DB3BC3E" w14:textId="77777777" w:rsidR="00626D90" w:rsidRDefault="00626D90" w:rsidP="00626D90"/>
    <w:p w14:paraId="53498C63" w14:textId="77777777" w:rsidR="00626D90" w:rsidRDefault="00626D90" w:rsidP="00626D90"/>
    <w:p w14:paraId="479B8117" w14:textId="77777777" w:rsidR="00626D90" w:rsidRDefault="00626D90" w:rsidP="00626D90"/>
    <w:p w14:paraId="33B42201" w14:textId="77777777" w:rsidR="00626D90" w:rsidRDefault="00626D90" w:rsidP="00626D90"/>
    <w:p w14:paraId="20894141" w14:textId="77777777" w:rsidR="00626D90" w:rsidRDefault="00626D90" w:rsidP="00626D90"/>
    <w:p w14:paraId="4C9919A1" w14:textId="77777777" w:rsidR="00626D90" w:rsidRDefault="00626D90" w:rsidP="00626D90"/>
    <w:p w14:paraId="2879061D" w14:textId="77777777" w:rsidR="00626D90" w:rsidRDefault="00626D90" w:rsidP="00626D90"/>
    <w:p w14:paraId="45EC4B18" w14:textId="77777777" w:rsidR="00626D90" w:rsidRDefault="00626D90" w:rsidP="00626D90"/>
    <w:p w14:paraId="1509B947" w14:textId="77777777" w:rsidR="00626D90" w:rsidRDefault="00626D90" w:rsidP="00626D90">
      <w:r w:rsidRPr="007A7033">
        <w:rPr>
          <w:noProof/>
          <w:lang w:val="en-AU" w:eastAsia="en-AU"/>
        </w:rPr>
        <mc:AlternateContent>
          <mc:Choice Requires="wps">
            <w:drawing>
              <wp:anchor distT="0" distB="0" distL="114300" distR="114300" simplePos="0" relativeHeight="251661312" behindDoc="0" locked="0" layoutInCell="0" allowOverlap="1" wp14:anchorId="4E631B4B" wp14:editId="4B1AF8F7">
                <wp:simplePos x="0" y="0"/>
                <wp:positionH relativeFrom="page">
                  <wp:posOffset>203200</wp:posOffset>
                </wp:positionH>
                <wp:positionV relativeFrom="page">
                  <wp:posOffset>3293533</wp:posOffset>
                </wp:positionV>
                <wp:extent cx="7145020" cy="1544320"/>
                <wp:effectExtent l="0" t="0" r="5080" b="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20" cy="1544320"/>
                        </a:xfrm>
                        <a:prstGeom prst="rect">
                          <a:avLst/>
                        </a:prstGeom>
                        <a:solidFill>
                          <a:srgbClr val="000000">
                            <a:alpha val="70000"/>
                          </a:srgbClr>
                        </a:solidFill>
                        <a:ln>
                          <a:noFill/>
                        </a:ln>
                        <a:extLs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BAC51E" w14:textId="77777777" w:rsidR="00626D90" w:rsidRPr="007A7033" w:rsidRDefault="00626D90" w:rsidP="00626D90">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 xml:space="preserve">Cold Hard Facts </w:t>
                            </w:r>
                            <w:r>
                              <w:rPr>
                                <w:rFonts w:asciiTheme="minorHAnsi" w:eastAsiaTheme="majorEastAsia" w:hAnsiTheme="minorHAnsi" w:cstheme="minorHAnsi"/>
                                <w:color w:val="FFFFFF" w:themeColor="background1"/>
                                <w:sz w:val="72"/>
                                <w:szCs w:val="72"/>
                              </w:rPr>
                              <w:t xml:space="preserve">2020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4E631B4B" id="Rectangle 82" o:spid="_x0000_s1026" style="position:absolute;left:0;text-align:left;margin-left:16pt;margin-top:259.35pt;width:562.6pt;height:1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" o:allowincell="f" fillcolor="black" stroked="f">
                <v:fill opacity="46003f"/>
                <v:textbox style="mso-fit-shape-to-text:t" inset="18pt,,1in">
                  <w:txbxContent>
                    <w:p w14:paraId="6DBAC51E" w14:textId="77777777" w:rsidR="00626D90" w:rsidRPr="007A7033" w:rsidRDefault="00626D90" w:rsidP="00626D90">
                      <w:pPr>
                        <w:pStyle w:val="NoSpacing"/>
                        <w:snapToGrid w:val="0"/>
                        <w:spacing w:before="120" w:after="240"/>
                        <w:rPr>
                          <w:rFonts w:asciiTheme="minorHAnsi" w:eastAsiaTheme="majorEastAsia" w:hAnsiTheme="minorHAnsi" w:cstheme="minorHAnsi"/>
                          <w:color w:val="FFFFFF" w:themeColor="background1"/>
                          <w:sz w:val="72"/>
                          <w:szCs w:val="72"/>
                        </w:rPr>
                      </w:pPr>
                      <w:r w:rsidRPr="00451437">
                        <w:rPr>
                          <w:rFonts w:asciiTheme="minorHAnsi" w:eastAsiaTheme="majorEastAsia" w:hAnsiTheme="minorHAnsi" w:cstheme="minorHAnsi"/>
                          <w:color w:val="FFFFFF" w:themeColor="background1"/>
                          <w:sz w:val="72"/>
                          <w:szCs w:val="72"/>
                        </w:rPr>
                        <w:t xml:space="preserve">Cold Hard Facts </w:t>
                      </w:r>
                      <w:r>
                        <w:rPr>
                          <w:rFonts w:asciiTheme="minorHAnsi" w:eastAsiaTheme="majorEastAsia" w:hAnsiTheme="minorHAnsi" w:cstheme="minorHAnsi"/>
                          <w:color w:val="FFFFFF" w:themeColor="background1"/>
                          <w:sz w:val="72"/>
                          <w:szCs w:val="72"/>
                        </w:rPr>
                        <w:t xml:space="preserve">2020 </w:t>
                      </w:r>
                    </w:p>
                  </w:txbxContent>
                </v:textbox>
                <w10:wrap anchorx="page" anchory="page"/>
              </v:rect>
            </w:pict>
          </mc:Fallback>
        </mc:AlternateContent>
      </w:r>
    </w:p>
    <w:p w14:paraId="31159F4D" w14:textId="77777777" w:rsidR="00626D90" w:rsidRDefault="00626D90" w:rsidP="00626D90"/>
    <w:p w14:paraId="258D23E4" w14:textId="77777777" w:rsidR="00626D90" w:rsidRDefault="00626D90" w:rsidP="00626D90"/>
    <w:p w14:paraId="32A6B047" w14:textId="77777777" w:rsidR="00626D90" w:rsidRDefault="00626D90" w:rsidP="00626D90"/>
    <w:p w14:paraId="3FC57473" w14:textId="77777777" w:rsidR="00626D90" w:rsidRDefault="00626D90" w:rsidP="00626D90"/>
    <w:p w14:paraId="151145C2" w14:textId="77777777" w:rsidR="00626D90" w:rsidRDefault="00626D90" w:rsidP="00626D90"/>
    <w:p w14:paraId="52ADDF1E" w14:textId="77777777" w:rsidR="00626D90" w:rsidRDefault="00626D90" w:rsidP="00626D90"/>
    <w:p w14:paraId="73557237" w14:textId="77777777" w:rsidR="00626D90" w:rsidRDefault="00626D90" w:rsidP="00626D90"/>
    <w:p w14:paraId="300B8C89" w14:textId="77777777" w:rsidR="00626D90" w:rsidRDefault="00626D90" w:rsidP="00626D90">
      <w:pPr>
        <w:pStyle w:val="Subtitle"/>
        <w:spacing w:before="720"/>
        <w:ind w:right="-1196"/>
        <w:jc w:val="both"/>
        <w:rPr>
          <w:color w:val="FFFFFF" w:themeColor="background1"/>
          <w:sz w:val="36"/>
          <w:szCs w:val="36"/>
        </w:rPr>
      </w:pPr>
    </w:p>
    <w:p w14:paraId="461B349E" w14:textId="77777777" w:rsidR="00626D90" w:rsidRDefault="00626D90" w:rsidP="00626D90"/>
    <w:p w14:paraId="1CBE6ADE" w14:textId="77777777" w:rsidR="00626D90" w:rsidRDefault="00626D90" w:rsidP="00626D90"/>
    <w:p w14:paraId="5016757A" w14:textId="77777777" w:rsidR="00626D90" w:rsidRPr="00821250" w:rsidRDefault="00626D90" w:rsidP="00626D90"/>
    <w:p w14:paraId="08A5B752" w14:textId="77777777" w:rsidR="00626D90" w:rsidRDefault="00626D90" w:rsidP="00626D90">
      <w:pPr>
        <w:pStyle w:val="Subtitle"/>
        <w:spacing w:before="240" w:after="0"/>
        <w:ind w:right="-1196"/>
        <w:jc w:val="both"/>
        <w:rPr>
          <w:color w:val="FFFFFF" w:themeColor="background1"/>
          <w:sz w:val="36"/>
          <w:szCs w:val="36"/>
        </w:rPr>
      </w:pPr>
    </w:p>
    <w:p w14:paraId="58766AC7" w14:textId="77777777" w:rsidR="00626D90" w:rsidRDefault="00626D90" w:rsidP="00626D90">
      <w:pPr>
        <w:pStyle w:val="Subtitle"/>
        <w:spacing w:before="240" w:after="0"/>
        <w:ind w:right="-1196"/>
        <w:jc w:val="both"/>
        <w:rPr>
          <w:color w:val="FFFFFF" w:themeColor="background1"/>
          <w:sz w:val="36"/>
          <w:szCs w:val="36"/>
        </w:rPr>
      </w:pPr>
      <w:r w:rsidRPr="007A7033">
        <w:rPr>
          <w:noProof/>
          <w:lang w:val="en-AU" w:eastAsia="en-AU"/>
        </w:rPr>
        <mc:AlternateContent>
          <mc:Choice Requires="wps">
            <w:drawing>
              <wp:anchor distT="0" distB="0" distL="114300" distR="114300" simplePos="0" relativeHeight="251660288" behindDoc="1" locked="0" layoutInCell="0" allowOverlap="1" wp14:anchorId="64CE0B12" wp14:editId="4F8BAE98">
                <wp:simplePos x="0" y="0"/>
                <wp:positionH relativeFrom="page">
                  <wp:posOffset>214630</wp:posOffset>
                </wp:positionH>
                <wp:positionV relativeFrom="page">
                  <wp:posOffset>7534606</wp:posOffset>
                </wp:positionV>
                <wp:extent cx="7146290" cy="1398905"/>
                <wp:effectExtent l="0" t="0" r="3810" b="0"/>
                <wp:wrapNone/>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1398905"/>
                        </a:xfrm>
                        <a:prstGeom prst="rect">
                          <a:avLst/>
                        </a:prstGeom>
                        <a:solidFill>
                          <a:schemeClr val="bg1">
                            <a:lumMod val="50000"/>
                          </a:schemeClr>
                        </a:solidFill>
                        <a:ln>
                          <a:noFill/>
                        </a:ln>
                        <a:effectLst/>
                      </wps:spPr>
                      <wps:txbx>
                        <w:txbxContent>
                          <w:p w14:paraId="312911C0" w14:textId="77777777" w:rsidR="00626D90" w:rsidRDefault="00626D90" w:rsidP="00626D90">
                            <w:pPr>
                              <w:spacing w:line="276" w:lineRule="auto"/>
                              <w:jc w:val="right"/>
                              <w:rPr>
                                <w:color w:val="FFFFFF" w:themeColor="background1"/>
                                <w:sz w:val="36"/>
                                <w:szCs w:val="36"/>
                              </w:rPr>
                            </w:pPr>
                            <w:r w:rsidRPr="00B83873">
                              <w:rPr>
                                <w:color w:val="FFFFFF" w:themeColor="background1"/>
                                <w:sz w:val="36"/>
                                <w:szCs w:val="36"/>
                              </w:rPr>
                              <w:t xml:space="preserve">Prepared for the </w:t>
                            </w:r>
                            <w:r w:rsidRPr="00AA63AB">
                              <w:rPr>
                                <w:color w:val="FFFFFF" w:themeColor="background1"/>
                                <w:sz w:val="36"/>
                                <w:szCs w:val="36"/>
                              </w:rPr>
                              <w:t>Department of Agriculture, Water and the Environment</w:t>
                            </w:r>
                          </w:p>
                          <w:p w14:paraId="0F9AC45A" w14:textId="77592EDA" w:rsidR="00626D90" w:rsidRPr="00B9729F" w:rsidRDefault="00626D90" w:rsidP="00626D90">
                            <w:pPr>
                              <w:jc w:val="right"/>
                            </w:pPr>
                            <w:r>
                              <w:rPr>
                                <w:color w:val="FFFFFF" w:themeColor="background1"/>
                                <w:sz w:val="36"/>
                                <w:szCs w:val="36"/>
                              </w:rPr>
                              <w:t>1</w:t>
                            </w:r>
                            <w:r>
                              <w:rPr>
                                <w:color w:val="FFFFFF" w:themeColor="background1"/>
                                <w:sz w:val="36"/>
                                <w:szCs w:val="36"/>
                                <w:vertAlign w:val="superscript"/>
                              </w:rPr>
                              <w:t>st</w:t>
                            </w:r>
                            <w:r>
                              <w:rPr>
                                <w:color w:val="FFFFFF" w:themeColor="background1"/>
                                <w:sz w:val="36"/>
                                <w:szCs w:val="36"/>
                              </w:rPr>
                              <w:t xml:space="preserve"> </w:t>
                            </w:r>
                            <w:r w:rsidR="00F37516">
                              <w:rPr>
                                <w:color w:val="FFFFFF" w:themeColor="background1"/>
                                <w:sz w:val="36"/>
                                <w:szCs w:val="36"/>
                              </w:rPr>
                              <w:t>October</w:t>
                            </w:r>
                            <w:r>
                              <w:rPr>
                                <w:color w:val="FFFFFF" w:themeColor="background1"/>
                                <w:sz w:val="36"/>
                                <w:szCs w:val="36"/>
                              </w:rPr>
                              <w:t xml:space="preserve"> </w:t>
                            </w:r>
                            <w:r w:rsidRPr="00B83873">
                              <w:rPr>
                                <w:color w:val="FFFFFF" w:themeColor="background1"/>
                                <w:sz w:val="36"/>
                                <w:szCs w:val="36"/>
                              </w:rPr>
                              <w:t>20</w:t>
                            </w:r>
                            <w:r>
                              <w:rPr>
                                <w:color w:val="FFFFFF" w:themeColor="background1"/>
                                <w:sz w:val="36"/>
                                <w:szCs w:val="36"/>
                              </w:rPr>
                              <w:t>20</w:t>
                            </w:r>
                          </w:p>
                          <w:p w14:paraId="3F6B5CC1" w14:textId="77777777" w:rsidR="00626D90" w:rsidRDefault="00626D90" w:rsidP="00626D90">
                            <w:pPr>
                              <w:contextualSpacing/>
                              <w:jc w:val="right"/>
                              <w:rPr>
                                <w:rFonts w:cstheme="minorHAnsi"/>
                                <w:color w:val="FFFFFF" w:themeColor="background1"/>
                              </w:rPr>
                            </w:pP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E0B12" id="Rectangle 79" o:spid="_x0000_s1027" style="position:absolute;left:0;text-align:left;margin-left:16.9pt;margin-top:593.3pt;width:562.7pt;height:11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" o:allowincell="f" fillcolor="#7f7f7f [1612]" stroked="f">
                <v:textbox inset="0,18pt,8mm,18pt">
                  <w:txbxContent>
                    <w:p w14:paraId="312911C0" w14:textId="77777777" w:rsidR="00626D90" w:rsidRDefault="00626D90" w:rsidP="00626D90">
                      <w:pPr>
                        <w:spacing w:line="276" w:lineRule="auto"/>
                        <w:jc w:val="right"/>
                        <w:rPr>
                          <w:color w:val="FFFFFF" w:themeColor="background1"/>
                          <w:sz w:val="36"/>
                          <w:szCs w:val="36"/>
                        </w:rPr>
                      </w:pPr>
                      <w:r w:rsidRPr="00B83873">
                        <w:rPr>
                          <w:color w:val="FFFFFF" w:themeColor="background1"/>
                          <w:sz w:val="36"/>
                          <w:szCs w:val="36"/>
                        </w:rPr>
                        <w:t xml:space="preserve">Prepared for the </w:t>
                      </w:r>
                      <w:r w:rsidRPr="00AA63AB">
                        <w:rPr>
                          <w:color w:val="FFFFFF" w:themeColor="background1"/>
                          <w:sz w:val="36"/>
                          <w:szCs w:val="36"/>
                        </w:rPr>
                        <w:t>Department of Agriculture, Water and the Environment</w:t>
                      </w:r>
                    </w:p>
                    <w:p w14:paraId="0F9AC45A" w14:textId="77592EDA" w:rsidR="00626D90" w:rsidRPr="00B9729F" w:rsidRDefault="00626D90" w:rsidP="00626D90">
                      <w:pPr>
                        <w:jc w:val="right"/>
                      </w:pPr>
                      <w:r>
                        <w:rPr>
                          <w:color w:val="FFFFFF" w:themeColor="background1"/>
                          <w:sz w:val="36"/>
                          <w:szCs w:val="36"/>
                        </w:rPr>
                        <w:t>1</w:t>
                      </w:r>
                      <w:r>
                        <w:rPr>
                          <w:color w:val="FFFFFF" w:themeColor="background1"/>
                          <w:sz w:val="36"/>
                          <w:szCs w:val="36"/>
                          <w:vertAlign w:val="superscript"/>
                        </w:rPr>
                        <w:t>st</w:t>
                      </w:r>
                      <w:r>
                        <w:rPr>
                          <w:color w:val="FFFFFF" w:themeColor="background1"/>
                          <w:sz w:val="36"/>
                          <w:szCs w:val="36"/>
                        </w:rPr>
                        <w:t xml:space="preserve"> </w:t>
                      </w:r>
                      <w:r w:rsidR="00F37516">
                        <w:rPr>
                          <w:color w:val="FFFFFF" w:themeColor="background1"/>
                          <w:sz w:val="36"/>
                          <w:szCs w:val="36"/>
                        </w:rPr>
                        <w:t>October</w:t>
                      </w:r>
                      <w:r>
                        <w:rPr>
                          <w:color w:val="FFFFFF" w:themeColor="background1"/>
                          <w:sz w:val="36"/>
                          <w:szCs w:val="36"/>
                        </w:rPr>
                        <w:t xml:space="preserve"> </w:t>
                      </w:r>
                      <w:r w:rsidRPr="00B83873">
                        <w:rPr>
                          <w:color w:val="FFFFFF" w:themeColor="background1"/>
                          <w:sz w:val="36"/>
                          <w:szCs w:val="36"/>
                        </w:rPr>
                        <w:t>20</w:t>
                      </w:r>
                      <w:r>
                        <w:rPr>
                          <w:color w:val="FFFFFF" w:themeColor="background1"/>
                          <w:sz w:val="36"/>
                          <w:szCs w:val="36"/>
                        </w:rPr>
                        <w:t>20</w:t>
                      </w:r>
                    </w:p>
                    <w:p w14:paraId="3F6B5CC1" w14:textId="77777777" w:rsidR="00626D90" w:rsidRDefault="00626D90" w:rsidP="00626D90">
                      <w:pPr>
                        <w:contextualSpacing/>
                        <w:jc w:val="right"/>
                        <w:rPr>
                          <w:rFonts w:cstheme="minorHAnsi"/>
                          <w:color w:val="FFFFFF" w:themeColor="background1"/>
                        </w:rPr>
                      </w:pPr>
                    </w:p>
                  </w:txbxContent>
                </v:textbox>
                <w10:wrap anchorx="page" anchory="page"/>
              </v:rect>
            </w:pict>
          </mc:Fallback>
        </mc:AlternateContent>
      </w:r>
    </w:p>
    <w:p w14:paraId="51EB31A7" w14:textId="77777777" w:rsidR="00626D90" w:rsidRPr="00821250" w:rsidRDefault="00626D90" w:rsidP="00626D90"/>
    <w:p w14:paraId="46DCB9F2" w14:textId="77777777" w:rsidR="00626D90" w:rsidRDefault="00626D90" w:rsidP="00626D90">
      <w:r>
        <w:t xml:space="preserve"> </w:t>
      </w:r>
    </w:p>
    <w:p w14:paraId="1CD6506F" w14:textId="77777777" w:rsidR="00626D90" w:rsidRDefault="00626D90" w:rsidP="00626D90">
      <w:pPr>
        <w:ind w:right="-1198"/>
        <w:sectPr w:rsidR="00626D90" w:rsidSect="00474B83">
          <w:footerReference w:type="default" r:id="rId9"/>
          <w:headerReference w:type="first" r:id="rId10"/>
          <w:pgSz w:w="11900" w:h="16840"/>
          <w:pgMar w:top="1440" w:right="1800" w:bottom="1440" w:left="1800" w:header="708" w:footer="708" w:gutter="0"/>
          <w:cols w:space="708"/>
        </w:sectPr>
      </w:pPr>
      <w:r>
        <w:rPr>
          <w:noProof/>
          <w:lang w:val="en-AU" w:eastAsia="en-AU"/>
        </w:rPr>
        <w:drawing>
          <wp:anchor distT="0" distB="0" distL="114300" distR="114300" simplePos="0" relativeHeight="251662336" behindDoc="1" locked="0" layoutInCell="1" allowOverlap="1" wp14:anchorId="3CB5DD21" wp14:editId="27F101A6">
            <wp:simplePos x="0" y="0"/>
            <wp:positionH relativeFrom="column">
              <wp:posOffset>2617470</wp:posOffset>
            </wp:positionH>
            <wp:positionV relativeFrom="paragraph">
              <wp:posOffset>1088721</wp:posOffset>
            </wp:positionV>
            <wp:extent cx="3265805" cy="558800"/>
            <wp:effectExtent l="0" t="0" r="0" b="0"/>
            <wp:wrapTight wrapText="bothSides">
              <wp:wrapPolygon edited="0">
                <wp:start x="0" y="0"/>
                <wp:lineTo x="0" y="21109"/>
                <wp:lineTo x="21503" y="21109"/>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11">
                      <a:extLst>
                        <a:ext uri="{28A0092B-C50C-407E-A947-70E740481C1C}">
                          <a14:useLocalDpi xmlns:a14="http://schemas.microsoft.com/office/drawing/2010/main" val="0"/>
                        </a:ext>
                      </a:extLst>
                    </a:blip>
                    <a:stretch>
                      <a:fillRect/>
                    </a:stretch>
                  </pic:blipFill>
                  <pic:spPr>
                    <a:xfrm>
                      <a:off x="0" y="0"/>
                      <a:ext cx="3265805" cy="55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 xml:space="preserve"> </w:t>
      </w:r>
      <w:r>
        <w:rPr>
          <w:noProof/>
          <w:lang w:val="en-AU" w:eastAsia="en-AU"/>
        </w:rPr>
        <mc:AlternateContent>
          <mc:Choice Requires="wps">
            <w:drawing>
              <wp:anchor distT="0" distB="0" distL="114300" distR="114300" simplePos="0" relativeHeight="251659264" behindDoc="1" locked="1" layoutInCell="0" allowOverlap="1" wp14:anchorId="63D8FBCB" wp14:editId="16408752">
                <wp:simplePos x="0" y="0"/>
                <wp:positionH relativeFrom="page">
                  <wp:posOffset>214630</wp:posOffset>
                </wp:positionH>
                <wp:positionV relativeFrom="page">
                  <wp:posOffset>278130</wp:posOffset>
                </wp:positionV>
                <wp:extent cx="7151370" cy="320040"/>
                <wp:effectExtent l="0" t="0" r="0" b="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51886" id="Rectangle 73" o:spid="_x0000_s1026" style="position:absolute;margin-left:16.9pt;margin-top:21.9pt;width:563.1pt;height:2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" o:allowincell="f" fillcolor="#31849b [2408]" stroked="f">
                <v:textbox inset=",7.2pt,,7.2pt"/>
                <w10:wrap anchorx="page" anchory="page"/>
                <w10:anchorlock/>
              </v:rect>
            </w:pict>
          </mc:Fallback>
        </mc:AlternateContent>
      </w:r>
    </w:p>
    <w:p w14:paraId="64D86BCB" w14:textId="77777777" w:rsidR="00626D90" w:rsidRPr="003937A5" w:rsidRDefault="00626D90" w:rsidP="00626D90">
      <w:pPr>
        <w:rPr>
          <w:rFonts w:asciiTheme="majorHAnsi" w:hAnsiTheme="majorHAnsi"/>
          <w:sz w:val="36"/>
          <w:szCs w:val="36"/>
        </w:rPr>
      </w:pPr>
      <w:r w:rsidRPr="003937A5">
        <w:rPr>
          <w:rFonts w:asciiTheme="majorHAnsi" w:hAnsiTheme="majorHAnsi"/>
          <w:sz w:val="36"/>
          <w:szCs w:val="36"/>
        </w:rPr>
        <w:lastRenderedPageBreak/>
        <w:t>Table of Contents</w:t>
      </w:r>
    </w:p>
    <w:p w14:paraId="5DAC30CC" w14:textId="77777777" w:rsidR="00626D90" w:rsidRDefault="00626D90" w:rsidP="00626D90">
      <w:pPr>
        <w:pStyle w:val="TOC1"/>
        <w:rPr>
          <w:rFonts w:asciiTheme="minorHAnsi" w:eastAsiaTheme="minorEastAsia" w:hAnsiTheme="minorHAnsi" w:cstheme="minorBidi"/>
          <w:b w:val="0"/>
          <w:color w:val="auto"/>
          <w:lang w:val="en-AU" w:eastAsia="en-GB"/>
        </w:rPr>
      </w:pPr>
      <w:r>
        <w:rPr>
          <w:rFonts w:ascii="Verdana" w:hAnsi="Verdana"/>
          <w:sz w:val="20"/>
          <w:szCs w:val="20"/>
        </w:rPr>
        <w:fldChar w:fldCharType="begin"/>
      </w:r>
      <w:r>
        <w:rPr>
          <w:rFonts w:ascii="Verdana" w:hAnsi="Verdana"/>
          <w:sz w:val="20"/>
          <w:szCs w:val="20"/>
        </w:rPr>
        <w:instrText xml:space="preserve"> TOC \o "1-3" </w:instrText>
      </w:r>
      <w:r>
        <w:rPr>
          <w:rFonts w:ascii="Verdana" w:hAnsi="Verdana"/>
          <w:sz w:val="20"/>
          <w:szCs w:val="20"/>
        </w:rPr>
        <w:fldChar w:fldCharType="separate"/>
      </w:r>
      <w:r>
        <w:t>1</w:t>
      </w:r>
      <w:r>
        <w:rPr>
          <w:rFonts w:asciiTheme="minorHAnsi" w:eastAsiaTheme="minorEastAsia" w:hAnsiTheme="minorHAnsi" w:cstheme="minorBidi"/>
          <w:b w:val="0"/>
          <w:color w:val="auto"/>
          <w:lang w:val="en-AU" w:eastAsia="en-GB"/>
        </w:rPr>
        <w:tab/>
      </w:r>
      <w:r>
        <w:t>Executive summary</w:t>
      </w:r>
      <w:r>
        <w:tab/>
      </w:r>
      <w:r>
        <w:fldChar w:fldCharType="begin"/>
      </w:r>
      <w:r>
        <w:instrText xml:space="preserve"> PAGEREF _Toc46923712 \h </w:instrText>
      </w:r>
      <w:r>
        <w:fldChar w:fldCharType="separate"/>
      </w:r>
      <w:r>
        <w:t>5</w:t>
      </w:r>
      <w:r>
        <w:fldChar w:fldCharType="end"/>
      </w:r>
    </w:p>
    <w:p w14:paraId="31D8EB16" w14:textId="77777777" w:rsidR="00626D90" w:rsidRDefault="00626D90" w:rsidP="00626D90">
      <w:pPr>
        <w:pStyle w:val="TOC1"/>
        <w:rPr>
          <w:rFonts w:asciiTheme="minorHAnsi" w:eastAsiaTheme="minorEastAsia" w:hAnsiTheme="minorHAnsi" w:cstheme="minorBidi"/>
          <w:b w:val="0"/>
          <w:color w:val="auto"/>
          <w:lang w:val="en-AU" w:eastAsia="en-GB"/>
        </w:rPr>
      </w:pPr>
      <w:r>
        <w:t>2</w:t>
      </w:r>
      <w:r>
        <w:rPr>
          <w:rFonts w:asciiTheme="minorHAnsi" w:eastAsiaTheme="minorEastAsia" w:hAnsiTheme="minorHAnsi" w:cstheme="minorBidi"/>
          <w:b w:val="0"/>
          <w:color w:val="auto"/>
          <w:lang w:val="en-AU" w:eastAsia="en-GB"/>
        </w:rPr>
        <w:tab/>
      </w:r>
      <w:r>
        <w:t>Introduction</w:t>
      </w:r>
      <w:r>
        <w:tab/>
      </w:r>
      <w:r>
        <w:fldChar w:fldCharType="begin"/>
      </w:r>
      <w:r>
        <w:instrText xml:space="preserve"> PAGEREF _Toc46923713 \h </w:instrText>
      </w:r>
      <w:r>
        <w:fldChar w:fldCharType="separate"/>
      </w:r>
      <w:r>
        <w:t>6</w:t>
      </w:r>
      <w:r>
        <w:fldChar w:fldCharType="end"/>
      </w:r>
    </w:p>
    <w:p w14:paraId="69BF70D3" w14:textId="77777777" w:rsidR="00626D90" w:rsidRDefault="00626D90" w:rsidP="00626D90">
      <w:pPr>
        <w:pStyle w:val="TOC1"/>
        <w:rPr>
          <w:rFonts w:asciiTheme="minorHAnsi" w:eastAsiaTheme="minorEastAsia" w:hAnsiTheme="minorHAnsi" w:cstheme="minorBidi"/>
          <w:b w:val="0"/>
          <w:color w:val="auto"/>
          <w:lang w:val="en-AU" w:eastAsia="en-GB"/>
        </w:rPr>
      </w:pPr>
      <w:r>
        <w:t>3</w:t>
      </w:r>
      <w:r>
        <w:rPr>
          <w:rFonts w:asciiTheme="minorHAnsi" w:eastAsiaTheme="minorEastAsia" w:hAnsiTheme="minorHAnsi" w:cstheme="minorBidi"/>
          <w:b w:val="0"/>
          <w:color w:val="auto"/>
          <w:lang w:val="en-AU" w:eastAsia="en-GB"/>
        </w:rPr>
        <w:tab/>
      </w:r>
      <w:r>
        <w:t>The scale of the cooling economy</w:t>
      </w:r>
      <w:r>
        <w:tab/>
      </w:r>
      <w:r>
        <w:fldChar w:fldCharType="begin"/>
      </w:r>
      <w:r>
        <w:instrText xml:space="preserve"> PAGEREF _Toc46923714 \h </w:instrText>
      </w:r>
      <w:r>
        <w:fldChar w:fldCharType="separate"/>
      </w:r>
      <w:r>
        <w:t>8</w:t>
      </w:r>
      <w:r>
        <w:fldChar w:fldCharType="end"/>
      </w:r>
    </w:p>
    <w:p w14:paraId="70583394" w14:textId="77777777" w:rsidR="00626D90" w:rsidRDefault="00626D90" w:rsidP="00626D90">
      <w:pPr>
        <w:pStyle w:val="TOC1"/>
        <w:rPr>
          <w:rFonts w:asciiTheme="minorHAnsi" w:eastAsiaTheme="minorEastAsia" w:hAnsiTheme="minorHAnsi" w:cstheme="minorBidi"/>
          <w:b w:val="0"/>
          <w:color w:val="auto"/>
          <w:lang w:val="en-AU" w:eastAsia="en-GB"/>
        </w:rPr>
      </w:pPr>
      <w:r>
        <w:t>4</w:t>
      </w:r>
      <w:r>
        <w:rPr>
          <w:rFonts w:asciiTheme="minorHAnsi" w:eastAsiaTheme="minorEastAsia" w:hAnsiTheme="minorHAnsi" w:cstheme="minorBidi"/>
          <w:b w:val="0"/>
          <w:color w:val="auto"/>
          <w:lang w:val="en-AU" w:eastAsia="en-GB"/>
        </w:rPr>
        <w:tab/>
      </w:r>
      <w:r>
        <w:t>Trends and observations by main equipment class</w:t>
      </w:r>
      <w:r>
        <w:tab/>
      </w:r>
      <w:r>
        <w:fldChar w:fldCharType="begin"/>
      </w:r>
      <w:r>
        <w:instrText xml:space="preserve"> PAGEREF _Toc46923715 \h </w:instrText>
      </w:r>
      <w:r>
        <w:fldChar w:fldCharType="separate"/>
      </w:r>
      <w:r>
        <w:t>11</w:t>
      </w:r>
      <w:r>
        <w:fldChar w:fldCharType="end"/>
      </w:r>
    </w:p>
    <w:p w14:paraId="02BFA84F"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4.1</w:t>
      </w:r>
      <w:r>
        <w:rPr>
          <w:rFonts w:asciiTheme="minorHAnsi" w:eastAsiaTheme="minorEastAsia" w:hAnsiTheme="minorHAnsi" w:cstheme="minorBidi"/>
          <w:noProof/>
          <w:sz w:val="24"/>
          <w:szCs w:val="24"/>
          <w:lang w:val="en-AU" w:eastAsia="en-GB"/>
        </w:rPr>
        <w:tab/>
      </w:r>
      <w:r>
        <w:rPr>
          <w:noProof/>
        </w:rPr>
        <w:t>Stationary air conditioning</w:t>
      </w:r>
      <w:r>
        <w:rPr>
          <w:noProof/>
        </w:rPr>
        <w:tab/>
      </w:r>
      <w:r>
        <w:rPr>
          <w:noProof/>
        </w:rPr>
        <w:fldChar w:fldCharType="begin"/>
      </w:r>
      <w:r>
        <w:rPr>
          <w:noProof/>
        </w:rPr>
        <w:instrText xml:space="preserve"> PAGEREF _Toc46923716 \h </w:instrText>
      </w:r>
      <w:r>
        <w:rPr>
          <w:noProof/>
        </w:rPr>
      </w:r>
      <w:r>
        <w:rPr>
          <w:noProof/>
        </w:rPr>
        <w:fldChar w:fldCharType="separate"/>
      </w:r>
      <w:r>
        <w:rPr>
          <w:noProof/>
        </w:rPr>
        <w:t>11</w:t>
      </w:r>
      <w:r>
        <w:rPr>
          <w:noProof/>
        </w:rPr>
        <w:fldChar w:fldCharType="end"/>
      </w:r>
    </w:p>
    <w:p w14:paraId="0DA895C6"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4.2</w:t>
      </w:r>
      <w:r>
        <w:rPr>
          <w:rFonts w:asciiTheme="minorHAnsi" w:eastAsiaTheme="minorEastAsia" w:hAnsiTheme="minorHAnsi" w:cstheme="minorBidi"/>
          <w:noProof/>
          <w:sz w:val="24"/>
          <w:szCs w:val="24"/>
          <w:lang w:val="en-AU" w:eastAsia="en-GB"/>
        </w:rPr>
        <w:tab/>
      </w:r>
      <w:r>
        <w:rPr>
          <w:noProof/>
        </w:rPr>
        <w:t>Mobile air conditioning</w:t>
      </w:r>
      <w:r>
        <w:rPr>
          <w:noProof/>
        </w:rPr>
        <w:tab/>
      </w:r>
      <w:r>
        <w:rPr>
          <w:noProof/>
        </w:rPr>
        <w:fldChar w:fldCharType="begin"/>
      </w:r>
      <w:r>
        <w:rPr>
          <w:noProof/>
        </w:rPr>
        <w:instrText xml:space="preserve"> PAGEREF _Toc46923717 \h </w:instrText>
      </w:r>
      <w:r>
        <w:rPr>
          <w:noProof/>
        </w:rPr>
      </w:r>
      <w:r>
        <w:rPr>
          <w:noProof/>
        </w:rPr>
        <w:fldChar w:fldCharType="separate"/>
      </w:r>
      <w:r>
        <w:rPr>
          <w:noProof/>
        </w:rPr>
        <w:t>12</w:t>
      </w:r>
      <w:r>
        <w:rPr>
          <w:noProof/>
        </w:rPr>
        <w:fldChar w:fldCharType="end"/>
      </w:r>
    </w:p>
    <w:p w14:paraId="178693D1"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4.3</w:t>
      </w:r>
      <w:r>
        <w:rPr>
          <w:rFonts w:asciiTheme="minorHAnsi" w:eastAsiaTheme="minorEastAsia" w:hAnsiTheme="minorHAnsi" w:cstheme="minorBidi"/>
          <w:noProof/>
          <w:sz w:val="24"/>
          <w:szCs w:val="24"/>
          <w:lang w:val="en-AU" w:eastAsia="en-GB"/>
        </w:rPr>
        <w:tab/>
      </w:r>
      <w:r>
        <w:rPr>
          <w:noProof/>
        </w:rPr>
        <w:t>Refrigerated cold food chain</w:t>
      </w:r>
      <w:r>
        <w:rPr>
          <w:noProof/>
        </w:rPr>
        <w:tab/>
      </w:r>
      <w:r>
        <w:rPr>
          <w:noProof/>
        </w:rPr>
        <w:fldChar w:fldCharType="begin"/>
      </w:r>
      <w:r>
        <w:rPr>
          <w:noProof/>
        </w:rPr>
        <w:instrText xml:space="preserve"> PAGEREF _Toc46923718 \h </w:instrText>
      </w:r>
      <w:r>
        <w:rPr>
          <w:noProof/>
        </w:rPr>
      </w:r>
      <w:r>
        <w:rPr>
          <w:noProof/>
        </w:rPr>
        <w:fldChar w:fldCharType="separate"/>
      </w:r>
      <w:r>
        <w:rPr>
          <w:noProof/>
        </w:rPr>
        <w:t>13</w:t>
      </w:r>
      <w:r>
        <w:rPr>
          <w:noProof/>
        </w:rPr>
        <w:fldChar w:fldCharType="end"/>
      </w:r>
    </w:p>
    <w:p w14:paraId="20E17CF7" w14:textId="77777777" w:rsidR="00626D90" w:rsidRDefault="00626D90" w:rsidP="00626D90">
      <w:pPr>
        <w:pStyle w:val="TOC3"/>
        <w:rPr>
          <w:rFonts w:asciiTheme="minorHAnsi" w:eastAsiaTheme="minorEastAsia" w:hAnsiTheme="minorHAnsi" w:cstheme="minorBidi"/>
          <w:i w:val="0"/>
          <w:noProof/>
          <w:sz w:val="24"/>
          <w:szCs w:val="24"/>
          <w:lang w:val="en-AU" w:eastAsia="en-GB"/>
        </w:rPr>
      </w:pPr>
      <w:r>
        <w:rPr>
          <w:noProof/>
        </w:rPr>
        <w:t>4.3.1</w:t>
      </w:r>
      <w:r>
        <w:rPr>
          <w:rFonts w:asciiTheme="minorHAnsi" w:eastAsiaTheme="minorEastAsia" w:hAnsiTheme="minorHAnsi" w:cstheme="minorBidi"/>
          <w:i w:val="0"/>
          <w:noProof/>
          <w:sz w:val="24"/>
          <w:szCs w:val="24"/>
          <w:lang w:val="en-AU" w:eastAsia="en-GB"/>
        </w:rPr>
        <w:tab/>
      </w:r>
      <w:r>
        <w:rPr>
          <w:noProof/>
        </w:rPr>
        <w:t>Transport refrigeration</w:t>
      </w:r>
      <w:r>
        <w:rPr>
          <w:noProof/>
        </w:rPr>
        <w:tab/>
      </w:r>
      <w:r>
        <w:rPr>
          <w:noProof/>
        </w:rPr>
        <w:fldChar w:fldCharType="begin"/>
      </w:r>
      <w:r>
        <w:rPr>
          <w:noProof/>
        </w:rPr>
        <w:instrText xml:space="preserve"> PAGEREF _Toc46923719 \h </w:instrText>
      </w:r>
      <w:r>
        <w:rPr>
          <w:noProof/>
        </w:rPr>
      </w:r>
      <w:r>
        <w:rPr>
          <w:noProof/>
        </w:rPr>
        <w:fldChar w:fldCharType="separate"/>
      </w:r>
      <w:r>
        <w:rPr>
          <w:noProof/>
        </w:rPr>
        <w:t>14</w:t>
      </w:r>
      <w:r>
        <w:rPr>
          <w:noProof/>
        </w:rPr>
        <w:fldChar w:fldCharType="end"/>
      </w:r>
    </w:p>
    <w:p w14:paraId="0583C083" w14:textId="77777777" w:rsidR="00626D90" w:rsidRDefault="00626D90" w:rsidP="00626D90">
      <w:pPr>
        <w:pStyle w:val="TOC3"/>
        <w:rPr>
          <w:rFonts w:asciiTheme="minorHAnsi" w:eastAsiaTheme="minorEastAsia" w:hAnsiTheme="minorHAnsi" w:cstheme="minorBidi"/>
          <w:i w:val="0"/>
          <w:noProof/>
          <w:sz w:val="24"/>
          <w:szCs w:val="24"/>
          <w:lang w:val="en-AU" w:eastAsia="en-GB"/>
        </w:rPr>
      </w:pPr>
      <w:r>
        <w:rPr>
          <w:noProof/>
        </w:rPr>
        <w:t>4.3.2</w:t>
      </w:r>
      <w:r>
        <w:rPr>
          <w:rFonts w:asciiTheme="minorHAnsi" w:eastAsiaTheme="minorEastAsia" w:hAnsiTheme="minorHAnsi" w:cstheme="minorBidi"/>
          <w:i w:val="0"/>
          <w:noProof/>
          <w:sz w:val="24"/>
          <w:szCs w:val="24"/>
          <w:lang w:val="en-AU" w:eastAsia="en-GB"/>
        </w:rPr>
        <w:tab/>
      </w:r>
      <w:r>
        <w:rPr>
          <w:noProof/>
        </w:rPr>
        <w:t>Waste in the cold food chain and opportunities for improvement</w:t>
      </w:r>
      <w:r>
        <w:rPr>
          <w:noProof/>
        </w:rPr>
        <w:tab/>
      </w:r>
      <w:r>
        <w:rPr>
          <w:noProof/>
        </w:rPr>
        <w:fldChar w:fldCharType="begin"/>
      </w:r>
      <w:r>
        <w:rPr>
          <w:noProof/>
        </w:rPr>
        <w:instrText xml:space="preserve"> PAGEREF _Toc46923720 \h </w:instrText>
      </w:r>
      <w:r>
        <w:rPr>
          <w:noProof/>
        </w:rPr>
      </w:r>
      <w:r>
        <w:rPr>
          <w:noProof/>
        </w:rPr>
        <w:fldChar w:fldCharType="separate"/>
      </w:r>
      <w:r>
        <w:rPr>
          <w:noProof/>
        </w:rPr>
        <w:t>14</w:t>
      </w:r>
      <w:r>
        <w:rPr>
          <w:noProof/>
        </w:rPr>
        <w:fldChar w:fldCharType="end"/>
      </w:r>
    </w:p>
    <w:p w14:paraId="2A7D1E95"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4.4</w:t>
      </w:r>
      <w:r>
        <w:rPr>
          <w:rFonts w:asciiTheme="minorHAnsi" w:eastAsiaTheme="minorEastAsia" w:hAnsiTheme="minorHAnsi" w:cstheme="minorBidi"/>
          <w:noProof/>
          <w:sz w:val="24"/>
          <w:szCs w:val="24"/>
          <w:lang w:val="en-AU" w:eastAsia="en-GB"/>
        </w:rPr>
        <w:tab/>
      </w:r>
      <w:r>
        <w:rPr>
          <w:noProof/>
        </w:rPr>
        <w:t>Domestic refrigeration</w:t>
      </w:r>
      <w:r>
        <w:rPr>
          <w:noProof/>
        </w:rPr>
        <w:tab/>
      </w:r>
      <w:r>
        <w:rPr>
          <w:noProof/>
        </w:rPr>
        <w:fldChar w:fldCharType="begin"/>
      </w:r>
      <w:r>
        <w:rPr>
          <w:noProof/>
        </w:rPr>
        <w:instrText xml:space="preserve"> PAGEREF _Toc46923721 \h </w:instrText>
      </w:r>
      <w:r>
        <w:rPr>
          <w:noProof/>
        </w:rPr>
      </w:r>
      <w:r>
        <w:rPr>
          <w:noProof/>
        </w:rPr>
        <w:fldChar w:fldCharType="separate"/>
      </w:r>
      <w:r>
        <w:rPr>
          <w:noProof/>
        </w:rPr>
        <w:t>15</w:t>
      </w:r>
      <w:r>
        <w:rPr>
          <w:noProof/>
        </w:rPr>
        <w:fldChar w:fldCharType="end"/>
      </w:r>
    </w:p>
    <w:p w14:paraId="1D0B0E6D" w14:textId="77777777" w:rsidR="00626D90" w:rsidRDefault="00626D90" w:rsidP="00626D90">
      <w:pPr>
        <w:pStyle w:val="TOC1"/>
        <w:rPr>
          <w:rFonts w:asciiTheme="minorHAnsi" w:eastAsiaTheme="minorEastAsia" w:hAnsiTheme="minorHAnsi" w:cstheme="minorBidi"/>
          <w:b w:val="0"/>
          <w:color w:val="auto"/>
          <w:lang w:val="en-AU" w:eastAsia="en-GB"/>
        </w:rPr>
      </w:pPr>
      <w:r>
        <w:t>5</w:t>
      </w:r>
      <w:r>
        <w:rPr>
          <w:rFonts w:asciiTheme="minorHAnsi" w:eastAsiaTheme="minorEastAsia" w:hAnsiTheme="minorHAnsi" w:cstheme="minorBidi"/>
          <w:b w:val="0"/>
          <w:color w:val="auto"/>
          <w:lang w:val="en-AU" w:eastAsia="en-GB"/>
        </w:rPr>
        <w:tab/>
      </w:r>
      <w:r>
        <w:t>The refrigerant bank</w:t>
      </w:r>
      <w:r>
        <w:tab/>
      </w:r>
      <w:r>
        <w:fldChar w:fldCharType="begin"/>
      </w:r>
      <w:r>
        <w:instrText xml:space="preserve"> PAGEREF _Toc46923722 \h </w:instrText>
      </w:r>
      <w:r>
        <w:fldChar w:fldCharType="separate"/>
      </w:r>
      <w:r>
        <w:t>16</w:t>
      </w:r>
      <w:r>
        <w:fldChar w:fldCharType="end"/>
      </w:r>
    </w:p>
    <w:p w14:paraId="4C352C56"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5.1</w:t>
      </w:r>
      <w:r>
        <w:rPr>
          <w:rFonts w:asciiTheme="minorHAnsi" w:eastAsiaTheme="minorEastAsia" w:hAnsiTheme="minorHAnsi" w:cstheme="minorBidi"/>
          <w:noProof/>
          <w:sz w:val="24"/>
          <w:szCs w:val="24"/>
          <w:lang w:val="en-AU" w:eastAsia="en-GB"/>
        </w:rPr>
        <w:tab/>
      </w:r>
      <w:r>
        <w:rPr>
          <w:noProof/>
        </w:rPr>
        <w:t>Constituents of the bank, GWP and CO</w:t>
      </w:r>
      <w:r w:rsidRPr="00E261BB">
        <w:rPr>
          <w:noProof/>
          <w:vertAlign w:val="subscript"/>
        </w:rPr>
        <w:t>2</w:t>
      </w:r>
      <w:r>
        <w:rPr>
          <w:noProof/>
        </w:rPr>
        <w:t>e</w:t>
      </w:r>
      <w:r>
        <w:rPr>
          <w:noProof/>
        </w:rPr>
        <w:tab/>
      </w:r>
      <w:r>
        <w:rPr>
          <w:noProof/>
        </w:rPr>
        <w:fldChar w:fldCharType="begin"/>
      </w:r>
      <w:r>
        <w:rPr>
          <w:noProof/>
        </w:rPr>
        <w:instrText xml:space="preserve"> PAGEREF _Toc46923723 \h </w:instrText>
      </w:r>
      <w:r>
        <w:rPr>
          <w:noProof/>
        </w:rPr>
      </w:r>
      <w:r>
        <w:rPr>
          <w:noProof/>
        </w:rPr>
        <w:fldChar w:fldCharType="separate"/>
      </w:r>
      <w:r>
        <w:rPr>
          <w:noProof/>
        </w:rPr>
        <w:t>18</w:t>
      </w:r>
      <w:r>
        <w:rPr>
          <w:noProof/>
        </w:rPr>
        <w:fldChar w:fldCharType="end"/>
      </w:r>
    </w:p>
    <w:p w14:paraId="2EF2B6AF" w14:textId="77777777" w:rsidR="00626D90" w:rsidRDefault="00626D90" w:rsidP="00626D90">
      <w:pPr>
        <w:pStyle w:val="TOC1"/>
        <w:rPr>
          <w:rFonts w:asciiTheme="minorHAnsi" w:eastAsiaTheme="minorEastAsia" w:hAnsiTheme="minorHAnsi" w:cstheme="minorBidi"/>
          <w:b w:val="0"/>
          <w:color w:val="auto"/>
          <w:lang w:val="en-AU" w:eastAsia="en-GB"/>
        </w:rPr>
      </w:pPr>
      <w:r>
        <w:t>6</w:t>
      </w:r>
      <w:r>
        <w:rPr>
          <w:rFonts w:asciiTheme="minorHAnsi" w:eastAsiaTheme="minorEastAsia" w:hAnsiTheme="minorHAnsi" w:cstheme="minorBidi"/>
          <w:b w:val="0"/>
          <w:color w:val="auto"/>
          <w:lang w:val="en-AU" w:eastAsia="en-GB"/>
        </w:rPr>
        <w:tab/>
      </w:r>
      <w:r>
        <w:t>Refrigerant imports and usage</w:t>
      </w:r>
      <w:r>
        <w:tab/>
      </w:r>
      <w:r>
        <w:fldChar w:fldCharType="begin"/>
      </w:r>
      <w:r>
        <w:instrText xml:space="preserve"> PAGEREF _Toc46923724 \h </w:instrText>
      </w:r>
      <w:r>
        <w:fldChar w:fldCharType="separate"/>
      </w:r>
      <w:r>
        <w:t>22</w:t>
      </w:r>
      <w:r>
        <w:fldChar w:fldCharType="end"/>
      </w:r>
    </w:p>
    <w:p w14:paraId="30573071"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rFonts w:eastAsiaTheme="minorEastAsia"/>
          <w:noProof/>
        </w:rPr>
        <w:t>6.1</w:t>
      </w:r>
      <w:r>
        <w:rPr>
          <w:rFonts w:asciiTheme="minorHAnsi" w:eastAsiaTheme="minorEastAsia" w:hAnsiTheme="minorHAnsi" w:cstheme="minorBidi"/>
          <w:noProof/>
          <w:sz w:val="24"/>
          <w:szCs w:val="24"/>
          <w:lang w:val="en-AU" w:eastAsia="en-GB"/>
        </w:rPr>
        <w:tab/>
      </w:r>
      <w:r>
        <w:rPr>
          <w:noProof/>
        </w:rPr>
        <w:t>Pre-charged equipment imports</w:t>
      </w:r>
      <w:r>
        <w:rPr>
          <w:noProof/>
        </w:rPr>
        <w:tab/>
      </w:r>
      <w:r>
        <w:rPr>
          <w:noProof/>
        </w:rPr>
        <w:fldChar w:fldCharType="begin"/>
      </w:r>
      <w:r>
        <w:rPr>
          <w:noProof/>
        </w:rPr>
        <w:instrText xml:space="preserve"> PAGEREF _Toc46923725 \h </w:instrText>
      </w:r>
      <w:r>
        <w:rPr>
          <w:noProof/>
        </w:rPr>
      </w:r>
      <w:r>
        <w:rPr>
          <w:noProof/>
        </w:rPr>
        <w:fldChar w:fldCharType="separate"/>
      </w:r>
      <w:r>
        <w:rPr>
          <w:noProof/>
        </w:rPr>
        <w:t>23</w:t>
      </w:r>
      <w:r>
        <w:rPr>
          <w:noProof/>
        </w:rPr>
        <w:fldChar w:fldCharType="end"/>
      </w:r>
    </w:p>
    <w:p w14:paraId="1BEA22DD" w14:textId="77777777" w:rsidR="00626D90" w:rsidRDefault="00626D90" w:rsidP="00626D90">
      <w:pPr>
        <w:pStyle w:val="TOC3"/>
        <w:rPr>
          <w:rFonts w:asciiTheme="minorHAnsi" w:eastAsiaTheme="minorEastAsia" w:hAnsiTheme="minorHAnsi" w:cstheme="minorBidi"/>
          <w:i w:val="0"/>
          <w:noProof/>
          <w:sz w:val="24"/>
          <w:szCs w:val="24"/>
          <w:lang w:val="en-AU" w:eastAsia="en-GB"/>
        </w:rPr>
      </w:pPr>
      <w:r>
        <w:rPr>
          <w:noProof/>
        </w:rPr>
        <w:t>6.1.1</w:t>
      </w:r>
      <w:r>
        <w:rPr>
          <w:rFonts w:asciiTheme="minorHAnsi" w:eastAsiaTheme="minorEastAsia" w:hAnsiTheme="minorHAnsi" w:cstheme="minorBidi"/>
          <w:i w:val="0"/>
          <w:noProof/>
          <w:sz w:val="24"/>
          <w:szCs w:val="24"/>
          <w:lang w:val="en-AU" w:eastAsia="en-GB"/>
        </w:rPr>
        <w:tab/>
      </w:r>
      <w:r>
        <w:rPr>
          <w:noProof/>
        </w:rPr>
        <w:t>Analysis of pre-charged equipment provides insights into the transitioning bank</w:t>
      </w:r>
      <w:r>
        <w:rPr>
          <w:noProof/>
        </w:rPr>
        <w:tab/>
      </w:r>
      <w:r>
        <w:rPr>
          <w:noProof/>
        </w:rPr>
        <w:fldChar w:fldCharType="begin"/>
      </w:r>
      <w:r>
        <w:rPr>
          <w:noProof/>
        </w:rPr>
        <w:instrText xml:space="preserve"> PAGEREF _Toc46923726 \h </w:instrText>
      </w:r>
      <w:r>
        <w:rPr>
          <w:noProof/>
        </w:rPr>
      </w:r>
      <w:r>
        <w:rPr>
          <w:noProof/>
        </w:rPr>
        <w:fldChar w:fldCharType="separate"/>
      </w:r>
      <w:r>
        <w:rPr>
          <w:noProof/>
        </w:rPr>
        <w:t>27</w:t>
      </w:r>
      <w:r>
        <w:rPr>
          <w:noProof/>
        </w:rPr>
        <w:fldChar w:fldCharType="end"/>
      </w:r>
    </w:p>
    <w:p w14:paraId="00483A87"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6.2</w:t>
      </w:r>
      <w:r>
        <w:rPr>
          <w:rFonts w:asciiTheme="minorHAnsi" w:eastAsiaTheme="minorEastAsia" w:hAnsiTheme="minorHAnsi" w:cstheme="minorBidi"/>
          <w:noProof/>
          <w:sz w:val="24"/>
          <w:szCs w:val="24"/>
          <w:lang w:val="en-AU" w:eastAsia="en-GB"/>
        </w:rPr>
        <w:tab/>
      </w:r>
      <w:r>
        <w:rPr>
          <w:noProof/>
        </w:rPr>
        <w:t>Bulk refrigerant imports</w:t>
      </w:r>
      <w:r>
        <w:rPr>
          <w:noProof/>
        </w:rPr>
        <w:tab/>
      </w:r>
      <w:r>
        <w:rPr>
          <w:noProof/>
        </w:rPr>
        <w:fldChar w:fldCharType="begin"/>
      </w:r>
      <w:r>
        <w:rPr>
          <w:noProof/>
        </w:rPr>
        <w:instrText xml:space="preserve"> PAGEREF _Toc46923727 \h </w:instrText>
      </w:r>
      <w:r>
        <w:rPr>
          <w:noProof/>
        </w:rPr>
      </w:r>
      <w:r>
        <w:rPr>
          <w:noProof/>
        </w:rPr>
        <w:fldChar w:fldCharType="separate"/>
      </w:r>
      <w:r>
        <w:rPr>
          <w:noProof/>
        </w:rPr>
        <w:t>29</w:t>
      </w:r>
      <w:r>
        <w:rPr>
          <w:noProof/>
        </w:rPr>
        <w:fldChar w:fldCharType="end"/>
      </w:r>
    </w:p>
    <w:p w14:paraId="6DF9F008"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6.3</w:t>
      </w:r>
      <w:r>
        <w:rPr>
          <w:rFonts w:asciiTheme="minorHAnsi" w:eastAsiaTheme="minorEastAsia" w:hAnsiTheme="minorHAnsi" w:cstheme="minorBidi"/>
          <w:noProof/>
          <w:sz w:val="24"/>
          <w:szCs w:val="24"/>
          <w:lang w:val="en-AU" w:eastAsia="en-GB"/>
        </w:rPr>
        <w:tab/>
      </w:r>
      <w:r>
        <w:rPr>
          <w:noProof/>
        </w:rPr>
        <w:t>Refrigerant usage – HCFCs and HFCs</w:t>
      </w:r>
      <w:r>
        <w:rPr>
          <w:noProof/>
        </w:rPr>
        <w:tab/>
      </w:r>
      <w:r>
        <w:rPr>
          <w:noProof/>
        </w:rPr>
        <w:fldChar w:fldCharType="begin"/>
      </w:r>
      <w:r>
        <w:rPr>
          <w:noProof/>
        </w:rPr>
        <w:instrText xml:space="preserve"> PAGEREF _Toc46923728 \h </w:instrText>
      </w:r>
      <w:r>
        <w:rPr>
          <w:noProof/>
        </w:rPr>
      </w:r>
      <w:r>
        <w:rPr>
          <w:noProof/>
        </w:rPr>
        <w:fldChar w:fldCharType="separate"/>
      </w:r>
      <w:r>
        <w:rPr>
          <w:noProof/>
        </w:rPr>
        <w:t>31</w:t>
      </w:r>
      <w:r>
        <w:rPr>
          <w:noProof/>
        </w:rPr>
        <w:fldChar w:fldCharType="end"/>
      </w:r>
    </w:p>
    <w:p w14:paraId="287A5C71"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6.4</w:t>
      </w:r>
      <w:r>
        <w:rPr>
          <w:rFonts w:asciiTheme="minorHAnsi" w:eastAsiaTheme="minorEastAsia" w:hAnsiTheme="minorHAnsi" w:cstheme="minorBidi"/>
          <w:noProof/>
          <w:sz w:val="24"/>
          <w:szCs w:val="24"/>
          <w:lang w:val="en-AU" w:eastAsia="en-GB"/>
        </w:rPr>
        <w:tab/>
      </w:r>
      <w:r>
        <w:rPr>
          <w:noProof/>
        </w:rPr>
        <w:t>Hydrofluoro-olefin refrigerants (HFOs)</w:t>
      </w:r>
      <w:r>
        <w:rPr>
          <w:noProof/>
        </w:rPr>
        <w:tab/>
      </w:r>
      <w:r>
        <w:rPr>
          <w:noProof/>
        </w:rPr>
        <w:fldChar w:fldCharType="begin"/>
      </w:r>
      <w:r>
        <w:rPr>
          <w:noProof/>
        </w:rPr>
        <w:instrText xml:space="preserve"> PAGEREF _Toc46923729 \h </w:instrText>
      </w:r>
      <w:r>
        <w:rPr>
          <w:noProof/>
        </w:rPr>
      </w:r>
      <w:r>
        <w:rPr>
          <w:noProof/>
        </w:rPr>
        <w:fldChar w:fldCharType="separate"/>
      </w:r>
      <w:r>
        <w:rPr>
          <w:noProof/>
        </w:rPr>
        <w:t>32</w:t>
      </w:r>
      <w:r>
        <w:rPr>
          <w:noProof/>
        </w:rPr>
        <w:fldChar w:fldCharType="end"/>
      </w:r>
    </w:p>
    <w:p w14:paraId="793934BD"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6.5</w:t>
      </w:r>
      <w:r>
        <w:rPr>
          <w:rFonts w:asciiTheme="minorHAnsi" w:eastAsiaTheme="minorEastAsia" w:hAnsiTheme="minorHAnsi" w:cstheme="minorBidi"/>
          <w:noProof/>
          <w:sz w:val="24"/>
          <w:szCs w:val="24"/>
          <w:lang w:val="en-AU" w:eastAsia="en-GB"/>
        </w:rPr>
        <w:tab/>
      </w:r>
      <w:r>
        <w:rPr>
          <w:noProof/>
        </w:rPr>
        <w:t>HFO/HFC blend refrigerants</w:t>
      </w:r>
      <w:r>
        <w:rPr>
          <w:noProof/>
        </w:rPr>
        <w:tab/>
      </w:r>
      <w:r>
        <w:rPr>
          <w:noProof/>
        </w:rPr>
        <w:fldChar w:fldCharType="begin"/>
      </w:r>
      <w:r>
        <w:rPr>
          <w:noProof/>
        </w:rPr>
        <w:instrText xml:space="preserve"> PAGEREF _Toc46923730 \h </w:instrText>
      </w:r>
      <w:r>
        <w:rPr>
          <w:noProof/>
        </w:rPr>
      </w:r>
      <w:r>
        <w:rPr>
          <w:noProof/>
        </w:rPr>
        <w:fldChar w:fldCharType="separate"/>
      </w:r>
      <w:r>
        <w:rPr>
          <w:noProof/>
        </w:rPr>
        <w:t>32</w:t>
      </w:r>
      <w:r>
        <w:rPr>
          <w:noProof/>
        </w:rPr>
        <w:fldChar w:fldCharType="end"/>
      </w:r>
    </w:p>
    <w:p w14:paraId="22A920C3"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6.6</w:t>
      </w:r>
      <w:r>
        <w:rPr>
          <w:rFonts w:asciiTheme="minorHAnsi" w:eastAsiaTheme="minorEastAsia" w:hAnsiTheme="minorHAnsi" w:cstheme="minorBidi"/>
          <w:noProof/>
          <w:sz w:val="24"/>
          <w:szCs w:val="24"/>
          <w:lang w:val="en-AU" w:eastAsia="en-GB"/>
        </w:rPr>
        <w:tab/>
      </w:r>
      <w:r>
        <w:rPr>
          <w:noProof/>
        </w:rPr>
        <w:t>Natural refrigerants</w:t>
      </w:r>
      <w:r>
        <w:rPr>
          <w:noProof/>
        </w:rPr>
        <w:tab/>
      </w:r>
      <w:r>
        <w:rPr>
          <w:noProof/>
        </w:rPr>
        <w:fldChar w:fldCharType="begin"/>
      </w:r>
      <w:r>
        <w:rPr>
          <w:noProof/>
        </w:rPr>
        <w:instrText xml:space="preserve"> PAGEREF _Toc46923731 \h </w:instrText>
      </w:r>
      <w:r>
        <w:rPr>
          <w:noProof/>
        </w:rPr>
      </w:r>
      <w:r>
        <w:rPr>
          <w:noProof/>
        </w:rPr>
        <w:fldChar w:fldCharType="separate"/>
      </w:r>
      <w:r>
        <w:rPr>
          <w:noProof/>
        </w:rPr>
        <w:t>33</w:t>
      </w:r>
      <w:r>
        <w:rPr>
          <w:noProof/>
        </w:rPr>
        <w:fldChar w:fldCharType="end"/>
      </w:r>
    </w:p>
    <w:p w14:paraId="4D5A941C" w14:textId="77777777" w:rsidR="00626D90" w:rsidRDefault="00626D90" w:rsidP="00626D90">
      <w:pPr>
        <w:pStyle w:val="TOC2"/>
        <w:rPr>
          <w:rFonts w:asciiTheme="minorHAnsi" w:eastAsiaTheme="minorEastAsia" w:hAnsiTheme="minorHAnsi" w:cstheme="minorBidi"/>
          <w:noProof/>
          <w:sz w:val="24"/>
          <w:szCs w:val="24"/>
          <w:lang w:val="en-AU" w:eastAsia="en-GB"/>
        </w:rPr>
      </w:pPr>
      <w:r w:rsidRPr="00E261BB">
        <w:rPr>
          <w:noProof/>
        </w:rPr>
        <w:t>6.7</w:t>
      </w:r>
      <w:r>
        <w:rPr>
          <w:rFonts w:asciiTheme="minorHAnsi" w:eastAsiaTheme="minorEastAsia" w:hAnsiTheme="minorHAnsi" w:cstheme="minorBidi"/>
          <w:noProof/>
          <w:sz w:val="24"/>
          <w:szCs w:val="24"/>
          <w:lang w:val="en-AU" w:eastAsia="en-GB"/>
        </w:rPr>
        <w:tab/>
      </w:r>
      <w:r>
        <w:rPr>
          <w:noProof/>
        </w:rPr>
        <w:t>Refrigerant usage projection and the HFC phase down</w:t>
      </w:r>
      <w:r>
        <w:rPr>
          <w:noProof/>
        </w:rPr>
        <w:tab/>
      </w:r>
      <w:r>
        <w:rPr>
          <w:noProof/>
        </w:rPr>
        <w:fldChar w:fldCharType="begin"/>
      </w:r>
      <w:r>
        <w:rPr>
          <w:noProof/>
        </w:rPr>
        <w:instrText xml:space="preserve"> PAGEREF _Toc46923732 \h </w:instrText>
      </w:r>
      <w:r>
        <w:rPr>
          <w:noProof/>
        </w:rPr>
      </w:r>
      <w:r>
        <w:rPr>
          <w:noProof/>
        </w:rPr>
        <w:fldChar w:fldCharType="separate"/>
      </w:r>
      <w:r>
        <w:rPr>
          <w:noProof/>
        </w:rPr>
        <w:t>34</w:t>
      </w:r>
      <w:r>
        <w:rPr>
          <w:noProof/>
        </w:rPr>
        <w:fldChar w:fldCharType="end"/>
      </w:r>
    </w:p>
    <w:p w14:paraId="26F0C3A6" w14:textId="77777777" w:rsidR="00626D90" w:rsidRDefault="00626D90" w:rsidP="00626D90">
      <w:pPr>
        <w:rPr>
          <w:rFonts w:ascii="Verdana" w:eastAsia="Times New Roman" w:hAnsi="Verdana" w:cs="Times New Roman"/>
          <w:b/>
          <w:noProof/>
          <w:color w:val="31849B" w:themeColor="accent5" w:themeShade="BF"/>
          <w:sz w:val="20"/>
          <w:szCs w:val="20"/>
          <w:lang w:val="en-US"/>
        </w:rPr>
      </w:pPr>
      <w:r>
        <w:rPr>
          <w:rFonts w:ascii="Verdana" w:eastAsia="Times New Roman" w:hAnsi="Verdana" w:cs="Times New Roman"/>
          <w:noProof/>
          <w:color w:val="31849B" w:themeColor="accent5" w:themeShade="BF"/>
          <w:sz w:val="20"/>
          <w:szCs w:val="20"/>
          <w:lang w:val="en-US"/>
        </w:rPr>
        <w:fldChar w:fldCharType="end"/>
      </w:r>
    </w:p>
    <w:p w14:paraId="7D8E8A19" w14:textId="77777777" w:rsidR="00626D90" w:rsidRDefault="00626D90" w:rsidP="00626D90">
      <w:pPr>
        <w:rPr>
          <w:rFonts w:asciiTheme="majorHAnsi" w:hAnsiTheme="majorHAnsi"/>
          <w:sz w:val="36"/>
          <w:szCs w:val="36"/>
        </w:rPr>
      </w:pPr>
      <w:r w:rsidRPr="00BE3B27">
        <w:rPr>
          <w:rFonts w:asciiTheme="majorHAnsi" w:hAnsiTheme="majorHAnsi"/>
          <w:sz w:val="36"/>
          <w:szCs w:val="36"/>
        </w:rPr>
        <w:t>Appendices</w:t>
      </w:r>
    </w:p>
    <w:p w14:paraId="6054D645"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 xml:space="preserve">Appendix A: </w:t>
      </w:r>
      <w:r w:rsidRPr="0017046D">
        <w:rPr>
          <w:rFonts w:ascii="Calibri" w:hAnsi="Calibri"/>
          <w:b/>
          <w:noProof/>
          <w:color w:val="31849B" w:themeColor="accent5" w:themeShade="BF"/>
        </w:rPr>
        <w:t>Methodology – Taxonomy, data and assumptions</w:t>
      </w:r>
      <w:r>
        <w:rPr>
          <w:rFonts w:ascii="Calibri" w:hAnsi="Calibri"/>
          <w:b/>
          <w:noProof/>
          <w:color w:val="31849B" w:themeColor="accent5" w:themeShade="BF"/>
        </w:rPr>
        <w:t>, glossary and abbreviations</w:t>
      </w:r>
    </w:p>
    <w:p w14:paraId="31ACF234" w14:textId="77777777" w:rsidR="00626D90" w:rsidRPr="00BC52AB" w:rsidRDefault="00626D90" w:rsidP="00626D90">
      <w:pPr>
        <w:spacing w:before="60"/>
        <w:rPr>
          <w:rFonts w:ascii="Calibri" w:hAnsi="Calibri"/>
          <w:b/>
          <w:noProof/>
          <w:color w:val="31849B" w:themeColor="accent5" w:themeShade="BF"/>
        </w:rPr>
      </w:pPr>
      <w:r w:rsidRPr="00BC52AB">
        <w:rPr>
          <w:rFonts w:ascii="Calibri" w:hAnsi="Calibri"/>
          <w:b/>
          <w:noProof/>
          <w:color w:val="31849B" w:themeColor="accent5" w:themeShade="BF"/>
        </w:rPr>
        <w:t xml:space="preserve">Appendix </w:t>
      </w:r>
      <w:r>
        <w:rPr>
          <w:rFonts w:ascii="Calibri" w:hAnsi="Calibri"/>
          <w:b/>
          <w:noProof/>
          <w:color w:val="31849B" w:themeColor="accent5" w:themeShade="BF"/>
        </w:rPr>
        <w:t>B: Cold Hard Facts 2020 Spread-sheet</w:t>
      </w:r>
      <w:r w:rsidRPr="00BC52AB">
        <w:rPr>
          <w:rFonts w:ascii="Calibri" w:hAnsi="Calibri"/>
          <w:b/>
          <w:noProof/>
          <w:color w:val="31849B" w:themeColor="accent5" w:themeShade="BF"/>
        </w:rPr>
        <w:t xml:space="preserve"> </w:t>
      </w:r>
    </w:p>
    <w:p w14:paraId="52D48643"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B</w:t>
      </w:r>
      <w:r w:rsidRPr="00971069">
        <w:rPr>
          <w:rFonts w:ascii="Calibri" w:hAnsi="Calibri"/>
          <w:b/>
          <w:noProof/>
          <w:color w:val="31849B" w:themeColor="accent5" w:themeShade="BF"/>
        </w:rPr>
        <w:t>1: CHF3 Taxonomy</w:t>
      </w:r>
    </w:p>
    <w:p w14:paraId="3E2F9C38"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 xml:space="preserve">B2.1: </w:t>
      </w:r>
      <w:r w:rsidRPr="00F60475">
        <w:rPr>
          <w:rFonts w:ascii="Calibri" w:hAnsi="Calibri"/>
          <w:b/>
          <w:noProof/>
          <w:color w:val="31849B" w:themeColor="accent5" w:themeShade="BF"/>
        </w:rPr>
        <w:t>New equipment sales mix by equipment type: Input units</w:t>
      </w:r>
    </w:p>
    <w:p w14:paraId="4388EF0E"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 xml:space="preserve">B2.2: </w:t>
      </w:r>
      <w:r w:rsidRPr="00F60475">
        <w:rPr>
          <w:rFonts w:ascii="Calibri" w:hAnsi="Calibri"/>
          <w:b/>
          <w:noProof/>
          <w:color w:val="31849B" w:themeColor="accent5" w:themeShade="BF"/>
        </w:rPr>
        <w:t xml:space="preserve">New equipment sales mix by equipment type: </w:t>
      </w:r>
      <w:r>
        <w:rPr>
          <w:rFonts w:ascii="Calibri" w:hAnsi="Calibri"/>
          <w:b/>
          <w:noProof/>
          <w:color w:val="31849B" w:themeColor="accent5" w:themeShade="BF"/>
        </w:rPr>
        <w:t>Refrigerant mass outputs</w:t>
      </w:r>
    </w:p>
    <w:p w14:paraId="7747B656"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B3</w:t>
      </w:r>
      <w:r w:rsidRPr="00817175">
        <w:rPr>
          <w:rFonts w:ascii="Calibri" w:hAnsi="Calibri"/>
          <w:b/>
          <w:noProof/>
          <w:color w:val="31849B" w:themeColor="accent5" w:themeShade="BF"/>
        </w:rPr>
        <w:t xml:space="preserve">: Bank projections by </w:t>
      </w:r>
      <w:r>
        <w:rPr>
          <w:rFonts w:ascii="Calibri" w:hAnsi="Calibri"/>
          <w:b/>
          <w:noProof/>
          <w:color w:val="31849B" w:themeColor="accent5" w:themeShade="BF"/>
        </w:rPr>
        <w:t>c</w:t>
      </w:r>
      <w:r w:rsidRPr="00817175">
        <w:rPr>
          <w:rFonts w:ascii="Calibri" w:hAnsi="Calibri"/>
          <w:b/>
          <w:noProof/>
          <w:color w:val="31849B" w:themeColor="accent5" w:themeShade="BF"/>
        </w:rPr>
        <w:t xml:space="preserve">lass and </w:t>
      </w:r>
      <w:r>
        <w:rPr>
          <w:rFonts w:ascii="Calibri" w:hAnsi="Calibri"/>
          <w:b/>
          <w:noProof/>
          <w:color w:val="31849B" w:themeColor="accent5" w:themeShade="BF"/>
        </w:rPr>
        <w:t>s</w:t>
      </w:r>
      <w:r w:rsidRPr="00817175">
        <w:rPr>
          <w:rFonts w:ascii="Calibri" w:hAnsi="Calibri"/>
          <w:b/>
          <w:noProof/>
          <w:color w:val="31849B" w:themeColor="accent5" w:themeShade="BF"/>
        </w:rPr>
        <w:t>egment</w:t>
      </w:r>
    </w:p>
    <w:p w14:paraId="152B01AC"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B4.1: Bulk imports and pre-charged equipment imports</w:t>
      </w:r>
    </w:p>
    <w:p w14:paraId="2DEBE3D9"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 xml:space="preserve">B4.2: </w:t>
      </w:r>
      <w:r w:rsidRPr="00C648CF">
        <w:rPr>
          <w:rFonts w:ascii="Calibri" w:hAnsi="Calibri"/>
          <w:b/>
          <w:noProof/>
          <w:color w:val="31849B" w:themeColor="accent5" w:themeShade="BF"/>
        </w:rPr>
        <w:t>Stationary AC: Pre-charged equipment imports</w:t>
      </w:r>
    </w:p>
    <w:p w14:paraId="4D90D6CB" w14:textId="77777777" w:rsidR="00626D90" w:rsidRDefault="00626D90" w:rsidP="00626D90">
      <w:pPr>
        <w:spacing w:before="60"/>
        <w:rPr>
          <w:rFonts w:ascii="Calibri" w:hAnsi="Calibri"/>
          <w:b/>
          <w:noProof/>
          <w:color w:val="31849B" w:themeColor="accent5" w:themeShade="BF"/>
        </w:rPr>
      </w:pPr>
      <w:r>
        <w:rPr>
          <w:rFonts w:ascii="Calibri" w:hAnsi="Calibri"/>
          <w:b/>
          <w:noProof/>
          <w:color w:val="31849B" w:themeColor="accent5" w:themeShade="BF"/>
        </w:rPr>
        <w:t>B5: Usage in tonnes and CO</w:t>
      </w:r>
      <w:r w:rsidRPr="009842EF">
        <w:rPr>
          <w:rFonts w:ascii="Calibri" w:hAnsi="Calibri"/>
          <w:b/>
          <w:noProof/>
          <w:color w:val="31849B" w:themeColor="accent5" w:themeShade="BF"/>
          <w:vertAlign w:val="subscript"/>
        </w:rPr>
        <w:t>2</w:t>
      </w:r>
      <w:r>
        <w:rPr>
          <w:rFonts w:ascii="Calibri" w:hAnsi="Calibri"/>
          <w:b/>
          <w:noProof/>
          <w:color w:val="31849B" w:themeColor="accent5" w:themeShade="BF"/>
        </w:rPr>
        <w:t>e versus phase down schedules, and by segment</w:t>
      </w:r>
    </w:p>
    <w:p w14:paraId="488D1737" w14:textId="77777777" w:rsidR="00626D90" w:rsidRDefault="00626D90" w:rsidP="00626D90">
      <w:pPr>
        <w:rPr>
          <w:rFonts w:ascii="Calibri" w:hAnsi="Calibri"/>
          <w:b/>
          <w:noProof/>
          <w:color w:val="31849B" w:themeColor="accent5" w:themeShade="BF"/>
        </w:rPr>
      </w:pPr>
    </w:p>
    <w:p w14:paraId="67C08147" w14:textId="77777777" w:rsidR="00626D90" w:rsidRDefault="00626D90" w:rsidP="00626D90">
      <w:pPr>
        <w:spacing w:before="0"/>
        <w:jc w:val="left"/>
        <w:rPr>
          <w:rFonts w:asciiTheme="majorHAnsi" w:hAnsiTheme="majorHAnsi"/>
          <w:sz w:val="36"/>
          <w:szCs w:val="36"/>
        </w:rPr>
      </w:pPr>
      <w:r>
        <w:rPr>
          <w:rFonts w:asciiTheme="majorHAnsi" w:hAnsiTheme="majorHAnsi"/>
          <w:sz w:val="36"/>
          <w:szCs w:val="36"/>
        </w:rPr>
        <w:br w:type="page"/>
      </w:r>
    </w:p>
    <w:p w14:paraId="5F2C7B00" w14:textId="77777777" w:rsidR="00626D90" w:rsidRPr="003937A5" w:rsidRDefault="00626D90" w:rsidP="00626D90">
      <w:pPr>
        <w:rPr>
          <w:rFonts w:asciiTheme="majorHAnsi" w:hAnsiTheme="majorHAnsi"/>
          <w:sz w:val="36"/>
          <w:szCs w:val="36"/>
        </w:rPr>
      </w:pPr>
      <w:r w:rsidRPr="003937A5">
        <w:rPr>
          <w:rFonts w:asciiTheme="majorHAnsi" w:hAnsiTheme="majorHAnsi"/>
          <w:sz w:val="36"/>
          <w:szCs w:val="36"/>
        </w:rPr>
        <w:lastRenderedPageBreak/>
        <w:t>List of Figures</w:t>
      </w:r>
    </w:p>
    <w:p w14:paraId="487792A8"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szCs w:val="20"/>
        </w:rPr>
        <w:fldChar w:fldCharType="begin"/>
      </w:r>
      <w:r>
        <w:rPr>
          <w:noProof/>
          <w:szCs w:val="20"/>
        </w:rPr>
        <w:instrText xml:space="preserve"> TOC \c "Figure" </w:instrText>
      </w:r>
      <w:r>
        <w:rPr>
          <w:noProof/>
          <w:szCs w:val="20"/>
        </w:rPr>
        <w:fldChar w:fldCharType="separate"/>
      </w:r>
      <w:r>
        <w:rPr>
          <w:noProof/>
        </w:rPr>
        <w:t>Figure 1: The HCFC and HFC Refrigerant bank from 2006 to 2019, and sensitivity analysis in tonnes.</w:t>
      </w:r>
      <w:r>
        <w:rPr>
          <w:noProof/>
        </w:rPr>
        <w:tab/>
      </w:r>
      <w:r>
        <w:rPr>
          <w:noProof/>
        </w:rPr>
        <w:fldChar w:fldCharType="begin"/>
      </w:r>
      <w:r>
        <w:rPr>
          <w:noProof/>
        </w:rPr>
        <w:instrText xml:space="preserve"> PAGEREF _Toc46846956 \h </w:instrText>
      </w:r>
      <w:r>
        <w:rPr>
          <w:noProof/>
        </w:rPr>
      </w:r>
      <w:r>
        <w:rPr>
          <w:noProof/>
        </w:rPr>
        <w:fldChar w:fldCharType="separate"/>
      </w:r>
      <w:r>
        <w:rPr>
          <w:noProof/>
        </w:rPr>
        <w:t>16</w:t>
      </w:r>
      <w:r>
        <w:rPr>
          <w:noProof/>
        </w:rPr>
        <w:fldChar w:fldCharType="end"/>
      </w:r>
    </w:p>
    <w:p w14:paraId="2E4200D6"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2: Refrigerant bank by species 2006, 2012, 2016, 2018, 2019 in tonnes (excluding ammonia).</w:t>
      </w:r>
      <w:r>
        <w:rPr>
          <w:noProof/>
        </w:rPr>
        <w:tab/>
      </w:r>
      <w:r>
        <w:rPr>
          <w:noProof/>
        </w:rPr>
        <w:fldChar w:fldCharType="begin"/>
      </w:r>
      <w:r>
        <w:rPr>
          <w:noProof/>
        </w:rPr>
        <w:instrText xml:space="preserve"> PAGEREF _Toc46846957 \h </w:instrText>
      </w:r>
      <w:r>
        <w:rPr>
          <w:noProof/>
        </w:rPr>
      </w:r>
      <w:r>
        <w:rPr>
          <w:noProof/>
        </w:rPr>
        <w:fldChar w:fldCharType="separate"/>
      </w:r>
      <w:r>
        <w:rPr>
          <w:noProof/>
        </w:rPr>
        <w:t>18</w:t>
      </w:r>
      <w:r>
        <w:rPr>
          <w:noProof/>
        </w:rPr>
        <w:fldChar w:fldCharType="end"/>
      </w:r>
    </w:p>
    <w:p w14:paraId="3526E85C"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3</w:t>
      </w:r>
      <w:r w:rsidRPr="002E47E0">
        <w:rPr>
          <w:noProof/>
        </w:rPr>
        <w:t>: Refrigerant in pre-charged equipment imports in 2019 dissected by application, reported in metric tonnes and per cent of annual imports.</w:t>
      </w:r>
      <w:r>
        <w:rPr>
          <w:noProof/>
        </w:rPr>
        <w:tab/>
      </w:r>
      <w:r>
        <w:rPr>
          <w:noProof/>
        </w:rPr>
        <w:fldChar w:fldCharType="begin"/>
      </w:r>
      <w:r>
        <w:rPr>
          <w:noProof/>
        </w:rPr>
        <w:instrText xml:space="preserve"> PAGEREF _Toc46846958 \h </w:instrText>
      </w:r>
      <w:r>
        <w:rPr>
          <w:noProof/>
        </w:rPr>
      </w:r>
      <w:r>
        <w:rPr>
          <w:noProof/>
        </w:rPr>
        <w:fldChar w:fldCharType="separate"/>
      </w:r>
      <w:r>
        <w:rPr>
          <w:noProof/>
        </w:rPr>
        <w:t>23</w:t>
      </w:r>
      <w:r>
        <w:rPr>
          <w:noProof/>
        </w:rPr>
        <w:fldChar w:fldCharType="end"/>
      </w:r>
    </w:p>
    <w:p w14:paraId="30ACEA5D"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4</w:t>
      </w:r>
      <w:r w:rsidRPr="002E47E0">
        <w:rPr>
          <w:noProof/>
        </w:rPr>
        <w:t>: Pre-charged equipment imports in 2019 dissected by major species in tonnes and as per cent of total imports.</w:t>
      </w:r>
      <w:r>
        <w:rPr>
          <w:noProof/>
        </w:rPr>
        <w:tab/>
      </w:r>
      <w:r>
        <w:rPr>
          <w:noProof/>
        </w:rPr>
        <w:fldChar w:fldCharType="begin"/>
      </w:r>
      <w:r>
        <w:rPr>
          <w:noProof/>
        </w:rPr>
        <w:instrText xml:space="preserve"> PAGEREF _Toc46846959 \h </w:instrText>
      </w:r>
      <w:r>
        <w:rPr>
          <w:noProof/>
        </w:rPr>
      </w:r>
      <w:r>
        <w:rPr>
          <w:noProof/>
        </w:rPr>
        <w:fldChar w:fldCharType="separate"/>
      </w:r>
      <w:r>
        <w:rPr>
          <w:noProof/>
        </w:rPr>
        <w:t>24</w:t>
      </w:r>
      <w:r>
        <w:rPr>
          <w:noProof/>
        </w:rPr>
        <w:fldChar w:fldCharType="end"/>
      </w:r>
    </w:p>
    <w:p w14:paraId="74A7BC90"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5: HCFCs and HFCs in pre-charged equipment from 2012 to 2019 by species in tonnes.</w:t>
      </w:r>
      <w:r>
        <w:rPr>
          <w:noProof/>
        </w:rPr>
        <w:tab/>
      </w:r>
      <w:r>
        <w:rPr>
          <w:noProof/>
        </w:rPr>
        <w:fldChar w:fldCharType="begin"/>
      </w:r>
      <w:r>
        <w:rPr>
          <w:noProof/>
        </w:rPr>
        <w:instrText xml:space="preserve"> PAGEREF _Toc46846960 \h </w:instrText>
      </w:r>
      <w:r>
        <w:rPr>
          <w:noProof/>
        </w:rPr>
      </w:r>
      <w:r>
        <w:rPr>
          <w:noProof/>
        </w:rPr>
        <w:fldChar w:fldCharType="separate"/>
      </w:r>
      <w:r>
        <w:rPr>
          <w:noProof/>
        </w:rPr>
        <w:t>25</w:t>
      </w:r>
      <w:r>
        <w:rPr>
          <w:noProof/>
        </w:rPr>
        <w:fldChar w:fldCharType="end"/>
      </w:r>
    </w:p>
    <w:p w14:paraId="61F9C4CA"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6: HFCs in pre-charged equipment from 2012 to 2019 by species in Mt CO</w:t>
      </w:r>
      <w:r w:rsidRPr="002E47E0">
        <w:rPr>
          <w:noProof/>
          <w:vertAlign w:val="subscript"/>
        </w:rPr>
        <w:t>2</w:t>
      </w:r>
      <w:r>
        <w:rPr>
          <w:noProof/>
        </w:rPr>
        <w:t>e (AR4).</w:t>
      </w:r>
      <w:r>
        <w:rPr>
          <w:noProof/>
        </w:rPr>
        <w:tab/>
      </w:r>
      <w:r>
        <w:rPr>
          <w:noProof/>
        </w:rPr>
        <w:fldChar w:fldCharType="begin"/>
      </w:r>
      <w:r>
        <w:rPr>
          <w:noProof/>
        </w:rPr>
        <w:instrText xml:space="preserve"> PAGEREF _Toc46846961 \h </w:instrText>
      </w:r>
      <w:r>
        <w:rPr>
          <w:noProof/>
        </w:rPr>
      </w:r>
      <w:r>
        <w:rPr>
          <w:noProof/>
        </w:rPr>
        <w:fldChar w:fldCharType="separate"/>
      </w:r>
      <w:r>
        <w:rPr>
          <w:noProof/>
        </w:rPr>
        <w:t>26</w:t>
      </w:r>
      <w:r>
        <w:rPr>
          <w:noProof/>
        </w:rPr>
        <w:fldChar w:fldCharType="end"/>
      </w:r>
    </w:p>
    <w:p w14:paraId="45FF698D"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7: Mass of refrigerant in pre-charged equipment imports of stationary AC from 2012 to 2019 (with a charge greater than 800 grams and less than or equal to 2.6 kg) by refrigerant type in tonnes.</w:t>
      </w:r>
      <w:r>
        <w:rPr>
          <w:noProof/>
        </w:rPr>
        <w:tab/>
      </w:r>
      <w:r>
        <w:rPr>
          <w:noProof/>
        </w:rPr>
        <w:fldChar w:fldCharType="begin"/>
      </w:r>
      <w:r>
        <w:rPr>
          <w:noProof/>
        </w:rPr>
        <w:instrText xml:space="preserve"> PAGEREF _Toc46846962 \h </w:instrText>
      </w:r>
      <w:r>
        <w:rPr>
          <w:noProof/>
        </w:rPr>
      </w:r>
      <w:r>
        <w:rPr>
          <w:noProof/>
        </w:rPr>
        <w:fldChar w:fldCharType="separate"/>
      </w:r>
      <w:r>
        <w:rPr>
          <w:noProof/>
        </w:rPr>
        <w:t>27</w:t>
      </w:r>
      <w:r>
        <w:rPr>
          <w:noProof/>
        </w:rPr>
        <w:fldChar w:fldCharType="end"/>
      </w:r>
    </w:p>
    <w:p w14:paraId="72811CD6"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8: Mass of refrigerant in pre-charged equipment imports of stationary AC from 2012 to 2019 (with a charge size less than 800 grams) by refrigerant type in tonnes.</w:t>
      </w:r>
      <w:r>
        <w:rPr>
          <w:noProof/>
        </w:rPr>
        <w:tab/>
      </w:r>
      <w:r>
        <w:rPr>
          <w:noProof/>
        </w:rPr>
        <w:fldChar w:fldCharType="begin"/>
      </w:r>
      <w:r>
        <w:rPr>
          <w:noProof/>
        </w:rPr>
        <w:instrText xml:space="preserve"> PAGEREF _Toc46846963 \h </w:instrText>
      </w:r>
      <w:r>
        <w:rPr>
          <w:noProof/>
        </w:rPr>
      </w:r>
      <w:r>
        <w:rPr>
          <w:noProof/>
        </w:rPr>
        <w:fldChar w:fldCharType="separate"/>
      </w:r>
      <w:r>
        <w:rPr>
          <w:noProof/>
        </w:rPr>
        <w:t>28</w:t>
      </w:r>
      <w:r>
        <w:rPr>
          <w:noProof/>
        </w:rPr>
        <w:fldChar w:fldCharType="end"/>
      </w:r>
    </w:p>
    <w:p w14:paraId="5E3C3D0B"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9</w:t>
      </w:r>
      <w:r w:rsidRPr="002E47E0">
        <w:rPr>
          <w:noProof/>
        </w:rPr>
        <w:t>: HFC Phase down steps and refrigerant usage by species from 2019 to 2030 in Mt CO</w:t>
      </w:r>
      <w:r w:rsidRPr="002E47E0">
        <w:rPr>
          <w:noProof/>
          <w:vertAlign w:val="subscript"/>
        </w:rPr>
        <w:t>2</w:t>
      </w:r>
      <w:r w:rsidRPr="002E47E0">
        <w:rPr>
          <w:noProof/>
        </w:rPr>
        <w:t>e.</w:t>
      </w:r>
      <w:r>
        <w:rPr>
          <w:noProof/>
        </w:rPr>
        <w:tab/>
      </w:r>
      <w:r>
        <w:rPr>
          <w:noProof/>
        </w:rPr>
        <w:fldChar w:fldCharType="begin"/>
      </w:r>
      <w:r>
        <w:rPr>
          <w:noProof/>
        </w:rPr>
        <w:instrText xml:space="preserve"> PAGEREF _Toc46846964 \h </w:instrText>
      </w:r>
      <w:r>
        <w:rPr>
          <w:noProof/>
        </w:rPr>
      </w:r>
      <w:r>
        <w:rPr>
          <w:noProof/>
        </w:rPr>
        <w:fldChar w:fldCharType="separate"/>
      </w:r>
      <w:r>
        <w:rPr>
          <w:noProof/>
        </w:rPr>
        <w:t>33</w:t>
      </w:r>
      <w:r>
        <w:rPr>
          <w:noProof/>
        </w:rPr>
        <w:fldChar w:fldCharType="end"/>
      </w:r>
    </w:p>
    <w:p w14:paraId="47FEC036"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Figure 10</w:t>
      </w:r>
      <w:r w:rsidRPr="002E47E0">
        <w:rPr>
          <w:noProof/>
        </w:rPr>
        <w:t>: Refrigerant bank by species from 2019 to 2030 in Mt CO</w:t>
      </w:r>
      <w:r w:rsidRPr="002E47E0">
        <w:rPr>
          <w:noProof/>
          <w:vertAlign w:val="subscript"/>
        </w:rPr>
        <w:t>2</w:t>
      </w:r>
      <w:r w:rsidRPr="002E47E0">
        <w:rPr>
          <w:noProof/>
        </w:rPr>
        <w:t>e.</w:t>
      </w:r>
      <w:r>
        <w:rPr>
          <w:noProof/>
        </w:rPr>
        <w:tab/>
      </w:r>
      <w:r>
        <w:rPr>
          <w:noProof/>
        </w:rPr>
        <w:fldChar w:fldCharType="begin"/>
      </w:r>
      <w:r>
        <w:rPr>
          <w:noProof/>
        </w:rPr>
        <w:instrText xml:space="preserve"> PAGEREF _Toc46846965 \h </w:instrText>
      </w:r>
      <w:r>
        <w:rPr>
          <w:noProof/>
        </w:rPr>
      </w:r>
      <w:r>
        <w:rPr>
          <w:noProof/>
        </w:rPr>
        <w:fldChar w:fldCharType="separate"/>
      </w:r>
      <w:r>
        <w:rPr>
          <w:noProof/>
        </w:rPr>
        <w:t>34</w:t>
      </w:r>
      <w:r>
        <w:rPr>
          <w:noProof/>
        </w:rPr>
        <w:fldChar w:fldCharType="end"/>
      </w:r>
    </w:p>
    <w:p w14:paraId="1320C311" w14:textId="77777777" w:rsidR="00626D90" w:rsidRDefault="00626D90" w:rsidP="00626D90">
      <w:pPr>
        <w:tabs>
          <w:tab w:val="left" w:pos="7513"/>
        </w:tabs>
        <w:rPr>
          <w:rFonts w:asciiTheme="majorHAnsi" w:eastAsia="Times New Roman" w:hAnsiTheme="majorHAnsi" w:cs="Times New Roman"/>
          <w:noProof/>
          <w:sz w:val="20"/>
          <w:szCs w:val="20"/>
          <w:lang w:val="en-US"/>
        </w:rPr>
      </w:pPr>
      <w:r>
        <w:rPr>
          <w:rFonts w:asciiTheme="majorHAnsi" w:eastAsia="Times New Roman" w:hAnsiTheme="majorHAnsi" w:cs="Times New Roman"/>
          <w:noProof/>
          <w:sz w:val="20"/>
          <w:szCs w:val="20"/>
          <w:lang w:val="en-US"/>
        </w:rPr>
        <w:fldChar w:fldCharType="end"/>
      </w:r>
    </w:p>
    <w:p w14:paraId="6AE828C8" w14:textId="77777777" w:rsidR="00626D90" w:rsidRDefault="00626D90" w:rsidP="00626D90">
      <w:pPr>
        <w:spacing w:before="0"/>
        <w:jc w:val="left"/>
        <w:rPr>
          <w:rFonts w:asciiTheme="majorHAnsi" w:hAnsiTheme="majorHAnsi"/>
          <w:sz w:val="36"/>
          <w:szCs w:val="36"/>
        </w:rPr>
      </w:pPr>
    </w:p>
    <w:p w14:paraId="6771770A" w14:textId="77777777" w:rsidR="00626D90" w:rsidRPr="003937A5" w:rsidRDefault="00626D90" w:rsidP="00626D90">
      <w:pPr>
        <w:tabs>
          <w:tab w:val="left" w:pos="7513"/>
        </w:tabs>
        <w:rPr>
          <w:rFonts w:asciiTheme="majorHAnsi" w:hAnsiTheme="majorHAnsi"/>
          <w:sz w:val="36"/>
          <w:szCs w:val="36"/>
        </w:rPr>
      </w:pPr>
      <w:r w:rsidRPr="003937A5">
        <w:rPr>
          <w:rFonts w:asciiTheme="majorHAnsi" w:hAnsiTheme="majorHAnsi"/>
          <w:sz w:val="36"/>
          <w:szCs w:val="36"/>
        </w:rPr>
        <w:t>List of Tables</w:t>
      </w:r>
    </w:p>
    <w:p w14:paraId="06F0BA8A"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b/>
          <w:bCs/>
          <w:noProof/>
          <w:szCs w:val="20"/>
        </w:rPr>
        <w:fldChar w:fldCharType="begin"/>
      </w:r>
      <w:r>
        <w:rPr>
          <w:b/>
          <w:bCs/>
          <w:noProof/>
          <w:szCs w:val="20"/>
        </w:rPr>
        <w:instrText xml:space="preserve"> TOC \c "Table" </w:instrText>
      </w:r>
      <w:r>
        <w:rPr>
          <w:b/>
          <w:bCs/>
          <w:noProof/>
          <w:szCs w:val="20"/>
        </w:rPr>
        <w:fldChar w:fldCharType="separate"/>
      </w:r>
      <w:r>
        <w:rPr>
          <w:noProof/>
        </w:rPr>
        <w:t>Table 1: M</w:t>
      </w:r>
      <w:r w:rsidRPr="00235A9B">
        <w:rPr>
          <w:noProof/>
          <w:lang w:val="en-GB"/>
        </w:rPr>
        <w:t>ain refrigeration and air conditioning metrics for 2019.</w:t>
      </w:r>
      <w:r>
        <w:rPr>
          <w:noProof/>
        </w:rPr>
        <w:tab/>
      </w:r>
      <w:r>
        <w:rPr>
          <w:noProof/>
        </w:rPr>
        <w:fldChar w:fldCharType="begin"/>
      </w:r>
      <w:r>
        <w:rPr>
          <w:noProof/>
        </w:rPr>
        <w:instrText xml:space="preserve"> PAGEREF _Toc49756557 \h </w:instrText>
      </w:r>
      <w:r>
        <w:rPr>
          <w:noProof/>
        </w:rPr>
      </w:r>
      <w:r>
        <w:rPr>
          <w:noProof/>
        </w:rPr>
        <w:fldChar w:fldCharType="separate"/>
      </w:r>
      <w:r>
        <w:rPr>
          <w:noProof/>
        </w:rPr>
        <w:t>8</w:t>
      </w:r>
      <w:r>
        <w:rPr>
          <w:noProof/>
        </w:rPr>
        <w:fldChar w:fldCharType="end"/>
      </w:r>
    </w:p>
    <w:p w14:paraId="5C30F5EE"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sidRPr="00235A9B">
        <w:rPr>
          <w:i/>
          <w:iCs/>
          <w:noProof/>
        </w:rPr>
        <w:t>Table 2: Main refrigeration and air conditioning metrics for 2016.</w:t>
      </w:r>
      <w:r>
        <w:rPr>
          <w:noProof/>
        </w:rPr>
        <w:tab/>
      </w:r>
      <w:r>
        <w:rPr>
          <w:noProof/>
        </w:rPr>
        <w:fldChar w:fldCharType="begin"/>
      </w:r>
      <w:r>
        <w:rPr>
          <w:noProof/>
        </w:rPr>
        <w:instrText xml:space="preserve"> PAGEREF _Toc49756558 \h </w:instrText>
      </w:r>
      <w:r>
        <w:rPr>
          <w:noProof/>
        </w:rPr>
      </w:r>
      <w:r>
        <w:rPr>
          <w:noProof/>
        </w:rPr>
        <w:fldChar w:fldCharType="separate"/>
      </w:r>
      <w:r>
        <w:rPr>
          <w:noProof/>
        </w:rPr>
        <w:t>9</w:t>
      </w:r>
      <w:r>
        <w:rPr>
          <w:noProof/>
        </w:rPr>
        <w:fldChar w:fldCharType="end"/>
      </w:r>
    </w:p>
    <w:p w14:paraId="5D579555"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sidRPr="00235A9B">
        <w:rPr>
          <w:i/>
          <w:iCs/>
          <w:noProof/>
        </w:rPr>
        <w:t>Table 3: Refrigerant bank 2006, 2012, 2016, 2018 and 2019 by mass in tonnes and share in percent.</w:t>
      </w:r>
      <w:r>
        <w:rPr>
          <w:noProof/>
        </w:rPr>
        <w:tab/>
      </w:r>
      <w:r>
        <w:rPr>
          <w:noProof/>
        </w:rPr>
        <w:fldChar w:fldCharType="begin"/>
      </w:r>
      <w:r>
        <w:rPr>
          <w:noProof/>
        </w:rPr>
        <w:instrText xml:space="preserve"> PAGEREF _Toc49756559 \h </w:instrText>
      </w:r>
      <w:r>
        <w:rPr>
          <w:noProof/>
        </w:rPr>
      </w:r>
      <w:r>
        <w:rPr>
          <w:noProof/>
        </w:rPr>
        <w:fldChar w:fldCharType="separate"/>
      </w:r>
      <w:r>
        <w:rPr>
          <w:noProof/>
        </w:rPr>
        <w:t>21</w:t>
      </w:r>
      <w:r>
        <w:rPr>
          <w:noProof/>
        </w:rPr>
        <w:fldChar w:fldCharType="end"/>
      </w:r>
    </w:p>
    <w:p w14:paraId="0408D0F9"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Table 4: Bulk imports of HCFCs and HFCs in tonnes.</w:t>
      </w:r>
      <w:r>
        <w:rPr>
          <w:noProof/>
        </w:rPr>
        <w:tab/>
      </w:r>
      <w:r>
        <w:rPr>
          <w:noProof/>
        </w:rPr>
        <w:fldChar w:fldCharType="begin"/>
      </w:r>
      <w:r>
        <w:rPr>
          <w:noProof/>
        </w:rPr>
        <w:instrText xml:space="preserve"> PAGEREF _Toc49756560 \h </w:instrText>
      </w:r>
      <w:r>
        <w:rPr>
          <w:noProof/>
        </w:rPr>
      </w:r>
      <w:r>
        <w:rPr>
          <w:noProof/>
        </w:rPr>
        <w:fldChar w:fldCharType="separate"/>
      </w:r>
      <w:r>
        <w:rPr>
          <w:noProof/>
        </w:rPr>
        <w:t>30</w:t>
      </w:r>
      <w:r>
        <w:rPr>
          <w:noProof/>
        </w:rPr>
        <w:fldChar w:fldCharType="end"/>
      </w:r>
    </w:p>
    <w:p w14:paraId="614593EE"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Pr>
          <w:noProof/>
        </w:rPr>
        <w:t>Table 5: HCFC and HFC refrigerant usage in tonnes.</w:t>
      </w:r>
      <w:r>
        <w:rPr>
          <w:noProof/>
        </w:rPr>
        <w:tab/>
      </w:r>
      <w:r>
        <w:rPr>
          <w:noProof/>
        </w:rPr>
        <w:fldChar w:fldCharType="begin"/>
      </w:r>
      <w:r>
        <w:rPr>
          <w:noProof/>
        </w:rPr>
        <w:instrText xml:space="preserve"> PAGEREF _Toc49756561 \h </w:instrText>
      </w:r>
      <w:r>
        <w:rPr>
          <w:noProof/>
        </w:rPr>
      </w:r>
      <w:r>
        <w:rPr>
          <w:noProof/>
        </w:rPr>
        <w:fldChar w:fldCharType="separate"/>
      </w:r>
      <w:r>
        <w:rPr>
          <w:noProof/>
        </w:rPr>
        <w:t>32</w:t>
      </w:r>
      <w:r>
        <w:rPr>
          <w:noProof/>
        </w:rPr>
        <w:fldChar w:fldCharType="end"/>
      </w:r>
    </w:p>
    <w:p w14:paraId="4549097F" w14:textId="77777777" w:rsidR="00626D90" w:rsidRDefault="00626D90" w:rsidP="00626D90">
      <w:pPr>
        <w:pStyle w:val="TableofFigures"/>
        <w:tabs>
          <w:tab w:val="right" w:leader="dot" w:pos="9487"/>
        </w:tabs>
        <w:rPr>
          <w:rFonts w:asciiTheme="minorHAnsi" w:eastAsiaTheme="minorEastAsia" w:hAnsiTheme="minorHAnsi" w:cstheme="minorBidi"/>
          <w:noProof/>
          <w:sz w:val="24"/>
          <w:lang w:val="en-AU" w:eastAsia="en-GB"/>
        </w:rPr>
      </w:pPr>
      <w:r w:rsidRPr="00235A9B">
        <w:rPr>
          <w:i/>
          <w:iCs/>
          <w:noProof/>
        </w:rPr>
        <w:t xml:space="preserve">Table 6: </w:t>
      </w:r>
      <w:r w:rsidRPr="00235A9B">
        <w:rPr>
          <w:i/>
          <w:iCs/>
          <w:noProof/>
          <w:lang w:val="en-AU"/>
        </w:rPr>
        <w:t>Volumes of ammonia and hydrocarbon sold by calendar year (tonnes) based on supplier survey.</w:t>
      </w:r>
      <w:r>
        <w:rPr>
          <w:noProof/>
        </w:rPr>
        <w:tab/>
      </w:r>
      <w:r>
        <w:rPr>
          <w:noProof/>
        </w:rPr>
        <w:fldChar w:fldCharType="begin"/>
      </w:r>
      <w:r>
        <w:rPr>
          <w:noProof/>
        </w:rPr>
        <w:instrText xml:space="preserve"> PAGEREF _Toc49756562 \h </w:instrText>
      </w:r>
      <w:r>
        <w:rPr>
          <w:noProof/>
        </w:rPr>
      </w:r>
      <w:r>
        <w:rPr>
          <w:noProof/>
        </w:rPr>
        <w:fldChar w:fldCharType="separate"/>
      </w:r>
      <w:r>
        <w:rPr>
          <w:noProof/>
        </w:rPr>
        <w:t>34</w:t>
      </w:r>
      <w:r>
        <w:rPr>
          <w:noProof/>
        </w:rPr>
        <w:fldChar w:fldCharType="end"/>
      </w:r>
    </w:p>
    <w:p w14:paraId="1DFE2687" w14:textId="77777777" w:rsidR="00626D90" w:rsidRDefault="00626D90" w:rsidP="00626D90">
      <w:pPr>
        <w:tabs>
          <w:tab w:val="left" w:pos="7513"/>
        </w:tabs>
        <w:rPr>
          <w:rFonts w:ascii="Verdana" w:hAnsi="Verdana"/>
          <w:color w:val="548DD4"/>
          <w:szCs w:val="20"/>
        </w:rPr>
      </w:pPr>
      <w:r>
        <w:rPr>
          <w:rFonts w:asciiTheme="majorHAnsi" w:eastAsia="Times New Roman" w:hAnsiTheme="majorHAnsi" w:cs="Times New Roman"/>
          <w:b/>
          <w:bCs/>
          <w:noProof/>
          <w:sz w:val="20"/>
          <w:szCs w:val="20"/>
          <w:lang w:val="en-US"/>
        </w:rPr>
        <w:fldChar w:fldCharType="end"/>
      </w:r>
      <w:r w:rsidRPr="000006BF">
        <w:rPr>
          <w:rFonts w:ascii="Verdana" w:hAnsi="Verdana"/>
          <w:color w:val="548DD4"/>
          <w:szCs w:val="20"/>
        </w:rPr>
        <w:br w:type="page"/>
      </w:r>
    </w:p>
    <w:p w14:paraId="3A18D745" w14:textId="77777777" w:rsidR="00626D90" w:rsidRPr="003937A5" w:rsidRDefault="00626D90" w:rsidP="00626D90">
      <w:pPr>
        <w:tabs>
          <w:tab w:val="left" w:pos="7513"/>
        </w:tabs>
        <w:spacing w:before="0"/>
        <w:rPr>
          <w:rFonts w:asciiTheme="majorHAnsi" w:hAnsiTheme="majorHAnsi"/>
          <w:sz w:val="20"/>
          <w:szCs w:val="20"/>
        </w:rPr>
      </w:pPr>
      <w:r w:rsidRPr="003937A5">
        <w:rPr>
          <w:rFonts w:asciiTheme="majorHAnsi" w:hAnsiTheme="majorHAnsi"/>
          <w:sz w:val="20"/>
          <w:szCs w:val="20"/>
        </w:rPr>
        <w:lastRenderedPageBreak/>
        <w:t xml:space="preserve">This paper has been prepared for the Australian Government Department of </w:t>
      </w:r>
      <w:r>
        <w:rPr>
          <w:rFonts w:asciiTheme="majorHAnsi" w:hAnsiTheme="majorHAnsi"/>
          <w:sz w:val="20"/>
          <w:szCs w:val="20"/>
        </w:rPr>
        <w:t>Agriculture, Water and the Environment,</w:t>
      </w:r>
      <w:r w:rsidRPr="003937A5">
        <w:rPr>
          <w:rFonts w:asciiTheme="majorHAnsi" w:hAnsiTheme="majorHAnsi"/>
          <w:sz w:val="20"/>
          <w:szCs w:val="20"/>
        </w:rPr>
        <w:t xml:space="preserve"> </w:t>
      </w:r>
    </w:p>
    <w:p w14:paraId="66073DD1" w14:textId="77777777" w:rsidR="00626D90" w:rsidRPr="003937A5" w:rsidRDefault="00626D90" w:rsidP="00626D90">
      <w:pPr>
        <w:spacing w:before="0"/>
        <w:rPr>
          <w:rFonts w:asciiTheme="majorHAnsi" w:hAnsiTheme="majorHAnsi"/>
          <w:sz w:val="20"/>
          <w:szCs w:val="20"/>
        </w:rPr>
      </w:pPr>
      <w:r w:rsidRPr="003937A5">
        <w:rPr>
          <w:rFonts w:asciiTheme="majorHAnsi" w:hAnsiTheme="majorHAnsi"/>
          <w:sz w:val="20"/>
          <w:szCs w:val="20"/>
        </w:rPr>
        <w:t xml:space="preserve">Prepared by Peter Brodribb of the Expert Group (A.C.N. </w:t>
      </w:r>
      <w:r>
        <w:rPr>
          <w:rFonts w:asciiTheme="majorHAnsi" w:hAnsiTheme="majorHAnsi"/>
          <w:sz w:val="20"/>
          <w:szCs w:val="20"/>
        </w:rPr>
        <w:t>122 581 159) and</w:t>
      </w:r>
      <w:r w:rsidRPr="003937A5">
        <w:rPr>
          <w:rFonts w:asciiTheme="majorHAnsi" w:hAnsiTheme="majorHAnsi"/>
          <w:sz w:val="20"/>
          <w:szCs w:val="20"/>
        </w:rPr>
        <w:t xml:space="preserve"> Michael McCann of </w:t>
      </w:r>
      <w:proofErr w:type="spellStart"/>
      <w:r w:rsidRPr="003937A5">
        <w:rPr>
          <w:rFonts w:asciiTheme="majorHAnsi" w:hAnsiTheme="majorHAnsi"/>
          <w:sz w:val="20"/>
          <w:szCs w:val="20"/>
        </w:rPr>
        <w:t>Thinkwell</w:t>
      </w:r>
      <w:proofErr w:type="spellEnd"/>
      <w:r w:rsidRPr="003937A5">
        <w:rPr>
          <w:rFonts w:asciiTheme="majorHAnsi" w:hAnsiTheme="majorHAnsi"/>
          <w:sz w:val="20"/>
          <w:szCs w:val="20"/>
        </w:rPr>
        <w:t xml:space="preserve"> Australia Pty Ltd (A.C.N. 113 454 112)</w:t>
      </w:r>
      <w:r>
        <w:rPr>
          <w:rFonts w:asciiTheme="majorHAnsi" w:hAnsiTheme="majorHAnsi"/>
          <w:sz w:val="20"/>
          <w:szCs w:val="20"/>
        </w:rPr>
        <w:t>.</w:t>
      </w:r>
    </w:p>
    <w:p w14:paraId="3EDB6D44" w14:textId="77777777" w:rsidR="00626D90" w:rsidRDefault="00626D90" w:rsidP="00626D90">
      <w:pPr>
        <w:spacing w:before="0"/>
        <w:rPr>
          <w:rFonts w:asciiTheme="majorHAnsi" w:hAnsiTheme="majorHAnsi"/>
          <w:sz w:val="20"/>
          <w:szCs w:val="20"/>
        </w:rPr>
      </w:pPr>
      <w:r>
        <w:rPr>
          <w:rFonts w:asciiTheme="majorHAnsi" w:hAnsiTheme="majorHAnsi"/>
          <w:sz w:val="20"/>
          <w:szCs w:val="20"/>
        </w:rPr>
        <w:t>Suite 9, Level 1, 214 Bay Street, Brighton, Victoria 3186</w:t>
      </w:r>
    </w:p>
    <w:p w14:paraId="02FBAA97" w14:textId="77777777" w:rsidR="00626D90" w:rsidRPr="003937A5" w:rsidRDefault="00626D90" w:rsidP="00626D90">
      <w:pPr>
        <w:spacing w:before="0"/>
        <w:rPr>
          <w:rFonts w:asciiTheme="majorHAnsi" w:hAnsiTheme="majorHAnsi"/>
          <w:sz w:val="20"/>
          <w:szCs w:val="20"/>
        </w:rPr>
      </w:pPr>
      <w:r w:rsidRPr="003937A5">
        <w:rPr>
          <w:rFonts w:asciiTheme="majorHAnsi" w:hAnsiTheme="majorHAnsi"/>
          <w:sz w:val="20"/>
          <w:szCs w:val="20"/>
        </w:rPr>
        <w:t xml:space="preserve">Ph: +61 3 9592 9111 </w:t>
      </w:r>
    </w:p>
    <w:p w14:paraId="0BCC1104" w14:textId="77777777" w:rsidR="00626D90" w:rsidRPr="003937A5" w:rsidRDefault="00626D90" w:rsidP="00626D90">
      <w:pPr>
        <w:spacing w:before="0"/>
        <w:rPr>
          <w:rFonts w:asciiTheme="majorHAnsi" w:hAnsiTheme="majorHAnsi"/>
          <w:sz w:val="20"/>
          <w:szCs w:val="20"/>
        </w:rPr>
      </w:pPr>
      <w:r w:rsidRPr="003937A5">
        <w:rPr>
          <w:rFonts w:asciiTheme="majorHAnsi" w:hAnsiTheme="majorHAnsi"/>
          <w:sz w:val="20"/>
          <w:szCs w:val="20"/>
        </w:rPr>
        <w:t xml:space="preserve">Email: inquiries@expertgroup.com.au </w:t>
      </w:r>
    </w:p>
    <w:p w14:paraId="2EB575BD" w14:textId="77777777" w:rsidR="00626D90" w:rsidRPr="003937A5" w:rsidRDefault="00626D90" w:rsidP="00626D90">
      <w:pPr>
        <w:spacing w:before="0"/>
        <w:rPr>
          <w:rFonts w:asciiTheme="majorHAnsi" w:hAnsiTheme="majorHAnsi"/>
          <w:sz w:val="20"/>
          <w:szCs w:val="20"/>
        </w:rPr>
      </w:pPr>
      <w:r w:rsidRPr="003937A5">
        <w:rPr>
          <w:rFonts w:asciiTheme="majorHAnsi" w:hAnsiTheme="majorHAnsi"/>
          <w:sz w:val="20"/>
          <w:szCs w:val="20"/>
        </w:rPr>
        <w:t>Web address: www.expertgroup.com.au</w:t>
      </w:r>
    </w:p>
    <w:p w14:paraId="02728F5F" w14:textId="77777777" w:rsidR="00626D90" w:rsidRPr="003937A5" w:rsidRDefault="00626D90" w:rsidP="00626D90">
      <w:pPr>
        <w:rPr>
          <w:rFonts w:asciiTheme="majorHAnsi" w:hAnsiTheme="majorHAnsi"/>
          <w:sz w:val="20"/>
          <w:szCs w:val="20"/>
        </w:rPr>
      </w:pPr>
    </w:p>
    <w:p w14:paraId="7FF2F12F" w14:textId="77777777" w:rsidR="00626D90" w:rsidRPr="003937A5" w:rsidRDefault="00626D90" w:rsidP="00626D90">
      <w:pPr>
        <w:rPr>
          <w:rFonts w:asciiTheme="majorHAnsi" w:hAnsiTheme="majorHAnsi"/>
          <w:b/>
          <w:sz w:val="20"/>
          <w:szCs w:val="20"/>
        </w:rPr>
      </w:pPr>
      <w:r w:rsidRPr="003937A5">
        <w:rPr>
          <w:rFonts w:asciiTheme="majorHAnsi" w:hAnsiTheme="majorHAnsi"/>
          <w:b/>
          <w:sz w:val="20"/>
          <w:szCs w:val="20"/>
        </w:rPr>
        <w:t>Disclaimer</w:t>
      </w:r>
    </w:p>
    <w:p w14:paraId="261B8D14" w14:textId="77777777" w:rsidR="00626D90" w:rsidRPr="00B46E11" w:rsidRDefault="00626D90" w:rsidP="00626D90">
      <w:pPr>
        <w:pStyle w:val="NormalWeb"/>
        <w:shd w:val="clear" w:color="auto" w:fill="FFFFFF"/>
        <w:spacing w:before="120" w:beforeAutospacing="0" w:after="0" w:afterAutospacing="0"/>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 xml:space="preserve">The views and opinions expressed in this publication are </w:t>
      </w:r>
      <w:r w:rsidRPr="009711E5">
        <w:rPr>
          <w:rFonts w:asciiTheme="majorHAnsi" w:eastAsiaTheme="minorEastAsia" w:hAnsiTheme="majorHAnsi" w:cstheme="minorBidi"/>
          <w:color w:val="000000" w:themeColor="text1"/>
          <w:sz w:val="20"/>
          <w:szCs w:val="20"/>
          <w:lang w:val="en-GB"/>
        </w:rPr>
        <w:t>those of the authors and do not necessarily reflect those of the Australian Government or the Department of Agriculture, Water and the Environment.</w:t>
      </w:r>
    </w:p>
    <w:p w14:paraId="0A0007EB" w14:textId="77777777" w:rsidR="00626D90" w:rsidRDefault="00626D90" w:rsidP="00626D90">
      <w:pPr>
        <w:pStyle w:val="NormalWeb"/>
        <w:shd w:val="clear" w:color="auto" w:fill="FFFFFF"/>
        <w:spacing w:before="120" w:beforeAutospacing="0" w:after="0" w:afterAutospacing="0"/>
        <w:jc w:val="both"/>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 xml:space="preserve">While </w:t>
      </w:r>
      <w:r w:rsidRPr="00E950AB">
        <w:rPr>
          <w:rFonts w:asciiTheme="majorHAnsi" w:eastAsiaTheme="minorEastAsia" w:hAnsiTheme="majorHAnsi" w:cstheme="minorBidi"/>
          <w:color w:val="000000" w:themeColor="text1"/>
          <w:sz w:val="20"/>
          <w:szCs w:val="20"/>
          <w:lang w:val="en-GB"/>
        </w:rPr>
        <w:t xml:space="preserve">due care and skill </w:t>
      </w:r>
      <w:r>
        <w:rPr>
          <w:rFonts w:asciiTheme="majorHAnsi" w:eastAsiaTheme="minorEastAsia" w:hAnsiTheme="majorHAnsi" w:cstheme="minorBidi"/>
          <w:color w:val="000000" w:themeColor="text1"/>
          <w:sz w:val="20"/>
          <w:szCs w:val="20"/>
          <w:lang w:val="en-GB"/>
        </w:rPr>
        <w:t xml:space="preserve">have been exercised </w:t>
      </w:r>
      <w:r w:rsidRPr="00E950AB">
        <w:rPr>
          <w:rFonts w:asciiTheme="majorHAnsi" w:eastAsiaTheme="minorEastAsia" w:hAnsiTheme="majorHAnsi" w:cstheme="minorBidi"/>
          <w:color w:val="000000" w:themeColor="text1"/>
          <w:sz w:val="20"/>
          <w:szCs w:val="20"/>
          <w:lang w:val="en-GB"/>
        </w:rPr>
        <w:t xml:space="preserve">in preparing and compiling the information and data in this publication, the </w:t>
      </w:r>
      <w:r>
        <w:rPr>
          <w:rFonts w:asciiTheme="majorHAnsi" w:eastAsiaTheme="minorEastAsia" w:hAnsiTheme="majorHAnsi" w:cstheme="minorBidi"/>
          <w:color w:val="000000" w:themeColor="text1"/>
          <w:sz w:val="20"/>
          <w:szCs w:val="20"/>
          <w:lang w:val="en-GB"/>
        </w:rPr>
        <w:t xml:space="preserve">authors and the </w:t>
      </w:r>
      <w:r w:rsidRPr="00E950AB">
        <w:rPr>
          <w:rFonts w:asciiTheme="majorHAnsi" w:eastAsiaTheme="minorEastAsia" w:hAnsiTheme="majorHAnsi" w:cstheme="minorBidi"/>
          <w:color w:val="000000" w:themeColor="text1"/>
          <w:sz w:val="20"/>
          <w:szCs w:val="20"/>
          <w:lang w:val="en-GB"/>
        </w:rPr>
        <w:t>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w:t>
      </w:r>
      <w:r>
        <w:rPr>
          <w:rFonts w:asciiTheme="majorHAnsi" w:eastAsiaTheme="minorEastAsia" w:hAnsiTheme="majorHAnsi" w:cstheme="minorBidi"/>
          <w:color w:val="000000" w:themeColor="text1"/>
          <w:sz w:val="20"/>
          <w:szCs w:val="20"/>
          <w:lang w:val="en-GB"/>
        </w:rPr>
        <w:t>,</w:t>
      </w:r>
      <w:r w:rsidRPr="00E950AB">
        <w:rPr>
          <w:rFonts w:asciiTheme="majorHAnsi" w:eastAsiaTheme="minorEastAsia" w:hAnsiTheme="majorHAnsi" w:cstheme="minorBidi"/>
          <w:color w:val="000000" w:themeColor="text1"/>
          <w:sz w:val="20"/>
          <w:szCs w:val="20"/>
          <w:lang w:val="en-GB"/>
        </w:rPr>
        <w:t xml:space="preserve"> to the maximum extent permitted by law.</w:t>
      </w:r>
    </w:p>
    <w:p w14:paraId="3E3C7912" w14:textId="77777777" w:rsidR="00626D90" w:rsidRPr="00B46E11" w:rsidRDefault="00626D90" w:rsidP="00626D90">
      <w:pPr>
        <w:pStyle w:val="NormalWeb"/>
        <w:shd w:val="clear" w:color="auto" w:fill="FFFFFF"/>
        <w:spacing w:before="120" w:beforeAutospacing="0" w:after="0" w:afterAutospacing="0"/>
        <w:jc w:val="both"/>
        <w:textAlignment w:val="top"/>
        <w:rPr>
          <w:rFonts w:asciiTheme="majorHAnsi" w:eastAsiaTheme="minorEastAsia" w:hAnsiTheme="majorHAnsi" w:cstheme="minorBidi"/>
          <w:color w:val="000000" w:themeColor="text1"/>
          <w:sz w:val="20"/>
          <w:szCs w:val="20"/>
          <w:lang w:val="en-GB"/>
        </w:rPr>
      </w:pPr>
    </w:p>
    <w:p w14:paraId="30FD71F2" w14:textId="7395CCB9" w:rsidR="00626D90" w:rsidRDefault="00626D90" w:rsidP="00626D90">
      <w:pPr>
        <w:rPr>
          <w:rFonts w:asciiTheme="majorHAnsi" w:hAnsiTheme="majorHAnsi"/>
          <w:sz w:val="20"/>
          <w:szCs w:val="20"/>
        </w:rPr>
      </w:pPr>
      <w:r>
        <w:rPr>
          <w:rFonts w:asciiTheme="majorHAnsi" w:hAnsiTheme="majorHAnsi"/>
          <w:sz w:val="20"/>
          <w:szCs w:val="20"/>
        </w:rPr>
        <w:t>ISBN</w:t>
      </w:r>
      <w:r w:rsidRPr="007249E8">
        <w:rPr>
          <w:rFonts w:asciiTheme="majorHAnsi" w:hAnsiTheme="majorHAnsi"/>
          <w:sz w:val="20"/>
          <w:szCs w:val="20"/>
        </w:rPr>
        <w:t xml:space="preserve">: </w:t>
      </w:r>
      <w:r w:rsidR="002C2340" w:rsidRPr="002C2340">
        <w:rPr>
          <w:rFonts w:asciiTheme="majorHAnsi" w:hAnsiTheme="majorHAnsi"/>
          <w:sz w:val="20"/>
          <w:szCs w:val="20"/>
        </w:rPr>
        <w:t>978-1-76003-379-8</w:t>
      </w:r>
    </w:p>
    <w:p w14:paraId="0609128E" w14:textId="77777777" w:rsidR="00626D90" w:rsidRDefault="00626D90" w:rsidP="00626D90">
      <w:pPr>
        <w:rPr>
          <w:rFonts w:asciiTheme="majorHAnsi" w:hAnsiTheme="majorHAnsi"/>
          <w:sz w:val="20"/>
          <w:szCs w:val="20"/>
        </w:rPr>
      </w:pPr>
      <w:r w:rsidRPr="003937A5">
        <w:rPr>
          <w:rFonts w:asciiTheme="majorHAnsi" w:hAnsiTheme="majorHAnsi"/>
          <w:sz w:val="20"/>
          <w:szCs w:val="20"/>
        </w:rPr>
        <w:t>For bibliographic purposes this report may be cited as:</w:t>
      </w:r>
      <w:r>
        <w:rPr>
          <w:rFonts w:asciiTheme="majorHAnsi" w:hAnsiTheme="majorHAnsi"/>
          <w:sz w:val="20"/>
          <w:szCs w:val="20"/>
        </w:rPr>
        <w:t xml:space="preserve"> Cold Hard Facts 2020, </w:t>
      </w:r>
      <w:r w:rsidRPr="003937A5">
        <w:rPr>
          <w:rFonts w:asciiTheme="majorHAnsi" w:hAnsiTheme="majorHAnsi"/>
          <w:sz w:val="20"/>
          <w:szCs w:val="20"/>
        </w:rPr>
        <w:t xml:space="preserve">Peter Brodribb and Michael McCann </w:t>
      </w:r>
      <w:r>
        <w:rPr>
          <w:rFonts w:asciiTheme="majorHAnsi" w:hAnsiTheme="majorHAnsi"/>
          <w:sz w:val="20"/>
          <w:szCs w:val="20"/>
        </w:rPr>
        <w:t>2020</w:t>
      </w:r>
      <w:r w:rsidRPr="003937A5">
        <w:rPr>
          <w:rFonts w:asciiTheme="majorHAnsi" w:hAnsiTheme="majorHAnsi"/>
          <w:sz w:val="20"/>
          <w:szCs w:val="20"/>
        </w:rPr>
        <w:t>, Canberra.</w:t>
      </w:r>
    </w:p>
    <w:p w14:paraId="2519898F" w14:textId="77777777" w:rsidR="00626D90" w:rsidRPr="003937A5" w:rsidRDefault="00626D90" w:rsidP="00626D90">
      <w:pPr>
        <w:rPr>
          <w:rFonts w:asciiTheme="majorHAnsi" w:hAnsiTheme="majorHAnsi"/>
          <w:sz w:val="20"/>
          <w:szCs w:val="20"/>
        </w:rPr>
      </w:pPr>
    </w:p>
    <w:p w14:paraId="5FBF00B9" w14:textId="77777777" w:rsidR="00626D90" w:rsidRDefault="00626D90" w:rsidP="00626D90">
      <w:pPr>
        <w:rPr>
          <w:rFonts w:asciiTheme="majorHAnsi" w:hAnsiTheme="majorHAnsi"/>
          <w:sz w:val="20"/>
          <w:szCs w:val="20"/>
        </w:rPr>
      </w:pPr>
      <w:r>
        <w:rPr>
          <w:rFonts w:asciiTheme="majorHAnsi" w:hAnsiTheme="majorHAnsi"/>
          <w:sz w:val="20"/>
          <w:szCs w:val="20"/>
        </w:rPr>
        <w:t>© Commonwealth of Australia 2020</w:t>
      </w:r>
    </w:p>
    <w:p w14:paraId="3D8BA7E0" w14:textId="77777777" w:rsidR="00626D90" w:rsidRDefault="00626D90" w:rsidP="00626D90">
      <w:pPr>
        <w:rPr>
          <w:rFonts w:asciiTheme="majorHAnsi" w:hAnsiTheme="majorHAnsi"/>
          <w:sz w:val="20"/>
          <w:szCs w:val="20"/>
        </w:rPr>
      </w:pPr>
      <w:r>
        <w:rPr>
          <w:rFonts w:asciiTheme="majorHAnsi" w:hAnsiTheme="majorHAnsi"/>
          <w:sz w:val="20"/>
          <w:szCs w:val="20"/>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Agriculture, Water and the Environment, Public Affairs, GPO Box 787 Canberra ACT 2601 or email copyright@awe.gov.au.</w:t>
      </w:r>
    </w:p>
    <w:p w14:paraId="31B42114" w14:textId="77777777" w:rsidR="00626D90" w:rsidRPr="003937A5" w:rsidRDefault="00626D90" w:rsidP="00626D90">
      <w:pPr>
        <w:spacing w:before="0"/>
        <w:rPr>
          <w:rFonts w:asciiTheme="majorHAnsi" w:hAnsiTheme="majorHAnsi"/>
          <w:sz w:val="20"/>
          <w:szCs w:val="20"/>
        </w:rPr>
      </w:pPr>
    </w:p>
    <w:p w14:paraId="6665DAE6" w14:textId="77777777" w:rsidR="00626D90" w:rsidRDefault="00626D90" w:rsidP="00626D90">
      <w:pPr>
        <w:spacing w:before="0"/>
      </w:pPr>
    </w:p>
    <w:p w14:paraId="6C8B9334" w14:textId="77777777" w:rsidR="00626D90" w:rsidRDefault="00626D90" w:rsidP="00626D90">
      <w:pPr>
        <w:spacing w:before="0"/>
      </w:pPr>
      <w:r>
        <w:br w:type="page"/>
      </w:r>
    </w:p>
    <w:p w14:paraId="419B1013" w14:textId="77777777" w:rsidR="00626D90" w:rsidRPr="00034FD9" w:rsidRDefault="00626D90" w:rsidP="00626D90">
      <w:pPr>
        <w:pStyle w:val="Heading1"/>
        <w:jc w:val="both"/>
      </w:pPr>
      <w:bookmarkStart w:id="0" w:name="_Toc46923712"/>
      <w:r>
        <w:lastRenderedPageBreak/>
        <w:t>Executive summary</w:t>
      </w:r>
      <w:bookmarkEnd w:id="0"/>
    </w:p>
    <w:p w14:paraId="74C48F2D" w14:textId="77777777" w:rsidR="00626D90" w:rsidRDefault="00626D90" w:rsidP="00626D90">
      <w:pPr>
        <w:rPr>
          <w:rFonts w:cs="Times New Roman"/>
          <w:szCs w:val="22"/>
        </w:rPr>
      </w:pPr>
      <w:r w:rsidRPr="00E67842">
        <w:rPr>
          <w:rFonts w:cs="Times New Roman"/>
          <w:szCs w:val="22"/>
        </w:rPr>
        <w:t xml:space="preserve">A significant slowing is evident in the rate of growth of the regulated bank of refrigerants in Australia, in terms of the metric tonnes of refrigerant employed, from 4.3% compound annual growth exhibited in the period 2006 to 2016 to just 1.8% in the </w:t>
      </w:r>
      <w:r>
        <w:rPr>
          <w:rFonts w:cs="Times New Roman"/>
          <w:szCs w:val="22"/>
        </w:rPr>
        <w:t>three</w:t>
      </w:r>
      <w:r w:rsidRPr="00E67842">
        <w:rPr>
          <w:rFonts w:cs="Times New Roman"/>
          <w:szCs w:val="22"/>
        </w:rPr>
        <w:t xml:space="preserve"> years 2016 to 2019.</w:t>
      </w:r>
      <w:r>
        <w:rPr>
          <w:rFonts w:cs="Times New Roman"/>
          <w:szCs w:val="22"/>
        </w:rPr>
        <w:t xml:space="preserve"> </w:t>
      </w:r>
    </w:p>
    <w:p w14:paraId="33B5AF3A" w14:textId="77777777" w:rsidR="00626D90" w:rsidRPr="00F41C65" w:rsidRDefault="00626D90" w:rsidP="00626D90">
      <w:pPr>
        <w:rPr>
          <w:rFonts w:cs="Times New Roman"/>
          <w:szCs w:val="22"/>
        </w:rPr>
      </w:pPr>
      <w:r>
        <w:rPr>
          <w:rFonts w:cs="Times New Roman"/>
          <w:szCs w:val="22"/>
        </w:rPr>
        <w:t xml:space="preserve">This slowing in the rate of growth of the bank, combined with increased use of lower global warming potential (GWP) refrigerants, suggests that the GWP value of the Australian bank of refrigerants may have reached its peak in 2019-20, and with current modelling is expected to decline in the years ahead as the combination of several trends in the refrigeration and air conditioning (RAC) industry accelerate a reduction in the average GWP of the bank. </w:t>
      </w:r>
    </w:p>
    <w:p w14:paraId="5C1023E7" w14:textId="77777777" w:rsidR="00626D90" w:rsidRDefault="00626D90" w:rsidP="00626D90">
      <w:pPr>
        <w:rPr>
          <w:rFonts w:cs="Times New Roman"/>
          <w:szCs w:val="22"/>
        </w:rPr>
      </w:pPr>
      <w:r w:rsidRPr="00F41C65">
        <w:rPr>
          <w:rFonts w:cs="Times New Roman"/>
          <w:szCs w:val="22"/>
        </w:rPr>
        <w:t xml:space="preserve">Slower growth in the </w:t>
      </w:r>
      <w:r>
        <w:rPr>
          <w:rFonts w:cs="Times New Roman"/>
          <w:szCs w:val="22"/>
        </w:rPr>
        <w:t xml:space="preserve">metric tonnes of refrigerant in the </w:t>
      </w:r>
      <w:r w:rsidRPr="00F41C65">
        <w:rPr>
          <w:rFonts w:cs="Times New Roman"/>
          <w:szCs w:val="22"/>
        </w:rPr>
        <w:t xml:space="preserve">bank </w:t>
      </w:r>
      <w:r>
        <w:rPr>
          <w:rFonts w:cs="Times New Roman"/>
          <w:szCs w:val="22"/>
        </w:rPr>
        <w:t xml:space="preserve">has been </w:t>
      </w:r>
      <w:r w:rsidRPr="00F41C65">
        <w:rPr>
          <w:rFonts w:cs="Times New Roman"/>
          <w:szCs w:val="22"/>
        </w:rPr>
        <w:t xml:space="preserve">driven by </w:t>
      </w:r>
      <w:r>
        <w:rPr>
          <w:rFonts w:cs="Times New Roman"/>
          <w:szCs w:val="22"/>
        </w:rPr>
        <w:t xml:space="preserve">a softening of RAC equipment </w:t>
      </w:r>
      <w:r w:rsidRPr="00F41C65">
        <w:rPr>
          <w:rFonts w:cs="Times New Roman"/>
          <w:szCs w:val="22"/>
        </w:rPr>
        <w:t xml:space="preserve">sales in </w:t>
      </w:r>
      <w:r>
        <w:rPr>
          <w:rFonts w:cs="Times New Roman"/>
          <w:szCs w:val="22"/>
        </w:rPr>
        <w:t xml:space="preserve">2018 and </w:t>
      </w:r>
      <w:r w:rsidRPr="00F41C65">
        <w:rPr>
          <w:rFonts w:cs="Times New Roman"/>
          <w:szCs w:val="22"/>
        </w:rPr>
        <w:t>2019 across nearly all major equipment segments</w:t>
      </w:r>
      <w:r>
        <w:rPr>
          <w:rFonts w:cs="Times New Roman"/>
          <w:szCs w:val="22"/>
        </w:rPr>
        <w:t xml:space="preserve">, in line with softer economic conditions, and potentially market saturation in some smaller air conditioning equipment segments. Slower growth in the bank of refrigerants is also a product of new equipment designs </w:t>
      </w:r>
      <w:r w:rsidRPr="00F41C65">
        <w:rPr>
          <w:rFonts w:cs="Times New Roman"/>
          <w:szCs w:val="22"/>
        </w:rPr>
        <w:t xml:space="preserve">that require smaller charge sizes to deliver equivalent refrigeration services. </w:t>
      </w:r>
    </w:p>
    <w:p w14:paraId="723E3AF8" w14:textId="77777777" w:rsidR="00626D90" w:rsidRPr="00F41C65" w:rsidRDefault="00626D90" w:rsidP="00626D90">
      <w:pPr>
        <w:rPr>
          <w:rFonts w:cs="Times New Roman"/>
          <w:szCs w:val="22"/>
        </w:rPr>
      </w:pPr>
      <w:r w:rsidRPr="00F41C65">
        <w:rPr>
          <w:rFonts w:cs="Times New Roman"/>
          <w:szCs w:val="22"/>
        </w:rPr>
        <w:t>Adoption of natural refrigerants</w:t>
      </w:r>
      <w:r>
        <w:rPr>
          <w:rFonts w:cs="Times New Roman"/>
          <w:szCs w:val="22"/>
        </w:rPr>
        <w:t xml:space="preserve"> and larger numbers of units in some segments, particularly in self-contained commercial refrigeration,</w:t>
      </w:r>
      <w:r w:rsidRPr="00F41C65">
        <w:rPr>
          <w:rFonts w:cs="Times New Roman"/>
          <w:szCs w:val="22"/>
        </w:rPr>
        <w:t xml:space="preserve"> </w:t>
      </w:r>
      <w:r>
        <w:rPr>
          <w:rFonts w:cs="Times New Roman"/>
          <w:szCs w:val="22"/>
        </w:rPr>
        <w:t>is displacing traditional hydrochlorofluorocarbons (HCFCs) and hydrofluorocarbon (HFCs) applications - even while the stock of equipment is growing</w:t>
      </w:r>
      <w:r w:rsidRPr="00F41C65">
        <w:rPr>
          <w:rFonts w:cs="Times New Roman"/>
          <w:szCs w:val="22"/>
        </w:rPr>
        <w:t>.</w:t>
      </w:r>
    </w:p>
    <w:p w14:paraId="58692511" w14:textId="77777777" w:rsidR="00626D90" w:rsidRPr="00F41C65" w:rsidRDefault="00626D90" w:rsidP="00626D90">
      <w:pPr>
        <w:rPr>
          <w:rFonts w:cs="Times New Roman"/>
          <w:szCs w:val="22"/>
        </w:rPr>
      </w:pPr>
      <w:r w:rsidRPr="00F41C65">
        <w:rPr>
          <w:rFonts w:cs="Times New Roman"/>
          <w:szCs w:val="22"/>
        </w:rPr>
        <w:t xml:space="preserve">Adoption of HFC-32 as a lower GWP alternative to HFC-410A in </w:t>
      </w:r>
      <w:r>
        <w:rPr>
          <w:rFonts w:cs="Times New Roman"/>
          <w:szCs w:val="22"/>
        </w:rPr>
        <w:t xml:space="preserve">non-ducted split system </w:t>
      </w:r>
      <w:r w:rsidRPr="00F41C65">
        <w:rPr>
          <w:rFonts w:cs="Times New Roman"/>
          <w:szCs w:val="22"/>
        </w:rPr>
        <w:t xml:space="preserve">stationary </w:t>
      </w:r>
      <w:r>
        <w:rPr>
          <w:rFonts w:cs="Times New Roman"/>
          <w:szCs w:val="22"/>
        </w:rPr>
        <w:t>air conditioning (</w:t>
      </w:r>
      <w:r w:rsidRPr="00F41C65">
        <w:rPr>
          <w:rFonts w:cs="Times New Roman"/>
          <w:szCs w:val="22"/>
        </w:rPr>
        <w:t>AC</w:t>
      </w:r>
      <w:r>
        <w:rPr>
          <w:rFonts w:cs="Times New Roman"/>
          <w:szCs w:val="22"/>
        </w:rPr>
        <w:t>)</w:t>
      </w:r>
      <w:r w:rsidRPr="00F41C65">
        <w:rPr>
          <w:rFonts w:cs="Times New Roman"/>
          <w:szCs w:val="22"/>
        </w:rPr>
        <w:t xml:space="preserve"> </w:t>
      </w:r>
      <w:r>
        <w:rPr>
          <w:rFonts w:cs="Times New Roman"/>
          <w:szCs w:val="22"/>
        </w:rPr>
        <w:t xml:space="preserve">segments is now a well-established trend, creating a sizeable and fast-growing bank of HFC-32 while capping the growth of the HFC-410A share of the bank. </w:t>
      </w:r>
      <w:r w:rsidRPr="00F41C65">
        <w:rPr>
          <w:rFonts w:cs="Times New Roman"/>
          <w:szCs w:val="22"/>
        </w:rPr>
        <w:t>HFC-32</w:t>
      </w:r>
      <w:r>
        <w:rPr>
          <w:rFonts w:cs="Times New Roman"/>
          <w:szCs w:val="22"/>
        </w:rPr>
        <w:t xml:space="preserve"> is also </w:t>
      </w:r>
      <w:r w:rsidRPr="00F41C65">
        <w:rPr>
          <w:rFonts w:cs="Times New Roman"/>
          <w:szCs w:val="22"/>
        </w:rPr>
        <w:t>starting to make an appearance</w:t>
      </w:r>
      <w:r>
        <w:rPr>
          <w:rFonts w:cs="Times New Roman"/>
          <w:szCs w:val="22"/>
        </w:rPr>
        <w:t xml:space="preserve"> in larger AC applications including split ducted systems and chillers with charges seen in the market up to 78 kilograms (kg). </w:t>
      </w:r>
    </w:p>
    <w:p w14:paraId="54BFE972" w14:textId="77777777" w:rsidR="00626D90" w:rsidRPr="00F41C65" w:rsidRDefault="00626D90" w:rsidP="00626D90">
      <w:pPr>
        <w:rPr>
          <w:rFonts w:cs="Times New Roman"/>
          <w:szCs w:val="22"/>
        </w:rPr>
      </w:pPr>
      <w:r>
        <w:rPr>
          <w:rFonts w:cs="Times New Roman"/>
          <w:szCs w:val="22"/>
        </w:rPr>
        <w:t>Trends observed in 2016 and 2018 of</w:t>
      </w:r>
      <w:r w:rsidRPr="00F41C65">
        <w:rPr>
          <w:rFonts w:cs="Times New Roman"/>
          <w:szCs w:val="22"/>
        </w:rPr>
        <w:t xml:space="preserve"> growth in </w:t>
      </w:r>
      <w:r>
        <w:rPr>
          <w:rFonts w:cs="Times New Roman"/>
          <w:szCs w:val="22"/>
        </w:rPr>
        <w:t xml:space="preserve">the adoption of </w:t>
      </w:r>
      <w:r w:rsidRPr="00F41C65">
        <w:rPr>
          <w:rFonts w:cs="Times New Roman"/>
          <w:szCs w:val="22"/>
        </w:rPr>
        <w:t>natural</w:t>
      </w:r>
      <w:r>
        <w:rPr>
          <w:rFonts w:cs="Times New Roman"/>
          <w:szCs w:val="22"/>
        </w:rPr>
        <w:t xml:space="preserve"> refrigerants</w:t>
      </w:r>
      <w:r w:rsidRPr="00F41C65">
        <w:rPr>
          <w:rFonts w:cs="Times New Roman"/>
          <w:szCs w:val="22"/>
        </w:rPr>
        <w:t xml:space="preserve"> and </w:t>
      </w:r>
      <w:proofErr w:type="spellStart"/>
      <w:r>
        <w:rPr>
          <w:rFonts w:cs="Times New Roman"/>
          <w:szCs w:val="22"/>
        </w:rPr>
        <w:t>hydrofluoro</w:t>
      </w:r>
      <w:proofErr w:type="spellEnd"/>
      <w:r>
        <w:rPr>
          <w:rFonts w:cs="Times New Roman"/>
          <w:szCs w:val="22"/>
        </w:rPr>
        <w:noBreakHyphen/>
        <w:t>olefin/HFC (</w:t>
      </w:r>
      <w:r w:rsidRPr="00F41C65">
        <w:rPr>
          <w:rFonts w:cs="Times New Roman"/>
          <w:szCs w:val="22"/>
        </w:rPr>
        <w:t>HFO</w:t>
      </w:r>
      <w:r>
        <w:rPr>
          <w:rFonts w:cs="Times New Roman"/>
          <w:szCs w:val="22"/>
        </w:rPr>
        <w:t>/HFC)</w:t>
      </w:r>
      <w:r w:rsidRPr="00F41C65">
        <w:rPr>
          <w:rFonts w:cs="Times New Roman"/>
          <w:szCs w:val="22"/>
        </w:rPr>
        <w:t xml:space="preserve"> blends</w:t>
      </w:r>
      <w:r>
        <w:rPr>
          <w:rFonts w:cs="Times New Roman"/>
          <w:szCs w:val="22"/>
        </w:rPr>
        <w:t xml:space="preserve"> have been confirmed in 2019 with hydrocarbon charges smaller than 150 grams in </w:t>
      </w:r>
      <w:r w:rsidRPr="00F41C65">
        <w:rPr>
          <w:rFonts w:cs="Times New Roman"/>
          <w:szCs w:val="22"/>
        </w:rPr>
        <w:t xml:space="preserve">refrigerated display cabinets </w:t>
      </w:r>
      <w:r>
        <w:rPr>
          <w:rFonts w:cs="Times New Roman"/>
          <w:szCs w:val="22"/>
        </w:rPr>
        <w:t>being a stand-out example of the rapid rate of change in the sector.</w:t>
      </w:r>
      <w:r w:rsidRPr="00F41C65">
        <w:rPr>
          <w:rFonts w:cs="Times New Roman"/>
          <w:szCs w:val="22"/>
        </w:rPr>
        <w:t xml:space="preserve"> HFO/HFC blends </w:t>
      </w:r>
      <w:r>
        <w:rPr>
          <w:rFonts w:cs="Times New Roman"/>
          <w:szCs w:val="22"/>
        </w:rPr>
        <w:t xml:space="preserve">are starting to be employed in </w:t>
      </w:r>
      <w:r w:rsidRPr="00F41C65">
        <w:rPr>
          <w:rFonts w:cs="Times New Roman"/>
          <w:szCs w:val="22"/>
        </w:rPr>
        <w:t xml:space="preserve">larger </w:t>
      </w:r>
      <w:r>
        <w:rPr>
          <w:rFonts w:cs="Times New Roman"/>
          <w:szCs w:val="22"/>
        </w:rPr>
        <w:t>commercial refrigeration</w:t>
      </w:r>
      <w:r w:rsidRPr="00F41C65">
        <w:rPr>
          <w:rFonts w:cs="Times New Roman"/>
          <w:szCs w:val="22"/>
        </w:rPr>
        <w:t xml:space="preserve"> </w:t>
      </w:r>
      <w:r>
        <w:rPr>
          <w:rFonts w:cs="Times New Roman"/>
          <w:szCs w:val="22"/>
        </w:rPr>
        <w:t xml:space="preserve">cases with </w:t>
      </w:r>
      <w:r w:rsidRPr="00F41C65">
        <w:rPr>
          <w:rFonts w:cs="Times New Roman"/>
          <w:szCs w:val="22"/>
        </w:rPr>
        <w:t>charge sizes</w:t>
      </w:r>
      <w:r>
        <w:rPr>
          <w:rFonts w:cs="Times New Roman"/>
          <w:szCs w:val="22"/>
        </w:rPr>
        <w:t xml:space="preserve"> observed up to 3 kg.</w:t>
      </w:r>
    </w:p>
    <w:p w14:paraId="616BA64F" w14:textId="77777777" w:rsidR="00626D90" w:rsidRDefault="00626D90" w:rsidP="00626D90">
      <w:pPr>
        <w:rPr>
          <w:rFonts w:cs="Times New Roman"/>
          <w:szCs w:val="22"/>
        </w:rPr>
      </w:pPr>
      <w:r>
        <w:rPr>
          <w:rFonts w:cs="Times New Roman"/>
          <w:szCs w:val="22"/>
        </w:rPr>
        <w:t xml:space="preserve">There is some evidence that </w:t>
      </w:r>
      <w:r w:rsidRPr="00F41C65">
        <w:rPr>
          <w:rFonts w:cs="Times New Roman"/>
          <w:szCs w:val="22"/>
        </w:rPr>
        <w:t>HFO</w:t>
      </w:r>
      <w:r>
        <w:rPr>
          <w:rFonts w:cs="Times New Roman"/>
          <w:szCs w:val="22"/>
        </w:rPr>
        <w:t>-1234yf is</w:t>
      </w:r>
      <w:r w:rsidRPr="00F41C65">
        <w:rPr>
          <w:rFonts w:cs="Times New Roman"/>
          <w:szCs w:val="22"/>
        </w:rPr>
        <w:t xml:space="preserve"> starting to </w:t>
      </w:r>
      <w:proofErr w:type="gramStart"/>
      <w:r w:rsidRPr="00F41C65">
        <w:rPr>
          <w:rFonts w:cs="Times New Roman"/>
          <w:szCs w:val="22"/>
        </w:rPr>
        <w:t>make a contribution</w:t>
      </w:r>
      <w:proofErr w:type="gramEnd"/>
      <w:r w:rsidRPr="00F41C65">
        <w:rPr>
          <w:rFonts w:cs="Times New Roman"/>
          <w:szCs w:val="22"/>
        </w:rPr>
        <w:t xml:space="preserve"> to </w:t>
      </w:r>
      <w:r>
        <w:rPr>
          <w:rFonts w:cs="Times New Roman"/>
          <w:szCs w:val="22"/>
        </w:rPr>
        <w:t xml:space="preserve">the </w:t>
      </w:r>
      <w:r w:rsidRPr="00F41C65">
        <w:rPr>
          <w:rFonts w:cs="Times New Roman"/>
          <w:szCs w:val="22"/>
        </w:rPr>
        <w:t>transition</w:t>
      </w:r>
      <w:r>
        <w:rPr>
          <w:rFonts w:cs="Times New Roman"/>
          <w:szCs w:val="22"/>
        </w:rPr>
        <w:t xml:space="preserve"> away from HFC-134a</w:t>
      </w:r>
      <w:r w:rsidRPr="00F41C65">
        <w:rPr>
          <w:rFonts w:cs="Times New Roman"/>
          <w:szCs w:val="22"/>
        </w:rPr>
        <w:t xml:space="preserve"> in the automotive </w:t>
      </w:r>
      <w:r>
        <w:rPr>
          <w:rFonts w:cs="Times New Roman"/>
          <w:szCs w:val="22"/>
        </w:rPr>
        <w:t>mobile air conditioning (</w:t>
      </w:r>
      <w:r w:rsidRPr="00F41C65">
        <w:rPr>
          <w:rFonts w:cs="Times New Roman"/>
          <w:szCs w:val="22"/>
        </w:rPr>
        <w:t>MAC</w:t>
      </w:r>
      <w:r>
        <w:rPr>
          <w:rFonts w:cs="Times New Roman"/>
          <w:szCs w:val="22"/>
        </w:rPr>
        <w:t>)</w:t>
      </w:r>
      <w:r w:rsidRPr="00F41C65">
        <w:rPr>
          <w:rFonts w:cs="Times New Roman"/>
          <w:szCs w:val="22"/>
        </w:rPr>
        <w:t xml:space="preserve"> bank</w:t>
      </w:r>
      <w:r>
        <w:rPr>
          <w:rFonts w:cs="Times New Roman"/>
          <w:szCs w:val="22"/>
        </w:rPr>
        <w:t xml:space="preserve"> however change is still slow with an estimate of less than 5% of the 945,000 new vehicles imported into Australia in 2019 containing HFOs.</w:t>
      </w:r>
    </w:p>
    <w:p w14:paraId="79D8141D" w14:textId="77777777" w:rsidR="00626D90" w:rsidRDefault="00626D90" w:rsidP="00626D90">
      <w:pPr>
        <w:rPr>
          <w:rFonts w:cs="Times New Roman"/>
          <w:szCs w:val="22"/>
        </w:rPr>
      </w:pPr>
      <w:r w:rsidRPr="00F77790">
        <w:rPr>
          <w:rFonts w:cs="Times New Roman"/>
          <w:szCs w:val="22"/>
        </w:rPr>
        <w:t>Despite a concerted move by major supermarket chains to deploy trans-critical carbon dioxide (CO</w:t>
      </w:r>
      <w:r w:rsidRPr="00F77790">
        <w:rPr>
          <w:rFonts w:cs="Times New Roman"/>
          <w:szCs w:val="22"/>
          <w:vertAlign w:val="subscript"/>
        </w:rPr>
        <w:t>2</w:t>
      </w:r>
      <w:r w:rsidRPr="00F77790">
        <w:rPr>
          <w:rFonts w:cs="Times New Roman"/>
          <w:szCs w:val="22"/>
        </w:rPr>
        <w:t>) charged refrigeration systems, the refrigerated cold food chain maintained refrigerant demand for service and charges for new equipment of more than 800 tonnes of HFC-404A with a total of 822 tonnes used in 2019. This level of demand has been very consistent over the last four years.</w:t>
      </w:r>
      <w:r>
        <w:rPr>
          <w:rFonts w:cs="Times New Roman"/>
          <w:szCs w:val="22"/>
        </w:rPr>
        <w:t xml:space="preserve">  </w:t>
      </w:r>
    </w:p>
    <w:p w14:paraId="7188A08E" w14:textId="77777777" w:rsidR="00626D90" w:rsidRDefault="00626D90" w:rsidP="00626D90">
      <w:pPr>
        <w:rPr>
          <w:rFonts w:cs="Times New Roman"/>
          <w:szCs w:val="22"/>
        </w:rPr>
      </w:pPr>
      <w:r>
        <w:rPr>
          <w:rFonts w:cs="Times New Roman"/>
          <w:szCs w:val="22"/>
        </w:rPr>
        <w:t xml:space="preserve">Emergence and adoption of new refrigerants continues and is resulting in an increasingly diverse bank. Regulatory arrangements in support of a global HFC phase down, and equipment designers’ efforts to improve energy efficiency are driving more of the stock of equipment to lower GWP natural refrigerant options and HFOs. In many instances these alternative refrigerants can deliver the same refrigerating capacity with lower energy consumption. </w:t>
      </w:r>
    </w:p>
    <w:p w14:paraId="218469E3" w14:textId="77777777" w:rsidR="00626D90" w:rsidRPr="00F41C65" w:rsidRDefault="00626D90" w:rsidP="00626D90">
      <w:pPr>
        <w:rPr>
          <w:rFonts w:cs="Times New Roman"/>
          <w:szCs w:val="22"/>
        </w:rPr>
      </w:pPr>
      <w:r>
        <w:rPr>
          <w:rFonts w:cs="Times New Roman"/>
          <w:szCs w:val="22"/>
        </w:rPr>
        <w:t>T</w:t>
      </w:r>
      <w:r w:rsidRPr="00F41C65">
        <w:rPr>
          <w:rFonts w:cs="Times New Roman"/>
          <w:szCs w:val="22"/>
        </w:rPr>
        <w:t>h</w:t>
      </w:r>
      <w:r>
        <w:rPr>
          <w:rFonts w:cs="Times New Roman"/>
          <w:szCs w:val="22"/>
        </w:rPr>
        <w:t>ese</w:t>
      </w:r>
      <w:r w:rsidRPr="00F41C65">
        <w:rPr>
          <w:rFonts w:cs="Times New Roman"/>
          <w:szCs w:val="22"/>
        </w:rPr>
        <w:t xml:space="preserve"> trends </w:t>
      </w:r>
      <w:r>
        <w:rPr>
          <w:rFonts w:cs="Times New Roman"/>
          <w:szCs w:val="22"/>
        </w:rPr>
        <w:t xml:space="preserve">are </w:t>
      </w:r>
      <w:r w:rsidRPr="00F41C65">
        <w:rPr>
          <w:rFonts w:cs="Times New Roman"/>
          <w:szCs w:val="22"/>
        </w:rPr>
        <w:t>contributing to slower</w:t>
      </w:r>
      <w:r>
        <w:rPr>
          <w:rFonts w:cs="Times New Roman"/>
          <w:szCs w:val="22"/>
        </w:rPr>
        <w:t xml:space="preserve"> growth </w:t>
      </w:r>
      <w:r w:rsidRPr="00F41C65">
        <w:rPr>
          <w:rFonts w:cs="Times New Roman"/>
          <w:szCs w:val="22"/>
        </w:rPr>
        <w:t xml:space="preserve">in the </w:t>
      </w:r>
      <w:r>
        <w:rPr>
          <w:rFonts w:cs="Times New Roman"/>
          <w:szCs w:val="22"/>
        </w:rPr>
        <w:t xml:space="preserve">regulated </w:t>
      </w:r>
      <w:r w:rsidRPr="00F41C65">
        <w:rPr>
          <w:rFonts w:cs="Times New Roman"/>
          <w:szCs w:val="22"/>
        </w:rPr>
        <w:t>bank</w:t>
      </w:r>
      <w:r>
        <w:rPr>
          <w:rFonts w:cs="Times New Roman"/>
          <w:szCs w:val="22"/>
        </w:rPr>
        <w:t xml:space="preserve"> between 2016 and </w:t>
      </w:r>
      <w:proofErr w:type="gramStart"/>
      <w:r>
        <w:rPr>
          <w:rFonts w:cs="Times New Roman"/>
          <w:szCs w:val="22"/>
        </w:rPr>
        <w:t>2019, and</w:t>
      </w:r>
      <w:proofErr w:type="gramEnd"/>
      <w:r w:rsidRPr="00F41C65">
        <w:rPr>
          <w:rFonts w:cs="Times New Roman"/>
          <w:szCs w:val="22"/>
        </w:rPr>
        <w:t xml:space="preserve"> </w:t>
      </w:r>
      <w:r>
        <w:rPr>
          <w:rFonts w:cs="Times New Roman"/>
          <w:szCs w:val="22"/>
        </w:rPr>
        <w:t>are</w:t>
      </w:r>
      <w:r w:rsidRPr="00F41C65">
        <w:rPr>
          <w:rFonts w:cs="Times New Roman"/>
          <w:szCs w:val="22"/>
        </w:rPr>
        <w:t xml:space="preserve"> expected to continue in </w:t>
      </w:r>
      <w:r>
        <w:rPr>
          <w:rFonts w:cs="Times New Roman"/>
          <w:szCs w:val="22"/>
        </w:rPr>
        <w:t>the decade ahead</w:t>
      </w:r>
      <w:r w:rsidRPr="00F41C65">
        <w:rPr>
          <w:rFonts w:cs="Times New Roman"/>
          <w:szCs w:val="22"/>
        </w:rPr>
        <w:t>.</w:t>
      </w:r>
    </w:p>
    <w:p w14:paraId="6FDEFE82" w14:textId="77777777" w:rsidR="00626D90" w:rsidRDefault="00626D90" w:rsidP="00626D90">
      <w:pPr>
        <w:rPr>
          <w:rFonts w:ascii="Calibri" w:eastAsia="Times New Roman" w:hAnsi="Calibri" w:cs="Times New Roman"/>
          <w:b/>
          <w:bCs/>
          <w:kern w:val="32"/>
          <w:sz w:val="32"/>
          <w:szCs w:val="32"/>
          <w:lang w:val="en-US"/>
        </w:rPr>
      </w:pPr>
      <w:r>
        <w:rPr>
          <w:rFonts w:cs="Times New Roman"/>
          <w:szCs w:val="22"/>
        </w:rPr>
        <w:t>As predicted in earlier editions of Cold Hard Facts, these trends and the evidence suggests that the peak carbon dioxide equivalent (CO</w:t>
      </w:r>
      <w:r w:rsidRPr="00D7210D">
        <w:rPr>
          <w:rFonts w:cs="Times New Roman"/>
          <w:szCs w:val="22"/>
          <w:vertAlign w:val="subscript"/>
        </w:rPr>
        <w:t>2</w:t>
      </w:r>
      <w:r>
        <w:rPr>
          <w:rFonts w:cs="Times New Roman"/>
          <w:szCs w:val="22"/>
        </w:rPr>
        <w:t>e) value of the bank has likely been reached in the last 12 months. Improvements in the energy efficiency of the stock of equipment could also see peak energy related emissions reached in the decade ahead, even though the stock of equipment is expected to grow.</w:t>
      </w:r>
      <w:r>
        <w:br w:type="page"/>
      </w:r>
    </w:p>
    <w:p w14:paraId="58D6A149" w14:textId="77777777" w:rsidR="00626D90" w:rsidRPr="00034FD9" w:rsidRDefault="00626D90" w:rsidP="00626D90">
      <w:pPr>
        <w:pStyle w:val="Heading1"/>
        <w:jc w:val="both"/>
      </w:pPr>
      <w:bookmarkStart w:id="1" w:name="_Toc46923713"/>
      <w:r w:rsidRPr="00034FD9">
        <w:lastRenderedPageBreak/>
        <w:t>Introduction</w:t>
      </w:r>
      <w:bookmarkEnd w:id="1"/>
    </w:p>
    <w:p w14:paraId="3CF64244" w14:textId="77777777" w:rsidR="00626D90" w:rsidRDefault="00626D90" w:rsidP="00626D90">
      <w:pPr>
        <w:rPr>
          <w:rFonts w:cs="Times New Roman"/>
          <w:szCs w:val="22"/>
        </w:rPr>
      </w:pPr>
      <w:r>
        <w:rPr>
          <w:rFonts w:cs="Times New Roman"/>
          <w:szCs w:val="22"/>
        </w:rPr>
        <w:t>Cold Hard Facts 2020 is the fifth edition of the CHF research series investigating the scale and impacts of the ‘cooling economy’ in Australia.</w:t>
      </w:r>
      <w:r>
        <w:rPr>
          <w:rStyle w:val="FootnoteReference"/>
          <w:rFonts w:cs="Times New Roman"/>
          <w:szCs w:val="22"/>
        </w:rPr>
        <w:footnoteReference w:id="2"/>
      </w:r>
      <w:r>
        <w:rPr>
          <w:rFonts w:cs="Times New Roman"/>
          <w:szCs w:val="22"/>
        </w:rPr>
        <w:t xml:space="preserve"> The cooling economy, broadly defined as the total of all goods and services that involve employment of vapour compression refrigeration and heat exchange systems, is a significant fraction of the Australian economy. </w:t>
      </w:r>
      <w:r w:rsidRPr="00AA6F97">
        <w:rPr>
          <w:rFonts w:cs="Times New Roman"/>
          <w:szCs w:val="22"/>
        </w:rPr>
        <w:t xml:space="preserve">Direct spending on hardware, consumables and energy, plus employment in the sector, is estimated </w:t>
      </w:r>
      <w:r>
        <w:rPr>
          <w:rFonts w:cs="Times New Roman"/>
          <w:szCs w:val="22"/>
        </w:rPr>
        <w:t xml:space="preserve">at </w:t>
      </w:r>
      <w:r w:rsidRPr="00AA6F97">
        <w:rPr>
          <w:rFonts w:cs="Times New Roman"/>
          <w:szCs w:val="22"/>
        </w:rPr>
        <w:t xml:space="preserve">more than $41 billion, </w:t>
      </w:r>
      <w:r>
        <w:rPr>
          <w:rFonts w:cs="Times New Roman"/>
          <w:szCs w:val="22"/>
        </w:rPr>
        <w:t xml:space="preserve">or </w:t>
      </w:r>
      <w:r w:rsidRPr="00AA6F97">
        <w:rPr>
          <w:rFonts w:cs="Times New Roman"/>
          <w:szCs w:val="22"/>
        </w:rPr>
        <w:t xml:space="preserve">around 2.1% of Australian </w:t>
      </w:r>
      <w:r>
        <w:rPr>
          <w:rFonts w:cs="Times New Roman"/>
          <w:szCs w:val="22"/>
        </w:rPr>
        <w:t>gross domestic product (</w:t>
      </w:r>
      <w:r w:rsidRPr="00AA6F97">
        <w:rPr>
          <w:rFonts w:cs="Times New Roman"/>
          <w:szCs w:val="22"/>
        </w:rPr>
        <w:t>GDP</w:t>
      </w:r>
      <w:r>
        <w:rPr>
          <w:rFonts w:cs="Times New Roman"/>
          <w:szCs w:val="22"/>
        </w:rPr>
        <w:t>)</w:t>
      </w:r>
      <w:r w:rsidRPr="00AA6F97">
        <w:rPr>
          <w:rFonts w:cs="Times New Roman"/>
          <w:szCs w:val="22"/>
        </w:rPr>
        <w:t xml:space="preserve"> in 2019</w:t>
      </w:r>
      <w:r>
        <w:rPr>
          <w:rFonts w:cs="Times New Roman"/>
          <w:szCs w:val="22"/>
        </w:rPr>
        <w:t>.</w:t>
      </w:r>
      <w:r w:rsidRPr="001B5FB7">
        <w:rPr>
          <w:rStyle w:val="FootnoteReference"/>
          <w:rFonts w:cs="Times New Roman"/>
          <w:szCs w:val="22"/>
        </w:rPr>
        <w:footnoteReference w:id="3"/>
      </w:r>
      <w:r>
        <w:rPr>
          <w:rFonts w:cs="Times New Roman"/>
          <w:szCs w:val="22"/>
        </w:rPr>
        <w:t xml:space="preserve"> </w:t>
      </w:r>
    </w:p>
    <w:p w14:paraId="4E58EEE3" w14:textId="77777777" w:rsidR="00626D90" w:rsidRDefault="00626D90" w:rsidP="00626D90">
      <w:pPr>
        <w:rPr>
          <w:szCs w:val="22"/>
        </w:rPr>
      </w:pPr>
      <w:r>
        <w:rPr>
          <w:rFonts w:cs="Times New Roman"/>
          <w:szCs w:val="22"/>
        </w:rPr>
        <w:t xml:space="preserve">The cooling economy provides numerous direct and indirect economic, health and social benefits, such as the preservation and transportation of perishable food. </w:t>
      </w:r>
      <w:r w:rsidRPr="00E90441">
        <w:rPr>
          <w:szCs w:val="22"/>
        </w:rPr>
        <w:t>In 2018, more than 23 million tonnes of foodstuffs worth $42 billion based on farm gate values passed through the Australian cold food chain. The production and transport of food</w:t>
      </w:r>
      <w:r>
        <w:rPr>
          <w:szCs w:val="22"/>
        </w:rPr>
        <w:t>, and the cold food chain infrastructure required,</w:t>
      </w:r>
      <w:r w:rsidRPr="00E90441">
        <w:rPr>
          <w:szCs w:val="22"/>
        </w:rPr>
        <w:t xml:space="preserve"> is projected to grow strongly in Australia over the next 20 years as export capacities expand</w:t>
      </w:r>
      <w:r>
        <w:rPr>
          <w:szCs w:val="22"/>
        </w:rPr>
        <w:t>, driven by ambitious industry export targets</w:t>
      </w:r>
      <w:r w:rsidRPr="00E90441">
        <w:rPr>
          <w:szCs w:val="22"/>
        </w:rPr>
        <w:t>.</w:t>
      </w:r>
      <w:r w:rsidRPr="00840785">
        <w:rPr>
          <w:szCs w:val="22"/>
        </w:rPr>
        <w:t xml:space="preserve"> </w:t>
      </w:r>
    </w:p>
    <w:p w14:paraId="44D15F8B" w14:textId="77777777" w:rsidR="00626D90" w:rsidRDefault="00626D90" w:rsidP="00626D90">
      <w:pPr>
        <w:rPr>
          <w:szCs w:val="22"/>
        </w:rPr>
      </w:pPr>
      <w:r>
        <w:rPr>
          <w:szCs w:val="22"/>
        </w:rPr>
        <w:t xml:space="preserve">While the refrigerated cold food chain is only one part of the total cooling economy, and not the largest, recent studies that have underlined the potential for improvements in design and operation of the cold food chain to mitigate </w:t>
      </w:r>
      <w:proofErr w:type="gramStart"/>
      <w:r>
        <w:rPr>
          <w:szCs w:val="22"/>
        </w:rPr>
        <w:t>a number of</w:t>
      </w:r>
      <w:proofErr w:type="gramEnd"/>
      <w:r>
        <w:rPr>
          <w:szCs w:val="22"/>
        </w:rPr>
        <w:t xml:space="preserve"> related environmental and economic issues. In 2019, a report prepared by the Expert Group produced e</w:t>
      </w:r>
      <w:r w:rsidRPr="00E90441">
        <w:rPr>
          <w:szCs w:val="22"/>
        </w:rPr>
        <w:t xml:space="preserve">stimates of food waste attributable to breaks and deficiencies in the cold food chain </w:t>
      </w:r>
      <w:r>
        <w:rPr>
          <w:szCs w:val="22"/>
        </w:rPr>
        <w:t>in Australia</w:t>
      </w:r>
      <w:r w:rsidRPr="00E90441">
        <w:rPr>
          <w:szCs w:val="22"/>
        </w:rPr>
        <w:t xml:space="preserve"> for the first time. Preliminary and conservative estimates put the </w:t>
      </w:r>
      <w:r>
        <w:rPr>
          <w:szCs w:val="22"/>
        </w:rPr>
        <w:t xml:space="preserve">economic </w:t>
      </w:r>
      <w:r w:rsidRPr="00E90441">
        <w:rPr>
          <w:szCs w:val="22"/>
        </w:rPr>
        <w:t>cost of food waste within the cold food chain at</w:t>
      </w:r>
      <w:r>
        <w:rPr>
          <w:szCs w:val="22"/>
        </w:rPr>
        <w:t xml:space="preserve"> a minimum of</w:t>
      </w:r>
      <w:r w:rsidRPr="00E90441">
        <w:rPr>
          <w:szCs w:val="22"/>
        </w:rPr>
        <w:t xml:space="preserve"> $3.8 billion </w:t>
      </w:r>
      <w:r>
        <w:rPr>
          <w:szCs w:val="22"/>
        </w:rPr>
        <w:t xml:space="preserve">annually </w:t>
      </w:r>
      <w:r w:rsidRPr="00E90441">
        <w:rPr>
          <w:szCs w:val="22"/>
        </w:rPr>
        <w:t>at farm gate values</w:t>
      </w:r>
      <w:r>
        <w:rPr>
          <w:szCs w:val="22"/>
        </w:rPr>
        <w:t>.</w:t>
      </w:r>
      <w:r w:rsidRPr="00E90441">
        <w:rPr>
          <w:szCs w:val="22"/>
        </w:rPr>
        <w:t xml:space="preserve"> </w:t>
      </w:r>
      <w:r w:rsidRPr="0038196B">
        <w:rPr>
          <w:szCs w:val="22"/>
        </w:rPr>
        <w:t>The</w:t>
      </w:r>
      <w:r>
        <w:rPr>
          <w:szCs w:val="22"/>
        </w:rPr>
        <w:t xml:space="preserve"> report estimated </w:t>
      </w:r>
      <w:r w:rsidRPr="0038196B">
        <w:rPr>
          <w:szCs w:val="22"/>
        </w:rPr>
        <w:t xml:space="preserve">greenhouse gas emissions from food waste attributed to sub-par refrigeration technology, practices and processes in the cold food chain </w:t>
      </w:r>
      <w:r>
        <w:rPr>
          <w:szCs w:val="22"/>
        </w:rPr>
        <w:t xml:space="preserve">at </w:t>
      </w:r>
      <w:r w:rsidRPr="0038196B">
        <w:rPr>
          <w:szCs w:val="22"/>
        </w:rPr>
        <w:t xml:space="preserve">7.0 </w:t>
      </w:r>
      <w:r>
        <w:rPr>
          <w:szCs w:val="22"/>
        </w:rPr>
        <w:t xml:space="preserve">million tonnes </w:t>
      </w:r>
      <w:r w:rsidRPr="0038196B">
        <w:rPr>
          <w:szCs w:val="22"/>
        </w:rPr>
        <w:t>CO</w:t>
      </w:r>
      <w:r w:rsidRPr="000F060A">
        <w:rPr>
          <w:szCs w:val="22"/>
          <w:vertAlign w:val="subscript"/>
        </w:rPr>
        <w:t>2</w:t>
      </w:r>
      <w:r>
        <w:rPr>
          <w:szCs w:val="22"/>
        </w:rPr>
        <w:t>-</w:t>
      </w:r>
      <w:r w:rsidRPr="0038196B">
        <w:rPr>
          <w:szCs w:val="22"/>
        </w:rPr>
        <w:t xml:space="preserve">e in 2018, </w:t>
      </w:r>
      <w:r>
        <w:rPr>
          <w:szCs w:val="22"/>
        </w:rPr>
        <w:t xml:space="preserve">equivalent to </w:t>
      </w:r>
      <w:r w:rsidRPr="0038196B">
        <w:rPr>
          <w:szCs w:val="22"/>
        </w:rPr>
        <w:t xml:space="preserve">about 1.3% of Australia’s annual greenhouse gas </w:t>
      </w:r>
      <w:r>
        <w:rPr>
          <w:szCs w:val="22"/>
        </w:rPr>
        <w:t>emissions in that year.</w:t>
      </w:r>
    </w:p>
    <w:p w14:paraId="2F4B329C" w14:textId="77777777" w:rsidR="00626D90" w:rsidRDefault="00626D90" w:rsidP="00626D90">
      <w:pPr>
        <w:rPr>
          <w:rFonts w:cs="Times New Roman"/>
          <w:szCs w:val="22"/>
        </w:rPr>
      </w:pPr>
      <w:r>
        <w:rPr>
          <w:rFonts w:cs="Times New Roman"/>
          <w:szCs w:val="22"/>
        </w:rPr>
        <w:t xml:space="preserve">The value of other services delivered by the cooling economy, such as the maintenance of comfortable conditions in commercial buildings, hospitals and universities, cannot easily be quantified. Cooling services are essential in many situations, and optimal management of the technology that underpins the cooling economy has great potential to deliver significant economic and environmental benefits.  </w:t>
      </w:r>
    </w:p>
    <w:p w14:paraId="72E15FB6" w14:textId="77777777" w:rsidR="00626D90" w:rsidRPr="00B34BBD" w:rsidRDefault="00626D90" w:rsidP="00626D90">
      <w:pPr>
        <w:rPr>
          <w:rFonts w:cs="Times New Roman"/>
          <w:szCs w:val="22"/>
        </w:rPr>
      </w:pPr>
      <w:bookmarkStart w:id="2" w:name="_Toc494661733"/>
      <w:r>
        <w:rPr>
          <w:szCs w:val="22"/>
        </w:rPr>
        <w:t xml:space="preserve">This CHF research series is built upon a techno-economic model, that the Expert Group has been developing for more than a decade of all the equipment employed in the cooling economy in Australia. </w:t>
      </w:r>
    </w:p>
    <w:p w14:paraId="4B21CF8A" w14:textId="77777777" w:rsidR="00626D90" w:rsidRPr="005C0470" w:rsidRDefault="00626D90" w:rsidP="00626D90">
      <w:pPr>
        <w:rPr>
          <w:i/>
          <w:iCs/>
          <w:szCs w:val="22"/>
        </w:rPr>
      </w:pPr>
      <w:r>
        <w:rPr>
          <w:szCs w:val="22"/>
        </w:rPr>
        <w:t xml:space="preserve">The Refrigeration and Air Conditioning (RAC) Stock Model uses a taxonomy of the many different types of refrigerating and air conditioning equipment employed in the economy to manage the mass of data processed through the model. The taxonomy dissects RAC equipment into four main classes and more than 50 different product segments. The main classes of equipment are Stationary Air Conditioning (AC), Mobile Air Conditioning (MAC), the Refrigerated Cold Food Chain (RCFC) and Domestic Refrigeration (DR). The scope and structure of the taxonomy of RAC equipment is explained in </w:t>
      </w:r>
      <w:r w:rsidRPr="00811D5A">
        <w:rPr>
          <w:i/>
          <w:iCs/>
          <w:szCs w:val="22"/>
        </w:rPr>
        <w:t>Appendix A, Section 1.1: Taxonomy of a technology</w:t>
      </w:r>
      <w:r>
        <w:rPr>
          <w:szCs w:val="22"/>
        </w:rPr>
        <w:t xml:space="preserve">. </w:t>
      </w:r>
    </w:p>
    <w:p w14:paraId="6B23B5E0" w14:textId="77777777" w:rsidR="00626D90" w:rsidRDefault="00626D90" w:rsidP="00626D90">
      <w:pPr>
        <w:rPr>
          <w:szCs w:val="22"/>
        </w:rPr>
      </w:pPr>
      <w:r>
        <w:rPr>
          <w:szCs w:val="22"/>
        </w:rPr>
        <w:t xml:space="preserve">Alongside the series of CHF publications, the RAC Stock Model has been continuously improved over the last 15 years, with more than forty other research assignments into aspects of the cooling economy in Australia and overseas. </w:t>
      </w:r>
    </w:p>
    <w:p w14:paraId="54053CEC" w14:textId="77777777" w:rsidR="00626D90" w:rsidRPr="005C0470" w:rsidRDefault="00626D90" w:rsidP="00626D90">
      <w:pPr>
        <w:rPr>
          <w:szCs w:val="22"/>
        </w:rPr>
      </w:pPr>
      <w:r>
        <w:rPr>
          <w:szCs w:val="22"/>
        </w:rPr>
        <w:t xml:space="preserve">The depth and integrity of the data now employed and the longevity of the CHF series in Australia has resulted in high degrees of confidence in the outputs of the modelling. Some of the data can be verified by sources such as Australian Bureau of Statistics (ABS), Australian Border Force import statistics, atmospheric monitoring conducted by CSIRO </w:t>
      </w:r>
      <w:r w:rsidRPr="00F319B9">
        <w:rPr>
          <w:szCs w:val="22"/>
        </w:rPr>
        <w:t>Marine and Atmospheric Research Division</w:t>
      </w:r>
      <w:r>
        <w:rPr>
          <w:szCs w:val="22"/>
        </w:rPr>
        <w:t>, and from RAC industry bodies.</w:t>
      </w:r>
      <w:bookmarkEnd w:id="2"/>
      <w:r>
        <w:rPr>
          <w:rFonts w:cs="Times New Roman"/>
          <w:szCs w:val="22"/>
        </w:rPr>
        <w:br w:type="page"/>
      </w:r>
    </w:p>
    <w:p w14:paraId="67FF0EF6" w14:textId="77777777" w:rsidR="00626D90" w:rsidRDefault="00626D90" w:rsidP="00626D90">
      <w:pPr>
        <w:pStyle w:val="Heading1"/>
        <w:jc w:val="both"/>
      </w:pPr>
      <w:bookmarkStart w:id="3" w:name="_Toc46923714"/>
      <w:bookmarkStart w:id="4" w:name="_Toc494190147"/>
      <w:r>
        <w:lastRenderedPageBreak/>
        <w:t>The scale of the cooling economy</w:t>
      </w:r>
      <w:bookmarkEnd w:id="3"/>
    </w:p>
    <w:p w14:paraId="3EEDDC6B" w14:textId="77777777" w:rsidR="00626D90" w:rsidRDefault="00626D90" w:rsidP="00626D90">
      <w:pPr>
        <w:rPr>
          <w:szCs w:val="22"/>
        </w:rPr>
      </w:pPr>
      <w:bookmarkStart w:id="5" w:name="_Toc525141395"/>
      <w:bookmarkEnd w:id="4"/>
      <w:r w:rsidRPr="0035353E">
        <w:rPr>
          <w:szCs w:val="22"/>
        </w:rPr>
        <w:t xml:space="preserve">The RAC </w:t>
      </w:r>
      <w:r>
        <w:rPr>
          <w:szCs w:val="22"/>
        </w:rPr>
        <w:t>Stock Model calculates</w:t>
      </w:r>
      <w:r w:rsidRPr="0035353E">
        <w:rPr>
          <w:szCs w:val="22"/>
        </w:rPr>
        <w:t xml:space="preserve"> that RAC </w:t>
      </w:r>
      <w:r w:rsidRPr="00A22F0D">
        <w:rPr>
          <w:szCs w:val="22"/>
        </w:rPr>
        <w:t xml:space="preserve">services in Australia in 2019 were delivered by </w:t>
      </w:r>
      <w:r>
        <w:rPr>
          <w:szCs w:val="22"/>
        </w:rPr>
        <w:t xml:space="preserve">more than </w:t>
      </w:r>
      <w:r w:rsidRPr="00A22F0D">
        <w:rPr>
          <w:szCs w:val="22"/>
        </w:rPr>
        <w:t>57.2 million</w:t>
      </w:r>
      <w:r>
        <w:rPr>
          <w:szCs w:val="22"/>
        </w:rPr>
        <w:t xml:space="preserve"> pieces of equipment (</w:t>
      </w:r>
      <w:r w:rsidRPr="009E4D44">
        <w:rPr>
          <w:i/>
          <w:szCs w:val="22"/>
        </w:rPr>
        <w:t>CHF</w:t>
      </w:r>
      <w:r>
        <w:rPr>
          <w:i/>
          <w:szCs w:val="22"/>
        </w:rPr>
        <w:t>3 2016</w:t>
      </w:r>
      <w:r w:rsidRPr="009E4D44">
        <w:rPr>
          <w:i/>
          <w:szCs w:val="22"/>
        </w:rPr>
        <w:t xml:space="preserve">, </w:t>
      </w:r>
      <w:r>
        <w:rPr>
          <w:i/>
          <w:szCs w:val="22"/>
        </w:rPr>
        <w:t>53.6</w:t>
      </w:r>
      <w:r w:rsidRPr="009E4D44">
        <w:rPr>
          <w:i/>
          <w:szCs w:val="22"/>
        </w:rPr>
        <w:t xml:space="preserve"> million</w:t>
      </w:r>
      <w:r w:rsidRPr="009E4D44">
        <w:rPr>
          <w:szCs w:val="22"/>
        </w:rPr>
        <w:t>)</w:t>
      </w:r>
      <w:r>
        <w:rPr>
          <w:szCs w:val="22"/>
        </w:rPr>
        <w:t xml:space="preserve"> employing a refrigerant bank of more than 53,000 tonnes</w:t>
      </w:r>
      <w:r w:rsidRPr="009E4D44">
        <w:rPr>
          <w:szCs w:val="22"/>
        </w:rPr>
        <w:t>.</w:t>
      </w:r>
      <w:r w:rsidRPr="00B37F8A">
        <w:rPr>
          <w:szCs w:val="22"/>
        </w:rPr>
        <w:t xml:space="preserve"> </w:t>
      </w:r>
      <w:r w:rsidRPr="008A63DD">
        <w:rPr>
          <w:szCs w:val="22"/>
        </w:rPr>
        <w:t xml:space="preserve">The stock model </w:t>
      </w:r>
      <w:r>
        <w:rPr>
          <w:szCs w:val="22"/>
        </w:rPr>
        <w:t>calculated that</w:t>
      </w:r>
      <w:r w:rsidRPr="008A63DD">
        <w:rPr>
          <w:szCs w:val="22"/>
        </w:rPr>
        <w:t xml:space="preserve"> in </w:t>
      </w:r>
      <w:r>
        <w:rPr>
          <w:szCs w:val="22"/>
        </w:rPr>
        <w:t xml:space="preserve">2019 </w:t>
      </w:r>
      <w:r w:rsidRPr="00A30661">
        <w:rPr>
          <w:szCs w:val="22"/>
        </w:rPr>
        <w:t xml:space="preserve">Australians spent around $8.3 billion </w:t>
      </w:r>
      <w:r>
        <w:rPr>
          <w:szCs w:val="22"/>
        </w:rPr>
        <w:t xml:space="preserve">purchasing </w:t>
      </w:r>
      <w:r w:rsidRPr="00A30661">
        <w:rPr>
          <w:szCs w:val="22"/>
        </w:rPr>
        <w:t>and installing new devices across all classes of RAC equipment.</w:t>
      </w:r>
      <w:r>
        <w:rPr>
          <w:szCs w:val="22"/>
        </w:rPr>
        <w:t xml:space="preserve"> </w:t>
      </w:r>
    </w:p>
    <w:p w14:paraId="462DC1AC" w14:textId="52FA6243" w:rsidR="00626D90" w:rsidRDefault="00626D90" w:rsidP="00626D90">
      <w:pPr>
        <w:rPr>
          <w:szCs w:val="22"/>
        </w:rPr>
      </w:pPr>
      <w:r>
        <w:rPr>
          <w:szCs w:val="22"/>
        </w:rPr>
        <w:t>This equipment is estimated to have consumed more than 64.8 gigawatt hours (GWh) of electricity in 2019, or more than 24% of all electricity produced in Australia that year.</w:t>
      </w:r>
      <w:r>
        <w:rPr>
          <w:rStyle w:val="FootnoteReference"/>
          <w:szCs w:val="22"/>
        </w:rPr>
        <w:footnoteReference w:id="4"/>
      </w:r>
      <w:r>
        <w:rPr>
          <w:szCs w:val="22"/>
        </w:rPr>
        <w:t xml:space="preserve"> Electricity related greenhouse gas (GHG) emissions and direct emissions to air of around 3,000 tonnes of HFC refrigerant from operating equipment, mean that RAC equipment produced around 61.</w:t>
      </w:r>
      <w:r w:rsidR="00A26B09">
        <w:rPr>
          <w:szCs w:val="22"/>
        </w:rPr>
        <w:t>3</w:t>
      </w:r>
      <w:r>
        <w:rPr>
          <w:szCs w:val="22"/>
        </w:rPr>
        <w:t xml:space="preserve"> Mt CO</w:t>
      </w:r>
      <w:r w:rsidRPr="001E5383">
        <w:rPr>
          <w:szCs w:val="22"/>
          <w:vertAlign w:val="subscript"/>
        </w:rPr>
        <w:t>2</w:t>
      </w:r>
      <w:r>
        <w:rPr>
          <w:szCs w:val="22"/>
        </w:rPr>
        <w:t>e of GHGs or approximately 11.5% of Australian national GHG emissions (using the rolling 12 month estimate of emissions to September 2019 of 530.8 Mt CO</w:t>
      </w:r>
      <w:r w:rsidRPr="001E5383">
        <w:rPr>
          <w:szCs w:val="22"/>
          <w:vertAlign w:val="subscript"/>
        </w:rPr>
        <w:t>2</w:t>
      </w:r>
      <w:r>
        <w:rPr>
          <w:szCs w:val="22"/>
        </w:rPr>
        <w:t>e).</w:t>
      </w:r>
      <w:r>
        <w:rPr>
          <w:rStyle w:val="FootnoteReference"/>
          <w:szCs w:val="22"/>
        </w:rPr>
        <w:footnoteReference w:id="5"/>
      </w:r>
    </w:p>
    <w:p w14:paraId="646BC44A" w14:textId="77777777" w:rsidR="00626D90" w:rsidRDefault="00626D90" w:rsidP="00626D90">
      <w:pPr>
        <w:rPr>
          <w:lang w:val="en-AU"/>
        </w:rPr>
      </w:pPr>
      <w:r w:rsidRPr="00D86CBB">
        <w:rPr>
          <w:i/>
          <w:iCs/>
          <w:lang w:val="en-AU"/>
        </w:rPr>
        <w:t>Table</w:t>
      </w:r>
      <w:r>
        <w:rPr>
          <w:i/>
          <w:iCs/>
          <w:lang w:val="en-AU"/>
        </w:rPr>
        <w:t>s</w:t>
      </w:r>
      <w:r w:rsidRPr="00D86CBB">
        <w:rPr>
          <w:i/>
          <w:iCs/>
          <w:lang w:val="en-AU"/>
        </w:rPr>
        <w:t xml:space="preserve"> 1</w:t>
      </w:r>
      <w:r>
        <w:rPr>
          <w:lang w:val="en-AU"/>
        </w:rPr>
        <w:t xml:space="preserve"> and </w:t>
      </w:r>
      <w:r w:rsidRPr="00D86CBB">
        <w:rPr>
          <w:i/>
          <w:iCs/>
          <w:lang w:val="en-AU"/>
        </w:rPr>
        <w:t>2</w:t>
      </w:r>
      <w:r>
        <w:rPr>
          <w:lang w:val="en-AU"/>
        </w:rPr>
        <w:t xml:space="preserve"> below list the main metrics produced by the RAC Stock Model for 2019 and </w:t>
      </w:r>
      <w:r w:rsidRPr="00A2676A">
        <w:rPr>
          <w:lang w:val="en-AU"/>
        </w:rPr>
        <w:t>2016.</w:t>
      </w:r>
    </w:p>
    <w:p w14:paraId="15563ECD" w14:textId="77777777" w:rsidR="00626D90" w:rsidRDefault="00626D90" w:rsidP="00626D90">
      <w:pPr>
        <w:spacing w:before="0"/>
        <w:jc w:val="left"/>
        <w:rPr>
          <w:rFonts w:eastAsia="Times New Roman" w:cs="Times New Roman"/>
          <w:bCs/>
          <w:i/>
          <w:szCs w:val="20"/>
          <w:lang w:val="en-US"/>
        </w:rPr>
      </w:pPr>
    </w:p>
    <w:p w14:paraId="28B3F1E0" w14:textId="77777777" w:rsidR="00626D90" w:rsidRDefault="00626D90" w:rsidP="00626D90">
      <w:pPr>
        <w:spacing w:before="0"/>
        <w:jc w:val="left"/>
        <w:rPr>
          <w:rFonts w:eastAsia="Times New Roman" w:cs="Times New Roman"/>
          <w:bCs/>
          <w:i/>
          <w:szCs w:val="20"/>
          <w:lang w:val="en-US"/>
        </w:rPr>
      </w:pPr>
      <w:r>
        <w:br w:type="page"/>
      </w:r>
    </w:p>
    <w:p w14:paraId="1A52E915" w14:textId="77777777" w:rsidR="00626D90" w:rsidRPr="002B2235" w:rsidRDefault="00626D90" w:rsidP="00626D90">
      <w:pPr>
        <w:pStyle w:val="Caption"/>
        <w:keepNext/>
      </w:pPr>
      <w:bookmarkStart w:id="6" w:name="_Toc49756557"/>
      <w:r w:rsidRPr="00324551">
        <w:lastRenderedPageBreak/>
        <w:t xml:space="preserve">Table </w:t>
      </w:r>
      <w:r w:rsidRPr="00324551">
        <w:rPr>
          <w:noProof/>
        </w:rPr>
        <w:fldChar w:fldCharType="begin"/>
      </w:r>
      <w:r w:rsidRPr="00324551">
        <w:rPr>
          <w:noProof/>
        </w:rPr>
        <w:instrText xml:space="preserve"> SEQ Table \* ARABIC </w:instrText>
      </w:r>
      <w:r w:rsidRPr="00324551">
        <w:rPr>
          <w:noProof/>
        </w:rPr>
        <w:fldChar w:fldCharType="separate"/>
      </w:r>
      <w:r>
        <w:rPr>
          <w:noProof/>
        </w:rPr>
        <w:t>1</w:t>
      </w:r>
      <w:r w:rsidRPr="00324551">
        <w:rPr>
          <w:noProof/>
        </w:rPr>
        <w:fldChar w:fldCharType="end"/>
      </w:r>
      <w:r>
        <w:rPr>
          <w:noProof/>
        </w:rPr>
        <w:t>: M</w:t>
      </w:r>
      <w:r w:rsidRPr="00324551">
        <w:rPr>
          <w:lang w:val="en-GB"/>
        </w:rPr>
        <w:t xml:space="preserve">ain </w:t>
      </w:r>
      <w:r>
        <w:rPr>
          <w:lang w:val="en-GB"/>
        </w:rPr>
        <w:t xml:space="preserve">refrigeration and air conditioning </w:t>
      </w:r>
      <w:r w:rsidRPr="00324551">
        <w:rPr>
          <w:lang w:val="en-GB"/>
        </w:rPr>
        <w:t>metrics</w:t>
      </w:r>
      <w:r>
        <w:rPr>
          <w:lang w:val="en-GB"/>
        </w:rPr>
        <w:t xml:space="preserve"> for </w:t>
      </w:r>
      <w:r w:rsidRPr="00324551">
        <w:rPr>
          <w:lang w:val="en-GB"/>
        </w:rPr>
        <w:t>2019.</w:t>
      </w:r>
      <w:bookmarkEnd w:id="5"/>
      <w:bookmarkEnd w:id="6"/>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559"/>
        <w:gridCol w:w="1346"/>
        <w:gridCol w:w="1347"/>
        <w:gridCol w:w="1347"/>
        <w:gridCol w:w="1347"/>
      </w:tblGrid>
      <w:tr w:rsidR="00626D90" w:rsidRPr="00866793" w14:paraId="128AE442" w14:textId="77777777" w:rsidTr="00EF0FC0">
        <w:trPr>
          <w:trHeight w:val="456"/>
        </w:trPr>
        <w:tc>
          <w:tcPr>
            <w:tcW w:w="2552" w:type="dxa"/>
            <w:tcBorders>
              <w:top w:val="single" w:sz="4" w:space="0" w:color="000000"/>
            </w:tcBorders>
            <w:shd w:val="clear" w:color="auto" w:fill="B6DDE8" w:themeFill="accent5" w:themeFillTint="66"/>
          </w:tcPr>
          <w:p w14:paraId="79C481C6" w14:textId="77777777" w:rsidR="00626D90" w:rsidRPr="008109F3" w:rsidRDefault="00626D90" w:rsidP="00EF0FC0">
            <w:pPr>
              <w:snapToGrid w:val="0"/>
              <w:spacing w:after="120"/>
              <w:jc w:val="left"/>
              <w:rPr>
                <w:rFonts w:cs="Times New Roman"/>
                <w:szCs w:val="22"/>
              </w:rPr>
            </w:pPr>
            <w:r w:rsidRPr="008109F3">
              <w:rPr>
                <w:rFonts w:cs="Times New Roman"/>
                <w:szCs w:val="22"/>
              </w:rPr>
              <w:t>Metric</w:t>
            </w:r>
          </w:p>
        </w:tc>
        <w:tc>
          <w:tcPr>
            <w:tcW w:w="1559" w:type="dxa"/>
            <w:tcBorders>
              <w:top w:val="single" w:sz="4" w:space="0" w:color="000000"/>
            </w:tcBorders>
            <w:shd w:val="clear" w:color="auto" w:fill="B6DDE8" w:themeFill="accent5" w:themeFillTint="66"/>
          </w:tcPr>
          <w:p w14:paraId="02B37D26" w14:textId="77777777" w:rsidR="00626D90" w:rsidRPr="008109F3" w:rsidRDefault="00626D90" w:rsidP="00EF0FC0">
            <w:pPr>
              <w:snapToGrid w:val="0"/>
              <w:spacing w:after="120"/>
              <w:jc w:val="center"/>
              <w:rPr>
                <w:rFonts w:cs="Times New Roman"/>
                <w:szCs w:val="22"/>
              </w:rPr>
            </w:pPr>
            <w:r>
              <w:rPr>
                <w:rFonts w:cs="Times New Roman"/>
                <w:szCs w:val="22"/>
              </w:rPr>
              <w:t>Units</w:t>
            </w:r>
          </w:p>
        </w:tc>
        <w:tc>
          <w:tcPr>
            <w:tcW w:w="1346" w:type="dxa"/>
            <w:tcBorders>
              <w:top w:val="single" w:sz="4" w:space="0" w:color="000000"/>
            </w:tcBorders>
            <w:shd w:val="clear" w:color="auto" w:fill="B6DDE8" w:themeFill="accent5" w:themeFillTint="66"/>
          </w:tcPr>
          <w:p w14:paraId="3AD4C3CB" w14:textId="77777777" w:rsidR="00626D90" w:rsidRPr="008109F3" w:rsidRDefault="00626D90" w:rsidP="00EF0FC0">
            <w:pPr>
              <w:snapToGrid w:val="0"/>
              <w:spacing w:after="120"/>
              <w:jc w:val="center"/>
              <w:rPr>
                <w:rFonts w:cs="Times New Roman"/>
                <w:szCs w:val="22"/>
              </w:rPr>
            </w:pPr>
            <w:r>
              <w:rPr>
                <w:rFonts w:cs="Times New Roman"/>
                <w:szCs w:val="22"/>
              </w:rPr>
              <w:t>AC</w:t>
            </w:r>
          </w:p>
        </w:tc>
        <w:tc>
          <w:tcPr>
            <w:tcW w:w="1347" w:type="dxa"/>
            <w:tcBorders>
              <w:top w:val="single" w:sz="4" w:space="0" w:color="000000"/>
            </w:tcBorders>
            <w:shd w:val="clear" w:color="auto" w:fill="B6DDE8" w:themeFill="accent5" w:themeFillTint="66"/>
          </w:tcPr>
          <w:p w14:paraId="0F6803F0" w14:textId="77777777" w:rsidR="00626D90" w:rsidRPr="008109F3" w:rsidRDefault="00626D90" w:rsidP="00EF0FC0">
            <w:pPr>
              <w:snapToGrid w:val="0"/>
              <w:spacing w:after="120"/>
              <w:jc w:val="center"/>
              <w:rPr>
                <w:rFonts w:cs="Times New Roman"/>
                <w:szCs w:val="22"/>
              </w:rPr>
            </w:pPr>
            <w:r>
              <w:rPr>
                <w:rFonts w:cs="Times New Roman"/>
                <w:szCs w:val="22"/>
              </w:rPr>
              <w:t>MAC</w:t>
            </w:r>
          </w:p>
        </w:tc>
        <w:tc>
          <w:tcPr>
            <w:tcW w:w="1347" w:type="dxa"/>
            <w:tcBorders>
              <w:top w:val="single" w:sz="4" w:space="0" w:color="000000"/>
            </w:tcBorders>
            <w:shd w:val="clear" w:color="auto" w:fill="B6DDE8" w:themeFill="accent5" w:themeFillTint="66"/>
          </w:tcPr>
          <w:p w14:paraId="246BD9B8" w14:textId="77777777" w:rsidR="00626D90" w:rsidRPr="008109F3" w:rsidRDefault="00626D90" w:rsidP="00EF0FC0">
            <w:pPr>
              <w:snapToGrid w:val="0"/>
              <w:spacing w:after="120"/>
              <w:jc w:val="center"/>
              <w:rPr>
                <w:rFonts w:cs="Times New Roman"/>
                <w:szCs w:val="22"/>
              </w:rPr>
            </w:pPr>
            <w:r>
              <w:rPr>
                <w:rFonts w:cs="Times New Roman"/>
                <w:szCs w:val="22"/>
              </w:rPr>
              <w:t>RCFC</w:t>
            </w:r>
          </w:p>
        </w:tc>
        <w:tc>
          <w:tcPr>
            <w:tcW w:w="1347" w:type="dxa"/>
            <w:tcBorders>
              <w:top w:val="single" w:sz="4" w:space="0" w:color="000000"/>
            </w:tcBorders>
            <w:shd w:val="clear" w:color="auto" w:fill="B6DDE8" w:themeFill="accent5" w:themeFillTint="66"/>
            <w:vAlign w:val="center"/>
          </w:tcPr>
          <w:p w14:paraId="588C1EEA" w14:textId="77777777" w:rsidR="00626D90" w:rsidRPr="008109F3" w:rsidRDefault="00626D90" w:rsidP="00EF0FC0">
            <w:pPr>
              <w:snapToGrid w:val="0"/>
              <w:spacing w:after="120"/>
              <w:jc w:val="center"/>
              <w:rPr>
                <w:rFonts w:cs="Times New Roman"/>
                <w:szCs w:val="22"/>
              </w:rPr>
            </w:pPr>
            <w:r>
              <w:rPr>
                <w:rFonts w:cs="Times New Roman"/>
                <w:szCs w:val="22"/>
              </w:rPr>
              <w:t>DR</w:t>
            </w:r>
          </w:p>
        </w:tc>
      </w:tr>
      <w:tr w:rsidR="00626D90" w:rsidRPr="00866793" w14:paraId="3C378290" w14:textId="77777777" w:rsidTr="00EF0FC0">
        <w:trPr>
          <w:trHeight w:val="456"/>
        </w:trPr>
        <w:tc>
          <w:tcPr>
            <w:tcW w:w="2552" w:type="dxa"/>
            <w:tcBorders>
              <w:top w:val="single" w:sz="4" w:space="0" w:color="000000"/>
            </w:tcBorders>
            <w:vAlign w:val="center"/>
          </w:tcPr>
          <w:p w14:paraId="75636501" w14:textId="77777777" w:rsidR="00626D90" w:rsidRPr="008109F3" w:rsidRDefault="00626D90" w:rsidP="00EF0FC0">
            <w:pPr>
              <w:snapToGrid w:val="0"/>
              <w:spacing w:before="60" w:after="60"/>
              <w:jc w:val="left"/>
              <w:rPr>
                <w:rFonts w:cs="Times New Roman"/>
                <w:szCs w:val="22"/>
              </w:rPr>
            </w:pPr>
            <w:r w:rsidRPr="008109F3">
              <w:rPr>
                <w:rFonts w:cs="Times New Roman"/>
                <w:szCs w:val="22"/>
              </w:rPr>
              <w:t>Share of refrigerant bank</w:t>
            </w:r>
          </w:p>
        </w:tc>
        <w:tc>
          <w:tcPr>
            <w:tcW w:w="1559" w:type="dxa"/>
            <w:tcBorders>
              <w:top w:val="single" w:sz="4" w:space="0" w:color="000000"/>
            </w:tcBorders>
            <w:vAlign w:val="center"/>
          </w:tcPr>
          <w:p w14:paraId="0126DDF0" w14:textId="77777777" w:rsidR="00626D90" w:rsidRPr="00AD0F04" w:rsidRDefault="00626D90" w:rsidP="00EF0FC0">
            <w:pPr>
              <w:snapToGrid w:val="0"/>
              <w:spacing w:before="60" w:after="60"/>
              <w:jc w:val="center"/>
              <w:rPr>
                <w:rFonts w:cs="Times New Roman"/>
                <w:szCs w:val="22"/>
              </w:rPr>
            </w:pPr>
            <w:r>
              <w:rPr>
                <w:rFonts w:cs="Times New Roman"/>
                <w:szCs w:val="22"/>
              </w:rPr>
              <w:t>Percent</w:t>
            </w:r>
          </w:p>
        </w:tc>
        <w:tc>
          <w:tcPr>
            <w:tcW w:w="1346" w:type="dxa"/>
            <w:tcBorders>
              <w:top w:val="single" w:sz="4" w:space="0" w:color="000000"/>
            </w:tcBorders>
            <w:vAlign w:val="center"/>
          </w:tcPr>
          <w:p w14:paraId="4B1CFC5B" w14:textId="77777777" w:rsidR="00626D90" w:rsidRPr="00AD0F04" w:rsidRDefault="00626D90" w:rsidP="00EF0FC0">
            <w:pPr>
              <w:snapToGrid w:val="0"/>
              <w:spacing w:before="60" w:after="60"/>
              <w:jc w:val="center"/>
              <w:rPr>
                <w:rFonts w:cs="Times New Roman"/>
                <w:szCs w:val="22"/>
              </w:rPr>
            </w:pPr>
            <w:r w:rsidRPr="00AD0F04">
              <w:rPr>
                <w:rFonts w:cs="Times New Roman"/>
                <w:szCs w:val="22"/>
              </w:rPr>
              <w:t>63%</w:t>
            </w:r>
          </w:p>
        </w:tc>
        <w:tc>
          <w:tcPr>
            <w:tcW w:w="1347" w:type="dxa"/>
            <w:tcBorders>
              <w:top w:val="single" w:sz="4" w:space="0" w:color="000000"/>
            </w:tcBorders>
            <w:vAlign w:val="center"/>
          </w:tcPr>
          <w:p w14:paraId="320A036E" w14:textId="77777777" w:rsidR="00626D90" w:rsidRPr="00AD0F04" w:rsidRDefault="00626D90" w:rsidP="00EF0FC0">
            <w:pPr>
              <w:snapToGrid w:val="0"/>
              <w:spacing w:before="60" w:after="60"/>
              <w:jc w:val="center"/>
              <w:rPr>
                <w:rFonts w:cs="Times New Roman"/>
                <w:szCs w:val="22"/>
              </w:rPr>
            </w:pPr>
            <w:r w:rsidRPr="007453F0">
              <w:rPr>
                <w:szCs w:val="22"/>
              </w:rPr>
              <w:t>21%</w:t>
            </w:r>
          </w:p>
        </w:tc>
        <w:tc>
          <w:tcPr>
            <w:tcW w:w="1347" w:type="dxa"/>
            <w:tcBorders>
              <w:top w:val="single" w:sz="4" w:space="0" w:color="000000"/>
            </w:tcBorders>
            <w:vAlign w:val="center"/>
          </w:tcPr>
          <w:p w14:paraId="45326622" w14:textId="77777777" w:rsidR="00626D90" w:rsidRPr="00AD0F04" w:rsidRDefault="00626D90" w:rsidP="00EF0FC0">
            <w:pPr>
              <w:snapToGrid w:val="0"/>
              <w:spacing w:before="60" w:after="60"/>
              <w:jc w:val="center"/>
              <w:rPr>
                <w:rFonts w:cs="Times New Roman"/>
                <w:szCs w:val="22"/>
              </w:rPr>
            </w:pPr>
            <w:r w:rsidRPr="004D43F9">
              <w:t>13%</w:t>
            </w:r>
          </w:p>
        </w:tc>
        <w:tc>
          <w:tcPr>
            <w:tcW w:w="1347" w:type="dxa"/>
            <w:tcBorders>
              <w:top w:val="single" w:sz="4" w:space="0" w:color="000000"/>
            </w:tcBorders>
            <w:vAlign w:val="center"/>
          </w:tcPr>
          <w:p w14:paraId="3984F1A8" w14:textId="77777777" w:rsidR="00626D90" w:rsidRPr="00AD0F04" w:rsidRDefault="00626D90" w:rsidP="00EF0FC0">
            <w:pPr>
              <w:snapToGrid w:val="0"/>
              <w:spacing w:before="60" w:after="60"/>
              <w:jc w:val="center"/>
              <w:rPr>
                <w:rFonts w:cs="Times New Roman"/>
                <w:szCs w:val="22"/>
              </w:rPr>
            </w:pPr>
            <w:r w:rsidRPr="0098546D">
              <w:t>3%</w:t>
            </w:r>
          </w:p>
        </w:tc>
      </w:tr>
      <w:tr w:rsidR="00626D90" w:rsidRPr="00866793" w14:paraId="5C7EF655" w14:textId="77777777" w:rsidTr="00EF0FC0">
        <w:trPr>
          <w:trHeight w:val="456"/>
        </w:trPr>
        <w:tc>
          <w:tcPr>
            <w:tcW w:w="2552" w:type="dxa"/>
            <w:tcBorders>
              <w:top w:val="single" w:sz="4" w:space="0" w:color="000000"/>
            </w:tcBorders>
            <w:vAlign w:val="center"/>
          </w:tcPr>
          <w:p w14:paraId="3898A18F" w14:textId="77777777" w:rsidR="00626D90" w:rsidRPr="008109F3" w:rsidRDefault="00626D90" w:rsidP="00EF0FC0">
            <w:pPr>
              <w:snapToGrid w:val="0"/>
              <w:spacing w:before="60" w:after="60"/>
              <w:jc w:val="left"/>
              <w:rPr>
                <w:rFonts w:cs="Times New Roman"/>
                <w:szCs w:val="22"/>
              </w:rPr>
            </w:pPr>
            <w:r w:rsidRPr="008109F3">
              <w:rPr>
                <w:rFonts w:cs="Times New Roman"/>
                <w:szCs w:val="22"/>
              </w:rPr>
              <w:t>Size of refrigerant bank</w:t>
            </w:r>
          </w:p>
        </w:tc>
        <w:tc>
          <w:tcPr>
            <w:tcW w:w="1559" w:type="dxa"/>
            <w:tcBorders>
              <w:top w:val="single" w:sz="4" w:space="0" w:color="000000"/>
            </w:tcBorders>
            <w:vAlign w:val="center"/>
          </w:tcPr>
          <w:p w14:paraId="527ABD38" w14:textId="77777777" w:rsidR="00626D90" w:rsidRPr="00AD0F04" w:rsidRDefault="00626D90" w:rsidP="00EF0FC0">
            <w:pPr>
              <w:snapToGrid w:val="0"/>
              <w:spacing w:before="60" w:after="60"/>
              <w:jc w:val="center"/>
              <w:rPr>
                <w:rFonts w:cs="Times New Roman"/>
                <w:szCs w:val="22"/>
              </w:rPr>
            </w:pPr>
            <w:r>
              <w:rPr>
                <w:rFonts w:cs="Times New Roman"/>
                <w:szCs w:val="22"/>
              </w:rPr>
              <w:t>Tonnes</w:t>
            </w:r>
          </w:p>
        </w:tc>
        <w:tc>
          <w:tcPr>
            <w:tcW w:w="1346" w:type="dxa"/>
            <w:tcBorders>
              <w:top w:val="single" w:sz="4" w:space="0" w:color="000000"/>
            </w:tcBorders>
            <w:vAlign w:val="center"/>
          </w:tcPr>
          <w:p w14:paraId="49B9F81E" w14:textId="77777777" w:rsidR="00626D90" w:rsidRPr="00AD0F04" w:rsidRDefault="00626D90" w:rsidP="00EF0FC0">
            <w:pPr>
              <w:snapToGrid w:val="0"/>
              <w:spacing w:before="60" w:after="60"/>
              <w:jc w:val="center"/>
              <w:rPr>
                <w:rFonts w:cs="Times New Roman"/>
                <w:szCs w:val="22"/>
              </w:rPr>
            </w:pPr>
            <w:r w:rsidRPr="00AD0F04">
              <w:rPr>
                <w:rFonts w:cs="Times New Roman"/>
                <w:szCs w:val="22"/>
              </w:rPr>
              <w:t>3</w:t>
            </w:r>
            <w:r>
              <w:rPr>
                <w:rFonts w:cs="Times New Roman"/>
                <w:szCs w:val="22"/>
              </w:rPr>
              <w:t>3</w:t>
            </w:r>
            <w:r w:rsidRPr="00AD0F04">
              <w:rPr>
                <w:rFonts w:cs="Times New Roman"/>
                <w:szCs w:val="22"/>
              </w:rPr>
              <w:t>,</w:t>
            </w:r>
            <w:r>
              <w:rPr>
                <w:rFonts w:cs="Times New Roman"/>
                <w:szCs w:val="22"/>
              </w:rPr>
              <w:t>200</w:t>
            </w:r>
          </w:p>
        </w:tc>
        <w:tc>
          <w:tcPr>
            <w:tcW w:w="1347" w:type="dxa"/>
            <w:tcBorders>
              <w:top w:val="single" w:sz="4" w:space="0" w:color="000000"/>
            </w:tcBorders>
            <w:vAlign w:val="center"/>
          </w:tcPr>
          <w:p w14:paraId="7E706A84" w14:textId="77777777" w:rsidR="00626D90" w:rsidRPr="00AD0F04" w:rsidRDefault="00626D90" w:rsidP="00EF0FC0">
            <w:pPr>
              <w:snapToGrid w:val="0"/>
              <w:spacing w:before="60" w:after="60"/>
              <w:jc w:val="center"/>
              <w:rPr>
                <w:rFonts w:cs="Times New Roman"/>
                <w:szCs w:val="22"/>
              </w:rPr>
            </w:pPr>
            <w:r w:rsidRPr="00B26EA2">
              <w:rPr>
                <w:color w:val="000000"/>
                <w:szCs w:val="22"/>
              </w:rPr>
              <w:t>11,</w:t>
            </w:r>
            <w:r>
              <w:rPr>
                <w:color w:val="000000"/>
                <w:szCs w:val="22"/>
              </w:rPr>
              <w:t>0</w:t>
            </w:r>
            <w:r w:rsidRPr="00B26EA2">
              <w:rPr>
                <w:color w:val="000000"/>
                <w:szCs w:val="22"/>
              </w:rPr>
              <w:t xml:space="preserve">00 </w:t>
            </w:r>
            <w:r w:rsidRPr="00294D09">
              <w:rPr>
                <w:color w:val="000000"/>
                <w:szCs w:val="22"/>
                <w:vertAlign w:val="superscript"/>
              </w:rPr>
              <w:t>(</w:t>
            </w:r>
            <w:r>
              <w:rPr>
                <w:color w:val="000000"/>
                <w:szCs w:val="22"/>
                <w:vertAlign w:val="superscript"/>
              </w:rPr>
              <w:t>4</w:t>
            </w:r>
            <w:r w:rsidRPr="00294D09">
              <w:rPr>
                <w:color w:val="000000"/>
                <w:szCs w:val="22"/>
                <w:vertAlign w:val="superscript"/>
              </w:rPr>
              <w:t>)</w:t>
            </w:r>
          </w:p>
        </w:tc>
        <w:tc>
          <w:tcPr>
            <w:tcW w:w="1347" w:type="dxa"/>
            <w:tcBorders>
              <w:top w:val="single" w:sz="4" w:space="0" w:color="000000"/>
            </w:tcBorders>
            <w:vAlign w:val="center"/>
          </w:tcPr>
          <w:p w14:paraId="39B33F11" w14:textId="77777777" w:rsidR="00626D90" w:rsidRPr="00AD0F04" w:rsidRDefault="00626D90" w:rsidP="00EF0FC0">
            <w:pPr>
              <w:snapToGrid w:val="0"/>
              <w:spacing w:before="60" w:after="60"/>
              <w:jc w:val="center"/>
              <w:rPr>
                <w:rFonts w:cs="Times New Roman"/>
                <w:szCs w:val="22"/>
              </w:rPr>
            </w:pPr>
            <w:r w:rsidRPr="004D43F9">
              <w:t>7,100</w:t>
            </w:r>
          </w:p>
        </w:tc>
        <w:tc>
          <w:tcPr>
            <w:tcW w:w="1347" w:type="dxa"/>
            <w:tcBorders>
              <w:top w:val="single" w:sz="4" w:space="0" w:color="000000"/>
            </w:tcBorders>
            <w:vAlign w:val="center"/>
          </w:tcPr>
          <w:p w14:paraId="2C87456B" w14:textId="77777777" w:rsidR="00626D90" w:rsidRPr="00AD0F04" w:rsidRDefault="00626D90" w:rsidP="00EF0FC0">
            <w:pPr>
              <w:snapToGrid w:val="0"/>
              <w:spacing w:before="60" w:after="60"/>
              <w:jc w:val="center"/>
              <w:rPr>
                <w:rFonts w:cs="Times New Roman"/>
                <w:szCs w:val="22"/>
              </w:rPr>
            </w:pPr>
            <w:r w:rsidRPr="005E18D7">
              <w:rPr>
                <w:color w:val="000000"/>
              </w:rPr>
              <w:t>1,</w:t>
            </w:r>
            <w:r>
              <w:rPr>
                <w:color w:val="000000"/>
              </w:rPr>
              <w:t xml:space="preserve">700 </w:t>
            </w:r>
            <w:r w:rsidRPr="005E18D7">
              <w:rPr>
                <w:color w:val="000000"/>
                <w:vertAlign w:val="superscript"/>
              </w:rPr>
              <w:t>(</w:t>
            </w:r>
            <w:r>
              <w:rPr>
                <w:color w:val="000000"/>
                <w:vertAlign w:val="superscript"/>
              </w:rPr>
              <w:t>7</w:t>
            </w:r>
            <w:r w:rsidRPr="005E18D7">
              <w:rPr>
                <w:color w:val="000000"/>
                <w:vertAlign w:val="superscript"/>
              </w:rPr>
              <w:t>)</w:t>
            </w:r>
          </w:p>
        </w:tc>
      </w:tr>
      <w:tr w:rsidR="00626D90" w:rsidRPr="00866793" w14:paraId="61B410B8" w14:textId="77777777" w:rsidTr="00EF0FC0">
        <w:trPr>
          <w:trHeight w:val="456"/>
        </w:trPr>
        <w:tc>
          <w:tcPr>
            <w:tcW w:w="2552" w:type="dxa"/>
            <w:tcBorders>
              <w:top w:val="single" w:sz="4" w:space="0" w:color="000000"/>
            </w:tcBorders>
            <w:vAlign w:val="center"/>
          </w:tcPr>
          <w:p w14:paraId="0DBCFA44" w14:textId="77777777" w:rsidR="00626D90" w:rsidRPr="008109F3" w:rsidRDefault="00626D90" w:rsidP="00EF0FC0">
            <w:pPr>
              <w:snapToGrid w:val="0"/>
              <w:spacing w:before="60" w:after="60"/>
              <w:jc w:val="left"/>
              <w:rPr>
                <w:rFonts w:cs="Times New Roman"/>
                <w:szCs w:val="22"/>
              </w:rPr>
            </w:pPr>
            <w:r w:rsidRPr="008109F3">
              <w:rPr>
                <w:rFonts w:cs="Times New Roman"/>
                <w:szCs w:val="22"/>
              </w:rPr>
              <w:t xml:space="preserve">Annual </w:t>
            </w:r>
            <w:r>
              <w:rPr>
                <w:rFonts w:cs="Times New Roman"/>
                <w:szCs w:val="22"/>
              </w:rPr>
              <w:t>usage</w:t>
            </w:r>
            <w:r w:rsidRPr="008109F3">
              <w:rPr>
                <w:rFonts w:cs="Times New Roman"/>
                <w:szCs w:val="22"/>
              </w:rPr>
              <w:t xml:space="preserve"> </w:t>
            </w:r>
            <w:r>
              <w:rPr>
                <w:rFonts w:cs="Times New Roman"/>
                <w:szCs w:val="22"/>
              </w:rPr>
              <w:t xml:space="preserve">of HFCs </w:t>
            </w:r>
            <w:r w:rsidRPr="008109F3">
              <w:rPr>
                <w:rFonts w:cs="Times New Roman"/>
                <w:szCs w:val="22"/>
              </w:rPr>
              <w:t>to replace leaks</w:t>
            </w:r>
            <w:r>
              <w:rPr>
                <w:rFonts w:cs="Times New Roman"/>
                <w:szCs w:val="22"/>
              </w:rPr>
              <w:t xml:space="preserve"> </w:t>
            </w:r>
            <w:r w:rsidRPr="00DE413D">
              <w:rPr>
                <w:color w:val="000000"/>
                <w:szCs w:val="22"/>
              </w:rPr>
              <w:t>(excl. OEM and charging new equipment)</w:t>
            </w:r>
          </w:p>
        </w:tc>
        <w:tc>
          <w:tcPr>
            <w:tcW w:w="1559" w:type="dxa"/>
            <w:tcBorders>
              <w:top w:val="single" w:sz="4" w:space="0" w:color="000000"/>
            </w:tcBorders>
            <w:vAlign w:val="center"/>
          </w:tcPr>
          <w:p w14:paraId="25D9BEF3" w14:textId="77777777" w:rsidR="00626D90" w:rsidRPr="00B55197" w:rsidRDefault="00626D90" w:rsidP="00EF0FC0">
            <w:pPr>
              <w:snapToGrid w:val="0"/>
              <w:spacing w:before="60" w:after="60"/>
              <w:jc w:val="center"/>
              <w:rPr>
                <w:rFonts w:cs="Times New Roman"/>
                <w:szCs w:val="22"/>
              </w:rPr>
            </w:pPr>
            <w:r>
              <w:rPr>
                <w:rFonts w:cs="Times New Roman"/>
                <w:szCs w:val="22"/>
              </w:rPr>
              <w:t>Tonnes</w:t>
            </w:r>
          </w:p>
        </w:tc>
        <w:tc>
          <w:tcPr>
            <w:tcW w:w="1346" w:type="dxa"/>
            <w:tcBorders>
              <w:top w:val="single" w:sz="4" w:space="0" w:color="000000"/>
            </w:tcBorders>
            <w:vAlign w:val="center"/>
          </w:tcPr>
          <w:p w14:paraId="2D7F2541" w14:textId="77777777" w:rsidR="00626D90" w:rsidRPr="00B55197" w:rsidRDefault="00626D90" w:rsidP="00EF0FC0">
            <w:pPr>
              <w:snapToGrid w:val="0"/>
              <w:spacing w:before="60" w:after="60"/>
              <w:jc w:val="center"/>
              <w:rPr>
                <w:rFonts w:cs="Times New Roman"/>
                <w:szCs w:val="22"/>
              </w:rPr>
            </w:pPr>
            <w:r>
              <w:rPr>
                <w:rFonts w:cs="Times New Roman"/>
                <w:szCs w:val="22"/>
              </w:rPr>
              <w:t>715</w:t>
            </w:r>
          </w:p>
        </w:tc>
        <w:tc>
          <w:tcPr>
            <w:tcW w:w="1347" w:type="dxa"/>
            <w:tcBorders>
              <w:top w:val="single" w:sz="4" w:space="0" w:color="000000"/>
            </w:tcBorders>
            <w:vAlign w:val="center"/>
          </w:tcPr>
          <w:p w14:paraId="01C4F234" w14:textId="77777777" w:rsidR="00626D90" w:rsidRPr="00B55197" w:rsidRDefault="00626D90" w:rsidP="00EF0FC0">
            <w:pPr>
              <w:snapToGrid w:val="0"/>
              <w:spacing w:before="60" w:after="60"/>
              <w:jc w:val="center"/>
              <w:rPr>
                <w:rFonts w:cs="Times New Roman"/>
                <w:szCs w:val="22"/>
              </w:rPr>
            </w:pPr>
            <w:r>
              <w:rPr>
                <w:color w:val="000000"/>
                <w:szCs w:val="22"/>
              </w:rPr>
              <w:t>735</w:t>
            </w:r>
          </w:p>
        </w:tc>
        <w:tc>
          <w:tcPr>
            <w:tcW w:w="1347" w:type="dxa"/>
            <w:tcBorders>
              <w:top w:val="single" w:sz="4" w:space="0" w:color="000000"/>
            </w:tcBorders>
            <w:vAlign w:val="center"/>
          </w:tcPr>
          <w:p w14:paraId="7B8C6238" w14:textId="257667CD" w:rsidR="00626D90" w:rsidRPr="00B55197" w:rsidRDefault="004222FE" w:rsidP="00EF0FC0">
            <w:pPr>
              <w:snapToGrid w:val="0"/>
              <w:spacing w:before="60" w:after="60"/>
              <w:jc w:val="center"/>
              <w:rPr>
                <w:rFonts w:cs="Times New Roman"/>
                <w:szCs w:val="22"/>
              </w:rPr>
            </w:pPr>
            <w:r>
              <w:t>906</w:t>
            </w:r>
          </w:p>
        </w:tc>
        <w:tc>
          <w:tcPr>
            <w:tcW w:w="1347" w:type="dxa"/>
            <w:tcBorders>
              <w:top w:val="single" w:sz="4" w:space="0" w:color="000000"/>
            </w:tcBorders>
            <w:vAlign w:val="center"/>
          </w:tcPr>
          <w:p w14:paraId="53A0FA6D" w14:textId="77777777" w:rsidR="00626D90" w:rsidRPr="008109F3" w:rsidRDefault="00626D90" w:rsidP="00EF0FC0">
            <w:pPr>
              <w:snapToGrid w:val="0"/>
              <w:spacing w:before="60" w:after="60"/>
              <w:jc w:val="center"/>
              <w:rPr>
                <w:rFonts w:cs="Times New Roman"/>
                <w:szCs w:val="22"/>
              </w:rPr>
            </w:pPr>
            <w:r w:rsidRPr="005E18D7">
              <w:rPr>
                <w:color w:val="000000"/>
              </w:rPr>
              <w:t>4</w:t>
            </w:r>
          </w:p>
        </w:tc>
      </w:tr>
      <w:tr w:rsidR="00626D90" w:rsidRPr="00866793" w14:paraId="50ECF1AB" w14:textId="77777777" w:rsidTr="00EF0FC0">
        <w:trPr>
          <w:trHeight w:val="456"/>
        </w:trPr>
        <w:tc>
          <w:tcPr>
            <w:tcW w:w="2552" w:type="dxa"/>
            <w:tcBorders>
              <w:top w:val="single" w:sz="4" w:space="0" w:color="000000"/>
            </w:tcBorders>
            <w:vAlign w:val="center"/>
          </w:tcPr>
          <w:p w14:paraId="53F25CFA" w14:textId="77777777" w:rsidR="00626D90" w:rsidRPr="008109F3" w:rsidRDefault="00626D90" w:rsidP="00EF0FC0">
            <w:pPr>
              <w:snapToGrid w:val="0"/>
              <w:spacing w:before="60" w:after="60"/>
              <w:jc w:val="left"/>
              <w:rPr>
                <w:rFonts w:cs="Times New Roman"/>
                <w:szCs w:val="22"/>
              </w:rPr>
            </w:pPr>
            <w:r w:rsidRPr="00641696">
              <w:rPr>
                <w:rFonts w:cs="Times New Roman"/>
                <w:szCs w:val="22"/>
              </w:rPr>
              <w:t>Refrigerant in pre-charged equipment imports</w:t>
            </w:r>
            <w:r>
              <w:rPr>
                <w:rFonts w:cs="Times New Roman"/>
                <w:szCs w:val="22"/>
              </w:rPr>
              <w:t xml:space="preserve"> </w:t>
            </w:r>
            <w:r w:rsidRPr="00AF60A4">
              <w:rPr>
                <w:rFonts w:cs="Times New Roman"/>
                <w:szCs w:val="22"/>
                <w:vertAlign w:val="superscript"/>
              </w:rPr>
              <w:t>(1)</w:t>
            </w:r>
          </w:p>
        </w:tc>
        <w:tc>
          <w:tcPr>
            <w:tcW w:w="1559" w:type="dxa"/>
            <w:tcBorders>
              <w:top w:val="single" w:sz="4" w:space="0" w:color="000000"/>
            </w:tcBorders>
            <w:vAlign w:val="center"/>
          </w:tcPr>
          <w:p w14:paraId="13E5BF82" w14:textId="77777777" w:rsidR="00626D90" w:rsidRPr="00AD0F04" w:rsidRDefault="00626D90" w:rsidP="00EF0FC0">
            <w:pPr>
              <w:snapToGrid w:val="0"/>
              <w:spacing w:before="60" w:after="60"/>
              <w:jc w:val="center"/>
              <w:rPr>
                <w:rFonts w:cs="Times New Roman"/>
                <w:szCs w:val="22"/>
              </w:rPr>
            </w:pPr>
            <w:r>
              <w:rPr>
                <w:rFonts w:cs="Times New Roman"/>
                <w:szCs w:val="22"/>
              </w:rPr>
              <w:t>Tonnes</w:t>
            </w:r>
          </w:p>
        </w:tc>
        <w:tc>
          <w:tcPr>
            <w:tcW w:w="1346" w:type="dxa"/>
            <w:tcBorders>
              <w:top w:val="single" w:sz="4" w:space="0" w:color="000000"/>
            </w:tcBorders>
            <w:vAlign w:val="center"/>
          </w:tcPr>
          <w:p w14:paraId="6FF0AC26" w14:textId="77777777" w:rsidR="00626D90" w:rsidRPr="00AD0F04" w:rsidRDefault="00626D90" w:rsidP="00EF0FC0">
            <w:pPr>
              <w:snapToGrid w:val="0"/>
              <w:spacing w:before="60" w:after="60"/>
              <w:jc w:val="center"/>
              <w:rPr>
                <w:rFonts w:cs="Times New Roman"/>
                <w:szCs w:val="22"/>
              </w:rPr>
            </w:pPr>
            <w:r w:rsidRPr="00AD0F04">
              <w:rPr>
                <w:rFonts w:cs="Times New Roman"/>
                <w:szCs w:val="22"/>
              </w:rPr>
              <w:t>2,</w:t>
            </w:r>
            <w:r>
              <w:rPr>
                <w:rFonts w:cs="Times New Roman"/>
                <w:szCs w:val="22"/>
              </w:rPr>
              <w:t>328</w:t>
            </w:r>
          </w:p>
        </w:tc>
        <w:tc>
          <w:tcPr>
            <w:tcW w:w="1347" w:type="dxa"/>
            <w:tcBorders>
              <w:top w:val="single" w:sz="4" w:space="0" w:color="000000"/>
            </w:tcBorders>
            <w:vAlign w:val="center"/>
          </w:tcPr>
          <w:p w14:paraId="7F092A68" w14:textId="77777777" w:rsidR="00626D90" w:rsidRPr="00AD0F04" w:rsidRDefault="00626D90" w:rsidP="00EF0FC0">
            <w:pPr>
              <w:snapToGrid w:val="0"/>
              <w:spacing w:before="60" w:after="60"/>
              <w:jc w:val="center"/>
              <w:rPr>
                <w:rFonts w:cs="Times New Roman"/>
                <w:szCs w:val="22"/>
              </w:rPr>
            </w:pPr>
            <w:r>
              <w:rPr>
                <w:szCs w:val="22"/>
              </w:rPr>
              <w:t>585</w:t>
            </w:r>
            <w:r w:rsidRPr="00B26EA2">
              <w:rPr>
                <w:szCs w:val="22"/>
              </w:rPr>
              <w:t xml:space="preserve"> </w:t>
            </w:r>
          </w:p>
        </w:tc>
        <w:tc>
          <w:tcPr>
            <w:tcW w:w="1347" w:type="dxa"/>
            <w:tcBorders>
              <w:top w:val="single" w:sz="4" w:space="0" w:color="000000"/>
            </w:tcBorders>
            <w:vAlign w:val="center"/>
          </w:tcPr>
          <w:p w14:paraId="1DACDAAF" w14:textId="77777777" w:rsidR="00626D90" w:rsidRPr="00AD0F04" w:rsidRDefault="00626D90" w:rsidP="00EF0FC0">
            <w:pPr>
              <w:snapToGrid w:val="0"/>
              <w:spacing w:before="60" w:after="60"/>
              <w:jc w:val="center"/>
              <w:rPr>
                <w:rFonts w:cs="Times New Roman"/>
                <w:szCs w:val="22"/>
              </w:rPr>
            </w:pPr>
            <w:r>
              <w:t>46</w:t>
            </w:r>
          </w:p>
        </w:tc>
        <w:tc>
          <w:tcPr>
            <w:tcW w:w="1347" w:type="dxa"/>
            <w:tcBorders>
              <w:top w:val="single" w:sz="4" w:space="0" w:color="000000"/>
            </w:tcBorders>
            <w:vAlign w:val="center"/>
          </w:tcPr>
          <w:p w14:paraId="0B4E2BA4" w14:textId="77777777" w:rsidR="00626D90" w:rsidRPr="008109F3" w:rsidRDefault="00626D90" w:rsidP="00EF0FC0">
            <w:pPr>
              <w:snapToGrid w:val="0"/>
              <w:spacing w:before="60" w:after="60"/>
              <w:jc w:val="center"/>
              <w:rPr>
                <w:rFonts w:cs="Times New Roman"/>
                <w:szCs w:val="22"/>
              </w:rPr>
            </w:pPr>
            <w:r>
              <w:rPr>
                <w:rFonts w:cs="Times New Roman"/>
                <w:szCs w:val="22"/>
              </w:rPr>
              <w:t>14</w:t>
            </w:r>
          </w:p>
        </w:tc>
      </w:tr>
      <w:tr w:rsidR="00626D90" w:rsidRPr="00866793" w14:paraId="532761D7" w14:textId="77777777" w:rsidTr="00EF0FC0">
        <w:trPr>
          <w:trHeight w:val="456"/>
        </w:trPr>
        <w:tc>
          <w:tcPr>
            <w:tcW w:w="2552" w:type="dxa"/>
            <w:tcBorders>
              <w:top w:val="single" w:sz="4" w:space="0" w:color="000000"/>
            </w:tcBorders>
            <w:vAlign w:val="center"/>
          </w:tcPr>
          <w:p w14:paraId="2D0004B7" w14:textId="77777777" w:rsidR="00626D90" w:rsidRPr="008109F3" w:rsidRDefault="00626D90" w:rsidP="00EF0FC0">
            <w:pPr>
              <w:snapToGrid w:val="0"/>
              <w:spacing w:before="60" w:after="60"/>
              <w:jc w:val="left"/>
              <w:rPr>
                <w:rFonts w:cs="Times New Roman"/>
                <w:szCs w:val="22"/>
              </w:rPr>
            </w:pPr>
            <w:r w:rsidRPr="008109F3">
              <w:rPr>
                <w:rFonts w:cs="Times New Roman"/>
                <w:szCs w:val="22"/>
              </w:rPr>
              <w:t>Estimated stock of equipment</w:t>
            </w:r>
          </w:p>
        </w:tc>
        <w:tc>
          <w:tcPr>
            <w:tcW w:w="1559" w:type="dxa"/>
            <w:tcBorders>
              <w:top w:val="single" w:sz="4" w:space="0" w:color="000000"/>
            </w:tcBorders>
            <w:vAlign w:val="center"/>
          </w:tcPr>
          <w:p w14:paraId="74C1A0EA" w14:textId="77777777" w:rsidR="00626D90" w:rsidRPr="00AD0F04" w:rsidRDefault="00626D90" w:rsidP="00EF0FC0">
            <w:pPr>
              <w:snapToGrid w:val="0"/>
              <w:spacing w:before="60" w:after="60"/>
              <w:jc w:val="center"/>
              <w:rPr>
                <w:rFonts w:cs="Times New Roman"/>
                <w:szCs w:val="22"/>
              </w:rPr>
            </w:pPr>
            <w:r>
              <w:rPr>
                <w:rFonts w:cs="Times New Roman"/>
                <w:szCs w:val="22"/>
              </w:rPr>
              <w:t>Million units</w:t>
            </w:r>
          </w:p>
        </w:tc>
        <w:tc>
          <w:tcPr>
            <w:tcW w:w="1346" w:type="dxa"/>
            <w:tcBorders>
              <w:top w:val="single" w:sz="4" w:space="0" w:color="000000"/>
            </w:tcBorders>
            <w:vAlign w:val="center"/>
          </w:tcPr>
          <w:p w14:paraId="4347394D" w14:textId="77777777" w:rsidR="00626D90" w:rsidRPr="00AD0F04" w:rsidRDefault="00626D90" w:rsidP="00EF0FC0">
            <w:pPr>
              <w:snapToGrid w:val="0"/>
              <w:spacing w:before="60" w:after="60"/>
              <w:jc w:val="center"/>
              <w:rPr>
                <w:rFonts w:cs="Times New Roman"/>
                <w:szCs w:val="22"/>
              </w:rPr>
            </w:pPr>
            <w:r w:rsidRPr="00AD0F04">
              <w:rPr>
                <w:rFonts w:cs="Times New Roman"/>
                <w:szCs w:val="22"/>
              </w:rPr>
              <w:t xml:space="preserve">&gt; </w:t>
            </w:r>
            <w:r>
              <w:rPr>
                <w:rFonts w:cs="Times New Roman"/>
                <w:szCs w:val="22"/>
              </w:rPr>
              <w:t>16.1</w:t>
            </w:r>
          </w:p>
        </w:tc>
        <w:tc>
          <w:tcPr>
            <w:tcW w:w="1347" w:type="dxa"/>
            <w:tcBorders>
              <w:top w:val="single" w:sz="4" w:space="0" w:color="000000"/>
            </w:tcBorders>
            <w:vAlign w:val="center"/>
          </w:tcPr>
          <w:p w14:paraId="1E6E2866" w14:textId="77777777" w:rsidR="00626D90" w:rsidRPr="00AD0F04" w:rsidRDefault="00626D90" w:rsidP="00EF0FC0">
            <w:pPr>
              <w:snapToGrid w:val="0"/>
              <w:spacing w:before="60" w:after="60"/>
              <w:jc w:val="center"/>
              <w:rPr>
                <w:rFonts w:cs="Times New Roman"/>
                <w:szCs w:val="22"/>
              </w:rPr>
            </w:pPr>
            <w:r w:rsidRPr="003620D9">
              <w:rPr>
                <w:color w:val="000000"/>
                <w:szCs w:val="22"/>
              </w:rPr>
              <w:t>&gt; 19.</w:t>
            </w:r>
            <w:r>
              <w:rPr>
                <w:color w:val="000000"/>
                <w:szCs w:val="22"/>
              </w:rPr>
              <w:t>3</w:t>
            </w:r>
          </w:p>
        </w:tc>
        <w:tc>
          <w:tcPr>
            <w:tcW w:w="1347" w:type="dxa"/>
            <w:tcBorders>
              <w:top w:val="single" w:sz="4" w:space="0" w:color="000000"/>
            </w:tcBorders>
            <w:vAlign w:val="center"/>
          </w:tcPr>
          <w:p w14:paraId="03109A57" w14:textId="77777777" w:rsidR="00626D90" w:rsidRPr="00AD0F04" w:rsidRDefault="00626D90" w:rsidP="00EF0FC0">
            <w:pPr>
              <w:snapToGrid w:val="0"/>
              <w:spacing w:before="60" w:after="60"/>
              <w:jc w:val="center"/>
              <w:rPr>
                <w:rFonts w:cs="Times New Roman"/>
                <w:szCs w:val="22"/>
              </w:rPr>
            </w:pPr>
            <w:r w:rsidRPr="007454B3">
              <w:t>1.</w:t>
            </w:r>
            <w:r>
              <w:t>8</w:t>
            </w:r>
          </w:p>
        </w:tc>
        <w:tc>
          <w:tcPr>
            <w:tcW w:w="1347" w:type="dxa"/>
            <w:tcBorders>
              <w:top w:val="single" w:sz="4" w:space="0" w:color="000000"/>
            </w:tcBorders>
            <w:vAlign w:val="center"/>
          </w:tcPr>
          <w:p w14:paraId="2EFDA172" w14:textId="77777777" w:rsidR="00626D90" w:rsidRPr="008109F3" w:rsidRDefault="00626D90" w:rsidP="00EF0FC0">
            <w:pPr>
              <w:snapToGrid w:val="0"/>
              <w:spacing w:before="60" w:after="60"/>
              <w:jc w:val="center"/>
              <w:rPr>
                <w:rFonts w:cs="Times New Roman"/>
                <w:szCs w:val="22"/>
              </w:rPr>
            </w:pPr>
            <w:r>
              <w:rPr>
                <w:color w:val="000000"/>
              </w:rPr>
              <w:t>20.0</w:t>
            </w:r>
            <w:r w:rsidRPr="005E18D7">
              <w:rPr>
                <w:color w:val="000000"/>
              </w:rPr>
              <w:t xml:space="preserve"> </w:t>
            </w:r>
            <w:r w:rsidRPr="005E18D7">
              <w:rPr>
                <w:color w:val="000000"/>
                <w:vertAlign w:val="superscript"/>
              </w:rPr>
              <w:t>(</w:t>
            </w:r>
            <w:r>
              <w:rPr>
                <w:color w:val="000000"/>
                <w:vertAlign w:val="superscript"/>
              </w:rPr>
              <w:t>7</w:t>
            </w:r>
            <w:r w:rsidRPr="005E18D7">
              <w:rPr>
                <w:color w:val="000000"/>
                <w:vertAlign w:val="superscript"/>
              </w:rPr>
              <w:t>)</w:t>
            </w:r>
          </w:p>
        </w:tc>
      </w:tr>
      <w:tr w:rsidR="00626D90" w:rsidRPr="00866793" w14:paraId="26BCF29C" w14:textId="77777777" w:rsidTr="00EF0FC0">
        <w:trPr>
          <w:trHeight w:val="456"/>
        </w:trPr>
        <w:tc>
          <w:tcPr>
            <w:tcW w:w="2552" w:type="dxa"/>
            <w:tcBorders>
              <w:top w:val="single" w:sz="4" w:space="0" w:color="000000"/>
            </w:tcBorders>
            <w:vAlign w:val="center"/>
          </w:tcPr>
          <w:p w14:paraId="28E15444" w14:textId="77777777" w:rsidR="00626D90" w:rsidRPr="00DA2D1C" w:rsidRDefault="00626D90" w:rsidP="00EF0FC0">
            <w:pPr>
              <w:snapToGrid w:val="0"/>
              <w:spacing w:before="60" w:after="60"/>
              <w:jc w:val="left"/>
              <w:rPr>
                <w:rFonts w:cs="Times New Roman"/>
                <w:szCs w:val="22"/>
              </w:rPr>
            </w:pPr>
            <w:r w:rsidRPr="00DA2D1C">
              <w:rPr>
                <w:rFonts w:cs="Times New Roman"/>
                <w:szCs w:val="22"/>
              </w:rPr>
              <w:t xml:space="preserve">Annual electricity consumption </w:t>
            </w:r>
            <w:r w:rsidRPr="00DA2D1C">
              <w:rPr>
                <w:rFonts w:cs="Times New Roman"/>
                <w:szCs w:val="22"/>
                <w:vertAlign w:val="superscript"/>
              </w:rPr>
              <w:t>(</w:t>
            </w:r>
            <w:r>
              <w:rPr>
                <w:rFonts w:cs="Times New Roman"/>
                <w:szCs w:val="22"/>
                <w:vertAlign w:val="superscript"/>
              </w:rPr>
              <w:t>2</w:t>
            </w:r>
            <w:r w:rsidRPr="00DA2D1C">
              <w:rPr>
                <w:rFonts w:cs="Times New Roman"/>
                <w:szCs w:val="22"/>
                <w:vertAlign w:val="superscript"/>
              </w:rPr>
              <w:t>)</w:t>
            </w:r>
          </w:p>
        </w:tc>
        <w:tc>
          <w:tcPr>
            <w:tcW w:w="1559" w:type="dxa"/>
            <w:tcBorders>
              <w:top w:val="single" w:sz="4" w:space="0" w:color="000000"/>
            </w:tcBorders>
            <w:vAlign w:val="center"/>
          </w:tcPr>
          <w:p w14:paraId="676A8267" w14:textId="77777777" w:rsidR="00626D90" w:rsidRPr="00DA2D1C" w:rsidRDefault="00626D90" w:rsidP="00EF0FC0">
            <w:pPr>
              <w:snapToGrid w:val="0"/>
              <w:spacing w:before="60" w:after="60"/>
              <w:jc w:val="center"/>
              <w:rPr>
                <w:rFonts w:cs="Times New Roman"/>
                <w:szCs w:val="22"/>
              </w:rPr>
            </w:pPr>
            <w:r w:rsidRPr="00DA2D1C">
              <w:rPr>
                <w:rFonts w:cs="Times New Roman"/>
                <w:szCs w:val="22"/>
              </w:rPr>
              <w:t>GWh</w:t>
            </w:r>
          </w:p>
        </w:tc>
        <w:tc>
          <w:tcPr>
            <w:tcW w:w="1346" w:type="dxa"/>
            <w:tcBorders>
              <w:top w:val="single" w:sz="4" w:space="0" w:color="000000"/>
            </w:tcBorders>
            <w:vAlign w:val="center"/>
          </w:tcPr>
          <w:p w14:paraId="7C19911E" w14:textId="77777777" w:rsidR="00626D90" w:rsidRPr="00DA2D1C" w:rsidRDefault="00626D90" w:rsidP="00EF0FC0">
            <w:pPr>
              <w:snapToGrid w:val="0"/>
              <w:spacing w:before="60" w:after="60"/>
              <w:jc w:val="center"/>
              <w:rPr>
                <w:rFonts w:cs="Times New Roman"/>
                <w:szCs w:val="22"/>
              </w:rPr>
            </w:pPr>
            <w:r w:rsidRPr="00DA2D1C">
              <w:rPr>
                <w:rFonts w:cs="Times New Roman"/>
                <w:szCs w:val="22"/>
              </w:rPr>
              <w:t>36,150</w:t>
            </w:r>
          </w:p>
        </w:tc>
        <w:tc>
          <w:tcPr>
            <w:tcW w:w="1347" w:type="dxa"/>
            <w:tcBorders>
              <w:top w:val="single" w:sz="4" w:space="0" w:color="000000"/>
            </w:tcBorders>
            <w:vAlign w:val="center"/>
          </w:tcPr>
          <w:p w14:paraId="7BE114B8" w14:textId="77777777" w:rsidR="00626D90" w:rsidRPr="00DA2D1C" w:rsidRDefault="00626D90" w:rsidP="00EF0FC0">
            <w:pPr>
              <w:snapToGrid w:val="0"/>
              <w:spacing w:before="60" w:after="60"/>
              <w:jc w:val="center"/>
              <w:rPr>
                <w:rFonts w:cs="Times New Roman"/>
                <w:szCs w:val="22"/>
              </w:rPr>
            </w:pPr>
            <w:r w:rsidRPr="00DA2D1C">
              <w:rPr>
                <w:color w:val="000000" w:themeColor="text1"/>
                <w:szCs w:val="22"/>
              </w:rPr>
              <w:t>200</w:t>
            </w:r>
            <w:r>
              <w:rPr>
                <w:color w:val="000000" w:themeColor="text1"/>
                <w:szCs w:val="22"/>
              </w:rPr>
              <w:t xml:space="preserve"> </w:t>
            </w:r>
            <w:r w:rsidRPr="00DA2D1C">
              <w:rPr>
                <w:color w:val="000000" w:themeColor="text1"/>
                <w:szCs w:val="22"/>
                <w:vertAlign w:val="superscript"/>
              </w:rPr>
              <w:t>(</w:t>
            </w:r>
            <w:r>
              <w:rPr>
                <w:color w:val="000000" w:themeColor="text1"/>
                <w:szCs w:val="22"/>
                <w:vertAlign w:val="superscript"/>
              </w:rPr>
              <w:t>5</w:t>
            </w:r>
            <w:r w:rsidRPr="00DA2D1C">
              <w:rPr>
                <w:color w:val="000000" w:themeColor="text1"/>
                <w:szCs w:val="22"/>
                <w:vertAlign w:val="superscript"/>
              </w:rPr>
              <w:t>)</w:t>
            </w:r>
          </w:p>
        </w:tc>
        <w:tc>
          <w:tcPr>
            <w:tcW w:w="1347" w:type="dxa"/>
            <w:tcBorders>
              <w:top w:val="single" w:sz="4" w:space="0" w:color="000000"/>
            </w:tcBorders>
            <w:vAlign w:val="center"/>
          </w:tcPr>
          <w:p w14:paraId="04E4DB8C" w14:textId="77777777" w:rsidR="00626D90" w:rsidRPr="00DA2D1C" w:rsidRDefault="00626D90" w:rsidP="00EF0FC0">
            <w:pPr>
              <w:snapToGrid w:val="0"/>
              <w:spacing w:before="60" w:after="60"/>
              <w:jc w:val="center"/>
              <w:rPr>
                <w:rFonts w:cs="Times New Roman"/>
                <w:szCs w:val="22"/>
              </w:rPr>
            </w:pPr>
            <w:r w:rsidRPr="00DA2D1C">
              <w:t>19,700</w:t>
            </w:r>
          </w:p>
        </w:tc>
        <w:tc>
          <w:tcPr>
            <w:tcW w:w="1347" w:type="dxa"/>
            <w:tcBorders>
              <w:top w:val="single" w:sz="4" w:space="0" w:color="000000"/>
            </w:tcBorders>
            <w:vAlign w:val="center"/>
          </w:tcPr>
          <w:p w14:paraId="5AC73158" w14:textId="77777777" w:rsidR="00626D90" w:rsidRPr="00DA2D1C" w:rsidRDefault="00626D90" w:rsidP="00EF0FC0">
            <w:pPr>
              <w:snapToGrid w:val="0"/>
              <w:spacing w:before="60" w:after="60"/>
              <w:jc w:val="center"/>
              <w:rPr>
                <w:rFonts w:cs="Times New Roman"/>
                <w:szCs w:val="22"/>
              </w:rPr>
            </w:pPr>
            <w:r w:rsidRPr="00DA2D1C">
              <w:rPr>
                <w:color w:val="000000"/>
              </w:rPr>
              <w:t>8,800</w:t>
            </w:r>
          </w:p>
        </w:tc>
      </w:tr>
      <w:tr w:rsidR="00626D90" w:rsidRPr="00866793" w14:paraId="23F227BB" w14:textId="77777777" w:rsidTr="00EF0FC0">
        <w:trPr>
          <w:trHeight w:val="456"/>
        </w:trPr>
        <w:tc>
          <w:tcPr>
            <w:tcW w:w="2552" w:type="dxa"/>
            <w:tcBorders>
              <w:top w:val="single" w:sz="4" w:space="0" w:color="000000"/>
            </w:tcBorders>
            <w:vAlign w:val="center"/>
          </w:tcPr>
          <w:p w14:paraId="39B404E4" w14:textId="77777777" w:rsidR="00626D90" w:rsidRPr="00DA2D1C" w:rsidRDefault="00626D90" w:rsidP="00EF0FC0">
            <w:pPr>
              <w:snapToGrid w:val="0"/>
              <w:spacing w:before="60" w:after="60"/>
              <w:jc w:val="left"/>
              <w:rPr>
                <w:rFonts w:cs="Times New Roman"/>
                <w:szCs w:val="22"/>
              </w:rPr>
            </w:pPr>
            <w:r w:rsidRPr="00DA2D1C">
              <w:rPr>
                <w:rFonts w:cs="Times New Roman"/>
                <w:szCs w:val="22"/>
              </w:rPr>
              <w:t xml:space="preserve">Share of </w:t>
            </w:r>
            <w:r>
              <w:rPr>
                <w:rFonts w:cs="Times New Roman"/>
                <w:szCs w:val="22"/>
              </w:rPr>
              <w:t>RAC</w:t>
            </w:r>
            <w:r w:rsidRPr="00DA2D1C">
              <w:rPr>
                <w:rFonts w:cs="Times New Roman"/>
                <w:szCs w:val="22"/>
              </w:rPr>
              <w:t xml:space="preserve"> electricity consumption</w:t>
            </w:r>
          </w:p>
        </w:tc>
        <w:tc>
          <w:tcPr>
            <w:tcW w:w="1559" w:type="dxa"/>
            <w:tcBorders>
              <w:top w:val="single" w:sz="4" w:space="0" w:color="000000"/>
            </w:tcBorders>
            <w:vAlign w:val="center"/>
          </w:tcPr>
          <w:p w14:paraId="4A2C7DD6" w14:textId="77777777" w:rsidR="00626D90" w:rsidRPr="00DA2D1C" w:rsidRDefault="00626D90" w:rsidP="00EF0FC0">
            <w:pPr>
              <w:snapToGrid w:val="0"/>
              <w:spacing w:before="60" w:after="60"/>
              <w:jc w:val="center"/>
              <w:rPr>
                <w:rFonts w:cs="Times New Roman"/>
                <w:szCs w:val="22"/>
              </w:rPr>
            </w:pPr>
            <w:r w:rsidRPr="00DA2D1C">
              <w:rPr>
                <w:rFonts w:cs="Times New Roman"/>
                <w:szCs w:val="22"/>
              </w:rPr>
              <w:t>Percent</w:t>
            </w:r>
          </w:p>
        </w:tc>
        <w:tc>
          <w:tcPr>
            <w:tcW w:w="1346" w:type="dxa"/>
            <w:tcBorders>
              <w:top w:val="single" w:sz="4" w:space="0" w:color="000000"/>
            </w:tcBorders>
            <w:vAlign w:val="center"/>
          </w:tcPr>
          <w:p w14:paraId="27E460DF" w14:textId="77777777" w:rsidR="00626D90" w:rsidRPr="00DA2D1C" w:rsidRDefault="00626D90" w:rsidP="00EF0FC0">
            <w:pPr>
              <w:snapToGrid w:val="0"/>
              <w:spacing w:before="60" w:after="60"/>
              <w:jc w:val="center"/>
              <w:rPr>
                <w:rFonts w:cs="Times New Roman"/>
                <w:szCs w:val="22"/>
              </w:rPr>
            </w:pPr>
            <w:r w:rsidRPr="00DA2D1C">
              <w:rPr>
                <w:rFonts w:cs="Times New Roman"/>
                <w:szCs w:val="22"/>
              </w:rPr>
              <w:t>56%</w:t>
            </w:r>
          </w:p>
        </w:tc>
        <w:tc>
          <w:tcPr>
            <w:tcW w:w="1347" w:type="dxa"/>
            <w:tcBorders>
              <w:top w:val="single" w:sz="4" w:space="0" w:color="000000"/>
            </w:tcBorders>
            <w:vAlign w:val="center"/>
          </w:tcPr>
          <w:p w14:paraId="7F651496" w14:textId="77777777" w:rsidR="00626D90" w:rsidRPr="00DA2D1C" w:rsidRDefault="00626D90" w:rsidP="00EF0FC0">
            <w:pPr>
              <w:snapToGrid w:val="0"/>
              <w:spacing w:before="60" w:after="60"/>
              <w:jc w:val="center"/>
              <w:rPr>
                <w:rFonts w:cs="Times New Roman"/>
                <w:szCs w:val="22"/>
              </w:rPr>
            </w:pPr>
            <w:r w:rsidRPr="00DA2D1C">
              <w:rPr>
                <w:color w:val="000000" w:themeColor="text1"/>
                <w:szCs w:val="22"/>
              </w:rPr>
              <w:t>0.3%</w:t>
            </w:r>
          </w:p>
        </w:tc>
        <w:tc>
          <w:tcPr>
            <w:tcW w:w="1347" w:type="dxa"/>
            <w:tcBorders>
              <w:top w:val="single" w:sz="4" w:space="0" w:color="000000"/>
            </w:tcBorders>
            <w:vAlign w:val="center"/>
          </w:tcPr>
          <w:p w14:paraId="63D3CCEE" w14:textId="77777777" w:rsidR="00626D90" w:rsidRPr="00DA2D1C" w:rsidRDefault="00626D90" w:rsidP="00EF0FC0">
            <w:pPr>
              <w:snapToGrid w:val="0"/>
              <w:spacing w:before="60" w:after="60"/>
              <w:jc w:val="center"/>
              <w:rPr>
                <w:rFonts w:cs="Times New Roman"/>
                <w:szCs w:val="22"/>
              </w:rPr>
            </w:pPr>
            <w:r w:rsidRPr="00DA2D1C">
              <w:t>30%</w:t>
            </w:r>
          </w:p>
        </w:tc>
        <w:tc>
          <w:tcPr>
            <w:tcW w:w="1347" w:type="dxa"/>
            <w:tcBorders>
              <w:top w:val="single" w:sz="4" w:space="0" w:color="000000"/>
            </w:tcBorders>
            <w:vAlign w:val="center"/>
          </w:tcPr>
          <w:p w14:paraId="4F69ABD7" w14:textId="77777777" w:rsidR="00626D90" w:rsidRPr="00DA2D1C" w:rsidRDefault="00626D90" w:rsidP="00EF0FC0">
            <w:pPr>
              <w:snapToGrid w:val="0"/>
              <w:spacing w:before="60" w:after="60"/>
              <w:jc w:val="center"/>
              <w:rPr>
                <w:rFonts w:cs="Times New Roman"/>
                <w:szCs w:val="22"/>
              </w:rPr>
            </w:pPr>
            <w:r w:rsidRPr="00DA2D1C">
              <w:t>14%</w:t>
            </w:r>
          </w:p>
        </w:tc>
      </w:tr>
      <w:tr w:rsidR="00626D90" w:rsidRPr="00866793" w14:paraId="3460E0CB" w14:textId="77777777" w:rsidTr="00EF0FC0">
        <w:trPr>
          <w:trHeight w:val="456"/>
        </w:trPr>
        <w:tc>
          <w:tcPr>
            <w:tcW w:w="2552" w:type="dxa"/>
            <w:tcBorders>
              <w:top w:val="single" w:sz="4" w:space="0" w:color="000000"/>
            </w:tcBorders>
            <w:vAlign w:val="center"/>
          </w:tcPr>
          <w:p w14:paraId="1BEAF57F" w14:textId="77777777" w:rsidR="00626D90" w:rsidRPr="00F471EC" w:rsidRDefault="00626D90" w:rsidP="00EF0FC0">
            <w:pPr>
              <w:snapToGrid w:val="0"/>
              <w:spacing w:before="60" w:after="60"/>
              <w:jc w:val="left"/>
              <w:rPr>
                <w:rFonts w:cs="Times New Roman"/>
                <w:szCs w:val="22"/>
              </w:rPr>
            </w:pPr>
            <w:r w:rsidRPr="00F471EC">
              <w:rPr>
                <w:rFonts w:cs="Times New Roman"/>
                <w:szCs w:val="22"/>
              </w:rPr>
              <w:t>Annual GHG indirect emissions</w:t>
            </w:r>
          </w:p>
        </w:tc>
        <w:tc>
          <w:tcPr>
            <w:tcW w:w="1559" w:type="dxa"/>
            <w:tcBorders>
              <w:top w:val="single" w:sz="4" w:space="0" w:color="000000"/>
            </w:tcBorders>
            <w:vAlign w:val="center"/>
          </w:tcPr>
          <w:p w14:paraId="1FD8C455" w14:textId="77777777" w:rsidR="00626D90" w:rsidRPr="00F471EC" w:rsidRDefault="00626D90" w:rsidP="00EF0FC0">
            <w:pPr>
              <w:snapToGrid w:val="0"/>
              <w:spacing w:before="60" w:after="60"/>
              <w:jc w:val="center"/>
              <w:rPr>
                <w:rFonts w:cs="Times New Roman"/>
                <w:szCs w:val="22"/>
              </w:rPr>
            </w:pPr>
            <w:r w:rsidRPr="00F471EC">
              <w:rPr>
                <w:rFonts w:cs="Times New Roman"/>
                <w:szCs w:val="22"/>
              </w:rPr>
              <w:t>M</w:t>
            </w:r>
            <w:r>
              <w:rPr>
                <w:rFonts w:cs="Times New Roman"/>
                <w:szCs w:val="22"/>
              </w:rPr>
              <w:t>illion tonnes</w:t>
            </w:r>
            <w:r w:rsidRPr="00F471EC">
              <w:rPr>
                <w:rFonts w:cs="Times New Roman"/>
                <w:szCs w:val="22"/>
              </w:rPr>
              <w:t xml:space="preserve"> CO</w:t>
            </w:r>
            <w:r w:rsidRPr="00F471EC">
              <w:rPr>
                <w:rFonts w:cs="Times New Roman"/>
                <w:szCs w:val="22"/>
                <w:vertAlign w:val="subscript"/>
              </w:rPr>
              <w:t>2</w:t>
            </w:r>
            <w:r w:rsidRPr="00F471EC">
              <w:rPr>
                <w:rFonts w:cs="Times New Roman"/>
                <w:szCs w:val="22"/>
              </w:rPr>
              <w:t>e</w:t>
            </w:r>
          </w:p>
        </w:tc>
        <w:tc>
          <w:tcPr>
            <w:tcW w:w="1346" w:type="dxa"/>
            <w:tcBorders>
              <w:top w:val="single" w:sz="4" w:space="0" w:color="000000"/>
            </w:tcBorders>
            <w:vAlign w:val="center"/>
          </w:tcPr>
          <w:p w14:paraId="59F0B763" w14:textId="77777777" w:rsidR="00626D90" w:rsidRPr="00F471EC" w:rsidRDefault="00626D90" w:rsidP="00EF0FC0">
            <w:pPr>
              <w:snapToGrid w:val="0"/>
              <w:spacing w:before="60" w:after="60"/>
              <w:jc w:val="center"/>
              <w:rPr>
                <w:rFonts w:cs="Times New Roman"/>
                <w:szCs w:val="22"/>
              </w:rPr>
            </w:pPr>
            <w:r w:rsidRPr="00F471EC">
              <w:rPr>
                <w:rFonts w:cs="Times New Roman"/>
                <w:szCs w:val="22"/>
              </w:rPr>
              <w:t>28.56</w:t>
            </w:r>
          </w:p>
        </w:tc>
        <w:tc>
          <w:tcPr>
            <w:tcW w:w="1347" w:type="dxa"/>
            <w:tcBorders>
              <w:top w:val="single" w:sz="4" w:space="0" w:color="000000"/>
            </w:tcBorders>
            <w:vAlign w:val="center"/>
          </w:tcPr>
          <w:p w14:paraId="02B827E3" w14:textId="77777777" w:rsidR="00626D90" w:rsidRPr="00F471EC" w:rsidRDefault="00626D90" w:rsidP="00EF0FC0">
            <w:pPr>
              <w:snapToGrid w:val="0"/>
              <w:spacing w:before="60" w:after="60"/>
              <w:jc w:val="center"/>
              <w:rPr>
                <w:rFonts w:cs="Times New Roman"/>
                <w:szCs w:val="22"/>
              </w:rPr>
            </w:pPr>
            <w:r w:rsidRPr="00F471EC">
              <w:rPr>
                <w:rFonts w:cs="Times New Roman"/>
                <w:szCs w:val="22"/>
              </w:rPr>
              <w:t>2.94</w:t>
            </w:r>
            <w:r>
              <w:rPr>
                <w:rFonts w:cs="Times New Roman"/>
                <w:szCs w:val="22"/>
              </w:rPr>
              <w:t xml:space="preserve"> </w:t>
            </w:r>
            <w:r w:rsidRPr="00F471EC">
              <w:rPr>
                <w:rFonts w:cs="Times New Roman"/>
                <w:szCs w:val="22"/>
                <w:vertAlign w:val="superscript"/>
              </w:rPr>
              <w:t>(</w:t>
            </w:r>
            <w:r>
              <w:rPr>
                <w:rFonts w:cs="Times New Roman"/>
                <w:szCs w:val="22"/>
                <w:vertAlign w:val="superscript"/>
              </w:rPr>
              <w:t>5</w:t>
            </w:r>
            <w:r w:rsidRPr="00F471EC">
              <w:rPr>
                <w:rFonts w:cs="Times New Roman"/>
                <w:szCs w:val="22"/>
                <w:vertAlign w:val="superscript"/>
              </w:rPr>
              <w:t>)</w:t>
            </w:r>
          </w:p>
        </w:tc>
        <w:tc>
          <w:tcPr>
            <w:tcW w:w="1347" w:type="dxa"/>
            <w:tcBorders>
              <w:top w:val="single" w:sz="4" w:space="0" w:color="000000"/>
            </w:tcBorders>
            <w:vAlign w:val="center"/>
          </w:tcPr>
          <w:p w14:paraId="6DDED78D" w14:textId="77777777" w:rsidR="00626D90" w:rsidRPr="00F471EC" w:rsidRDefault="00626D90" w:rsidP="00EF0FC0">
            <w:pPr>
              <w:snapToGrid w:val="0"/>
              <w:spacing w:before="60" w:after="60"/>
              <w:jc w:val="center"/>
              <w:rPr>
                <w:rFonts w:cs="Times New Roman"/>
                <w:szCs w:val="22"/>
              </w:rPr>
            </w:pPr>
            <w:r w:rsidRPr="00F471EC">
              <w:rPr>
                <w:color w:val="000000" w:themeColor="text1"/>
              </w:rPr>
              <w:t>15.80</w:t>
            </w:r>
            <w:r>
              <w:rPr>
                <w:color w:val="000000" w:themeColor="text1"/>
              </w:rPr>
              <w:t xml:space="preserve"> </w:t>
            </w:r>
            <w:r w:rsidRPr="00693775">
              <w:rPr>
                <w:color w:val="000000" w:themeColor="text1"/>
                <w:vertAlign w:val="superscript"/>
              </w:rPr>
              <w:t>(</w:t>
            </w:r>
            <w:r>
              <w:rPr>
                <w:color w:val="000000" w:themeColor="text1"/>
                <w:vertAlign w:val="superscript"/>
              </w:rPr>
              <w:t>6</w:t>
            </w:r>
            <w:r w:rsidRPr="00693775">
              <w:rPr>
                <w:color w:val="000000" w:themeColor="text1"/>
                <w:vertAlign w:val="superscript"/>
              </w:rPr>
              <w:t>)</w:t>
            </w:r>
          </w:p>
        </w:tc>
        <w:tc>
          <w:tcPr>
            <w:tcW w:w="1347" w:type="dxa"/>
            <w:tcBorders>
              <w:top w:val="single" w:sz="4" w:space="0" w:color="000000"/>
            </w:tcBorders>
            <w:vAlign w:val="center"/>
          </w:tcPr>
          <w:p w14:paraId="19001CE3" w14:textId="77777777" w:rsidR="00626D90" w:rsidRPr="00F471EC" w:rsidRDefault="00626D90" w:rsidP="00EF0FC0">
            <w:pPr>
              <w:snapToGrid w:val="0"/>
              <w:spacing w:before="60" w:after="60"/>
              <w:jc w:val="center"/>
              <w:rPr>
                <w:rFonts w:cs="Times New Roman"/>
                <w:szCs w:val="22"/>
              </w:rPr>
            </w:pPr>
            <w:r w:rsidRPr="00F471EC">
              <w:rPr>
                <w:color w:val="000000" w:themeColor="text1"/>
              </w:rPr>
              <w:t>6.97</w:t>
            </w:r>
          </w:p>
        </w:tc>
      </w:tr>
      <w:tr w:rsidR="00626D90" w:rsidRPr="00866793" w14:paraId="4D27E068" w14:textId="77777777" w:rsidTr="00EF0FC0">
        <w:trPr>
          <w:trHeight w:val="317"/>
        </w:trPr>
        <w:tc>
          <w:tcPr>
            <w:tcW w:w="2552" w:type="dxa"/>
            <w:tcBorders>
              <w:top w:val="single" w:sz="4" w:space="0" w:color="000000"/>
            </w:tcBorders>
            <w:vAlign w:val="center"/>
          </w:tcPr>
          <w:p w14:paraId="039CABA9" w14:textId="77777777" w:rsidR="00626D90" w:rsidRPr="00F471EC" w:rsidRDefault="00626D90" w:rsidP="00EF0FC0">
            <w:pPr>
              <w:snapToGrid w:val="0"/>
              <w:spacing w:before="60" w:after="60"/>
              <w:jc w:val="left"/>
              <w:rPr>
                <w:rFonts w:cs="Times New Roman"/>
                <w:color w:val="000000" w:themeColor="text1"/>
                <w:szCs w:val="22"/>
              </w:rPr>
            </w:pPr>
            <w:r w:rsidRPr="00F471EC">
              <w:rPr>
                <w:rFonts w:cs="Times New Roman"/>
                <w:color w:val="000000" w:themeColor="text1"/>
                <w:szCs w:val="22"/>
              </w:rPr>
              <w:t xml:space="preserve">Share of </w:t>
            </w:r>
            <w:r>
              <w:rPr>
                <w:rFonts w:cs="Times New Roman"/>
                <w:color w:val="000000" w:themeColor="text1"/>
                <w:szCs w:val="22"/>
              </w:rPr>
              <w:t>RAC</w:t>
            </w:r>
            <w:r w:rsidRPr="00F471EC">
              <w:rPr>
                <w:rFonts w:cs="Times New Roman"/>
                <w:color w:val="000000" w:themeColor="text1"/>
                <w:szCs w:val="22"/>
              </w:rPr>
              <w:t xml:space="preserve"> indirect emissions</w:t>
            </w:r>
          </w:p>
        </w:tc>
        <w:tc>
          <w:tcPr>
            <w:tcW w:w="1559" w:type="dxa"/>
            <w:tcBorders>
              <w:top w:val="single" w:sz="4" w:space="0" w:color="000000"/>
            </w:tcBorders>
            <w:vAlign w:val="center"/>
          </w:tcPr>
          <w:p w14:paraId="2C7212B1" w14:textId="77777777" w:rsidR="00626D90" w:rsidRPr="00F471EC" w:rsidRDefault="00626D90" w:rsidP="00EF0FC0">
            <w:pPr>
              <w:snapToGrid w:val="0"/>
              <w:spacing w:before="60" w:after="60"/>
              <w:jc w:val="center"/>
              <w:rPr>
                <w:rFonts w:cs="Times New Roman"/>
                <w:color w:val="000000" w:themeColor="text1"/>
                <w:szCs w:val="22"/>
              </w:rPr>
            </w:pPr>
            <w:r w:rsidRPr="00F471EC">
              <w:rPr>
                <w:rFonts w:cs="Times New Roman"/>
                <w:szCs w:val="22"/>
              </w:rPr>
              <w:t>Percent</w:t>
            </w:r>
          </w:p>
        </w:tc>
        <w:tc>
          <w:tcPr>
            <w:tcW w:w="1346" w:type="dxa"/>
            <w:tcBorders>
              <w:top w:val="single" w:sz="4" w:space="0" w:color="000000"/>
            </w:tcBorders>
            <w:vAlign w:val="center"/>
          </w:tcPr>
          <w:p w14:paraId="2F43CECB" w14:textId="77777777" w:rsidR="00626D90" w:rsidRPr="00F471EC" w:rsidRDefault="00626D90" w:rsidP="00EF0FC0">
            <w:pPr>
              <w:snapToGrid w:val="0"/>
              <w:spacing w:before="60" w:after="60"/>
              <w:jc w:val="center"/>
              <w:rPr>
                <w:rFonts w:cs="Times New Roman"/>
                <w:color w:val="000000" w:themeColor="text1"/>
                <w:szCs w:val="22"/>
              </w:rPr>
            </w:pPr>
            <w:r w:rsidRPr="00F471EC">
              <w:rPr>
                <w:rFonts w:cs="Times New Roman"/>
                <w:color w:val="000000" w:themeColor="text1"/>
                <w:szCs w:val="22"/>
              </w:rPr>
              <w:t>53%</w:t>
            </w:r>
          </w:p>
        </w:tc>
        <w:tc>
          <w:tcPr>
            <w:tcW w:w="1347" w:type="dxa"/>
            <w:tcBorders>
              <w:top w:val="single" w:sz="4" w:space="0" w:color="000000"/>
            </w:tcBorders>
            <w:vAlign w:val="center"/>
          </w:tcPr>
          <w:p w14:paraId="576107F4" w14:textId="77777777" w:rsidR="00626D90" w:rsidRPr="00F471EC" w:rsidRDefault="00626D90" w:rsidP="00EF0FC0">
            <w:pPr>
              <w:snapToGrid w:val="0"/>
              <w:spacing w:before="60" w:after="60"/>
              <w:jc w:val="center"/>
              <w:rPr>
                <w:rFonts w:cs="Times New Roman"/>
                <w:color w:val="000000" w:themeColor="text1"/>
                <w:szCs w:val="22"/>
              </w:rPr>
            </w:pPr>
            <w:r w:rsidRPr="00F471EC">
              <w:rPr>
                <w:rFonts w:cs="Times New Roman"/>
                <w:color w:val="000000" w:themeColor="text1"/>
                <w:szCs w:val="22"/>
              </w:rPr>
              <w:t>5%</w:t>
            </w:r>
          </w:p>
        </w:tc>
        <w:tc>
          <w:tcPr>
            <w:tcW w:w="1347" w:type="dxa"/>
            <w:tcBorders>
              <w:top w:val="single" w:sz="4" w:space="0" w:color="000000"/>
            </w:tcBorders>
            <w:vAlign w:val="center"/>
          </w:tcPr>
          <w:p w14:paraId="407AFD0C" w14:textId="77777777" w:rsidR="00626D90" w:rsidRPr="00F471EC" w:rsidRDefault="00626D90" w:rsidP="00EF0FC0">
            <w:pPr>
              <w:snapToGrid w:val="0"/>
              <w:spacing w:before="60" w:after="60"/>
              <w:jc w:val="center"/>
              <w:rPr>
                <w:rFonts w:cs="Times New Roman"/>
                <w:color w:val="000000" w:themeColor="text1"/>
                <w:szCs w:val="22"/>
              </w:rPr>
            </w:pPr>
            <w:r w:rsidRPr="00F471EC">
              <w:rPr>
                <w:color w:val="000000" w:themeColor="text1"/>
              </w:rPr>
              <w:t>29%</w:t>
            </w:r>
          </w:p>
        </w:tc>
        <w:tc>
          <w:tcPr>
            <w:tcW w:w="1347" w:type="dxa"/>
            <w:tcBorders>
              <w:top w:val="single" w:sz="4" w:space="0" w:color="000000"/>
            </w:tcBorders>
            <w:vAlign w:val="center"/>
          </w:tcPr>
          <w:p w14:paraId="494A944B" w14:textId="77777777" w:rsidR="00626D90" w:rsidRPr="00F471EC" w:rsidRDefault="00626D90" w:rsidP="00EF0FC0">
            <w:pPr>
              <w:snapToGrid w:val="0"/>
              <w:spacing w:before="60" w:after="60"/>
              <w:jc w:val="center"/>
              <w:rPr>
                <w:rFonts w:cs="Times New Roman"/>
                <w:color w:val="000000" w:themeColor="text1"/>
                <w:szCs w:val="22"/>
              </w:rPr>
            </w:pPr>
            <w:r w:rsidRPr="00F471EC">
              <w:rPr>
                <w:rFonts w:cs="Times New Roman"/>
                <w:color w:val="000000" w:themeColor="text1"/>
                <w:szCs w:val="22"/>
              </w:rPr>
              <w:t>13%</w:t>
            </w:r>
          </w:p>
        </w:tc>
      </w:tr>
      <w:tr w:rsidR="00626D90" w:rsidRPr="00866793" w14:paraId="5F54ACCA" w14:textId="77777777" w:rsidTr="00EF0FC0">
        <w:trPr>
          <w:trHeight w:val="456"/>
        </w:trPr>
        <w:tc>
          <w:tcPr>
            <w:tcW w:w="2552" w:type="dxa"/>
            <w:tcBorders>
              <w:top w:val="single" w:sz="4" w:space="0" w:color="000000"/>
            </w:tcBorders>
            <w:vAlign w:val="center"/>
          </w:tcPr>
          <w:p w14:paraId="0DD8C37C" w14:textId="77777777" w:rsidR="00626D90" w:rsidRPr="00AD0F04" w:rsidRDefault="00626D90" w:rsidP="00EF0FC0">
            <w:pPr>
              <w:snapToGrid w:val="0"/>
              <w:spacing w:before="60" w:after="60"/>
              <w:jc w:val="left"/>
              <w:rPr>
                <w:rFonts w:cs="Times New Roman"/>
                <w:color w:val="000000" w:themeColor="text1"/>
                <w:szCs w:val="22"/>
              </w:rPr>
            </w:pPr>
            <w:r w:rsidRPr="00AD0F04">
              <w:rPr>
                <w:rFonts w:cs="Times New Roman"/>
                <w:color w:val="000000" w:themeColor="text1"/>
                <w:szCs w:val="22"/>
              </w:rPr>
              <w:t>Annual GHG direct emissions (ODS)</w:t>
            </w:r>
            <w:r>
              <w:rPr>
                <w:rFonts w:cs="Times New Roman"/>
                <w:color w:val="000000" w:themeColor="text1"/>
                <w:szCs w:val="22"/>
              </w:rPr>
              <w:t xml:space="preserve"> </w:t>
            </w:r>
            <w:r w:rsidRPr="00B5198B">
              <w:rPr>
                <w:rFonts w:cs="Times New Roman"/>
                <w:szCs w:val="22"/>
                <w:vertAlign w:val="superscript"/>
              </w:rPr>
              <w:t>(</w:t>
            </w:r>
            <w:r>
              <w:rPr>
                <w:rFonts w:cs="Times New Roman"/>
                <w:szCs w:val="22"/>
                <w:vertAlign w:val="superscript"/>
              </w:rPr>
              <w:t>3</w:t>
            </w:r>
            <w:r w:rsidRPr="00B5198B">
              <w:rPr>
                <w:rFonts w:cs="Times New Roman"/>
                <w:szCs w:val="22"/>
                <w:vertAlign w:val="superscript"/>
              </w:rPr>
              <w:t>)</w:t>
            </w:r>
          </w:p>
        </w:tc>
        <w:tc>
          <w:tcPr>
            <w:tcW w:w="1559" w:type="dxa"/>
            <w:tcBorders>
              <w:top w:val="single" w:sz="4" w:space="0" w:color="000000"/>
            </w:tcBorders>
            <w:vAlign w:val="center"/>
          </w:tcPr>
          <w:p w14:paraId="4FD02D62" w14:textId="77777777" w:rsidR="00626D90" w:rsidRPr="00AE64A9" w:rsidRDefault="00626D90" w:rsidP="00EF0FC0">
            <w:pPr>
              <w:snapToGrid w:val="0"/>
              <w:spacing w:before="60" w:after="60"/>
              <w:jc w:val="center"/>
              <w:rPr>
                <w:rFonts w:cs="Times New Roman"/>
                <w:color w:val="000000" w:themeColor="text1"/>
                <w:szCs w:val="22"/>
              </w:rPr>
            </w:pPr>
            <w:r>
              <w:rPr>
                <w:rFonts w:cs="Times New Roman"/>
                <w:color w:val="000000" w:themeColor="text1"/>
                <w:szCs w:val="22"/>
              </w:rPr>
              <w:t xml:space="preserve">Million tonnes </w:t>
            </w:r>
            <w:r w:rsidRPr="00AE64A9">
              <w:rPr>
                <w:rFonts w:cs="Times New Roman"/>
                <w:color w:val="000000" w:themeColor="text1"/>
                <w:szCs w:val="22"/>
              </w:rPr>
              <w:t>CO</w:t>
            </w:r>
            <w:r w:rsidRPr="00AE64A9">
              <w:rPr>
                <w:rFonts w:cs="Times New Roman"/>
                <w:color w:val="000000" w:themeColor="text1"/>
                <w:szCs w:val="22"/>
                <w:vertAlign w:val="subscript"/>
              </w:rPr>
              <w:t>2</w:t>
            </w:r>
            <w:r w:rsidRPr="00AE64A9">
              <w:rPr>
                <w:rFonts w:cs="Times New Roman"/>
                <w:color w:val="000000" w:themeColor="text1"/>
                <w:szCs w:val="22"/>
              </w:rPr>
              <w:t>e</w:t>
            </w:r>
            <w:r>
              <w:rPr>
                <w:rFonts w:cs="Times New Roman"/>
                <w:color w:val="000000" w:themeColor="text1"/>
                <w:szCs w:val="22"/>
              </w:rPr>
              <w:t xml:space="preserve"> </w:t>
            </w:r>
          </w:p>
        </w:tc>
        <w:tc>
          <w:tcPr>
            <w:tcW w:w="1346" w:type="dxa"/>
            <w:tcBorders>
              <w:top w:val="single" w:sz="4" w:space="0" w:color="000000"/>
            </w:tcBorders>
            <w:vAlign w:val="center"/>
          </w:tcPr>
          <w:p w14:paraId="0069F16E" w14:textId="77777777" w:rsidR="00626D90" w:rsidRPr="00AE64A9" w:rsidRDefault="00626D90" w:rsidP="00EF0FC0">
            <w:pPr>
              <w:snapToGrid w:val="0"/>
              <w:spacing w:before="60" w:after="60"/>
              <w:jc w:val="center"/>
              <w:rPr>
                <w:rFonts w:cs="Times New Roman"/>
                <w:color w:val="000000" w:themeColor="text1"/>
                <w:szCs w:val="22"/>
              </w:rPr>
            </w:pPr>
            <w:r w:rsidRPr="00AE64A9">
              <w:rPr>
                <w:rFonts w:cs="Times New Roman"/>
                <w:color w:val="000000" w:themeColor="text1"/>
                <w:szCs w:val="22"/>
              </w:rPr>
              <w:t>0.</w:t>
            </w:r>
            <w:r>
              <w:rPr>
                <w:rFonts w:cs="Times New Roman"/>
                <w:color w:val="000000" w:themeColor="text1"/>
                <w:szCs w:val="22"/>
              </w:rPr>
              <w:t>39</w:t>
            </w:r>
          </w:p>
        </w:tc>
        <w:tc>
          <w:tcPr>
            <w:tcW w:w="1347" w:type="dxa"/>
            <w:tcBorders>
              <w:top w:val="single" w:sz="4" w:space="0" w:color="000000"/>
            </w:tcBorders>
            <w:vAlign w:val="center"/>
          </w:tcPr>
          <w:p w14:paraId="7B5FC0DB" w14:textId="77777777" w:rsidR="00626D90" w:rsidRPr="00AE64A9" w:rsidRDefault="00626D90" w:rsidP="00EF0FC0">
            <w:pPr>
              <w:snapToGrid w:val="0"/>
              <w:spacing w:before="60" w:after="60"/>
              <w:jc w:val="center"/>
              <w:rPr>
                <w:rFonts w:cs="Times New Roman"/>
                <w:color w:val="000000" w:themeColor="text1"/>
                <w:szCs w:val="22"/>
              </w:rPr>
            </w:pPr>
            <w:r w:rsidRPr="007453F0">
              <w:rPr>
                <w:color w:val="000000" w:themeColor="text1"/>
                <w:szCs w:val="22"/>
              </w:rPr>
              <w:t>0.0</w:t>
            </w:r>
            <w:r>
              <w:rPr>
                <w:color w:val="000000" w:themeColor="text1"/>
                <w:szCs w:val="22"/>
              </w:rPr>
              <w:t>03</w:t>
            </w:r>
          </w:p>
        </w:tc>
        <w:tc>
          <w:tcPr>
            <w:tcW w:w="1347" w:type="dxa"/>
            <w:tcBorders>
              <w:top w:val="single" w:sz="4" w:space="0" w:color="000000"/>
            </w:tcBorders>
            <w:vAlign w:val="center"/>
          </w:tcPr>
          <w:p w14:paraId="23767EBC" w14:textId="77777777" w:rsidR="00626D90" w:rsidRPr="002F12ED" w:rsidRDefault="00626D90" w:rsidP="00EF0FC0">
            <w:pPr>
              <w:snapToGrid w:val="0"/>
              <w:spacing w:before="60" w:after="60"/>
              <w:jc w:val="center"/>
              <w:rPr>
                <w:rFonts w:cs="Times New Roman"/>
                <w:color w:val="000000" w:themeColor="text1"/>
                <w:szCs w:val="22"/>
              </w:rPr>
            </w:pPr>
            <w:r w:rsidRPr="002F12ED">
              <w:rPr>
                <w:color w:val="000000"/>
                <w:szCs w:val="22"/>
              </w:rPr>
              <w:t>0.0</w:t>
            </w:r>
            <w:r>
              <w:rPr>
                <w:color w:val="000000"/>
                <w:szCs w:val="22"/>
              </w:rPr>
              <w:t>8</w:t>
            </w:r>
          </w:p>
        </w:tc>
        <w:tc>
          <w:tcPr>
            <w:tcW w:w="1347" w:type="dxa"/>
            <w:tcBorders>
              <w:top w:val="single" w:sz="4" w:space="0" w:color="000000"/>
            </w:tcBorders>
            <w:vAlign w:val="center"/>
          </w:tcPr>
          <w:p w14:paraId="13E8A6D3" w14:textId="77777777" w:rsidR="00626D90" w:rsidRPr="00AE64A9" w:rsidRDefault="00626D90" w:rsidP="00EF0FC0">
            <w:pPr>
              <w:snapToGrid w:val="0"/>
              <w:spacing w:before="60" w:after="60"/>
              <w:jc w:val="center"/>
              <w:rPr>
                <w:rFonts w:cs="Times New Roman"/>
                <w:color w:val="000000" w:themeColor="text1"/>
                <w:szCs w:val="22"/>
              </w:rPr>
            </w:pPr>
            <w:r>
              <w:rPr>
                <w:rFonts w:cs="Times New Roman"/>
                <w:color w:val="000000" w:themeColor="text1"/>
                <w:szCs w:val="22"/>
              </w:rPr>
              <w:t>0.00</w:t>
            </w:r>
          </w:p>
        </w:tc>
      </w:tr>
      <w:tr w:rsidR="00626D90" w:rsidRPr="00866793" w14:paraId="3024A71E" w14:textId="77777777" w:rsidTr="00EF0FC0">
        <w:trPr>
          <w:trHeight w:val="456"/>
        </w:trPr>
        <w:tc>
          <w:tcPr>
            <w:tcW w:w="2552" w:type="dxa"/>
            <w:tcBorders>
              <w:top w:val="single" w:sz="4" w:space="0" w:color="000000"/>
            </w:tcBorders>
            <w:vAlign w:val="center"/>
          </w:tcPr>
          <w:p w14:paraId="4E75ADCE" w14:textId="77777777" w:rsidR="00626D90" w:rsidRPr="00AD0F04" w:rsidRDefault="00626D90" w:rsidP="00EF0FC0">
            <w:pPr>
              <w:snapToGrid w:val="0"/>
              <w:spacing w:before="60" w:after="60"/>
              <w:jc w:val="left"/>
              <w:rPr>
                <w:rFonts w:cs="Times New Roman"/>
                <w:color w:val="000000" w:themeColor="text1"/>
                <w:szCs w:val="22"/>
              </w:rPr>
            </w:pPr>
            <w:r w:rsidRPr="00AD0F04">
              <w:rPr>
                <w:rFonts w:cs="Times New Roman"/>
                <w:color w:val="000000" w:themeColor="text1"/>
                <w:szCs w:val="22"/>
              </w:rPr>
              <w:t>Annual GHG direct emissions (SGG)</w:t>
            </w:r>
          </w:p>
        </w:tc>
        <w:tc>
          <w:tcPr>
            <w:tcW w:w="1559" w:type="dxa"/>
            <w:tcBorders>
              <w:top w:val="single" w:sz="4" w:space="0" w:color="000000"/>
            </w:tcBorders>
            <w:vAlign w:val="center"/>
          </w:tcPr>
          <w:p w14:paraId="13998B4F" w14:textId="77777777" w:rsidR="00626D90" w:rsidRPr="00AE64A9" w:rsidRDefault="00626D90" w:rsidP="00EF0FC0">
            <w:pPr>
              <w:snapToGrid w:val="0"/>
              <w:spacing w:before="60" w:after="60"/>
              <w:jc w:val="center"/>
              <w:rPr>
                <w:rFonts w:cs="Times New Roman"/>
                <w:color w:val="000000" w:themeColor="text1"/>
                <w:szCs w:val="22"/>
              </w:rPr>
            </w:pPr>
            <w:r>
              <w:rPr>
                <w:rFonts w:cs="Times New Roman"/>
                <w:color w:val="000000" w:themeColor="text1"/>
                <w:szCs w:val="22"/>
              </w:rPr>
              <w:t>Million tonnes</w:t>
            </w:r>
            <w:r w:rsidRPr="00AE64A9">
              <w:rPr>
                <w:rFonts w:cs="Times New Roman"/>
                <w:color w:val="000000" w:themeColor="text1"/>
                <w:szCs w:val="22"/>
              </w:rPr>
              <w:t xml:space="preserve"> CO</w:t>
            </w:r>
            <w:r w:rsidRPr="00AE64A9">
              <w:rPr>
                <w:rFonts w:cs="Times New Roman"/>
                <w:color w:val="000000" w:themeColor="text1"/>
                <w:szCs w:val="22"/>
                <w:vertAlign w:val="subscript"/>
              </w:rPr>
              <w:t>2</w:t>
            </w:r>
            <w:r w:rsidRPr="00AE64A9">
              <w:rPr>
                <w:rFonts w:cs="Times New Roman"/>
                <w:color w:val="000000" w:themeColor="text1"/>
                <w:szCs w:val="22"/>
              </w:rPr>
              <w:t>e</w:t>
            </w:r>
          </w:p>
        </w:tc>
        <w:tc>
          <w:tcPr>
            <w:tcW w:w="1346" w:type="dxa"/>
            <w:tcBorders>
              <w:top w:val="single" w:sz="4" w:space="0" w:color="000000"/>
            </w:tcBorders>
            <w:vAlign w:val="center"/>
          </w:tcPr>
          <w:p w14:paraId="04821684" w14:textId="77777777" w:rsidR="00626D90" w:rsidRPr="00511C45" w:rsidRDefault="00626D90" w:rsidP="00EF0FC0">
            <w:pPr>
              <w:snapToGrid w:val="0"/>
              <w:spacing w:before="60" w:after="60"/>
              <w:jc w:val="center"/>
              <w:rPr>
                <w:rFonts w:cs="Times New Roman"/>
                <w:color w:val="000000" w:themeColor="text1"/>
                <w:szCs w:val="22"/>
              </w:rPr>
            </w:pPr>
            <w:r w:rsidRPr="00511C45">
              <w:rPr>
                <w:rFonts w:cs="Times New Roman"/>
                <w:color w:val="000000" w:themeColor="text1"/>
                <w:szCs w:val="22"/>
              </w:rPr>
              <w:t>2.04</w:t>
            </w:r>
          </w:p>
        </w:tc>
        <w:tc>
          <w:tcPr>
            <w:tcW w:w="1347" w:type="dxa"/>
            <w:tcBorders>
              <w:top w:val="single" w:sz="4" w:space="0" w:color="000000"/>
            </w:tcBorders>
            <w:vAlign w:val="center"/>
          </w:tcPr>
          <w:p w14:paraId="0DA67E01" w14:textId="77777777" w:rsidR="00626D90" w:rsidRPr="00511C45" w:rsidRDefault="00626D90" w:rsidP="00EF0FC0">
            <w:pPr>
              <w:snapToGrid w:val="0"/>
              <w:spacing w:before="60" w:after="60"/>
              <w:jc w:val="center"/>
              <w:rPr>
                <w:rFonts w:cs="Times New Roman"/>
                <w:color w:val="000000" w:themeColor="text1"/>
                <w:szCs w:val="22"/>
              </w:rPr>
            </w:pPr>
            <w:r w:rsidRPr="00511C45">
              <w:rPr>
                <w:color w:val="000000" w:themeColor="text1"/>
                <w:szCs w:val="22"/>
              </w:rPr>
              <w:t>1.40</w:t>
            </w:r>
          </w:p>
        </w:tc>
        <w:tc>
          <w:tcPr>
            <w:tcW w:w="1347" w:type="dxa"/>
            <w:tcBorders>
              <w:top w:val="single" w:sz="4" w:space="0" w:color="000000"/>
            </w:tcBorders>
            <w:vAlign w:val="center"/>
          </w:tcPr>
          <w:p w14:paraId="473C9ABE" w14:textId="4C5B5640" w:rsidR="00626D90" w:rsidRPr="00511C45" w:rsidRDefault="002F5814" w:rsidP="00EF0FC0">
            <w:pPr>
              <w:snapToGrid w:val="0"/>
              <w:spacing w:before="60" w:after="60"/>
              <w:jc w:val="center"/>
              <w:rPr>
                <w:rFonts w:cs="Times New Roman"/>
                <w:color w:val="000000" w:themeColor="text1"/>
                <w:szCs w:val="22"/>
              </w:rPr>
            </w:pPr>
            <w:r>
              <w:rPr>
                <w:color w:val="000000"/>
                <w:szCs w:val="22"/>
              </w:rPr>
              <w:t>3.08</w:t>
            </w:r>
          </w:p>
        </w:tc>
        <w:tc>
          <w:tcPr>
            <w:tcW w:w="1347" w:type="dxa"/>
            <w:tcBorders>
              <w:top w:val="single" w:sz="4" w:space="0" w:color="000000"/>
            </w:tcBorders>
            <w:vAlign w:val="center"/>
          </w:tcPr>
          <w:p w14:paraId="7B095591" w14:textId="77777777" w:rsidR="00626D90" w:rsidRPr="00511C45" w:rsidRDefault="00626D90" w:rsidP="00EF0FC0">
            <w:pPr>
              <w:snapToGrid w:val="0"/>
              <w:spacing w:before="60" w:after="60"/>
              <w:jc w:val="center"/>
              <w:rPr>
                <w:rFonts w:cs="Times New Roman"/>
                <w:color w:val="000000" w:themeColor="text1"/>
                <w:szCs w:val="22"/>
              </w:rPr>
            </w:pPr>
            <w:r w:rsidRPr="00511C45">
              <w:rPr>
                <w:color w:val="000000" w:themeColor="text1"/>
              </w:rPr>
              <w:t>0.03</w:t>
            </w:r>
          </w:p>
        </w:tc>
      </w:tr>
      <w:tr w:rsidR="00626D90" w:rsidRPr="00866793" w14:paraId="0C1BC8B0" w14:textId="77777777" w:rsidTr="00EF0FC0">
        <w:trPr>
          <w:trHeight w:val="456"/>
        </w:trPr>
        <w:tc>
          <w:tcPr>
            <w:tcW w:w="2552" w:type="dxa"/>
            <w:tcBorders>
              <w:top w:val="single" w:sz="4" w:space="0" w:color="000000"/>
            </w:tcBorders>
            <w:vAlign w:val="center"/>
          </w:tcPr>
          <w:p w14:paraId="092C0517" w14:textId="77777777" w:rsidR="00626D90" w:rsidRPr="00AD0F04" w:rsidRDefault="00626D90" w:rsidP="00EF0FC0">
            <w:pPr>
              <w:snapToGrid w:val="0"/>
              <w:spacing w:before="60" w:after="60"/>
              <w:jc w:val="left"/>
              <w:rPr>
                <w:rFonts w:cs="Times New Roman"/>
                <w:color w:val="000000" w:themeColor="text1"/>
                <w:szCs w:val="22"/>
              </w:rPr>
            </w:pPr>
            <w:r w:rsidRPr="00AD0F04">
              <w:rPr>
                <w:rFonts w:cs="Times New Roman"/>
                <w:color w:val="000000" w:themeColor="text1"/>
                <w:szCs w:val="22"/>
              </w:rPr>
              <w:t xml:space="preserve">Share of </w:t>
            </w:r>
            <w:r>
              <w:rPr>
                <w:rFonts w:cs="Times New Roman"/>
                <w:color w:val="000000" w:themeColor="text1"/>
                <w:szCs w:val="22"/>
              </w:rPr>
              <w:t>RAC</w:t>
            </w:r>
            <w:r w:rsidRPr="00AD0F04">
              <w:rPr>
                <w:rFonts w:cs="Times New Roman"/>
                <w:color w:val="000000" w:themeColor="text1"/>
                <w:szCs w:val="22"/>
              </w:rPr>
              <w:t xml:space="preserve"> direct emissions</w:t>
            </w:r>
          </w:p>
        </w:tc>
        <w:tc>
          <w:tcPr>
            <w:tcW w:w="1559" w:type="dxa"/>
            <w:tcBorders>
              <w:top w:val="single" w:sz="4" w:space="0" w:color="000000"/>
            </w:tcBorders>
            <w:vAlign w:val="center"/>
          </w:tcPr>
          <w:p w14:paraId="78CBF900" w14:textId="77777777" w:rsidR="00626D90" w:rsidRPr="00AD0F04" w:rsidRDefault="00626D90" w:rsidP="00EF0FC0">
            <w:pPr>
              <w:snapToGrid w:val="0"/>
              <w:spacing w:before="60" w:after="60"/>
              <w:jc w:val="center"/>
              <w:rPr>
                <w:rFonts w:cs="Times New Roman"/>
                <w:color w:val="000000" w:themeColor="text1"/>
                <w:szCs w:val="22"/>
              </w:rPr>
            </w:pPr>
            <w:r>
              <w:rPr>
                <w:rFonts w:cs="Times New Roman"/>
                <w:szCs w:val="22"/>
              </w:rPr>
              <w:t>Percent</w:t>
            </w:r>
          </w:p>
        </w:tc>
        <w:tc>
          <w:tcPr>
            <w:tcW w:w="1346" w:type="dxa"/>
            <w:tcBorders>
              <w:top w:val="single" w:sz="4" w:space="0" w:color="000000"/>
            </w:tcBorders>
            <w:vAlign w:val="center"/>
          </w:tcPr>
          <w:p w14:paraId="441C774D" w14:textId="19D99C24" w:rsidR="00626D90" w:rsidRPr="00511C45" w:rsidRDefault="00626D90" w:rsidP="00EF0FC0">
            <w:pPr>
              <w:snapToGrid w:val="0"/>
              <w:spacing w:before="60" w:after="60"/>
              <w:jc w:val="center"/>
              <w:rPr>
                <w:rFonts w:cs="Times New Roman"/>
                <w:color w:val="000000" w:themeColor="text1"/>
                <w:szCs w:val="22"/>
              </w:rPr>
            </w:pPr>
            <w:r w:rsidRPr="00511C45">
              <w:rPr>
                <w:rFonts w:cs="Times New Roman"/>
                <w:color w:val="000000" w:themeColor="text1"/>
                <w:szCs w:val="22"/>
              </w:rPr>
              <w:t>3</w:t>
            </w:r>
            <w:r w:rsidR="002F5814">
              <w:rPr>
                <w:rFonts w:cs="Times New Roman"/>
                <w:color w:val="000000" w:themeColor="text1"/>
                <w:szCs w:val="22"/>
              </w:rPr>
              <w:t>7</w:t>
            </w:r>
            <w:r w:rsidRPr="00511C45">
              <w:rPr>
                <w:rFonts w:cs="Times New Roman"/>
                <w:color w:val="000000" w:themeColor="text1"/>
                <w:szCs w:val="22"/>
              </w:rPr>
              <w:t>%</w:t>
            </w:r>
          </w:p>
        </w:tc>
        <w:tc>
          <w:tcPr>
            <w:tcW w:w="1347" w:type="dxa"/>
            <w:tcBorders>
              <w:top w:val="single" w:sz="4" w:space="0" w:color="000000"/>
            </w:tcBorders>
            <w:vAlign w:val="center"/>
          </w:tcPr>
          <w:p w14:paraId="13199A05" w14:textId="66D1EC14" w:rsidR="00626D90" w:rsidRPr="00511C45" w:rsidRDefault="00626D90" w:rsidP="00EF0FC0">
            <w:pPr>
              <w:snapToGrid w:val="0"/>
              <w:spacing w:before="60" w:after="60"/>
              <w:jc w:val="center"/>
              <w:rPr>
                <w:rFonts w:cs="Times New Roman"/>
                <w:color w:val="000000" w:themeColor="text1"/>
                <w:szCs w:val="22"/>
              </w:rPr>
            </w:pPr>
            <w:r>
              <w:rPr>
                <w:color w:val="000000" w:themeColor="text1"/>
                <w:szCs w:val="22"/>
              </w:rPr>
              <w:t>2</w:t>
            </w:r>
            <w:r w:rsidR="002F5814">
              <w:rPr>
                <w:color w:val="000000" w:themeColor="text1"/>
                <w:szCs w:val="22"/>
              </w:rPr>
              <w:t>1</w:t>
            </w:r>
            <w:r w:rsidRPr="00511C45">
              <w:rPr>
                <w:color w:val="000000" w:themeColor="text1"/>
                <w:szCs w:val="22"/>
              </w:rPr>
              <w:t>%</w:t>
            </w:r>
          </w:p>
        </w:tc>
        <w:tc>
          <w:tcPr>
            <w:tcW w:w="1347" w:type="dxa"/>
            <w:tcBorders>
              <w:top w:val="single" w:sz="4" w:space="0" w:color="000000"/>
            </w:tcBorders>
            <w:vAlign w:val="center"/>
          </w:tcPr>
          <w:p w14:paraId="58366B83" w14:textId="56931019" w:rsidR="00626D90" w:rsidRPr="00511C45" w:rsidRDefault="00626D90" w:rsidP="00EF0FC0">
            <w:pPr>
              <w:snapToGrid w:val="0"/>
              <w:spacing w:before="60" w:after="60"/>
              <w:jc w:val="center"/>
              <w:rPr>
                <w:rFonts w:cs="Times New Roman"/>
                <w:color w:val="000000" w:themeColor="text1"/>
                <w:szCs w:val="22"/>
              </w:rPr>
            </w:pPr>
            <w:r w:rsidRPr="00511C45">
              <w:rPr>
                <w:szCs w:val="22"/>
              </w:rPr>
              <w:t>4</w:t>
            </w:r>
            <w:r w:rsidR="002F5814">
              <w:rPr>
                <w:szCs w:val="22"/>
              </w:rPr>
              <w:t>8</w:t>
            </w:r>
            <w:r w:rsidRPr="00511C45">
              <w:rPr>
                <w:szCs w:val="22"/>
              </w:rPr>
              <w:t>%</w:t>
            </w:r>
          </w:p>
        </w:tc>
        <w:tc>
          <w:tcPr>
            <w:tcW w:w="1347" w:type="dxa"/>
            <w:tcBorders>
              <w:top w:val="single" w:sz="4" w:space="0" w:color="000000"/>
            </w:tcBorders>
            <w:vAlign w:val="center"/>
          </w:tcPr>
          <w:p w14:paraId="3AC7552F" w14:textId="77777777" w:rsidR="00626D90" w:rsidRPr="00511C45" w:rsidRDefault="00626D90" w:rsidP="00EF0FC0">
            <w:pPr>
              <w:snapToGrid w:val="0"/>
              <w:spacing w:before="60" w:after="60"/>
              <w:jc w:val="center"/>
              <w:rPr>
                <w:rFonts w:cs="Times New Roman"/>
                <w:color w:val="000000" w:themeColor="text1"/>
                <w:szCs w:val="22"/>
              </w:rPr>
            </w:pPr>
            <w:r w:rsidRPr="00511C45">
              <w:rPr>
                <w:color w:val="000000" w:themeColor="text1"/>
              </w:rPr>
              <w:t>0.</w:t>
            </w:r>
            <w:r>
              <w:rPr>
                <w:color w:val="000000" w:themeColor="text1"/>
              </w:rPr>
              <w:t>4</w:t>
            </w:r>
            <w:r w:rsidRPr="00511C45">
              <w:rPr>
                <w:color w:val="000000" w:themeColor="text1"/>
              </w:rPr>
              <w:t>%</w:t>
            </w:r>
          </w:p>
        </w:tc>
      </w:tr>
      <w:tr w:rsidR="00626D90" w:rsidRPr="00866793" w14:paraId="328E9DC2" w14:textId="77777777" w:rsidTr="00EF0FC0">
        <w:trPr>
          <w:trHeight w:val="456"/>
        </w:trPr>
        <w:tc>
          <w:tcPr>
            <w:tcW w:w="2552" w:type="dxa"/>
            <w:tcBorders>
              <w:top w:val="single" w:sz="4" w:space="0" w:color="000000"/>
            </w:tcBorders>
            <w:vAlign w:val="center"/>
          </w:tcPr>
          <w:p w14:paraId="20EECEE6" w14:textId="77777777" w:rsidR="00626D90" w:rsidRPr="00AD0F04" w:rsidRDefault="00626D90" w:rsidP="00EF0FC0">
            <w:pPr>
              <w:snapToGrid w:val="0"/>
              <w:spacing w:before="60" w:after="60"/>
              <w:jc w:val="left"/>
              <w:rPr>
                <w:rFonts w:cs="Times New Roman"/>
                <w:color w:val="000000" w:themeColor="text1"/>
                <w:szCs w:val="22"/>
              </w:rPr>
            </w:pPr>
            <w:r w:rsidRPr="00AD0F04">
              <w:rPr>
                <w:rFonts w:cs="Times New Roman"/>
                <w:color w:val="000000" w:themeColor="text1"/>
                <w:szCs w:val="22"/>
              </w:rPr>
              <w:t xml:space="preserve">Share of </w:t>
            </w:r>
            <w:r>
              <w:rPr>
                <w:rFonts w:cs="Times New Roman"/>
                <w:color w:val="000000" w:themeColor="text1"/>
                <w:szCs w:val="22"/>
              </w:rPr>
              <w:t>RAC</w:t>
            </w:r>
            <w:r w:rsidRPr="00AD0F04">
              <w:rPr>
                <w:rFonts w:cs="Times New Roman"/>
                <w:color w:val="000000" w:themeColor="text1"/>
                <w:szCs w:val="22"/>
              </w:rPr>
              <w:t xml:space="preserve"> total emissions</w:t>
            </w:r>
            <w:r>
              <w:rPr>
                <w:rFonts w:cs="Times New Roman"/>
                <w:color w:val="000000" w:themeColor="text1"/>
                <w:szCs w:val="22"/>
              </w:rPr>
              <w:t xml:space="preserve"> </w:t>
            </w:r>
            <w:r w:rsidRPr="00AD0F04">
              <w:rPr>
                <w:rFonts w:cs="Times New Roman"/>
                <w:color w:val="000000" w:themeColor="text1"/>
                <w:szCs w:val="22"/>
              </w:rPr>
              <w:t xml:space="preserve">                               </w:t>
            </w:r>
            <w:proofErr w:type="gramStart"/>
            <w:r w:rsidRPr="00AD0F04">
              <w:rPr>
                <w:rFonts w:cs="Times New Roman"/>
                <w:color w:val="000000" w:themeColor="text1"/>
                <w:szCs w:val="22"/>
              </w:rPr>
              <w:t xml:space="preserve">   (</w:t>
            </w:r>
            <w:proofErr w:type="gramEnd"/>
            <w:r w:rsidRPr="00AD0F04">
              <w:rPr>
                <w:rFonts w:cs="Times New Roman"/>
                <w:color w:val="000000" w:themeColor="text1"/>
                <w:szCs w:val="22"/>
              </w:rPr>
              <w:t>not including EOL)</w:t>
            </w:r>
          </w:p>
        </w:tc>
        <w:tc>
          <w:tcPr>
            <w:tcW w:w="1559" w:type="dxa"/>
            <w:tcBorders>
              <w:top w:val="single" w:sz="4" w:space="0" w:color="000000"/>
            </w:tcBorders>
            <w:vAlign w:val="center"/>
          </w:tcPr>
          <w:p w14:paraId="0484018F" w14:textId="77777777" w:rsidR="00626D90" w:rsidRPr="00AD0F04" w:rsidRDefault="00626D90" w:rsidP="00EF0FC0">
            <w:pPr>
              <w:snapToGrid w:val="0"/>
              <w:spacing w:before="60" w:after="60"/>
              <w:jc w:val="center"/>
              <w:rPr>
                <w:rFonts w:cs="Times New Roman"/>
                <w:color w:val="000000" w:themeColor="text1"/>
                <w:szCs w:val="22"/>
              </w:rPr>
            </w:pPr>
            <w:r>
              <w:rPr>
                <w:rFonts w:cs="Times New Roman"/>
                <w:szCs w:val="22"/>
              </w:rPr>
              <w:t>Percent</w:t>
            </w:r>
          </w:p>
        </w:tc>
        <w:tc>
          <w:tcPr>
            <w:tcW w:w="1346" w:type="dxa"/>
            <w:tcBorders>
              <w:top w:val="single" w:sz="4" w:space="0" w:color="000000"/>
            </w:tcBorders>
            <w:vAlign w:val="center"/>
          </w:tcPr>
          <w:p w14:paraId="573C80AC" w14:textId="77777777" w:rsidR="00626D90" w:rsidRPr="0041349D" w:rsidRDefault="00626D90" w:rsidP="00EF0FC0">
            <w:pPr>
              <w:snapToGrid w:val="0"/>
              <w:spacing w:before="60" w:after="60"/>
              <w:jc w:val="center"/>
              <w:rPr>
                <w:rFonts w:cs="Times New Roman"/>
                <w:color w:val="000000" w:themeColor="text1"/>
                <w:szCs w:val="22"/>
              </w:rPr>
            </w:pPr>
            <w:r w:rsidRPr="0041349D">
              <w:rPr>
                <w:rFonts w:cs="Times New Roman"/>
                <w:color w:val="000000" w:themeColor="text1"/>
                <w:szCs w:val="22"/>
              </w:rPr>
              <w:t>51%</w:t>
            </w:r>
          </w:p>
        </w:tc>
        <w:tc>
          <w:tcPr>
            <w:tcW w:w="1347" w:type="dxa"/>
            <w:tcBorders>
              <w:top w:val="single" w:sz="4" w:space="0" w:color="000000"/>
            </w:tcBorders>
            <w:vAlign w:val="center"/>
          </w:tcPr>
          <w:p w14:paraId="47212964" w14:textId="77777777" w:rsidR="00626D90" w:rsidRPr="0041349D" w:rsidRDefault="00626D90" w:rsidP="00EF0FC0">
            <w:pPr>
              <w:snapToGrid w:val="0"/>
              <w:spacing w:before="60" w:after="60"/>
              <w:jc w:val="center"/>
              <w:rPr>
                <w:rFonts w:cs="Times New Roman"/>
                <w:color w:val="000000" w:themeColor="text1"/>
                <w:szCs w:val="22"/>
              </w:rPr>
            </w:pPr>
            <w:r w:rsidRPr="0041349D">
              <w:rPr>
                <w:color w:val="000000" w:themeColor="text1"/>
                <w:szCs w:val="22"/>
              </w:rPr>
              <w:t>7%</w:t>
            </w:r>
          </w:p>
        </w:tc>
        <w:tc>
          <w:tcPr>
            <w:tcW w:w="1347" w:type="dxa"/>
            <w:tcBorders>
              <w:top w:val="single" w:sz="4" w:space="0" w:color="000000"/>
            </w:tcBorders>
            <w:vAlign w:val="center"/>
          </w:tcPr>
          <w:p w14:paraId="5E3DB22D" w14:textId="77777777" w:rsidR="00626D90" w:rsidRPr="0041349D" w:rsidRDefault="00626D90" w:rsidP="00EF0FC0">
            <w:pPr>
              <w:snapToGrid w:val="0"/>
              <w:spacing w:before="60" w:after="60"/>
              <w:jc w:val="center"/>
              <w:rPr>
                <w:rFonts w:cs="Times New Roman"/>
                <w:color w:val="000000" w:themeColor="text1"/>
                <w:szCs w:val="22"/>
              </w:rPr>
            </w:pPr>
            <w:r w:rsidRPr="0041349D">
              <w:rPr>
                <w:szCs w:val="22"/>
              </w:rPr>
              <w:t>31%</w:t>
            </w:r>
          </w:p>
        </w:tc>
        <w:tc>
          <w:tcPr>
            <w:tcW w:w="1347" w:type="dxa"/>
            <w:tcBorders>
              <w:top w:val="single" w:sz="4" w:space="0" w:color="000000"/>
            </w:tcBorders>
            <w:vAlign w:val="center"/>
          </w:tcPr>
          <w:p w14:paraId="7FE941CF" w14:textId="77777777" w:rsidR="00626D90" w:rsidRPr="0041349D" w:rsidRDefault="00626D90" w:rsidP="00EF0FC0">
            <w:pPr>
              <w:snapToGrid w:val="0"/>
              <w:spacing w:before="60" w:after="60"/>
              <w:jc w:val="center"/>
              <w:rPr>
                <w:rFonts w:cs="Times New Roman"/>
                <w:color w:val="000000" w:themeColor="text1"/>
                <w:szCs w:val="22"/>
              </w:rPr>
            </w:pPr>
            <w:r w:rsidRPr="0041349D">
              <w:rPr>
                <w:color w:val="000000" w:themeColor="text1"/>
              </w:rPr>
              <w:t>11%</w:t>
            </w:r>
          </w:p>
        </w:tc>
      </w:tr>
    </w:tbl>
    <w:p w14:paraId="2446E32F" w14:textId="77777777" w:rsidR="00626D90" w:rsidRPr="002261BF" w:rsidRDefault="00626D90" w:rsidP="00626D90">
      <w:pPr>
        <w:snapToGrid w:val="0"/>
        <w:spacing w:before="60"/>
        <w:rPr>
          <w:rFonts w:cs="Times New Roman"/>
          <w:sz w:val="20"/>
          <w:szCs w:val="20"/>
        </w:rPr>
      </w:pPr>
      <w:r w:rsidRPr="002261BF">
        <w:rPr>
          <w:rFonts w:cs="Times New Roman"/>
          <w:sz w:val="20"/>
          <w:szCs w:val="20"/>
        </w:rPr>
        <w:t>Notes:</w:t>
      </w:r>
    </w:p>
    <w:p w14:paraId="4E865565" w14:textId="77777777" w:rsidR="00626D90" w:rsidRPr="002261BF" w:rsidRDefault="00626D90" w:rsidP="00626D90">
      <w:pPr>
        <w:pStyle w:val="ListParagraph"/>
        <w:numPr>
          <w:ilvl w:val="0"/>
          <w:numId w:val="37"/>
        </w:numPr>
        <w:snapToGrid w:val="0"/>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 xml:space="preserve">HFC substances </w:t>
      </w:r>
      <w:r w:rsidRPr="002261BF">
        <w:rPr>
          <w:rFonts w:ascii="Times New Roman" w:hAnsi="Times New Roman"/>
          <w:sz w:val="20"/>
          <w:szCs w:val="20"/>
        </w:rPr>
        <w:t>in pre-charged equipment imports in non-RAC categories is 277 tonnes.</w:t>
      </w:r>
    </w:p>
    <w:p w14:paraId="1286DCEF" w14:textId="77777777" w:rsidR="00626D90" w:rsidRPr="002261BF" w:rsidRDefault="00626D90" w:rsidP="00626D90">
      <w:pPr>
        <w:pStyle w:val="ListParagraph"/>
        <w:numPr>
          <w:ilvl w:val="0"/>
          <w:numId w:val="37"/>
        </w:numPr>
        <w:snapToGrid w:val="0"/>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The electricity consumption estimate does not take efficiency improvements into account that may have been captured by additions to the fleet of equipment from 2016 to 2019 and is based on assumptions from CHF3.</w:t>
      </w:r>
    </w:p>
    <w:p w14:paraId="5AD67D1D" w14:textId="77777777" w:rsidR="00626D90" w:rsidRPr="002261BF" w:rsidRDefault="00626D90" w:rsidP="00626D90">
      <w:pPr>
        <w:pStyle w:val="ListParagraph"/>
        <w:numPr>
          <w:ilvl w:val="0"/>
          <w:numId w:val="37"/>
        </w:numPr>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Emissions of ODS are not counted as part of the GHGs reported under the Kyoto Protocol of the United Nations Framework Convention on Climate Change, as they are managed through the Montreal Protocol.</w:t>
      </w:r>
    </w:p>
    <w:p w14:paraId="718A9587" w14:textId="77777777" w:rsidR="00626D90" w:rsidRPr="002261BF" w:rsidRDefault="00626D90" w:rsidP="00626D90">
      <w:pPr>
        <w:pStyle w:val="ListParagraph"/>
        <w:numPr>
          <w:ilvl w:val="0"/>
          <w:numId w:val="37"/>
        </w:numPr>
        <w:spacing w:before="60" w:after="0" w:line="240" w:lineRule="auto"/>
        <w:jc w:val="both"/>
        <w:rPr>
          <w:rFonts w:ascii="Times New Roman" w:hAnsi="Times New Roman"/>
          <w:sz w:val="20"/>
          <w:szCs w:val="20"/>
        </w:rPr>
      </w:pPr>
      <w:r w:rsidRPr="002261BF">
        <w:rPr>
          <w:rFonts w:ascii="Times New Roman" w:hAnsi="Times New Roman"/>
          <w:sz w:val="20"/>
          <w:szCs w:val="20"/>
        </w:rPr>
        <w:t>An estimated 200 tonnes are refrigerants with a GWP&lt;10.</w:t>
      </w:r>
    </w:p>
    <w:p w14:paraId="6C974DA2" w14:textId="77777777" w:rsidR="00626D90" w:rsidRPr="002261BF" w:rsidRDefault="00626D90" w:rsidP="00626D90">
      <w:pPr>
        <w:pStyle w:val="ListParagraph"/>
        <w:numPr>
          <w:ilvl w:val="0"/>
          <w:numId w:val="37"/>
        </w:numPr>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 xml:space="preserve">Electricity consumption for MAC is from air conditioners on trains and light rail. Indirect emissions for MAC include indirect emissions from electricity consumption plus emissions from fuel consumption attributed to operating mobile air conditioners on passenger vehicles, trucks, buses and other air-conditioned vehicles. </w:t>
      </w:r>
    </w:p>
    <w:p w14:paraId="038A27C8" w14:textId="77777777" w:rsidR="00626D90" w:rsidRPr="002261BF" w:rsidRDefault="00626D90" w:rsidP="00626D90">
      <w:pPr>
        <w:pStyle w:val="ListParagraph"/>
        <w:numPr>
          <w:ilvl w:val="0"/>
          <w:numId w:val="37"/>
        </w:numPr>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 xml:space="preserve">Indirect emissions for the refrigerated cold food chain include indirect emissions from electricity consumption plus emissions from fuel consumption attributed to transport refrigeration. </w:t>
      </w:r>
    </w:p>
    <w:p w14:paraId="6624D4BB" w14:textId="77777777" w:rsidR="00626D90" w:rsidRPr="002261BF" w:rsidRDefault="00626D90" w:rsidP="00626D90">
      <w:pPr>
        <w:pStyle w:val="ListParagraph"/>
        <w:numPr>
          <w:ilvl w:val="0"/>
          <w:numId w:val="37"/>
        </w:numPr>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 xml:space="preserve">Total stock includes portable and automotive refrigeration. There are now an estimated 8 million devices containing hydrocarbon HC-600a in 2019.   </w:t>
      </w:r>
    </w:p>
    <w:p w14:paraId="2E02092A" w14:textId="77777777" w:rsidR="00626D90" w:rsidRPr="002261BF" w:rsidRDefault="00626D90" w:rsidP="00626D90">
      <w:pPr>
        <w:pStyle w:val="ListParagraph"/>
        <w:numPr>
          <w:ilvl w:val="0"/>
          <w:numId w:val="37"/>
        </w:numPr>
        <w:spacing w:before="60" w:after="0" w:line="240" w:lineRule="auto"/>
        <w:ind w:left="357" w:hanging="357"/>
        <w:contextualSpacing w:val="0"/>
        <w:jc w:val="both"/>
        <w:rPr>
          <w:rFonts w:ascii="Times New Roman" w:hAnsi="Times New Roman"/>
          <w:sz w:val="20"/>
          <w:szCs w:val="20"/>
        </w:rPr>
      </w:pPr>
      <w:r w:rsidRPr="002261BF">
        <w:rPr>
          <w:rFonts w:ascii="Times New Roman" w:hAnsi="Times New Roman"/>
          <w:sz w:val="20"/>
          <w:szCs w:val="20"/>
        </w:rPr>
        <w:t>Percentages may not total 100 due to rounding.</w:t>
      </w:r>
    </w:p>
    <w:p w14:paraId="1F265412" w14:textId="77777777" w:rsidR="00626D90" w:rsidRPr="005E1C9F" w:rsidRDefault="00626D90" w:rsidP="00626D90">
      <w:pPr>
        <w:spacing w:before="0"/>
        <w:jc w:val="left"/>
        <w:rPr>
          <w:i/>
          <w:iCs/>
        </w:rPr>
      </w:pPr>
      <w:r>
        <w:br w:type="page"/>
      </w:r>
      <w:bookmarkStart w:id="7" w:name="_Toc49756558"/>
      <w:r w:rsidRPr="005E1C9F">
        <w:rPr>
          <w:i/>
          <w:iCs/>
        </w:rPr>
        <w:lastRenderedPageBreak/>
        <w:t xml:space="preserve">Table </w:t>
      </w:r>
      <w:r w:rsidRPr="005E1C9F">
        <w:rPr>
          <w:i/>
          <w:iCs/>
          <w:noProof/>
        </w:rPr>
        <w:fldChar w:fldCharType="begin"/>
      </w:r>
      <w:r w:rsidRPr="005E1C9F">
        <w:rPr>
          <w:i/>
          <w:iCs/>
          <w:noProof/>
        </w:rPr>
        <w:instrText xml:space="preserve"> SEQ Table \* ARABIC </w:instrText>
      </w:r>
      <w:r w:rsidRPr="005E1C9F">
        <w:rPr>
          <w:i/>
          <w:iCs/>
          <w:noProof/>
        </w:rPr>
        <w:fldChar w:fldCharType="separate"/>
      </w:r>
      <w:r w:rsidRPr="005E1C9F">
        <w:rPr>
          <w:i/>
          <w:iCs/>
          <w:noProof/>
        </w:rPr>
        <w:t>2</w:t>
      </w:r>
      <w:r w:rsidRPr="005E1C9F">
        <w:rPr>
          <w:i/>
          <w:iCs/>
          <w:noProof/>
        </w:rPr>
        <w:fldChar w:fldCharType="end"/>
      </w:r>
      <w:r w:rsidRPr="005E1C9F">
        <w:rPr>
          <w:i/>
          <w:iCs/>
        </w:rPr>
        <w:t>: Main refrigeration and air conditioning metrics for 2016.</w:t>
      </w:r>
      <w:bookmarkEnd w:id="7"/>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559"/>
        <w:gridCol w:w="1346"/>
        <w:gridCol w:w="1347"/>
        <w:gridCol w:w="1347"/>
        <w:gridCol w:w="1347"/>
      </w:tblGrid>
      <w:tr w:rsidR="00626D90" w:rsidRPr="00866793" w14:paraId="1C540111" w14:textId="77777777" w:rsidTr="00EF0FC0">
        <w:trPr>
          <w:trHeight w:val="456"/>
        </w:trPr>
        <w:tc>
          <w:tcPr>
            <w:tcW w:w="2552" w:type="dxa"/>
            <w:tcBorders>
              <w:top w:val="single" w:sz="4" w:space="0" w:color="000000"/>
            </w:tcBorders>
            <w:shd w:val="clear" w:color="auto" w:fill="B6DDE8" w:themeFill="accent5" w:themeFillTint="66"/>
          </w:tcPr>
          <w:p w14:paraId="1C73F8C7" w14:textId="77777777" w:rsidR="00626D90" w:rsidRPr="008109F3" w:rsidRDefault="00626D90" w:rsidP="00EF0FC0">
            <w:pPr>
              <w:snapToGrid w:val="0"/>
              <w:spacing w:after="120"/>
              <w:jc w:val="left"/>
              <w:rPr>
                <w:rFonts w:cs="Times New Roman"/>
                <w:szCs w:val="22"/>
              </w:rPr>
            </w:pPr>
            <w:r w:rsidRPr="008109F3">
              <w:rPr>
                <w:rFonts w:cs="Times New Roman"/>
                <w:szCs w:val="22"/>
              </w:rPr>
              <w:t>Metric</w:t>
            </w:r>
          </w:p>
        </w:tc>
        <w:tc>
          <w:tcPr>
            <w:tcW w:w="1559" w:type="dxa"/>
            <w:tcBorders>
              <w:top w:val="single" w:sz="4" w:space="0" w:color="000000"/>
            </w:tcBorders>
            <w:shd w:val="clear" w:color="auto" w:fill="B6DDE8" w:themeFill="accent5" w:themeFillTint="66"/>
          </w:tcPr>
          <w:p w14:paraId="281BB3A6" w14:textId="77777777" w:rsidR="00626D90" w:rsidRPr="008109F3" w:rsidRDefault="00626D90" w:rsidP="00EF0FC0">
            <w:pPr>
              <w:snapToGrid w:val="0"/>
              <w:spacing w:after="120"/>
              <w:jc w:val="center"/>
              <w:rPr>
                <w:rFonts w:cs="Times New Roman"/>
                <w:szCs w:val="22"/>
              </w:rPr>
            </w:pPr>
            <w:r>
              <w:rPr>
                <w:rFonts w:cs="Times New Roman"/>
                <w:szCs w:val="22"/>
              </w:rPr>
              <w:t>Units</w:t>
            </w:r>
          </w:p>
        </w:tc>
        <w:tc>
          <w:tcPr>
            <w:tcW w:w="1346" w:type="dxa"/>
            <w:tcBorders>
              <w:top w:val="single" w:sz="4" w:space="0" w:color="000000"/>
            </w:tcBorders>
            <w:shd w:val="clear" w:color="auto" w:fill="B6DDE8" w:themeFill="accent5" w:themeFillTint="66"/>
          </w:tcPr>
          <w:p w14:paraId="49C7BA7A" w14:textId="77777777" w:rsidR="00626D90" w:rsidRPr="008109F3" w:rsidRDefault="00626D90" w:rsidP="00EF0FC0">
            <w:pPr>
              <w:snapToGrid w:val="0"/>
              <w:spacing w:after="120"/>
              <w:jc w:val="center"/>
              <w:rPr>
                <w:rFonts w:cs="Times New Roman"/>
                <w:szCs w:val="22"/>
              </w:rPr>
            </w:pPr>
            <w:r>
              <w:rPr>
                <w:rFonts w:cs="Times New Roman"/>
                <w:szCs w:val="22"/>
              </w:rPr>
              <w:t>AC</w:t>
            </w:r>
          </w:p>
        </w:tc>
        <w:tc>
          <w:tcPr>
            <w:tcW w:w="1347" w:type="dxa"/>
            <w:tcBorders>
              <w:top w:val="single" w:sz="4" w:space="0" w:color="000000"/>
            </w:tcBorders>
            <w:shd w:val="clear" w:color="auto" w:fill="B6DDE8" w:themeFill="accent5" w:themeFillTint="66"/>
          </w:tcPr>
          <w:p w14:paraId="0E49A5A0" w14:textId="77777777" w:rsidR="00626D90" w:rsidRPr="008109F3" w:rsidRDefault="00626D90" w:rsidP="00EF0FC0">
            <w:pPr>
              <w:snapToGrid w:val="0"/>
              <w:spacing w:after="120"/>
              <w:jc w:val="center"/>
              <w:rPr>
                <w:rFonts w:cs="Times New Roman"/>
                <w:szCs w:val="22"/>
              </w:rPr>
            </w:pPr>
            <w:r>
              <w:rPr>
                <w:rFonts w:cs="Times New Roman"/>
                <w:szCs w:val="22"/>
              </w:rPr>
              <w:t>MAC</w:t>
            </w:r>
          </w:p>
        </w:tc>
        <w:tc>
          <w:tcPr>
            <w:tcW w:w="1347" w:type="dxa"/>
            <w:tcBorders>
              <w:top w:val="single" w:sz="4" w:space="0" w:color="000000"/>
            </w:tcBorders>
            <w:shd w:val="clear" w:color="auto" w:fill="B6DDE8" w:themeFill="accent5" w:themeFillTint="66"/>
          </w:tcPr>
          <w:p w14:paraId="3A63B3A8" w14:textId="77777777" w:rsidR="00626D90" w:rsidRPr="008109F3" w:rsidRDefault="00626D90" w:rsidP="00EF0FC0">
            <w:pPr>
              <w:snapToGrid w:val="0"/>
              <w:spacing w:after="120"/>
              <w:jc w:val="center"/>
              <w:rPr>
                <w:rFonts w:cs="Times New Roman"/>
                <w:szCs w:val="22"/>
              </w:rPr>
            </w:pPr>
            <w:r>
              <w:rPr>
                <w:rFonts w:cs="Times New Roman"/>
                <w:szCs w:val="22"/>
              </w:rPr>
              <w:t>RCFC</w:t>
            </w:r>
          </w:p>
        </w:tc>
        <w:tc>
          <w:tcPr>
            <w:tcW w:w="1347" w:type="dxa"/>
            <w:tcBorders>
              <w:top w:val="single" w:sz="4" w:space="0" w:color="000000"/>
            </w:tcBorders>
            <w:shd w:val="clear" w:color="auto" w:fill="B6DDE8" w:themeFill="accent5" w:themeFillTint="66"/>
            <w:vAlign w:val="center"/>
          </w:tcPr>
          <w:p w14:paraId="1DF00747" w14:textId="77777777" w:rsidR="00626D90" w:rsidRPr="008109F3" w:rsidRDefault="00626D90" w:rsidP="00EF0FC0">
            <w:pPr>
              <w:snapToGrid w:val="0"/>
              <w:spacing w:after="120"/>
              <w:jc w:val="center"/>
              <w:rPr>
                <w:rFonts w:cs="Times New Roman"/>
                <w:szCs w:val="22"/>
              </w:rPr>
            </w:pPr>
            <w:r>
              <w:rPr>
                <w:rFonts w:cs="Times New Roman"/>
                <w:szCs w:val="22"/>
              </w:rPr>
              <w:t>DR</w:t>
            </w:r>
          </w:p>
        </w:tc>
      </w:tr>
      <w:tr w:rsidR="00626D90" w:rsidRPr="00866793" w14:paraId="1DDC7B3F" w14:textId="77777777" w:rsidTr="00EF0FC0">
        <w:trPr>
          <w:trHeight w:val="456"/>
        </w:trPr>
        <w:tc>
          <w:tcPr>
            <w:tcW w:w="2552" w:type="dxa"/>
            <w:tcBorders>
              <w:top w:val="single" w:sz="4" w:space="0" w:color="000000"/>
            </w:tcBorders>
            <w:vAlign w:val="center"/>
          </w:tcPr>
          <w:p w14:paraId="5DB9AD95" w14:textId="77777777" w:rsidR="00626D90" w:rsidRPr="00F955F2" w:rsidRDefault="00626D90" w:rsidP="00EF0FC0">
            <w:pPr>
              <w:snapToGrid w:val="0"/>
              <w:spacing w:before="60" w:after="60"/>
              <w:jc w:val="left"/>
              <w:rPr>
                <w:rFonts w:cs="Times New Roman"/>
                <w:szCs w:val="22"/>
              </w:rPr>
            </w:pPr>
            <w:r w:rsidRPr="00F955F2">
              <w:rPr>
                <w:rFonts w:cs="Times New Roman"/>
                <w:szCs w:val="22"/>
              </w:rPr>
              <w:t>Share of refrigerant bank</w:t>
            </w:r>
          </w:p>
        </w:tc>
        <w:tc>
          <w:tcPr>
            <w:tcW w:w="1559" w:type="dxa"/>
            <w:tcBorders>
              <w:top w:val="single" w:sz="4" w:space="0" w:color="000000"/>
            </w:tcBorders>
            <w:vAlign w:val="center"/>
          </w:tcPr>
          <w:p w14:paraId="3745271D"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Percent</w:t>
            </w:r>
          </w:p>
        </w:tc>
        <w:tc>
          <w:tcPr>
            <w:tcW w:w="1346" w:type="dxa"/>
            <w:tcBorders>
              <w:top w:val="single" w:sz="4" w:space="0" w:color="000000"/>
            </w:tcBorders>
            <w:vAlign w:val="center"/>
          </w:tcPr>
          <w:p w14:paraId="72FA5248"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61%</w:t>
            </w:r>
          </w:p>
        </w:tc>
        <w:tc>
          <w:tcPr>
            <w:tcW w:w="1347" w:type="dxa"/>
            <w:tcBorders>
              <w:top w:val="single" w:sz="4" w:space="0" w:color="000000"/>
            </w:tcBorders>
            <w:vAlign w:val="center"/>
          </w:tcPr>
          <w:p w14:paraId="083390B1" w14:textId="77777777" w:rsidR="00626D90" w:rsidRPr="00F955F2" w:rsidRDefault="00626D90" w:rsidP="00EF0FC0">
            <w:pPr>
              <w:snapToGrid w:val="0"/>
              <w:spacing w:before="60" w:after="60"/>
              <w:jc w:val="center"/>
              <w:rPr>
                <w:rFonts w:cs="Times New Roman"/>
                <w:szCs w:val="22"/>
              </w:rPr>
            </w:pPr>
            <w:r w:rsidRPr="00F955F2">
              <w:rPr>
                <w:szCs w:val="22"/>
              </w:rPr>
              <w:t>21%</w:t>
            </w:r>
          </w:p>
        </w:tc>
        <w:tc>
          <w:tcPr>
            <w:tcW w:w="1347" w:type="dxa"/>
            <w:tcBorders>
              <w:top w:val="single" w:sz="4" w:space="0" w:color="000000"/>
            </w:tcBorders>
            <w:vAlign w:val="center"/>
          </w:tcPr>
          <w:p w14:paraId="3D428595" w14:textId="77777777" w:rsidR="00626D90" w:rsidRPr="00F955F2" w:rsidRDefault="00626D90" w:rsidP="00EF0FC0">
            <w:pPr>
              <w:snapToGrid w:val="0"/>
              <w:spacing w:before="60" w:after="60"/>
              <w:jc w:val="center"/>
              <w:rPr>
                <w:rFonts w:cs="Times New Roman"/>
                <w:szCs w:val="22"/>
              </w:rPr>
            </w:pPr>
            <w:r w:rsidRPr="00F955F2">
              <w:rPr>
                <w:szCs w:val="22"/>
              </w:rPr>
              <w:t>14%</w:t>
            </w:r>
          </w:p>
        </w:tc>
        <w:tc>
          <w:tcPr>
            <w:tcW w:w="1347" w:type="dxa"/>
            <w:tcBorders>
              <w:top w:val="single" w:sz="4" w:space="0" w:color="000000"/>
            </w:tcBorders>
            <w:vAlign w:val="center"/>
          </w:tcPr>
          <w:p w14:paraId="3C0B7035" w14:textId="77777777" w:rsidR="00626D90" w:rsidRPr="00F955F2" w:rsidRDefault="00626D90" w:rsidP="00EF0FC0">
            <w:pPr>
              <w:snapToGrid w:val="0"/>
              <w:spacing w:before="60" w:after="60"/>
              <w:jc w:val="center"/>
              <w:rPr>
                <w:rFonts w:cs="Times New Roman"/>
                <w:szCs w:val="22"/>
              </w:rPr>
            </w:pPr>
            <w:r w:rsidRPr="00F955F2">
              <w:t>4%</w:t>
            </w:r>
          </w:p>
        </w:tc>
      </w:tr>
      <w:tr w:rsidR="00626D90" w:rsidRPr="00866793" w14:paraId="51220838" w14:textId="77777777" w:rsidTr="00EF0FC0">
        <w:trPr>
          <w:trHeight w:val="456"/>
        </w:trPr>
        <w:tc>
          <w:tcPr>
            <w:tcW w:w="2552" w:type="dxa"/>
            <w:tcBorders>
              <w:top w:val="single" w:sz="4" w:space="0" w:color="000000"/>
            </w:tcBorders>
            <w:vAlign w:val="center"/>
          </w:tcPr>
          <w:p w14:paraId="2E70D922" w14:textId="77777777" w:rsidR="00626D90" w:rsidRPr="00F955F2" w:rsidRDefault="00626D90" w:rsidP="00EF0FC0">
            <w:pPr>
              <w:snapToGrid w:val="0"/>
              <w:spacing w:before="60" w:after="60"/>
              <w:jc w:val="left"/>
              <w:rPr>
                <w:rFonts w:cs="Times New Roman"/>
                <w:szCs w:val="22"/>
              </w:rPr>
            </w:pPr>
            <w:r w:rsidRPr="00F955F2">
              <w:rPr>
                <w:rFonts w:cs="Times New Roman"/>
                <w:szCs w:val="22"/>
              </w:rPr>
              <w:t>Size of refrigerant bank</w:t>
            </w:r>
          </w:p>
        </w:tc>
        <w:tc>
          <w:tcPr>
            <w:tcW w:w="1559" w:type="dxa"/>
            <w:tcBorders>
              <w:top w:val="single" w:sz="4" w:space="0" w:color="000000"/>
            </w:tcBorders>
            <w:vAlign w:val="center"/>
          </w:tcPr>
          <w:p w14:paraId="3A46BE80"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Tonnes</w:t>
            </w:r>
          </w:p>
        </w:tc>
        <w:tc>
          <w:tcPr>
            <w:tcW w:w="1346" w:type="dxa"/>
            <w:tcBorders>
              <w:top w:val="single" w:sz="4" w:space="0" w:color="000000"/>
            </w:tcBorders>
            <w:vAlign w:val="center"/>
          </w:tcPr>
          <w:p w14:paraId="47070379"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 xml:space="preserve">31,200 </w:t>
            </w:r>
          </w:p>
        </w:tc>
        <w:tc>
          <w:tcPr>
            <w:tcW w:w="1347" w:type="dxa"/>
            <w:tcBorders>
              <w:top w:val="single" w:sz="4" w:space="0" w:color="000000"/>
            </w:tcBorders>
            <w:vAlign w:val="center"/>
          </w:tcPr>
          <w:p w14:paraId="731D2407" w14:textId="77777777" w:rsidR="00626D90" w:rsidRPr="00F955F2" w:rsidRDefault="00626D90" w:rsidP="00EF0FC0">
            <w:pPr>
              <w:snapToGrid w:val="0"/>
              <w:spacing w:before="60" w:after="60"/>
              <w:jc w:val="center"/>
              <w:rPr>
                <w:rFonts w:cs="Times New Roman"/>
                <w:szCs w:val="22"/>
              </w:rPr>
            </w:pPr>
            <w:r w:rsidRPr="00F955F2">
              <w:rPr>
                <w:color w:val="000000"/>
                <w:szCs w:val="22"/>
              </w:rPr>
              <w:t>10,800</w:t>
            </w:r>
          </w:p>
        </w:tc>
        <w:tc>
          <w:tcPr>
            <w:tcW w:w="1347" w:type="dxa"/>
            <w:tcBorders>
              <w:top w:val="single" w:sz="4" w:space="0" w:color="000000"/>
            </w:tcBorders>
            <w:vAlign w:val="center"/>
          </w:tcPr>
          <w:p w14:paraId="3FFC1009" w14:textId="77777777" w:rsidR="00626D90" w:rsidRPr="00F955F2" w:rsidRDefault="00626D90" w:rsidP="00EF0FC0">
            <w:pPr>
              <w:snapToGrid w:val="0"/>
              <w:spacing w:before="60" w:after="60"/>
              <w:jc w:val="center"/>
              <w:rPr>
                <w:rFonts w:cs="Times New Roman"/>
                <w:szCs w:val="22"/>
              </w:rPr>
            </w:pPr>
            <w:r w:rsidRPr="00F955F2">
              <w:rPr>
                <w:szCs w:val="22"/>
              </w:rPr>
              <w:t>6,900</w:t>
            </w:r>
          </w:p>
        </w:tc>
        <w:tc>
          <w:tcPr>
            <w:tcW w:w="1347" w:type="dxa"/>
            <w:tcBorders>
              <w:top w:val="single" w:sz="4" w:space="0" w:color="000000"/>
            </w:tcBorders>
            <w:vAlign w:val="center"/>
          </w:tcPr>
          <w:p w14:paraId="44000DE6" w14:textId="77777777" w:rsidR="00626D90" w:rsidRPr="00F955F2" w:rsidRDefault="00626D90" w:rsidP="00EF0FC0">
            <w:pPr>
              <w:snapToGrid w:val="0"/>
              <w:spacing w:before="60" w:after="60"/>
              <w:jc w:val="center"/>
              <w:rPr>
                <w:rFonts w:cs="Times New Roman"/>
                <w:szCs w:val="22"/>
              </w:rPr>
            </w:pPr>
            <w:r w:rsidRPr="00F955F2">
              <w:rPr>
                <w:color w:val="000000"/>
              </w:rPr>
              <w:t>1,900</w:t>
            </w:r>
          </w:p>
        </w:tc>
      </w:tr>
      <w:tr w:rsidR="00626D90" w:rsidRPr="00866793" w14:paraId="3E366FDA" w14:textId="77777777" w:rsidTr="00EF0FC0">
        <w:trPr>
          <w:trHeight w:val="456"/>
        </w:trPr>
        <w:tc>
          <w:tcPr>
            <w:tcW w:w="2552" w:type="dxa"/>
            <w:tcBorders>
              <w:top w:val="single" w:sz="4" w:space="0" w:color="000000"/>
            </w:tcBorders>
            <w:vAlign w:val="center"/>
          </w:tcPr>
          <w:p w14:paraId="21A23A1E" w14:textId="77777777" w:rsidR="00626D90" w:rsidRPr="00F955F2" w:rsidRDefault="00626D90" w:rsidP="00EF0FC0">
            <w:pPr>
              <w:snapToGrid w:val="0"/>
              <w:spacing w:before="60" w:after="60"/>
              <w:jc w:val="left"/>
              <w:rPr>
                <w:rFonts w:cs="Times New Roman"/>
                <w:szCs w:val="22"/>
              </w:rPr>
            </w:pPr>
            <w:r w:rsidRPr="00F955F2">
              <w:rPr>
                <w:rFonts w:cs="Times New Roman"/>
                <w:szCs w:val="22"/>
              </w:rPr>
              <w:t xml:space="preserve">Annual usage </w:t>
            </w:r>
            <w:r>
              <w:rPr>
                <w:rFonts w:cs="Times New Roman"/>
                <w:szCs w:val="22"/>
              </w:rPr>
              <w:t xml:space="preserve">of HFCs </w:t>
            </w:r>
            <w:r w:rsidRPr="00F955F2">
              <w:rPr>
                <w:rFonts w:cs="Times New Roman"/>
                <w:szCs w:val="22"/>
              </w:rPr>
              <w:t xml:space="preserve">to replace leaks </w:t>
            </w:r>
            <w:r w:rsidRPr="00F955F2">
              <w:rPr>
                <w:color w:val="000000"/>
                <w:szCs w:val="22"/>
              </w:rPr>
              <w:t>(excl. OEM and charging new equipment)</w:t>
            </w:r>
          </w:p>
        </w:tc>
        <w:tc>
          <w:tcPr>
            <w:tcW w:w="1559" w:type="dxa"/>
            <w:tcBorders>
              <w:top w:val="single" w:sz="4" w:space="0" w:color="000000"/>
            </w:tcBorders>
            <w:vAlign w:val="center"/>
          </w:tcPr>
          <w:p w14:paraId="679C4858"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Tonnes</w:t>
            </w:r>
          </w:p>
        </w:tc>
        <w:tc>
          <w:tcPr>
            <w:tcW w:w="1346" w:type="dxa"/>
            <w:tcBorders>
              <w:top w:val="single" w:sz="4" w:space="0" w:color="000000"/>
            </w:tcBorders>
            <w:vAlign w:val="center"/>
          </w:tcPr>
          <w:p w14:paraId="719041B1" w14:textId="77777777" w:rsidR="00626D90" w:rsidRPr="00F955F2" w:rsidRDefault="00626D90" w:rsidP="00EF0FC0">
            <w:pPr>
              <w:snapToGrid w:val="0"/>
              <w:spacing w:before="60" w:after="60"/>
              <w:jc w:val="center"/>
              <w:rPr>
                <w:rFonts w:cs="Times New Roman"/>
                <w:szCs w:val="22"/>
              </w:rPr>
            </w:pPr>
            <w:r>
              <w:rPr>
                <w:rFonts w:cs="Times New Roman"/>
                <w:szCs w:val="22"/>
              </w:rPr>
              <w:t>520</w:t>
            </w:r>
          </w:p>
        </w:tc>
        <w:tc>
          <w:tcPr>
            <w:tcW w:w="1347" w:type="dxa"/>
            <w:tcBorders>
              <w:top w:val="single" w:sz="4" w:space="0" w:color="000000"/>
            </w:tcBorders>
            <w:vAlign w:val="center"/>
          </w:tcPr>
          <w:p w14:paraId="46350874" w14:textId="77777777" w:rsidR="00626D90" w:rsidRPr="00F955F2" w:rsidRDefault="00626D90" w:rsidP="00EF0FC0">
            <w:pPr>
              <w:snapToGrid w:val="0"/>
              <w:spacing w:before="60" w:after="60"/>
              <w:jc w:val="center"/>
              <w:rPr>
                <w:rFonts w:cs="Times New Roman"/>
                <w:szCs w:val="22"/>
              </w:rPr>
            </w:pPr>
            <w:r>
              <w:rPr>
                <w:color w:val="000000"/>
                <w:szCs w:val="22"/>
              </w:rPr>
              <w:t>625</w:t>
            </w:r>
          </w:p>
        </w:tc>
        <w:tc>
          <w:tcPr>
            <w:tcW w:w="1347" w:type="dxa"/>
            <w:tcBorders>
              <w:top w:val="single" w:sz="4" w:space="0" w:color="000000"/>
            </w:tcBorders>
            <w:vAlign w:val="center"/>
          </w:tcPr>
          <w:p w14:paraId="7B922C5E" w14:textId="44FDE601" w:rsidR="00626D90" w:rsidRPr="00F955F2" w:rsidRDefault="002F5814" w:rsidP="00EF0FC0">
            <w:pPr>
              <w:snapToGrid w:val="0"/>
              <w:spacing w:before="60" w:after="60"/>
              <w:jc w:val="center"/>
              <w:rPr>
                <w:rFonts w:cs="Times New Roman"/>
                <w:szCs w:val="22"/>
              </w:rPr>
            </w:pPr>
            <w:r>
              <w:rPr>
                <w:color w:val="000000"/>
                <w:szCs w:val="22"/>
              </w:rPr>
              <w:t>821</w:t>
            </w:r>
          </w:p>
        </w:tc>
        <w:tc>
          <w:tcPr>
            <w:tcW w:w="1347" w:type="dxa"/>
            <w:tcBorders>
              <w:top w:val="single" w:sz="4" w:space="0" w:color="000000"/>
            </w:tcBorders>
            <w:vAlign w:val="center"/>
          </w:tcPr>
          <w:p w14:paraId="31BD175F" w14:textId="77777777" w:rsidR="00626D90" w:rsidRPr="00F955F2" w:rsidRDefault="00626D90" w:rsidP="00EF0FC0">
            <w:pPr>
              <w:snapToGrid w:val="0"/>
              <w:spacing w:before="60" w:after="60"/>
              <w:jc w:val="center"/>
              <w:rPr>
                <w:rFonts w:cs="Times New Roman"/>
                <w:szCs w:val="22"/>
              </w:rPr>
            </w:pPr>
            <w:r>
              <w:rPr>
                <w:color w:val="000000"/>
              </w:rPr>
              <w:t>20</w:t>
            </w:r>
          </w:p>
        </w:tc>
      </w:tr>
      <w:tr w:rsidR="00626D90" w:rsidRPr="00866793" w14:paraId="696F2737" w14:textId="77777777" w:rsidTr="00EF0FC0">
        <w:trPr>
          <w:trHeight w:val="456"/>
        </w:trPr>
        <w:tc>
          <w:tcPr>
            <w:tcW w:w="2552" w:type="dxa"/>
            <w:tcBorders>
              <w:top w:val="single" w:sz="4" w:space="0" w:color="000000"/>
            </w:tcBorders>
            <w:vAlign w:val="center"/>
          </w:tcPr>
          <w:p w14:paraId="496DDDF4" w14:textId="77777777" w:rsidR="00626D90" w:rsidRPr="00F955F2" w:rsidRDefault="00626D90" w:rsidP="00EF0FC0">
            <w:pPr>
              <w:snapToGrid w:val="0"/>
              <w:spacing w:before="60" w:after="60"/>
              <w:jc w:val="left"/>
              <w:rPr>
                <w:rFonts w:cs="Times New Roman"/>
                <w:szCs w:val="22"/>
              </w:rPr>
            </w:pPr>
            <w:r w:rsidRPr="00F955F2">
              <w:rPr>
                <w:rFonts w:cs="Times New Roman"/>
                <w:szCs w:val="22"/>
              </w:rPr>
              <w:t>Refrigerant in pre-charged equipment imports</w:t>
            </w:r>
            <w:r>
              <w:rPr>
                <w:rFonts w:cs="Times New Roman"/>
                <w:szCs w:val="22"/>
              </w:rPr>
              <w:t xml:space="preserve"> </w:t>
            </w:r>
            <w:r w:rsidRPr="00AF60A4">
              <w:rPr>
                <w:rFonts w:cs="Times New Roman"/>
                <w:szCs w:val="22"/>
                <w:vertAlign w:val="superscript"/>
              </w:rPr>
              <w:t>(1)</w:t>
            </w:r>
          </w:p>
        </w:tc>
        <w:tc>
          <w:tcPr>
            <w:tcW w:w="1559" w:type="dxa"/>
            <w:tcBorders>
              <w:top w:val="single" w:sz="4" w:space="0" w:color="000000"/>
            </w:tcBorders>
            <w:vAlign w:val="center"/>
          </w:tcPr>
          <w:p w14:paraId="16E8B8BA" w14:textId="77777777" w:rsidR="00626D90" w:rsidRPr="00AF60A4" w:rsidRDefault="00626D90" w:rsidP="00EF0FC0">
            <w:pPr>
              <w:snapToGrid w:val="0"/>
              <w:spacing w:before="60" w:after="60"/>
              <w:jc w:val="center"/>
              <w:rPr>
                <w:rFonts w:cs="Times New Roman"/>
                <w:szCs w:val="22"/>
              </w:rPr>
            </w:pPr>
            <w:r w:rsidRPr="00AF60A4">
              <w:rPr>
                <w:rFonts w:cs="Times New Roman"/>
                <w:szCs w:val="22"/>
              </w:rPr>
              <w:t>Tonnes</w:t>
            </w:r>
          </w:p>
        </w:tc>
        <w:tc>
          <w:tcPr>
            <w:tcW w:w="1346" w:type="dxa"/>
            <w:tcBorders>
              <w:top w:val="single" w:sz="4" w:space="0" w:color="000000"/>
            </w:tcBorders>
            <w:vAlign w:val="center"/>
          </w:tcPr>
          <w:p w14:paraId="79037E4D" w14:textId="77777777" w:rsidR="00626D90" w:rsidRPr="00AF60A4" w:rsidRDefault="00626D90" w:rsidP="00EF0FC0">
            <w:pPr>
              <w:snapToGrid w:val="0"/>
              <w:spacing w:before="60" w:after="60"/>
              <w:jc w:val="center"/>
              <w:rPr>
                <w:rFonts w:cs="Times New Roman"/>
                <w:szCs w:val="22"/>
              </w:rPr>
            </w:pPr>
            <w:r w:rsidRPr="00AF60A4">
              <w:rPr>
                <w:rFonts w:cs="Times New Roman"/>
                <w:szCs w:val="22"/>
              </w:rPr>
              <w:t>2,359</w:t>
            </w:r>
          </w:p>
        </w:tc>
        <w:tc>
          <w:tcPr>
            <w:tcW w:w="1347" w:type="dxa"/>
            <w:tcBorders>
              <w:top w:val="single" w:sz="4" w:space="0" w:color="000000"/>
            </w:tcBorders>
            <w:vAlign w:val="center"/>
          </w:tcPr>
          <w:p w14:paraId="16113BCC" w14:textId="77777777" w:rsidR="00626D90" w:rsidRPr="00AF60A4" w:rsidRDefault="00626D90" w:rsidP="00EF0FC0">
            <w:pPr>
              <w:snapToGrid w:val="0"/>
              <w:spacing w:before="60" w:after="60"/>
              <w:jc w:val="center"/>
              <w:rPr>
                <w:rFonts w:cs="Times New Roman"/>
                <w:szCs w:val="22"/>
              </w:rPr>
            </w:pPr>
            <w:r w:rsidRPr="00AF60A4">
              <w:rPr>
                <w:rFonts w:cs="Times New Roman"/>
                <w:szCs w:val="22"/>
              </w:rPr>
              <w:t>626</w:t>
            </w:r>
          </w:p>
        </w:tc>
        <w:tc>
          <w:tcPr>
            <w:tcW w:w="1347" w:type="dxa"/>
            <w:tcBorders>
              <w:top w:val="single" w:sz="4" w:space="0" w:color="000000"/>
            </w:tcBorders>
            <w:vAlign w:val="center"/>
          </w:tcPr>
          <w:p w14:paraId="2E2FC346" w14:textId="77777777" w:rsidR="00626D90" w:rsidRPr="00AF60A4" w:rsidRDefault="00626D90" w:rsidP="00EF0FC0">
            <w:pPr>
              <w:snapToGrid w:val="0"/>
              <w:spacing w:before="60" w:after="60"/>
              <w:jc w:val="center"/>
              <w:rPr>
                <w:rFonts w:cs="Times New Roman"/>
                <w:szCs w:val="22"/>
              </w:rPr>
            </w:pPr>
            <w:r w:rsidRPr="00AF60A4">
              <w:rPr>
                <w:rFonts w:cs="Times New Roman"/>
                <w:szCs w:val="22"/>
              </w:rPr>
              <w:t>51</w:t>
            </w:r>
          </w:p>
        </w:tc>
        <w:tc>
          <w:tcPr>
            <w:tcW w:w="1347" w:type="dxa"/>
            <w:tcBorders>
              <w:top w:val="single" w:sz="4" w:space="0" w:color="000000"/>
            </w:tcBorders>
            <w:vAlign w:val="center"/>
          </w:tcPr>
          <w:p w14:paraId="796316D0" w14:textId="77777777" w:rsidR="00626D90" w:rsidRPr="00AF60A4" w:rsidRDefault="00626D90" w:rsidP="00EF0FC0">
            <w:pPr>
              <w:snapToGrid w:val="0"/>
              <w:spacing w:before="60" w:after="60"/>
              <w:jc w:val="center"/>
              <w:rPr>
                <w:rFonts w:cs="Times New Roman"/>
                <w:szCs w:val="22"/>
              </w:rPr>
            </w:pPr>
            <w:r w:rsidRPr="00AF60A4">
              <w:rPr>
                <w:rFonts w:cs="Times New Roman"/>
                <w:szCs w:val="22"/>
              </w:rPr>
              <w:t>32</w:t>
            </w:r>
          </w:p>
        </w:tc>
      </w:tr>
      <w:tr w:rsidR="00626D90" w:rsidRPr="00866793" w14:paraId="16F1DF41" w14:textId="77777777" w:rsidTr="00EF0FC0">
        <w:trPr>
          <w:trHeight w:val="456"/>
        </w:trPr>
        <w:tc>
          <w:tcPr>
            <w:tcW w:w="2552" w:type="dxa"/>
            <w:tcBorders>
              <w:top w:val="single" w:sz="4" w:space="0" w:color="000000"/>
            </w:tcBorders>
            <w:vAlign w:val="center"/>
          </w:tcPr>
          <w:p w14:paraId="68405A58" w14:textId="77777777" w:rsidR="00626D90" w:rsidRPr="00F955F2" w:rsidRDefault="00626D90" w:rsidP="00EF0FC0">
            <w:pPr>
              <w:snapToGrid w:val="0"/>
              <w:spacing w:before="60" w:after="60"/>
              <w:jc w:val="left"/>
              <w:rPr>
                <w:rFonts w:cs="Times New Roman"/>
                <w:szCs w:val="22"/>
              </w:rPr>
            </w:pPr>
            <w:r w:rsidRPr="00F955F2">
              <w:rPr>
                <w:rFonts w:cs="Times New Roman"/>
                <w:szCs w:val="22"/>
              </w:rPr>
              <w:t>Estimated stock of equipment</w:t>
            </w:r>
          </w:p>
        </w:tc>
        <w:tc>
          <w:tcPr>
            <w:tcW w:w="1559" w:type="dxa"/>
            <w:tcBorders>
              <w:top w:val="single" w:sz="4" w:space="0" w:color="000000"/>
            </w:tcBorders>
            <w:vAlign w:val="center"/>
          </w:tcPr>
          <w:p w14:paraId="07D6DB5B"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Million units</w:t>
            </w:r>
          </w:p>
        </w:tc>
        <w:tc>
          <w:tcPr>
            <w:tcW w:w="1346" w:type="dxa"/>
            <w:tcBorders>
              <w:top w:val="single" w:sz="4" w:space="0" w:color="000000"/>
            </w:tcBorders>
            <w:vAlign w:val="center"/>
          </w:tcPr>
          <w:p w14:paraId="58A9EF6C"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&gt; 14.4</w:t>
            </w:r>
          </w:p>
        </w:tc>
        <w:tc>
          <w:tcPr>
            <w:tcW w:w="1347" w:type="dxa"/>
            <w:tcBorders>
              <w:top w:val="single" w:sz="4" w:space="0" w:color="000000"/>
            </w:tcBorders>
            <w:vAlign w:val="center"/>
          </w:tcPr>
          <w:p w14:paraId="0A52F960" w14:textId="77777777" w:rsidR="00626D90" w:rsidRPr="00F955F2" w:rsidRDefault="00626D90" w:rsidP="00EF0FC0">
            <w:pPr>
              <w:snapToGrid w:val="0"/>
              <w:spacing w:before="60" w:after="60"/>
              <w:jc w:val="center"/>
              <w:rPr>
                <w:rFonts w:cs="Times New Roman"/>
                <w:szCs w:val="22"/>
              </w:rPr>
            </w:pPr>
            <w:r w:rsidRPr="00F955F2">
              <w:rPr>
                <w:color w:val="000000"/>
                <w:szCs w:val="22"/>
              </w:rPr>
              <w:t>&gt; 18.2</w:t>
            </w:r>
          </w:p>
        </w:tc>
        <w:tc>
          <w:tcPr>
            <w:tcW w:w="1347" w:type="dxa"/>
            <w:tcBorders>
              <w:top w:val="single" w:sz="4" w:space="0" w:color="000000"/>
            </w:tcBorders>
            <w:vAlign w:val="center"/>
          </w:tcPr>
          <w:p w14:paraId="2C358402" w14:textId="77777777" w:rsidR="00626D90" w:rsidRPr="00F955F2" w:rsidRDefault="00626D90" w:rsidP="00EF0FC0">
            <w:pPr>
              <w:snapToGrid w:val="0"/>
              <w:spacing w:before="60" w:after="60"/>
              <w:jc w:val="center"/>
              <w:rPr>
                <w:rFonts w:cs="Times New Roman"/>
                <w:szCs w:val="22"/>
              </w:rPr>
            </w:pPr>
            <w:r w:rsidRPr="00F955F2">
              <w:rPr>
                <w:color w:val="000000"/>
                <w:szCs w:val="22"/>
              </w:rPr>
              <w:t>1.65</w:t>
            </w:r>
          </w:p>
        </w:tc>
        <w:tc>
          <w:tcPr>
            <w:tcW w:w="1347" w:type="dxa"/>
            <w:tcBorders>
              <w:top w:val="single" w:sz="4" w:space="0" w:color="000000"/>
            </w:tcBorders>
            <w:vAlign w:val="center"/>
          </w:tcPr>
          <w:p w14:paraId="1C161A0B" w14:textId="77777777" w:rsidR="00626D90" w:rsidRPr="00F955F2" w:rsidRDefault="00626D90" w:rsidP="00EF0FC0">
            <w:pPr>
              <w:snapToGrid w:val="0"/>
              <w:spacing w:before="60" w:after="60"/>
              <w:jc w:val="center"/>
              <w:rPr>
                <w:rFonts w:cs="Times New Roman"/>
                <w:szCs w:val="22"/>
              </w:rPr>
            </w:pPr>
            <w:r w:rsidRPr="00F955F2">
              <w:rPr>
                <w:color w:val="000000"/>
              </w:rPr>
              <w:t>19.2</w:t>
            </w:r>
          </w:p>
        </w:tc>
      </w:tr>
      <w:tr w:rsidR="00626D90" w:rsidRPr="00866793" w14:paraId="4D83D2CB" w14:textId="77777777" w:rsidTr="00EF0FC0">
        <w:trPr>
          <w:trHeight w:val="456"/>
        </w:trPr>
        <w:tc>
          <w:tcPr>
            <w:tcW w:w="2552" w:type="dxa"/>
            <w:tcBorders>
              <w:top w:val="single" w:sz="4" w:space="0" w:color="000000"/>
            </w:tcBorders>
            <w:vAlign w:val="center"/>
          </w:tcPr>
          <w:p w14:paraId="580E907C" w14:textId="77777777" w:rsidR="00626D90" w:rsidRPr="00F955F2" w:rsidRDefault="00626D90" w:rsidP="00EF0FC0">
            <w:pPr>
              <w:snapToGrid w:val="0"/>
              <w:spacing w:before="60" w:after="60"/>
              <w:jc w:val="left"/>
              <w:rPr>
                <w:rFonts w:cs="Times New Roman"/>
                <w:szCs w:val="22"/>
              </w:rPr>
            </w:pPr>
            <w:r w:rsidRPr="00F955F2">
              <w:rPr>
                <w:rFonts w:cs="Times New Roman"/>
                <w:szCs w:val="22"/>
              </w:rPr>
              <w:t>Annual electricity consumption</w:t>
            </w:r>
          </w:p>
        </w:tc>
        <w:tc>
          <w:tcPr>
            <w:tcW w:w="1559" w:type="dxa"/>
            <w:tcBorders>
              <w:top w:val="single" w:sz="4" w:space="0" w:color="000000"/>
            </w:tcBorders>
            <w:vAlign w:val="center"/>
          </w:tcPr>
          <w:p w14:paraId="41C9D703"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GWh</w:t>
            </w:r>
          </w:p>
        </w:tc>
        <w:tc>
          <w:tcPr>
            <w:tcW w:w="1346" w:type="dxa"/>
            <w:tcBorders>
              <w:top w:val="single" w:sz="4" w:space="0" w:color="000000"/>
            </w:tcBorders>
            <w:vAlign w:val="center"/>
          </w:tcPr>
          <w:p w14:paraId="774A727E"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30,4</w:t>
            </w:r>
            <w:r>
              <w:rPr>
                <w:rFonts w:cs="Times New Roman"/>
                <w:szCs w:val="22"/>
              </w:rPr>
              <w:t>00</w:t>
            </w:r>
          </w:p>
        </w:tc>
        <w:tc>
          <w:tcPr>
            <w:tcW w:w="1347" w:type="dxa"/>
            <w:tcBorders>
              <w:top w:val="single" w:sz="4" w:space="0" w:color="000000"/>
            </w:tcBorders>
            <w:vAlign w:val="center"/>
          </w:tcPr>
          <w:p w14:paraId="7E1734E5" w14:textId="77777777" w:rsidR="00626D90" w:rsidRPr="00F955F2" w:rsidRDefault="00626D90" w:rsidP="00EF0FC0">
            <w:pPr>
              <w:snapToGrid w:val="0"/>
              <w:spacing w:before="60" w:after="60"/>
              <w:jc w:val="center"/>
              <w:rPr>
                <w:rFonts w:cs="Times New Roman"/>
                <w:szCs w:val="22"/>
              </w:rPr>
            </w:pPr>
            <w:r>
              <w:rPr>
                <w:rFonts w:cs="Times New Roman"/>
                <w:szCs w:val="22"/>
              </w:rPr>
              <w:t>200</w:t>
            </w:r>
          </w:p>
        </w:tc>
        <w:tc>
          <w:tcPr>
            <w:tcW w:w="1347" w:type="dxa"/>
            <w:tcBorders>
              <w:top w:val="single" w:sz="4" w:space="0" w:color="000000"/>
            </w:tcBorders>
            <w:vAlign w:val="center"/>
          </w:tcPr>
          <w:p w14:paraId="5B552F66" w14:textId="77777777" w:rsidR="00626D90" w:rsidRPr="00F955F2" w:rsidRDefault="00626D90" w:rsidP="00EF0FC0">
            <w:pPr>
              <w:snapToGrid w:val="0"/>
              <w:spacing w:before="60" w:after="60"/>
              <w:jc w:val="center"/>
              <w:rPr>
                <w:rFonts w:cs="Times New Roman"/>
                <w:szCs w:val="22"/>
              </w:rPr>
            </w:pPr>
            <w:r w:rsidRPr="00F955F2">
              <w:rPr>
                <w:szCs w:val="22"/>
              </w:rPr>
              <w:t>1</w:t>
            </w:r>
            <w:r>
              <w:rPr>
                <w:szCs w:val="22"/>
              </w:rPr>
              <w:t>9,000</w:t>
            </w:r>
          </w:p>
        </w:tc>
        <w:tc>
          <w:tcPr>
            <w:tcW w:w="1347" w:type="dxa"/>
            <w:tcBorders>
              <w:top w:val="single" w:sz="4" w:space="0" w:color="000000"/>
            </w:tcBorders>
            <w:vAlign w:val="center"/>
          </w:tcPr>
          <w:p w14:paraId="6E083FC8" w14:textId="77777777" w:rsidR="00626D90" w:rsidRPr="00F955F2" w:rsidRDefault="00626D90" w:rsidP="00EF0FC0">
            <w:pPr>
              <w:snapToGrid w:val="0"/>
              <w:spacing w:before="60" w:after="60"/>
              <w:jc w:val="center"/>
              <w:rPr>
                <w:rFonts w:cs="Times New Roman"/>
                <w:szCs w:val="22"/>
              </w:rPr>
            </w:pPr>
            <w:r w:rsidRPr="00F955F2">
              <w:rPr>
                <w:color w:val="000000"/>
              </w:rPr>
              <w:t>8,5</w:t>
            </w:r>
            <w:r>
              <w:rPr>
                <w:color w:val="000000"/>
              </w:rPr>
              <w:t>00</w:t>
            </w:r>
          </w:p>
        </w:tc>
      </w:tr>
      <w:tr w:rsidR="00626D90" w:rsidRPr="00866793" w14:paraId="0C5ADF12" w14:textId="77777777" w:rsidTr="00EF0FC0">
        <w:trPr>
          <w:trHeight w:val="456"/>
        </w:trPr>
        <w:tc>
          <w:tcPr>
            <w:tcW w:w="2552" w:type="dxa"/>
            <w:tcBorders>
              <w:top w:val="single" w:sz="4" w:space="0" w:color="000000"/>
            </w:tcBorders>
            <w:vAlign w:val="center"/>
          </w:tcPr>
          <w:p w14:paraId="553A8864" w14:textId="77777777" w:rsidR="00626D90" w:rsidRPr="00F955F2" w:rsidRDefault="00626D90" w:rsidP="00EF0FC0">
            <w:pPr>
              <w:snapToGrid w:val="0"/>
              <w:spacing w:before="60" w:after="60"/>
              <w:jc w:val="left"/>
              <w:rPr>
                <w:rFonts w:cs="Times New Roman"/>
                <w:szCs w:val="22"/>
              </w:rPr>
            </w:pPr>
            <w:r w:rsidRPr="00F955F2">
              <w:rPr>
                <w:rFonts w:cs="Times New Roman"/>
                <w:szCs w:val="22"/>
              </w:rPr>
              <w:t xml:space="preserve">Share of </w:t>
            </w:r>
            <w:r>
              <w:rPr>
                <w:rFonts w:cs="Times New Roman"/>
                <w:szCs w:val="22"/>
              </w:rPr>
              <w:t>RAC</w:t>
            </w:r>
            <w:r w:rsidRPr="00F955F2">
              <w:rPr>
                <w:rFonts w:cs="Times New Roman"/>
                <w:szCs w:val="22"/>
              </w:rPr>
              <w:t xml:space="preserve"> electricity consumption</w:t>
            </w:r>
          </w:p>
        </w:tc>
        <w:tc>
          <w:tcPr>
            <w:tcW w:w="1559" w:type="dxa"/>
            <w:tcBorders>
              <w:top w:val="single" w:sz="4" w:space="0" w:color="000000"/>
            </w:tcBorders>
            <w:vAlign w:val="center"/>
          </w:tcPr>
          <w:p w14:paraId="418F4B94"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Percent</w:t>
            </w:r>
          </w:p>
        </w:tc>
        <w:tc>
          <w:tcPr>
            <w:tcW w:w="1346" w:type="dxa"/>
            <w:tcBorders>
              <w:top w:val="single" w:sz="4" w:space="0" w:color="000000"/>
            </w:tcBorders>
            <w:vAlign w:val="center"/>
          </w:tcPr>
          <w:p w14:paraId="31535225"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55%</w:t>
            </w:r>
          </w:p>
        </w:tc>
        <w:tc>
          <w:tcPr>
            <w:tcW w:w="1347" w:type="dxa"/>
            <w:tcBorders>
              <w:top w:val="single" w:sz="4" w:space="0" w:color="000000"/>
            </w:tcBorders>
            <w:vAlign w:val="center"/>
          </w:tcPr>
          <w:p w14:paraId="64832610" w14:textId="77777777" w:rsidR="00626D90" w:rsidRPr="00F955F2" w:rsidRDefault="00626D90" w:rsidP="00EF0FC0">
            <w:pPr>
              <w:snapToGrid w:val="0"/>
              <w:spacing w:before="60" w:after="60"/>
              <w:jc w:val="center"/>
              <w:rPr>
                <w:rFonts w:cs="Times New Roman"/>
                <w:szCs w:val="22"/>
              </w:rPr>
            </w:pPr>
            <w:r w:rsidRPr="00DA2D1C">
              <w:rPr>
                <w:color w:val="000000" w:themeColor="text1"/>
                <w:szCs w:val="22"/>
              </w:rPr>
              <w:t>0.3%</w:t>
            </w:r>
          </w:p>
        </w:tc>
        <w:tc>
          <w:tcPr>
            <w:tcW w:w="1347" w:type="dxa"/>
            <w:tcBorders>
              <w:top w:val="single" w:sz="4" w:space="0" w:color="000000"/>
            </w:tcBorders>
            <w:vAlign w:val="center"/>
          </w:tcPr>
          <w:p w14:paraId="16581EBD" w14:textId="77777777" w:rsidR="00626D90" w:rsidRPr="00F955F2" w:rsidRDefault="00626D90" w:rsidP="00EF0FC0">
            <w:pPr>
              <w:snapToGrid w:val="0"/>
              <w:spacing w:before="60" w:after="60"/>
              <w:jc w:val="center"/>
              <w:rPr>
                <w:rFonts w:cs="Times New Roman"/>
                <w:szCs w:val="22"/>
              </w:rPr>
            </w:pPr>
            <w:r w:rsidRPr="00F955F2">
              <w:rPr>
                <w:szCs w:val="22"/>
              </w:rPr>
              <w:t>31%</w:t>
            </w:r>
          </w:p>
        </w:tc>
        <w:tc>
          <w:tcPr>
            <w:tcW w:w="1347" w:type="dxa"/>
            <w:tcBorders>
              <w:top w:val="single" w:sz="4" w:space="0" w:color="000000"/>
            </w:tcBorders>
            <w:vAlign w:val="center"/>
          </w:tcPr>
          <w:p w14:paraId="4D9FF3DA" w14:textId="77777777" w:rsidR="00626D90" w:rsidRPr="00F955F2" w:rsidRDefault="00626D90" w:rsidP="00EF0FC0">
            <w:pPr>
              <w:snapToGrid w:val="0"/>
              <w:spacing w:before="60" w:after="60"/>
              <w:jc w:val="center"/>
              <w:rPr>
                <w:rFonts w:cs="Times New Roman"/>
                <w:szCs w:val="22"/>
              </w:rPr>
            </w:pPr>
            <w:r w:rsidRPr="00F955F2">
              <w:t>14%</w:t>
            </w:r>
          </w:p>
        </w:tc>
      </w:tr>
      <w:tr w:rsidR="00626D90" w:rsidRPr="00866793" w14:paraId="5167439D" w14:textId="77777777" w:rsidTr="00EF0FC0">
        <w:trPr>
          <w:trHeight w:val="456"/>
        </w:trPr>
        <w:tc>
          <w:tcPr>
            <w:tcW w:w="2552" w:type="dxa"/>
            <w:tcBorders>
              <w:top w:val="single" w:sz="4" w:space="0" w:color="000000"/>
            </w:tcBorders>
            <w:vAlign w:val="center"/>
          </w:tcPr>
          <w:p w14:paraId="152C6618" w14:textId="77777777" w:rsidR="00626D90" w:rsidRPr="00F955F2" w:rsidRDefault="00626D90" w:rsidP="00EF0FC0">
            <w:pPr>
              <w:snapToGrid w:val="0"/>
              <w:spacing w:before="60" w:after="60"/>
              <w:jc w:val="left"/>
              <w:rPr>
                <w:rFonts w:cs="Times New Roman"/>
                <w:szCs w:val="22"/>
              </w:rPr>
            </w:pPr>
            <w:r w:rsidRPr="00F955F2">
              <w:rPr>
                <w:rFonts w:cs="Times New Roman"/>
                <w:szCs w:val="22"/>
              </w:rPr>
              <w:t>Annual GHG indirect emissions</w:t>
            </w:r>
          </w:p>
        </w:tc>
        <w:tc>
          <w:tcPr>
            <w:tcW w:w="1559" w:type="dxa"/>
            <w:tcBorders>
              <w:top w:val="single" w:sz="4" w:space="0" w:color="000000"/>
            </w:tcBorders>
            <w:vAlign w:val="center"/>
          </w:tcPr>
          <w:p w14:paraId="6355752B" w14:textId="77777777" w:rsidR="00626D90" w:rsidRPr="00F955F2" w:rsidRDefault="00626D90" w:rsidP="00EF0FC0">
            <w:pPr>
              <w:snapToGrid w:val="0"/>
              <w:spacing w:before="60" w:after="60"/>
              <w:jc w:val="center"/>
              <w:rPr>
                <w:rFonts w:cs="Times New Roman"/>
                <w:szCs w:val="22"/>
              </w:rPr>
            </w:pPr>
            <w:r w:rsidRPr="00F955F2">
              <w:rPr>
                <w:rFonts w:cs="Times New Roman"/>
                <w:color w:val="000000" w:themeColor="text1"/>
                <w:szCs w:val="22"/>
              </w:rPr>
              <w:t xml:space="preserve">Million tonnes </w:t>
            </w:r>
            <w:r w:rsidRPr="00F955F2">
              <w:rPr>
                <w:rFonts w:cs="Times New Roman"/>
                <w:szCs w:val="22"/>
              </w:rPr>
              <w:t>CO</w:t>
            </w:r>
            <w:r w:rsidRPr="00F955F2">
              <w:rPr>
                <w:rFonts w:cs="Times New Roman"/>
                <w:szCs w:val="22"/>
                <w:vertAlign w:val="subscript"/>
              </w:rPr>
              <w:t>2</w:t>
            </w:r>
            <w:r w:rsidRPr="00F955F2">
              <w:rPr>
                <w:rFonts w:cs="Times New Roman"/>
                <w:szCs w:val="22"/>
              </w:rPr>
              <w:t>e</w:t>
            </w:r>
          </w:p>
        </w:tc>
        <w:tc>
          <w:tcPr>
            <w:tcW w:w="1346" w:type="dxa"/>
            <w:tcBorders>
              <w:top w:val="single" w:sz="4" w:space="0" w:color="000000"/>
            </w:tcBorders>
            <w:vAlign w:val="center"/>
          </w:tcPr>
          <w:p w14:paraId="607CD347" w14:textId="77777777" w:rsidR="00626D90" w:rsidRPr="00F955F2" w:rsidRDefault="00626D90" w:rsidP="00EF0FC0">
            <w:pPr>
              <w:snapToGrid w:val="0"/>
              <w:spacing w:before="60" w:after="60"/>
              <w:jc w:val="center"/>
              <w:rPr>
                <w:rFonts w:cs="Times New Roman"/>
                <w:szCs w:val="22"/>
              </w:rPr>
            </w:pPr>
            <w:r w:rsidRPr="00F955F2">
              <w:rPr>
                <w:rFonts w:cs="Times New Roman"/>
                <w:szCs w:val="22"/>
              </w:rPr>
              <w:t>30.44</w:t>
            </w:r>
          </w:p>
        </w:tc>
        <w:tc>
          <w:tcPr>
            <w:tcW w:w="1347" w:type="dxa"/>
            <w:tcBorders>
              <w:top w:val="single" w:sz="4" w:space="0" w:color="000000"/>
            </w:tcBorders>
            <w:vAlign w:val="center"/>
          </w:tcPr>
          <w:p w14:paraId="2FC230C6" w14:textId="77777777" w:rsidR="00626D90" w:rsidRPr="00F955F2" w:rsidRDefault="00626D90" w:rsidP="00EF0FC0">
            <w:pPr>
              <w:snapToGrid w:val="0"/>
              <w:spacing w:before="60" w:after="60"/>
              <w:jc w:val="center"/>
              <w:rPr>
                <w:rFonts w:cs="Times New Roman"/>
                <w:szCs w:val="22"/>
              </w:rPr>
            </w:pPr>
            <w:r w:rsidRPr="00F955F2">
              <w:rPr>
                <w:color w:val="000000"/>
                <w:szCs w:val="22"/>
              </w:rPr>
              <w:t>2.96</w:t>
            </w:r>
          </w:p>
        </w:tc>
        <w:tc>
          <w:tcPr>
            <w:tcW w:w="1347" w:type="dxa"/>
            <w:tcBorders>
              <w:top w:val="single" w:sz="4" w:space="0" w:color="000000"/>
            </w:tcBorders>
            <w:vAlign w:val="center"/>
          </w:tcPr>
          <w:p w14:paraId="47D5D793" w14:textId="77777777" w:rsidR="00626D90" w:rsidRPr="00F955F2" w:rsidRDefault="00626D90" w:rsidP="00EF0FC0">
            <w:pPr>
              <w:snapToGrid w:val="0"/>
              <w:spacing w:before="60" w:after="60"/>
              <w:jc w:val="center"/>
              <w:rPr>
                <w:rFonts w:cs="Times New Roman"/>
                <w:szCs w:val="22"/>
              </w:rPr>
            </w:pPr>
            <w:r w:rsidRPr="00F955F2">
              <w:rPr>
                <w:szCs w:val="22"/>
              </w:rPr>
              <w:t>17.53</w:t>
            </w:r>
          </w:p>
        </w:tc>
        <w:tc>
          <w:tcPr>
            <w:tcW w:w="1347" w:type="dxa"/>
            <w:tcBorders>
              <w:top w:val="single" w:sz="4" w:space="0" w:color="000000"/>
            </w:tcBorders>
            <w:vAlign w:val="center"/>
          </w:tcPr>
          <w:p w14:paraId="71BBEC5B" w14:textId="77777777" w:rsidR="00626D90" w:rsidRPr="00F955F2" w:rsidRDefault="00626D90" w:rsidP="00EF0FC0">
            <w:pPr>
              <w:snapToGrid w:val="0"/>
              <w:spacing w:before="60" w:after="60"/>
              <w:jc w:val="center"/>
              <w:rPr>
                <w:rFonts w:cs="Times New Roman"/>
                <w:szCs w:val="22"/>
              </w:rPr>
            </w:pPr>
            <w:r w:rsidRPr="00F955F2">
              <w:rPr>
                <w:color w:val="000000"/>
              </w:rPr>
              <w:t>7.77</w:t>
            </w:r>
          </w:p>
        </w:tc>
      </w:tr>
      <w:tr w:rsidR="00626D90" w:rsidRPr="00866793" w14:paraId="7C5FC3C6" w14:textId="77777777" w:rsidTr="00EF0FC0">
        <w:trPr>
          <w:trHeight w:val="456"/>
        </w:trPr>
        <w:tc>
          <w:tcPr>
            <w:tcW w:w="2552" w:type="dxa"/>
            <w:tcBorders>
              <w:top w:val="single" w:sz="4" w:space="0" w:color="000000"/>
            </w:tcBorders>
            <w:vAlign w:val="center"/>
          </w:tcPr>
          <w:p w14:paraId="0199AEE3" w14:textId="77777777" w:rsidR="00626D90" w:rsidRPr="00F955F2" w:rsidRDefault="00626D90" w:rsidP="00EF0FC0">
            <w:pPr>
              <w:snapToGrid w:val="0"/>
              <w:spacing w:before="60" w:after="60"/>
              <w:jc w:val="left"/>
              <w:rPr>
                <w:rFonts w:cs="Times New Roman"/>
                <w:color w:val="000000" w:themeColor="text1"/>
                <w:szCs w:val="22"/>
              </w:rPr>
            </w:pPr>
            <w:r w:rsidRPr="00F955F2">
              <w:rPr>
                <w:rFonts w:cs="Times New Roman"/>
                <w:color w:val="000000" w:themeColor="text1"/>
                <w:szCs w:val="22"/>
              </w:rPr>
              <w:t xml:space="preserve">Share of </w:t>
            </w:r>
            <w:r>
              <w:rPr>
                <w:rFonts w:cs="Times New Roman"/>
                <w:color w:val="000000" w:themeColor="text1"/>
                <w:szCs w:val="22"/>
              </w:rPr>
              <w:t>RAC</w:t>
            </w:r>
            <w:r w:rsidRPr="00F955F2">
              <w:rPr>
                <w:rFonts w:cs="Times New Roman"/>
                <w:color w:val="000000" w:themeColor="text1"/>
                <w:szCs w:val="22"/>
              </w:rPr>
              <w:t xml:space="preserve"> indirect emissions</w:t>
            </w:r>
          </w:p>
        </w:tc>
        <w:tc>
          <w:tcPr>
            <w:tcW w:w="1559" w:type="dxa"/>
            <w:tcBorders>
              <w:top w:val="single" w:sz="4" w:space="0" w:color="000000"/>
            </w:tcBorders>
            <w:vAlign w:val="center"/>
          </w:tcPr>
          <w:p w14:paraId="7FD6ED90"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szCs w:val="22"/>
              </w:rPr>
              <w:t>Percent</w:t>
            </w:r>
          </w:p>
        </w:tc>
        <w:tc>
          <w:tcPr>
            <w:tcW w:w="1346" w:type="dxa"/>
            <w:tcBorders>
              <w:top w:val="single" w:sz="4" w:space="0" w:color="000000"/>
            </w:tcBorders>
            <w:vAlign w:val="center"/>
          </w:tcPr>
          <w:p w14:paraId="7364A8DE"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52%</w:t>
            </w:r>
          </w:p>
        </w:tc>
        <w:tc>
          <w:tcPr>
            <w:tcW w:w="1347" w:type="dxa"/>
            <w:tcBorders>
              <w:top w:val="single" w:sz="4" w:space="0" w:color="000000"/>
            </w:tcBorders>
            <w:vAlign w:val="center"/>
          </w:tcPr>
          <w:p w14:paraId="77AF4641" w14:textId="77777777" w:rsidR="00626D90" w:rsidRPr="00F955F2" w:rsidRDefault="00626D90" w:rsidP="00EF0FC0">
            <w:pPr>
              <w:snapToGrid w:val="0"/>
              <w:spacing w:before="60" w:after="60"/>
              <w:jc w:val="center"/>
              <w:rPr>
                <w:rFonts w:cs="Times New Roman"/>
                <w:color w:val="000000" w:themeColor="text1"/>
                <w:szCs w:val="22"/>
              </w:rPr>
            </w:pPr>
            <w:r w:rsidRPr="00F955F2">
              <w:rPr>
                <w:color w:val="000000"/>
                <w:szCs w:val="22"/>
              </w:rPr>
              <w:t>5%</w:t>
            </w:r>
          </w:p>
        </w:tc>
        <w:tc>
          <w:tcPr>
            <w:tcW w:w="1347" w:type="dxa"/>
            <w:tcBorders>
              <w:top w:val="single" w:sz="4" w:space="0" w:color="000000"/>
            </w:tcBorders>
            <w:vAlign w:val="center"/>
          </w:tcPr>
          <w:p w14:paraId="1A272453" w14:textId="77777777" w:rsidR="00626D90" w:rsidRPr="00F955F2" w:rsidRDefault="00626D90" w:rsidP="00EF0FC0">
            <w:pPr>
              <w:snapToGrid w:val="0"/>
              <w:spacing w:before="60" w:after="60"/>
              <w:jc w:val="center"/>
              <w:rPr>
                <w:rFonts w:cs="Times New Roman"/>
                <w:color w:val="000000" w:themeColor="text1"/>
                <w:szCs w:val="22"/>
              </w:rPr>
            </w:pPr>
            <w:r w:rsidRPr="00F955F2">
              <w:rPr>
                <w:szCs w:val="22"/>
              </w:rPr>
              <w:t>30%</w:t>
            </w:r>
          </w:p>
        </w:tc>
        <w:tc>
          <w:tcPr>
            <w:tcW w:w="1347" w:type="dxa"/>
            <w:tcBorders>
              <w:top w:val="single" w:sz="4" w:space="0" w:color="000000"/>
            </w:tcBorders>
            <w:vAlign w:val="center"/>
          </w:tcPr>
          <w:p w14:paraId="6AA94F9A" w14:textId="77777777" w:rsidR="00626D90" w:rsidRPr="00F955F2" w:rsidRDefault="00626D90" w:rsidP="00EF0FC0">
            <w:pPr>
              <w:snapToGrid w:val="0"/>
              <w:spacing w:before="60" w:after="60"/>
              <w:jc w:val="center"/>
              <w:rPr>
                <w:rFonts w:cs="Times New Roman"/>
                <w:color w:val="000000" w:themeColor="text1"/>
                <w:szCs w:val="22"/>
              </w:rPr>
            </w:pPr>
            <w:r>
              <w:rPr>
                <w:rFonts w:cs="Times New Roman"/>
                <w:color w:val="000000" w:themeColor="text1"/>
                <w:szCs w:val="22"/>
              </w:rPr>
              <w:t>13%</w:t>
            </w:r>
          </w:p>
        </w:tc>
      </w:tr>
      <w:tr w:rsidR="00626D90" w:rsidRPr="00866793" w14:paraId="3B93B0B9" w14:textId="77777777" w:rsidTr="00EF0FC0">
        <w:trPr>
          <w:trHeight w:val="456"/>
        </w:trPr>
        <w:tc>
          <w:tcPr>
            <w:tcW w:w="2552" w:type="dxa"/>
            <w:tcBorders>
              <w:top w:val="single" w:sz="4" w:space="0" w:color="000000"/>
            </w:tcBorders>
            <w:vAlign w:val="center"/>
          </w:tcPr>
          <w:p w14:paraId="00E6744D" w14:textId="77777777" w:rsidR="00626D90" w:rsidRPr="00F955F2" w:rsidRDefault="00626D90" w:rsidP="00EF0FC0">
            <w:pPr>
              <w:snapToGrid w:val="0"/>
              <w:spacing w:before="60" w:after="60"/>
              <w:jc w:val="left"/>
              <w:rPr>
                <w:rFonts w:cs="Times New Roman"/>
                <w:color w:val="000000" w:themeColor="text1"/>
                <w:szCs w:val="22"/>
              </w:rPr>
            </w:pPr>
            <w:r w:rsidRPr="00F955F2">
              <w:rPr>
                <w:rFonts w:cs="Times New Roman"/>
                <w:color w:val="000000" w:themeColor="text1"/>
                <w:szCs w:val="22"/>
              </w:rPr>
              <w:t>Annual GHG direct emissions (ODS)</w:t>
            </w:r>
            <w:r>
              <w:rPr>
                <w:rFonts w:cs="Times New Roman"/>
                <w:color w:val="000000" w:themeColor="text1"/>
                <w:szCs w:val="22"/>
              </w:rPr>
              <w:t xml:space="preserve"> </w:t>
            </w:r>
            <w:r w:rsidRPr="00F955F2">
              <w:rPr>
                <w:rFonts w:cs="Times New Roman"/>
                <w:szCs w:val="22"/>
                <w:vertAlign w:val="superscript"/>
              </w:rPr>
              <w:t>(</w:t>
            </w:r>
            <w:r>
              <w:rPr>
                <w:rFonts w:cs="Times New Roman"/>
                <w:szCs w:val="22"/>
                <w:vertAlign w:val="superscript"/>
              </w:rPr>
              <w:t>2</w:t>
            </w:r>
            <w:r w:rsidRPr="00F955F2">
              <w:rPr>
                <w:rFonts w:cs="Times New Roman"/>
                <w:szCs w:val="22"/>
                <w:vertAlign w:val="superscript"/>
              </w:rPr>
              <w:t>)</w:t>
            </w:r>
          </w:p>
        </w:tc>
        <w:tc>
          <w:tcPr>
            <w:tcW w:w="1559" w:type="dxa"/>
            <w:tcBorders>
              <w:top w:val="single" w:sz="4" w:space="0" w:color="000000"/>
            </w:tcBorders>
            <w:vAlign w:val="center"/>
          </w:tcPr>
          <w:p w14:paraId="24085AB5"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Million tonnes CO</w:t>
            </w:r>
            <w:r w:rsidRPr="00F955F2">
              <w:rPr>
                <w:rFonts w:cs="Times New Roman"/>
                <w:color w:val="000000" w:themeColor="text1"/>
                <w:szCs w:val="22"/>
                <w:vertAlign w:val="subscript"/>
              </w:rPr>
              <w:t>2</w:t>
            </w:r>
            <w:r w:rsidRPr="00F955F2">
              <w:rPr>
                <w:rFonts w:cs="Times New Roman"/>
                <w:color w:val="000000" w:themeColor="text1"/>
                <w:szCs w:val="22"/>
              </w:rPr>
              <w:t>e</w:t>
            </w:r>
          </w:p>
        </w:tc>
        <w:tc>
          <w:tcPr>
            <w:tcW w:w="1346" w:type="dxa"/>
            <w:tcBorders>
              <w:top w:val="single" w:sz="4" w:space="0" w:color="000000"/>
            </w:tcBorders>
            <w:vAlign w:val="center"/>
          </w:tcPr>
          <w:p w14:paraId="6F8C9616"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0.72</w:t>
            </w:r>
          </w:p>
        </w:tc>
        <w:tc>
          <w:tcPr>
            <w:tcW w:w="1347" w:type="dxa"/>
            <w:tcBorders>
              <w:top w:val="single" w:sz="4" w:space="0" w:color="000000"/>
            </w:tcBorders>
            <w:vAlign w:val="center"/>
          </w:tcPr>
          <w:p w14:paraId="7F66C881"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0.01</w:t>
            </w:r>
          </w:p>
        </w:tc>
        <w:tc>
          <w:tcPr>
            <w:tcW w:w="1347" w:type="dxa"/>
            <w:tcBorders>
              <w:top w:val="single" w:sz="4" w:space="0" w:color="000000"/>
            </w:tcBorders>
            <w:vAlign w:val="center"/>
          </w:tcPr>
          <w:p w14:paraId="252704DC" w14:textId="1EB13D47" w:rsidR="00626D90" w:rsidRPr="00F955F2" w:rsidRDefault="00626D90" w:rsidP="00EF0FC0">
            <w:pPr>
              <w:snapToGrid w:val="0"/>
              <w:spacing w:before="60" w:after="60"/>
              <w:jc w:val="center"/>
              <w:rPr>
                <w:rFonts w:cs="Times New Roman"/>
                <w:color w:val="000000" w:themeColor="text1"/>
                <w:szCs w:val="22"/>
              </w:rPr>
            </w:pPr>
            <w:r w:rsidRPr="00F955F2">
              <w:rPr>
                <w:color w:val="000000"/>
                <w:szCs w:val="22"/>
              </w:rPr>
              <w:t>0.1</w:t>
            </w:r>
            <w:r w:rsidR="002F6172">
              <w:rPr>
                <w:color w:val="000000"/>
                <w:szCs w:val="22"/>
              </w:rPr>
              <w:t>3</w:t>
            </w:r>
          </w:p>
        </w:tc>
        <w:tc>
          <w:tcPr>
            <w:tcW w:w="1347" w:type="dxa"/>
            <w:tcBorders>
              <w:top w:val="single" w:sz="4" w:space="0" w:color="000000"/>
            </w:tcBorders>
            <w:vAlign w:val="center"/>
          </w:tcPr>
          <w:p w14:paraId="64F23979"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0.00</w:t>
            </w:r>
          </w:p>
        </w:tc>
      </w:tr>
      <w:tr w:rsidR="00626D90" w:rsidRPr="00866793" w14:paraId="178CF538" w14:textId="77777777" w:rsidTr="00EF0FC0">
        <w:trPr>
          <w:trHeight w:val="456"/>
        </w:trPr>
        <w:tc>
          <w:tcPr>
            <w:tcW w:w="2552" w:type="dxa"/>
            <w:tcBorders>
              <w:top w:val="single" w:sz="4" w:space="0" w:color="000000"/>
            </w:tcBorders>
            <w:vAlign w:val="center"/>
          </w:tcPr>
          <w:p w14:paraId="2BEF73E9" w14:textId="77777777" w:rsidR="00626D90" w:rsidRPr="00F955F2" w:rsidRDefault="00626D90" w:rsidP="00EF0FC0">
            <w:pPr>
              <w:snapToGrid w:val="0"/>
              <w:spacing w:before="60" w:after="60"/>
              <w:jc w:val="left"/>
              <w:rPr>
                <w:rFonts w:cs="Times New Roman"/>
                <w:color w:val="000000" w:themeColor="text1"/>
                <w:szCs w:val="22"/>
              </w:rPr>
            </w:pPr>
            <w:r w:rsidRPr="00F955F2">
              <w:rPr>
                <w:rFonts w:cs="Times New Roman"/>
                <w:color w:val="000000" w:themeColor="text1"/>
                <w:szCs w:val="22"/>
              </w:rPr>
              <w:t>Annual GHG direct emissions (SGG)</w:t>
            </w:r>
          </w:p>
        </w:tc>
        <w:tc>
          <w:tcPr>
            <w:tcW w:w="1559" w:type="dxa"/>
            <w:tcBorders>
              <w:top w:val="single" w:sz="4" w:space="0" w:color="000000"/>
            </w:tcBorders>
            <w:vAlign w:val="center"/>
          </w:tcPr>
          <w:p w14:paraId="1C3E8F28"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Million tonnes CO</w:t>
            </w:r>
            <w:r w:rsidRPr="00F955F2">
              <w:rPr>
                <w:rFonts w:cs="Times New Roman"/>
                <w:color w:val="000000" w:themeColor="text1"/>
                <w:szCs w:val="22"/>
                <w:vertAlign w:val="subscript"/>
              </w:rPr>
              <w:t>2</w:t>
            </w:r>
            <w:r w:rsidRPr="00F955F2">
              <w:rPr>
                <w:rFonts w:cs="Times New Roman"/>
                <w:color w:val="000000" w:themeColor="text1"/>
                <w:szCs w:val="22"/>
              </w:rPr>
              <w:t>e</w:t>
            </w:r>
          </w:p>
        </w:tc>
        <w:tc>
          <w:tcPr>
            <w:tcW w:w="1346" w:type="dxa"/>
            <w:tcBorders>
              <w:top w:val="single" w:sz="4" w:space="0" w:color="000000"/>
            </w:tcBorders>
            <w:vAlign w:val="center"/>
          </w:tcPr>
          <w:p w14:paraId="2706BF62"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1.47</w:t>
            </w:r>
          </w:p>
        </w:tc>
        <w:tc>
          <w:tcPr>
            <w:tcW w:w="1347" w:type="dxa"/>
            <w:tcBorders>
              <w:top w:val="single" w:sz="4" w:space="0" w:color="000000"/>
            </w:tcBorders>
            <w:vAlign w:val="center"/>
          </w:tcPr>
          <w:p w14:paraId="48E8E1E0"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1.24</w:t>
            </w:r>
          </w:p>
        </w:tc>
        <w:tc>
          <w:tcPr>
            <w:tcW w:w="1347" w:type="dxa"/>
            <w:tcBorders>
              <w:top w:val="single" w:sz="4" w:space="0" w:color="000000"/>
            </w:tcBorders>
            <w:vAlign w:val="center"/>
          </w:tcPr>
          <w:p w14:paraId="292E2EF6" w14:textId="710872E4" w:rsidR="00626D90" w:rsidRPr="00F955F2" w:rsidRDefault="00626D90" w:rsidP="00EF0FC0">
            <w:pPr>
              <w:snapToGrid w:val="0"/>
              <w:spacing w:before="60" w:after="60"/>
              <w:jc w:val="center"/>
              <w:rPr>
                <w:rFonts w:cs="Times New Roman"/>
                <w:color w:val="000000" w:themeColor="text1"/>
                <w:szCs w:val="22"/>
              </w:rPr>
            </w:pPr>
            <w:r w:rsidRPr="00F955F2">
              <w:rPr>
                <w:color w:val="000000"/>
                <w:szCs w:val="22"/>
              </w:rPr>
              <w:t>2.</w:t>
            </w:r>
            <w:r w:rsidR="002F6172">
              <w:rPr>
                <w:color w:val="000000"/>
                <w:szCs w:val="22"/>
              </w:rPr>
              <w:t>91</w:t>
            </w:r>
          </w:p>
        </w:tc>
        <w:tc>
          <w:tcPr>
            <w:tcW w:w="1347" w:type="dxa"/>
            <w:tcBorders>
              <w:top w:val="single" w:sz="4" w:space="0" w:color="000000"/>
            </w:tcBorders>
            <w:vAlign w:val="center"/>
          </w:tcPr>
          <w:p w14:paraId="6BCC4C03"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0.05</w:t>
            </w:r>
          </w:p>
        </w:tc>
      </w:tr>
      <w:tr w:rsidR="00626D90" w:rsidRPr="00866793" w14:paraId="6DCC92AC" w14:textId="77777777" w:rsidTr="00EF0FC0">
        <w:trPr>
          <w:trHeight w:val="456"/>
        </w:trPr>
        <w:tc>
          <w:tcPr>
            <w:tcW w:w="2552" w:type="dxa"/>
            <w:tcBorders>
              <w:top w:val="single" w:sz="4" w:space="0" w:color="000000"/>
            </w:tcBorders>
            <w:vAlign w:val="center"/>
          </w:tcPr>
          <w:p w14:paraId="15A82F00" w14:textId="77777777" w:rsidR="00626D90" w:rsidRPr="00F955F2" w:rsidRDefault="00626D90" w:rsidP="00EF0FC0">
            <w:pPr>
              <w:snapToGrid w:val="0"/>
              <w:spacing w:before="60" w:after="60"/>
              <w:jc w:val="left"/>
              <w:rPr>
                <w:rFonts w:cs="Times New Roman"/>
                <w:color w:val="000000" w:themeColor="text1"/>
                <w:szCs w:val="22"/>
              </w:rPr>
            </w:pPr>
            <w:r w:rsidRPr="00F955F2">
              <w:rPr>
                <w:rFonts w:cs="Times New Roman"/>
                <w:color w:val="000000" w:themeColor="text1"/>
                <w:szCs w:val="22"/>
              </w:rPr>
              <w:t xml:space="preserve">Share of </w:t>
            </w:r>
            <w:r>
              <w:rPr>
                <w:rFonts w:cs="Times New Roman"/>
                <w:color w:val="000000" w:themeColor="text1"/>
                <w:szCs w:val="22"/>
              </w:rPr>
              <w:t>RAC</w:t>
            </w:r>
            <w:r w:rsidRPr="00F955F2">
              <w:rPr>
                <w:rFonts w:cs="Times New Roman"/>
                <w:color w:val="000000" w:themeColor="text1"/>
                <w:szCs w:val="22"/>
              </w:rPr>
              <w:t xml:space="preserve"> direct emissions</w:t>
            </w:r>
          </w:p>
        </w:tc>
        <w:tc>
          <w:tcPr>
            <w:tcW w:w="1559" w:type="dxa"/>
            <w:tcBorders>
              <w:top w:val="single" w:sz="4" w:space="0" w:color="000000"/>
            </w:tcBorders>
            <w:vAlign w:val="center"/>
          </w:tcPr>
          <w:p w14:paraId="701FDBAE"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szCs w:val="22"/>
              </w:rPr>
              <w:t>Percent</w:t>
            </w:r>
          </w:p>
        </w:tc>
        <w:tc>
          <w:tcPr>
            <w:tcW w:w="1346" w:type="dxa"/>
            <w:tcBorders>
              <w:top w:val="single" w:sz="4" w:space="0" w:color="000000"/>
            </w:tcBorders>
            <w:vAlign w:val="center"/>
          </w:tcPr>
          <w:p w14:paraId="113B8365"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34%</w:t>
            </w:r>
          </w:p>
        </w:tc>
        <w:tc>
          <w:tcPr>
            <w:tcW w:w="1347" w:type="dxa"/>
            <w:tcBorders>
              <w:top w:val="single" w:sz="4" w:space="0" w:color="000000"/>
            </w:tcBorders>
            <w:vAlign w:val="center"/>
          </w:tcPr>
          <w:p w14:paraId="332C83CC" w14:textId="77777777" w:rsidR="00626D90" w:rsidRPr="00F955F2" w:rsidRDefault="00626D90" w:rsidP="00EF0FC0">
            <w:pPr>
              <w:snapToGrid w:val="0"/>
              <w:spacing w:before="60" w:after="60"/>
              <w:jc w:val="center"/>
              <w:rPr>
                <w:rFonts w:cs="Times New Roman"/>
                <w:color w:val="000000" w:themeColor="text1"/>
                <w:szCs w:val="22"/>
              </w:rPr>
            </w:pPr>
            <w:r>
              <w:rPr>
                <w:color w:val="000000"/>
                <w:szCs w:val="22"/>
              </w:rPr>
              <w:t>19</w:t>
            </w:r>
            <w:r w:rsidRPr="00F955F2">
              <w:rPr>
                <w:color w:val="000000"/>
                <w:szCs w:val="22"/>
              </w:rPr>
              <w:t>%</w:t>
            </w:r>
          </w:p>
        </w:tc>
        <w:tc>
          <w:tcPr>
            <w:tcW w:w="1347" w:type="dxa"/>
            <w:tcBorders>
              <w:top w:val="single" w:sz="4" w:space="0" w:color="000000"/>
            </w:tcBorders>
            <w:vAlign w:val="center"/>
          </w:tcPr>
          <w:p w14:paraId="4DC8F53C" w14:textId="77777777" w:rsidR="00626D90" w:rsidRPr="00F955F2" w:rsidRDefault="00626D90" w:rsidP="00EF0FC0">
            <w:pPr>
              <w:snapToGrid w:val="0"/>
              <w:spacing w:before="60" w:after="60"/>
              <w:jc w:val="center"/>
              <w:rPr>
                <w:rFonts w:cs="Times New Roman"/>
                <w:color w:val="000000" w:themeColor="text1"/>
                <w:szCs w:val="22"/>
              </w:rPr>
            </w:pPr>
            <w:r w:rsidRPr="00F955F2">
              <w:rPr>
                <w:szCs w:val="22"/>
              </w:rPr>
              <w:t>46%</w:t>
            </w:r>
          </w:p>
        </w:tc>
        <w:tc>
          <w:tcPr>
            <w:tcW w:w="1347" w:type="dxa"/>
            <w:tcBorders>
              <w:top w:val="single" w:sz="4" w:space="0" w:color="000000"/>
            </w:tcBorders>
            <w:vAlign w:val="center"/>
          </w:tcPr>
          <w:p w14:paraId="3174ED9E"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0.8%</w:t>
            </w:r>
          </w:p>
        </w:tc>
      </w:tr>
      <w:tr w:rsidR="00626D90" w:rsidRPr="00866793" w14:paraId="09438F22" w14:textId="77777777" w:rsidTr="00EF0FC0">
        <w:trPr>
          <w:trHeight w:val="456"/>
        </w:trPr>
        <w:tc>
          <w:tcPr>
            <w:tcW w:w="2552" w:type="dxa"/>
            <w:tcBorders>
              <w:top w:val="single" w:sz="4" w:space="0" w:color="000000"/>
            </w:tcBorders>
            <w:vAlign w:val="center"/>
          </w:tcPr>
          <w:p w14:paraId="5C23CD3D" w14:textId="77777777" w:rsidR="00626D90" w:rsidRPr="00F955F2" w:rsidRDefault="00626D90" w:rsidP="00EF0FC0">
            <w:pPr>
              <w:snapToGrid w:val="0"/>
              <w:spacing w:before="60" w:after="60"/>
              <w:jc w:val="left"/>
              <w:rPr>
                <w:rFonts w:cs="Times New Roman"/>
                <w:color w:val="000000" w:themeColor="text1"/>
                <w:szCs w:val="22"/>
              </w:rPr>
            </w:pPr>
            <w:r w:rsidRPr="00F955F2">
              <w:rPr>
                <w:rFonts w:cs="Times New Roman"/>
                <w:color w:val="000000" w:themeColor="text1"/>
                <w:szCs w:val="22"/>
              </w:rPr>
              <w:t xml:space="preserve">Share of </w:t>
            </w:r>
            <w:r>
              <w:rPr>
                <w:rFonts w:cs="Times New Roman"/>
                <w:color w:val="000000" w:themeColor="text1"/>
                <w:szCs w:val="22"/>
              </w:rPr>
              <w:t>RAC</w:t>
            </w:r>
            <w:r w:rsidRPr="00F955F2">
              <w:rPr>
                <w:rFonts w:cs="Times New Roman"/>
                <w:color w:val="000000" w:themeColor="text1"/>
                <w:szCs w:val="22"/>
              </w:rPr>
              <w:t xml:space="preserve"> total emissions                                </w:t>
            </w:r>
            <w:proofErr w:type="gramStart"/>
            <w:r w:rsidRPr="00F955F2">
              <w:rPr>
                <w:rFonts w:cs="Times New Roman"/>
                <w:color w:val="000000" w:themeColor="text1"/>
                <w:szCs w:val="22"/>
              </w:rPr>
              <w:t xml:space="preserve">   (</w:t>
            </w:r>
            <w:proofErr w:type="gramEnd"/>
            <w:r w:rsidRPr="00F955F2">
              <w:rPr>
                <w:rFonts w:cs="Times New Roman"/>
                <w:color w:val="000000" w:themeColor="text1"/>
                <w:szCs w:val="22"/>
              </w:rPr>
              <w:t>direct and indirect, not including EOL)</w:t>
            </w:r>
          </w:p>
        </w:tc>
        <w:tc>
          <w:tcPr>
            <w:tcW w:w="1559" w:type="dxa"/>
            <w:tcBorders>
              <w:top w:val="single" w:sz="4" w:space="0" w:color="000000"/>
            </w:tcBorders>
            <w:vAlign w:val="center"/>
          </w:tcPr>
          <w:p w14:paraId="648587A2"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szCs w:val="22"/>
              </w:rPr>
              <w:t>Percent</w:t>
            </w:r>
          </w:p>
        </w:tc>
        <w:tc>
          <w:tcPr>
            <w:tcW w:w="1346" w:type="dxa"/>
            <w:tcBorders>
              <w:top w:val="single" w:sz="4" w:space="0" w:color="000000"/>
            </w:tcBorders>
            <w:vAlign w:val="center"/>
          </w:tcPr>
          <w:p w14:paraId="71B12FF5"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50%</w:t>
            </w:r>
          </w:p>
        </w:tc>
        <w:tc>
          <w:tcPr>
            <w:tcW w:w="1347" w:type="dxa"/>
            <w:tcBorders>
              <w:top w:val="single" w:sz="4" w:space="0" w:color="000000"/>
            </w:tcBorders>
            <w:vAlign w:val="center"/>
          </w:tcPr>
          <w:p w14:paraId="3589CF9A" w14:textId="77777777" w:rsidR="00626D90" w:rsidRPr="00F955F2" w:rsidRDefault="00626D90" w:rsidP="00EF0FC0">
            <w:pPr>
              <w:snapToGrid w:val="0"/>
              <w:spacing w:before="60" w:after="60"/>
              <w:jc w:val="center"/>
              <w:rPr>
                <w:rFonts w:cs="Times New Roman"/>
                <w:color w:val="000000" w:themeColor="text1"/>
                <w:szCs w:val="22"/>
              </w:rPr>
            </w:pPr>
            <w:r w:rsidRPr="00F955F2">
              <w:rPr>
                <w:color w:val="000000"/>
                <w:szCs w:val="22"/>
              </w:rPr>
              <w:t>6%</w:t>
            </w:r>
          </w:p>
        </w:tc>
        <w:tc>
          <w:tcPr>
            <w:tcW w:w="1347" w:type="dxa"/>
            <w:tcBorders>
              <w:top w:val="single" w:sz="4" w:space="0" w:color="000000"/>
            </w:tcBorders>
            <w:vAlign w:val="center"/>
          </w:tcPr>
          <w:p w14:paraId="02EE1BB1" w14:textId="022AEA97" w:rsidR="00626D90" w:rsidRPr="00F955F2" w:rsidRDefault="00626D90" w:rsidP="00EF0FC0">
            <w:pPr>
              <w:snapToGrid w:val="0"/>
              <w:spacing w:before="60" w:after="60"/>
              <w:jc w:val="center"/>
              <w:rPr>
                <w:rFonts w:cs="Times New Roman"/>
                <w:color w:val="000000" w:themeColor="text1"/>
                <w:szCs w:val="22"/>
              </w:rPr>
            </w:pPr>
            <w:r w:rsidRPr="00F955F2">
              <w:rPr>
                <w:szCs w:val="22"/>
              </w:rPr>
              <w:t>3</w:t>
            </w:r>
            <w:r w:rsidR="002F6172">
              <w:rPr>
                <w:szCs w:val="22"/>
              </w:rPr>
              <w:t>2</w:t>
            </w:r>
            <w:r w:rsidRPr="00F955F2">
              <w:rPr>
                <w:szCs w:val="22"/>
              </w:rPr>
              <w:t>%</w:t>
            </w:r>
          </w:p>
        </w:tc>
        <w:tc>
          <w:tcPr>
            <w:tcW w:w="1347" w:type="dxa"/>
            <w:tcBorders>
              <w:top w:val="single" w:sz="4" w:space="0" w:color="000000"/>
            </w:tcBorders>
            <w:vAlign w:val="center"/>
          </w:tcPr>
          <w:p w14:paraId="03A9197D" w14:textId="77777777" w:rsidR="00626D90" w:rsidRPr="00F955F2" w:rsidRDefault="00626D90" w:rsidP="00EF0FC0">
            <w:pPr>
              <w:snapToGrid w:val="0"/>
              <w:spacing w:before="60" w:after="60"/>
              <w:jc w:val="center"/>
              <w:rPr>
                <w:rFonts w:cs="Times New Roman"/>
                <w:color w:val="000000" w:themeColor="text1"/>
                <w:szCs w:val="22"/>
              </w:rPr>
            </w:pPr>
            <w:r w:rsidRPr="00F955F2">
              <w:rPr>
                <w:rFonts w:cs="Times New Roman"/>
                <w:color w:val="000000" w:themeColor="text1"/>
                <w:szCs w:val="22"/>
              </w:rPr>
              <w:t>12%</w:t>
            </w:r>
          </w:p>
        </w:tc>
      </w:tr>
    </w:tbl>
    <w:p w14:paraId="7FD6B0BA" w14:textId="77777777" w:rsidR="00626D90" w:rsidRPr="00B5198B" w:rsidRDefault="00626D90" w:rsidP="00626D90">
      <w:pPr>
        <w:snapToGrid w:val="0"/>
        <w:spacing w:before="60"/>
        <w:rPr>
          <w:rFonts w:cs="Times New Roman"/>
          <w:sz w:val="20"/>
          <w:szCs w:val="20"/>
        </w:rPr>
      </w:pPr>
      <w:r w:rsidRPr="00B5198B">
        <w:rPr>
          <w:rFonts w:cs="Times New Roman"/>
          <w:sz w:val="20"/>
          <w:szCs w:val="20"/>
        </w:rPr>
        <w:t>Notes:</w:t>
      </w:r>
    </w:p>
    <w:p w14:paraId="6A46D904" w14:textId="77777777" w:rsidR="00626D90" w:rsidRDefault="00626D90" w:rsidP="00626D90">
      <w:pPr>
        <w:pStyle w:val="ListParagraph"/>
        <w:numPr>
          <w:ilvl w:val="0"/>
          <w:numId w:val="39"/>
        </w:numPr>
        <w:snapToGrid w:val="0"/>
        <w:spacing w:before="60" w:after="0" w:line="240" w:lineRule="auto"/>
        <w:contextualSpacing w:val="0"/>
        <w:jc w:val="both"/>
        <w:rPr>
          <w:rFonts w:ascii="Times New Roman" w:hAnsi="Times New Roman"/>
          <w:sz w:val="20"/>
          <w:szCs w:val="20"/>
        </w:rPr>
      </w:pPr>
      <w:r>
        <w:rPr>
          <w:rFonts w:ascii="Times New Roman" w:hAnsi="Times New Roman"/>
          <w:sz w:val="20"/>
          <w:szCs w:val="20"/>
        </w:rPr>
        <w:t>HFC substances</w:t>
      </w:r>
      <w:r w:rsidRPr="00AF60A4">
        <w:rPr>
          <w:rFonts w:ascii="Times New Roman" w:hAnsi="Times New Roman"/>
          <w:sz w:val="20"/>
          <w:szCs w:val="20"/>
        </w:rPr>
        <w:t xml:space="preserve"> in pre-charged equipment imports</w:t>
      </w:r>
      <w:r>
        <w:rPr>
          <w:rFonts w:ascii="Times New Roman" w:hAnsi="Times New Roman"/>
          <w:sz w:val="20"/>
          <w:szCs w:val="20"/>
        </w:rPr>
        <w:t xml:space="preserve"> in non-RAC categories is 246 tonnes.</w:t>
      </w:r>
    </w:p>
    <w:p w14:paraId="3B0054BB" w14:textId="77777777" w:rsidR="00626D90" w:rsidRDefault="00626D90" w:rsidP="00626D90">
      <w:pPr>
        <w:pStyle w:val="ListParagraph"/>
        <w:numPr>
          <w:ilvl w:val="0"/>
          <w:numId w:val="39"/>
        </w:numPr>
        <w:spacing w:before="60" w:after="0" w:line="240" w:lineRule="auto"/>
        <w:contextualSpacing w:val="0"/>
        <w:jc w:val="both"/>
        <w:rPr>
          <w:rFonts w:ascii="Times New Roman" w:hAnsi="Times New Roman"/>
          <w:sz w:val="20"/>
          <w:szCs w:val="20"/>
        </w:rPr>
      </w:pPr>
      <w:r w:rsidRPr="002A019B">
        <w:rPr>
          <w:rFonts w:ascii="Times New Roman" w:hAnsi="Times New Roman"/>
          <w:sz w:val="20"/>
          <w:szCs w:val="20"/>
        </w:rPr>
        <w:t xml:space="preserve">Emissions of ODS are not counted as part of the GHGs reported under the Kyoto Protocol of the United Nations Framework Convention on Climate Change, as they </w:t>
      </w:r>
      <w:r>
        <w:rPr>
          <w:rFonts w:ascii="Times New Roman" w:hAnsi="Times New Roman"/>
          <w:sz w:val="20"/>
          <w:szCs w:val="20"/>
        </w:rPr>
        <w:t xml:space="preserve">are </w:t>
      </w:r>
      <w:r w:rsidRPr="002A019B">
        <w:rPr>
          <w:rFonts w:ascii="Times New Roman" w:hAnsi="Times New Roman"/>
          <w:sz w:val="20"/>
          <w:szCs w:val="20"/>
        </w:rPr>
        <w:t>managed through the Montreal Protocol.</w:t>
      </w:r>
    </w:p>
    <w:p w14:paraId="16BF6174" w14:textId="77777777" w:rsidR="00626D90" w:rsidRDefault="00626D90" w:rsidP="00626D90">
      <w:pPr>
        <w:pStyle w:val="ListParagraph"/>
        <w:numPr>
          <w:ilvl w:val="0"/>
          <w:numId w:val="39"/>
        </w:numPr>
        <w:spacing w:before="60" w:after="0" w:line="240" w:lineRule="auto"/>
        <w:contextualSpacing w:val="0"/>
        <w:jc w:val="both"/>
        <w:rPr>
          <w:rFonts w:ascii="Times New Roman" w:hAnsi="Times New Roman"/>
          <w:sz w:val="20"/>
          <w:szCs w:val="20"/>
        </w:rPr>
      </w:pPr>
      <w:r>
        <w:rPr>
          <w:rFonts w:ascii="Times New Roman" w:hAnsi="Times New Roman"/>
          <w:sz w:val="20"/>
          <w:szCs w:val="20"/>
        </w:rPr>
        <w:t>Percentages may not total 100 due to rounding.</w:t>
      </w:r>
    </w:p>
    <w:p w14:paraId="470A589C" w14:textId="77777777" w:rsidR="00626D90" w:rsidRPr="009F613E" w:rsidRDefault="00626D90" w:rsidP="00626D90">
      <w:pPr>
        <w:spacing w:before="0"/>
        <w:rPr>
          <w:sz w:val="20"/>
          <w:szCs w:val="20"/>
        </w:rPr>
      </w:pPr>
    </w:p>
    <w:p w14:paraId="72F63EB9" w14:textId="77777777" w:rsidR="00626D90" w:rsidRDefault="00626D90" w:rsidP="00626D90">
      <w:pPr>
        <w:spacing w:before="0"/>
        <w:rPr>
          <w:szCs w:val="22"/>
        </w:rPr>
      </w:pPr>
      <w:r>
        <w:rPr>
          <w:szCs w:val="22"/>
        </w:rPr>
        <w:t xml:space="preserve">The equipment formats employed across this huge stock of equipment are extremely varied, as is the size of the refrigerant charges in them, from small benchtop drink merchandisers with less than 30 grams of hydrocarbons (HCs), to large chillers with 1,500 kilograms of HFCs cooling enormous structures like airport terminals. </w:t>
      </w:r>
    </w:p>
    <w:p w14:paraId="6BD1282E" w14:textId="77777777" w:rsidR="00626D90" w:rsidRDefault="00626D90" w:rsidP="00626D90">
      <w:pPr>
        <w:rPr>
          <w:szCs w:val="22"/>
        </w:rPr>
      </w:pPr>
      <w:r>
        <w:rPr>
          <w:szCs w:val="22"/>
        </w:rPr>
        <w:t xml:space="preserve">Some of the millions of pieces of RAC equipment introduced to the economy every year will continue to be operational for decades and therefore, even while global agreements are driving the RAC industry towards the use of lower GWP refrigerants, Australia will continue to employ tens of thousands of tonnes of older generation high GWP refrigerants, that will require recovery and destruction, for many years into the future. </w:t>
      </w:r>
    </w:p>
    <w:p w14:paraId="51FF58FB" w14:textId="77777777" w:rsidR="00626D90" w:rsidRDefault="00626D90" w:rsidP="00626D90">
      <w:pPr>
        <w:rPr>
          <w:szCs w:val="22"/>
        </w:rPr>
      </w:pPr>
      <w:r w:rsidRPr="00B37F8A">
        <w:rPr>
          <w:szCs w:val="22"/>
        </w:rPr>
        <w:lastRenderedPageBreak/>
        <w:t xml:space="preserve">Each of the four main classes of </w:t>
      </w:r>
      <w:r>
        <w:rPr>
          <w:szCs w:val="22"/>
        </w:rPr>
        <w:t xml:space="preserve">RAC </w:t>
      </w:r>
      <w:r w:rsidRPr="00B37F8A">
        <w:rPr>
          <w:szCs w:val="22"/>
        </w:rPr>
        <w:t>equipment</w:t>
      </w:r>
      <w:r>
        <w:rPr>
          <w:szCs w:val="22"/>
        </w:rPr>
        <w:t>, Stationary Air conditioning (AC), Mobile Air conditioning (MAC), the Refrigerated Cold Food Chain (RCFC) and Domestic Refrigeration</w:t>
      </w:r>
      <w:r w:rsidRPr="00B37F8A">
        <w:rPr>
          <w:szCs w:val="22"/>
        </w:rPr>
        <w:t xml:space="preserve"> </w:t>
      </w:r>
      <w:r>
        <w:rPr>
          <w:szCs w:val="22"/>
        </w:rPr>
        <w:t xml:space="preserve">(DR) </w:t>
      </w:r>
      <w:r w:rsidRPr="00B37F8A">
        <w:rPr>
          <w:szCs w:val="22"/>
        </w:rPr>
        <w:t xml:space="preserve">is </w:t>
      </w:r>
      <w:r>
        <w:rPr>
          <w:szCs w:val="22"/>
        </w:rPr>
        <w:t xml:space="preserve">discussed in more detail in the sections that follow.  </w:t>
      </w:r>
    </w:p>
    <w:p w14:paraId="4C058128" w14:textId="77777777" w:rsidR="00626D90" w:rsidRDefault="00626D90" w:rsidP="00626D90">
      <w:pPr>
        <w:spacing w:before="0"/>
        <w:jc w:val="left"/>
        <w:rPr>
          <w:rFonts w:ascii="Calibri" w:eastAsia="Times New Roman" w:hAnsi="Calibri" w:cs="Times New Roman"/>
          <w:b/>
          <w:bCs/>
          <w:kern w:val="32"/>
          <w:sz w:val="32"/>
          <w:szCs w:val="32"/>
          <w:lang w:val="en-US"/>
        </w:rPr>
      </w:pPr>
      <w:bookmarkStart w:id="8" w:name="_Toc494661746"/>
    </w:p>
    <w:p w14:paraId="0A38AB8F" w14:textId="77777777" w:rsidR="00626D90" w:rsidRDefault="00626D90" w:rsidP="00626D90">
      <w:pPr>
        <w:pStyle w:val="Heading1"/>
      </w:pPr>
      <w:bookmarkStart w:id="9" w:name="_Toc46923715"/>
      <w:r>
        <w:t>Trends and observations by main equipment class</w:t>
      </w:r>
      <w:bookmarkEnd w:id="9"/>
    </w:p>
    <w:p w14:paraId="3B1A4020" w14:textId="77777777" w:rsidR="00626D90" w:rsidRDefault="00626D90" w:rsidP="00626D90">
      <w:pPr>
        <w:pStyle w:val="Heading2"/>
        <w:ind w:left="567" w:hanging="567"/>
        <w:jc w:val="both"/>
      </w:pPr>
      <w:bookmarkStart w:id="10" w:name="_Toc46923716"/>
      <w:r>
        <w:t>Stationary air conditioning</w:t>
      </w:r>
      <w:bookmarkEnd w:id="10"/>
    </w:p>
    <w:p w14:paraId="791AE7C9" w14:textId="77777777" w:rsidR="00626D90" w:rsidRPr="00811D8F" w:rsidRDefault="00626D90" w:rsidP="00626D90">
      <w:pPr>
        <w:rPr>
          <w:szCs w:val="22"/>
        </w:rPr>
      </w:pPr>
      <w:r w:rsidRPr="00D6789F">
        <w:rPr>
          <w:szCs w:val="22"/>
        </w:rPr>
        <w:t xml:space="preserve">Stationary air conditioning and heat pumps </w:t>
      </w:r>
      <w:r>
        <w:rPr>
          <w:szCs w:val="22"/>
        </w:rPr>
        <w:t>are</w:t>
      </w:r>
      <w:r w:rsidRPr="00D6789F">
        <w:rPr>
          <w:szCs w:val="22"/>
        </w:rPr>
        <w:t xml:space="preserve"> a broad class of equipment</w:t>
      </w:r>
      <w:r>
        <w:rPr>
          <w:szCs w:val="22"/>
        </w:rPr>
        <w:t>. It includes</w:t>
      </w:r>
      <w:r w:rsidRPr="00D6789F">
        <w:rPr>
          <w:szCs w:val="22"/>
        </w:rPr>
        <w:t xml:space="preserve"> all forms of stationary equipment </w:t>
      </w:r>
      <w:r>
        <w:rPr>
          <w:szCs w:val="22"/>
        </w:rPr>
        <w:t xml:space="preserve">using </w:t>
      </w:r>
      <w:r w:rsidRPr="00D6789F">
        <w:rPr>
          <w:szCs w:val="22"/>
        </w:rPr>
        <w:t>the vapour compression cycle to provide human comfort</w:t>
      </w:r>
      <w:r>
        <w:rPr>
          <w:szCs w:val="22"/>
        </w:rPr>
        <w:t xml:space="preserve"> in buildings</w:t>
      </w:r>
      <w:r w:rsidRPr="00D6789F">
        <w:rPr>
          <w:szCs w:val="22"/>
        </w:rPr>
        <w:t xml:space="preserve"> </w:t>
      </w:r>
      <w:r>
        <w:rPr>
          <w:szCs w:val="22"/>
        </w:rPr>
        <w:t xml:space="preserve">and </w:t>
      </w:r>
      <w:r w:rsidRPr="00D6789F">
        <w:rPr>
          <w:szCs w:val="22"/>
        </w:rPr>
        <w:t xml:space="preserve">to </w:t>
      </w:r>
      <w:r>
        <w:rPr>
          <w:szCs w:val="22"/>
        </w:rPr>
        <w:t>deliver</w:t>
      </w:r>
      <w:r w:rsidRPr="00D6789F">
        <w:rPr>
          <w:szCs w:val="22"/>
        </w:rPr>
        <w:t xml:space="preserve"> close temperature control in </w:t>
      </w:r>
      <w:r>
        <w:rPr>
          <w:szCs w:val="22"/>
        </w:rPr>
        <w:t xml:space="preserve">medical and scientific facilities and in </w:t>
      </w:r>
      <w:r w:rsidRPr="00D6789F">
        <w:rPr>
          <w:szCs w:val="22"/>
        </w:rPr>
        <w:t>data processing</w:t>
      </w:r>
      <w:r>
        <w:rPr>
          <w:szCs w:val="22"/>
        </w:rPr>
        <w:t xml:space="preserve"> centres. </w:t>
      </w:r>
      <w:r w:rsidRPr="00811D8F">
        <w:rPr>
          <w:szCs w:val="22"/>
        </w:rPr>
        <w:t>This class includes equipment that can operate in reverse-cycle (heating and cooling) or cooling only</w:t>
      </w:r>
      <w:r>
        <w:rPr>
          <w:szCs w:val="22"/>
        </w:rPr>
        <w:t xml:space="preserve"> and includes heat pumps. Equipment in this class r</w:t>
      </w:r>
      <w:r w:rsidRPr="00811D8F">
        <w:rPr>
          <w:szCs w:val="22"/>
        </w:rPr>
        <w:t>ange</w:t>
      </w:r>
      <w:r>
        <w:rPr>
          <w:szCs w:val="22"/>
        </w:rPr>
        <w:t>s</w:t>
      </w:r>
      <w:r w:rsidRPr="00811D8F">
        <w:rPr>
          <w:szCs w:val="22"/>
        </w:rPr>
        <w:t xml:space="preserve"> in size from small 2</w:t>
      </w:r>
      <w:r>
        <w:rPr>
          <w:szCs w:val="22"/>
        </w:rPr>
        <w:t> </w:t>
      </w:r>
      <w:proofErr w:type="spellStart"/>
      <w:r>
        <w:rPr>
          <w:szCs w:val="22"/>
        </w:rPr>
        <w:t>kWr</w:t>
      </w:r>
      <w:proofErr w:type="spellEnd"/>
      <w:r>
        <w:rPr>
          <w:szCs w:val="22"/>
        </w:rPr>
        <w:t xml:space="preserve"> (</w:t>
      </w:r>
      <w:r w:rsidRPr="00A35AFC">
        <w:rPr>
          <w:szCs w:val="22"/>
        </w:rPr>
        <w:t>kilowatt refrigeration capacity</w:t>
      </w:r>
      <w:r>
        <w:rPr>
          <w:szCs w:val="22"/>
        </w:rPr>
        <w:t>)</w:t>
      </w:r>
      <w:r w:rsidRPr="00811D8F">
        <w:rPr>
          <w:szCs w:val="22"/>
        </w:rPr>
        <w:t xml:space="preserve"> portable air conditioner</w:t>
      </w:r>
      <w:r>
        <w:rPr>
          <w:szCs w:val="22"/>
        </w:rPr>
        <w:t>s</w:t>
      </w:r>
      <w:r w:rsidRPr="00811D8F">
        <w:rPr>
          <w:szCs w:val="22"/>
        </w:rPr>
        <w:t>, with a refrigerant charge of less than 600 grams, to large 4,000</w:t>
      </w:r>
      <w:r>
        <w:rPr>
          <w:szCs w:val="22"/>
        </w:rPr>
        <w:t> </w:t>
      </w:r>
      <w:proofErr w:type="spellStart"/>
      <w:r w:rsidRPr="00811D8F">
        <w:rPr>
          <w:szCs w:val="22"/>
        </w:rPr>
        <w:t>kWr</w:t>
      </w:r>
      <w:proofErr w:type="spellEnd"/>
      <w:r w:rsidRPr="00811D8F">
        <w:rPr>
          <w:szCs w:val="22"/>
        </w:rPr>
        <w:t xml:space="preserve"> commercial space chillers containing more than a tonne of refrigerant in a single machine.</w:t>
      </w:r>
      <w:r>
        <w:rPr>
          <w:szCs w:val="22"/>
        </w:rPr>
        <w:t xml:space="preserve"> Evaporative air conditioning, that does not use a vapour compression cycle, is not included.</w:t>
      </w:r>
    </w:p>
    <w:p w14:paraId="183AF3E5" w14:textId="77777777" w:rsidR="00626D90" w:rsidRDefault="00626D90" w:rsidP="00626D90">
      <w:pPr>
        <w:rPr>
          <w:szCs w:val="22"/>
        </w:rPr>
      </w:pPr>
      <w:r w:rsidRPr="00144ADA">
        <w:rPr>
          <w:szCs w:val="22"/>
        </w:rPr>
        <w:t>The four major segments and eighteen product categories that make up this class</w:t>
      </w:r>
      <w:r>
        <w:rPr>
          <w:szCs w:val="22"/>
        </w:rPr>
        <w:t xml:space="preserve"> (see </w:t>
      </w:r>
      <w:r w:rsidRPr="00461D97">
        <w:rPr>
          <w:i/>
          <w:iCs/>
          <w:szCs w:val="22"/>
        </w:rPr>
        <w:t>Taxonomy</w:t>
      </w:r>
      <w:r>
        <w:rPr>
          <w:szCs w:val="22"/>
        </w:rPr>
        <w:t xml:space="preserve">) </w:t>
      </w:r>
      <w:r w:rsidRPr="00144ADA">
        <w:rPr>
          <w:szCs w:val="22"/>
        </w:rPr>
        <w:t>account for approximately 6</w:t>
      </w:r>
      <w:r>
        <w:rPr>
          <w:szCs w:val="22"/>
        </w:rPr>
        <w:t>3</w:t>
      </w:r>
      <w:r w:rsidRPr="00144ADA">
        <w:rPr>
          <w:szCs w:val="22"/>
        </w:rPr>
        <w:t>% of the bank of refrigerant in Australia</w:t>
      </w:r>
      <w:r>
        <w:rPr>
          <w:szCs w:val="22"/>
        </w:rPr>
        <w:t xml:space="preserve"> (</w:t>
      </w:r>
      <w:r w:rsidRPr="00824FE4">
        <w:rPr>
          <w:i/>
          <w:iCs/>
          <w:szCs w:val="22"/>
        </w:rPr>
        <w:t xml:space="preserve">CHF3 </w:t>
      </w:r>
      <w:r>
        <w:rPr>
          <w:i/>
          <w:iCs/>
          <w:szCs w:val="22"/>
        </w:rPr>
        <w:t xml:space="preserve">2016 </w:t>
      </w:r>
      <w:r w:rsidRPr="00824FE4">
        <w:rPr>
          <w:i/>
          <w:iCs/>
          <w:szCs w:val="22"/>
        </w:rPr>
        <w:t>61%</w:t>
      </w:r>
      <w:r>
        <w:rPr>
          <w:szCs w:val="22"/>
        </w:rPr>
        <w:t>)</w:t>
      </w:r>
      <w:r w:rsidRPr="00144ADA">
        <w:rPr>
          <w:szCs w:val="22"/>
        </w:rPr>
        <w:t xml:space="preserve">, </w:t>
      </w:r>
      <w:r>
        <w:rPr>
          <w:szCs w:val="22"/>
        </w:rPr>
        <w:t xml:space="preserve">or </w:t>
      </w:r>
      <w:r w:rsidRPr="00144ADA">
        <w:rPr>
          <w:szCs w:val="22"/>
        </w:rPr>
        <w:t>around 3</w:t>
      </w:r>
      <w:r>
        <w:rPr>
          <w:szCs w:val="22"/>
        </w:rPr>
        <w:t>3</w:t>
      </w:r>
      <w:r w:rsidRPr="00144ADA">
        <w:rPr>
          <w:szCs w:val="22"/>
        </w:rPr>
        <w:t>,</w:t>
      </w:r>
      <w:r>
        <w:rPr>
          <w:szCs w:val="22"/>
        </w:rPr>
        <w:t>2</w:t>
      </w:r>
      <w:r w:rsidRPr="00144ADA">
        <w:rPr>
          <w:szCs w:val="22"/>
        </w:rPr>
        <w:t>00 tonnes</w:t>
      </w:r>
      <w:r>
        <w:rPr>
          <w:szCs w:val="22"/>
        </w:rPr>
        <w:t xml:space="preserve"> (</w:t>
      </w:r>
      <w:r w:rsidRPr="00824FE4">
        <w:rPr>
          <w:i/>
          <w:iCs/>
          <w:szCs w:val="22"/>
        </w:rPr>
        <w:t xml:space="preserve">CHF3 </w:t>
      </w:r>
      <w:r>
        <w:rPr>
          <w:i/>
          <w:iCs/>
          <w:szCs w:val="22"/>
        </w:rPr>
        <w:t xml:space="preserve">2016 </w:t>
      </w:r>
      <w:r w:rsidRPr="00824FE4">
        <w:rPr>
          <w:i/>
          <w:iCs/>
          <w:szCs w:val="22"/>
        </w:rPr>
        <w:t>31,200 tonnes</w:t>
      </w:r>
      <w:r>
        <w:rPr>
          <w:szCs w:val="22"/>
        </w:rPr>
        <w:t>)</w:t>
      </w:r>
      <w:r w:rsidRPr="00144ADA">
        <w:rPr>
          <w:szCs w:val="22"/>
        </w:rPr>
        <w:t>,</w:t>
      </w:r>
      <w:r>
        <w:rPr>
          <w:szCs w:val="22"/>
        </w:rPr>
        <w:t xml:space="preserve"> </w:t>
      </w:r>
      <w:r w:rsidRPr="00144ADA">
        <w:rPr>
          <w:szCs w:val="22"/>
        </w:rPr>
        <w:t>in more than 1</w:t>
      </w:r>
      <w:r>
        <w:rPr>
          <w:szCs w:val="22"/>
        </w:rPr>
        <w:t>6.1</w:t>
      </w:r>
      <w:r w:rsidRPr="00144ADA">
        <w:rPr>
          <w:szCs w:val="22"/>
        </w:rPr>
        <w:t xml:space="preserve"> million devices</w:t>
      </w:r>
      <w:r>
        <w:rPr>
          <w:szCs w:val="22"/>
        </w:rPr>
        <w:t xml:space="preserve">. </w:t>
      </w:r>
    </w:p>
    <w:p w14:paraId="28AB64FF" w14:textId="77777777" w:rsidR="00626D90" w:rsidRDefault="00626D90" w:rsidP="00626D90">
      <w:pPr>
        <w:rPr>
          <w:szCs w:val="22"/>
        </w:rPr>
      </w:pPr>
      <w:r>
        <w:rPr>
          <w:szCs w:val="22"/>
        </w:rPr>
        <w:t>Stationary air conditioning used</w:t>
      </w:r>
      <w:r w:rsidRPr="00144ADA">
        <w:rPr>
          <w:szCs w:val="22"/>
        </w:rPr>
        <w:t xml:space="preserve"> </w:t>
      </w:r>
      <w:r>
        <w:rPr>
          <w:szCs w:val="22"/>
        </w:rPr>
        <w:t>more than 38% of all bulk HFC refrigerants imported in 2019,</w:t>
      </w:r>
      <w:r>
        <w:rPr>
          <w:rStyle w:val="FootnoteReference"/>
          <w:szCs w:val="22"/>
        </w:rPr>
        <w:footnoteReference w:id="6"/>
      </w:r>
      <w:r>
        <w:rPr>
          <w:szCs w:val="22"/>
        </w:rPr>
        <w:t xml:space="preserve"> using </w:t>
      </w:r>
      <w:r w:rsidRPr="00144ADA">
        <w:rPr>
          <w:szCs w:val="22"/>
        </w:rPr>
        <w:t xml:space="preserve">an </w:t>
      </w:r>
      <w:r w:rsidRPr="00B55197">
        <w:rPr>
          <w:szCs w:val="22"/>
        </w:rPr>
        <w:t xml:space="preserve">estimated </w:t>
      </w:r>
      <w:r w:rsidRPr="00E930E6">
        <w:rPr>
          <w:szCs w:val="22"/>
        </w:rPr>
        <w:t>1,</w:t>
      </w:r>
      <w:r>
        <w:rPr>
          <w:szCs w:val="22"/>
        </w:rPr>
        <w:t>278</w:t>
      </w:r>
      <w:r w:rsidRPr="00B55197">
        <w:rPr>
          <w:szCs w:val="22"/>
        </w:rPr>
        <w:t xml:space="preserve"> tonnes</w:t>
      </w:r>
      <w:r w:rsidRPr="00144ADA">
        <w:rPr>
          <w:szCs w:val="22"/>
        </w:rPr>
        <w:t xml:space="preserve"> of HFC</w:t>
      </w:r>
      <w:r>
        <w:rPr>
          <w:szCs w:val="22"/>
        </w:rPr>
        <w:t>s</w:t>
      </w:r>
      <w:r w:rsidRPr="00144ADA">
        <w:rPr>
          <w:szCs w:val="22"/>
        </w:rPr>
        <w:t xml:space="preserve"> for servic</w:t>
      </w:r>
      <w:r>
        <w:rPr>
          <w:szCs w:val="22"/>
        </w:rPr>
        <w:t>ing</w:t>
      </w:r>
      <w:r w:rsidRPr="00144ADA">
        <w:rPr>
          <w:szCs w:val="22"/>
        </w:rPr>
        <w:t>, charging new equipment</w:t>
      </w:r>
      <w:r>
        <w:rPr>
          <w:szCs w:val="22"/>
        </w:rPr>
        <w:t xml:space="preserve"> that was imported without refrigerant or equipment that required additional charge</w:t>
      </w:r>
      <w:r w:rsidRPr="00144ADA">
        <w:rPr>
          <w:szCs w:val="22"/>
        </w:rPr>
        <w:t xml:space="preserve"> </w:t>
      </w:r>
      <w:r>
        <w:rPr>
          <w:szCs w:val="22"/>
        </w:rPr>
        <w:t xml:space="preserve">(such as </w:t>
      </w:r>
      <w:r>
        <w:t>for longer pipe runs),</w:t>
      </w:r>
      <w:r w:rsidRPr="00144ADA">
        <w:rPr>
          <w:szCs w:val="22"/>
        </w:rPr>
        <w:t xml:space="preserve"> retrofitting existing equipment, and use by equipment manufacturers</w:t>
      </w:r>
      <w:r>
        <w:rPr>
          <w:szCs w:val="22"/>
        </w:rPr>
        <w:t xml:space="preserve"> (</w:t>
      </w:r>
      <w:r w:rsidRPr="00824FE4">
        <w:rPr>
          <w:i/>
          <w:iCs/>
          <w:szCs w:val="22"/>
        </w:rPr>
        <w:t>CHF3</w:t>
      </w:r>
      <w:r>
        <w:rPr>
          <w:i/>
          <w:iCs/>
          <w:szCs w:val="22"/>
        </w:rPr>
        <w:t xml:space="preserve"> 2016</w:t>
      </w:r>
      <w:r w:rsidRPr="00824FE4">
        <w:rPr>
          <w:i/>
          <w:iCs/>
          <w:szCs w:val="22"/>
        </w:rPr>
        <w:t xml:space="preserve"> </w:t>
      </w:r>
      <w:r>
        <w:rPr>
          <w:i/>
          <w:iCs/>
          <w:szCs w:val="22"/>
        </w:rPr>
        <w:t>1,055</w:t>
      </w:r>
      <w:r w:rsidRPr="00824FE4">
        <w:rPr>
          <w:i/>
          <w:iCs/>
          <w:szCs w:val="22"/>
        </w:rPr>
        <w:t xml:space="preserve"> tonnes</w:t>
      </w:r>
      <w:r>
        <w:rPr>
          <w:szCs w:val="22"/>
        </w:rPr>
        <w:t xml:space="preserve">). </w:t>
      </w:r>
    </w:p>
    <w:p w14:paraId="524E4514" w14:textId="77777777" w:rsidR="00626D90" w:rsidRDefault="00626D90" w:rsidP="00626D90">
      <w:pPr>
        <w:rPr>
          <w:szCs w:val="22"/>
        </w:rPr>
      </w:pPr>
      <w:r>
        <w:rPr>
          <w:szCs w:val="22"/>
        </w:rPr>
        <w:t xml:space="preserve">There are several notable trends in this major class of equipment that will shape the refrigerant bank in the decades ahead. </w:t>
      </w:r>
    </w:p>
    <w:p w14:paraId="1FBD042F" w14:textId="77777777" w:rsidR="00626D90" w:rsidRDefault="00626D90" w:rsidP="00626D90">
      <w:pPr>
        <w:rPr>
          <w:rFonts w:eastAsia="Times New Roman"/>
        </w:rPr>
      </w:pPr>
      <w:r>
        <w:rPr>
          <w:rFonts w:eastAsia="Times New Roman"/>
        </w:rPr>
        <w:t xml:space="preserve">Single split systems sales including wall hung, cassette, consoles and ducted systems have declined from the all-time peak hit in 2017 of 1.3 million units per annum. Single split system sales in 2019 are estimated at 1.17 million, comprising 1.01 million non-ducted split systems and 156,000 split ducted systems. There were a further 36,000 sales of multi split systems, excluding variable refrigerant volume/frequency (VRV/F) systems and more than 200,000 small self-contained AC including window/wall units and portable AC. </w:t>
      </w:r>
    </w:p>
    <w:p w14:paraId="3156327A" w14:textId="77777777" w:rsidR="00626D90" w:rsidRDefault="00626D90" w:rsidP="00626D90">
      <w:pPr>
        <w:rPr>
          <w:rFonts w:eastAsia="Times New Roman"/>
        </w:rPr>
      </w:pPr>
      <w:r w:rsidRPr="00C50064">
        <w:rPr>
          <w:rFonts w:eastAsia="Times New Roman"/>
        </w:rPr>
        <w:t xml:space="preserve">This is the second year in a row of sales of </w:t>
      </w:r>
      <w:r>
        <w:rPr>
          <w:rFonts w:eastAsia="Times New Roman"/>
        </w:rPr>
        <w:t xml:space="preserve">around 1.2 million </w:t>
      </w:r>
      <w:r w:rsidRPr="00C50064">
        <w:rPr>
          <w:rFonts w:eastAsia="Times New Roman"/>
        </w:rPr>
        <w:t xml:space="preserve">small </w:t>
      </w:r>
      <w:r>
        <w:rPr>
          <w:rFonts w:eastAsia="Times New Roman"/>
        </w:rPr>
        <w:t xml:space="preserve">and medium </w:t>
      </w:r>
      <w:r w:rsidRPr="00C50064">
        <w:rPr>
          <w:rFonts w:eastAsia="Times New Roman"/>
        </w:rPr>
        <w:t>stationary AC</w:t>
      </w:r>
      <w:r>
        <w:rPr>
          <w:rFonts w:eastAsia="Times New Roman"/>
        </w:rPr>
        <w:t xml:space="preserve"> units</w:t>
      </w:r>
      <w:r w:rsidRPr="00C50064">
        <w:rPr>
          <w:rFonts w:eastAsia="Times New Roman"/>
        </w:rPr>
        <w:t xml:space="preserve">, resulting in an estimated total installed stock </w:t>
      </w:r>
      <w:r>
        <w:rPr>
          <w:rFonts w:eastAsia="Times New Roman"/>
        </w:rPr>
        <w:t xml:space="preserve">in Australia </w:t>
      </w:r>
      <w:r w:rsidRPr="00C50064">
        <w:rPr>
          <w:rFonts w:eastAsia="Times New Roman"/>
        </w:rPr>
        <w:t xml:space="preserve">of </w:t>
      </w:r>
      <w:r>
        <w:rPr>
          <w:rFonts w:eastAsia="Times New Roman"/>
        </w:rPr>
        <w:t>around 13.2</w:t>
      </w:r>
      <w:r w:rsidRPr="00C50064">
        <w:rPr>
          <w:rFonts w:eastAsia="Times New Roman"/>
        </w:rPr>
        <w:t xml:space="preserve"> million </w:t>
      </w:r>
      <w:r>
        <w:rPr>
          <w:rFonts w:eastAsia="Times New Roman"/>
        </w:rPr>
        <w:t>S</w:t>
      </w:r>
      <w:r w:rsidRPr="00C50064">
        <w:rPr>
          <w:rFonts w:eastAsia="Times New Roman"/>
        </w:rPr>
        <w:t xml:space="preserve">mall </w:t>
      </w:r>
      <w:r>
        <w:rPr>
          <w:rFonts w:eastAsia="Times New Roman"/>
        </w:rPr>
        <w:t xml:space="preserve">AC and 2.9 million Medium </w:t>
      </w:r>
      <w:r w:rsidRPr="00C50064">
        <w:rPr>
          <w:rFonts w:eastAsia="Times New Roman"/>
        </w:rPr>
        <w:t>AC devices.</w:t>
      </w:r>
      <w:r>
        <w:rPr>
          <w:rFonts w:eastAsia="Times New Roman"/>
        </w:rPr>
        <w:t xml:space="preserve"> </w:t>
      </w:r>
    </w:p>
    <w:p w14:paraId="52DB3D06" w14:textId="77777777" w:rsidR="00626D90" w:rsidRDefault="00626D90" w:rsidP="00626D90">
      <w:r>
        <w:t xml:space="preserve">The transition of small split systems to the A2L (low toxicity, slightly flammable) refrigerant HFC-32 is progressing steadily, with year-on-year growth of more than 35% of the installed HFC-32 bank in small split systems. As a result, the aggregate bank of HFC-32 made up more than </w:t>
      </w:r>
      <w:r w:rsidRPr="00E57988">
        <w:t>21%</w:t>
      </w:r>
      <w:r>
        <w:t xml:space="preserve"> of the bank employed in non-ducted single split systems in 2019. HFC-32 is displacing the once nearly universal use of the high GWP HFC-410A in this equipment segment. </w:t>
      </w:r>
    </w:p>
    <w:p w14:paraId="3FC0ECB1" w14:textId="77777777" w:rsidR="00626D90" w:rsidRDefault="00626D90" w:rsidP="00626D90">
      <w:r>
        <w:t xml:space="preserve">As a </w:t>
      </w:r>
      <w:proofErr w:type="gramStart"/>
      <w:r>
        <w:t>result</w:t>
      </w:r>
      <w:proofErr w:type="gramEnd"/>
      <w:r>
        <w:t xml:space="preserve"> the HFC-410A bank in the small non-ducted split systems bank showed a slight year-on-year decline towards 10,000 tonnes by the end of 2019. This trend is expected to continue in years ahead, with a five year decrease in the HFC-410A bank in Small AC Split Systems segment of some 40% expected by 2024, to just over 6,000 tonnes as older equipment is taken out of service. The new designs and improved refrigerant containment employed in the HFC-32 charged small AC equipment also means this equipment enjoys extremely low leak rates, ensuring more years of operation at close to optimal charge.</w:t>
      </w:r>
    </w:p>
    <w:p w14:paraId="67451026" w14:textId="77777777" w:rsidR="00626D90" w:rsidRDefault="00626D90" w:rsidP="00626D90">
      <w:r w:rsidRPr="00F41C65">
        <w:rPr>
          <w:rFonts w:cs="Times New Roman"/>
          <w:szCs w:val="22"/>
        </w:rPr>
        <w:t>HFC-32</w:t>
      </w:r>
      <w:r>
        <w:rPr>
          <w:rFonts w:cs="Times New Roman"/>
          <w:szCs w:val="22"/>
        </w:rPr>
        <w:t xml:space="preserve"> is also </w:t>
      </w:r>
      <w:r w:rsidRPr="00F41C65">
        <w:rPr>
          <w:rFonts w:cs="Times New Roman"/>
          <w:szCs w:val="22"/>
        </w:rPr>
        <w:t>starting to make an appearance</w:t>
      </w:r>
      <w:r>
        <w:rPr>
          <w:rFonts w:cs="Times New Roman"/>
          <w:szCs w:val="22"/>
        </w:rPr>
        <w:t xml:space="preserve"> in larger AC applications including split ducted systems and chillers with charges seen in the market up to 78 kg. In 2019 there were more than 34,000 devices imported </w:t>
      </w:r>
      <w:r>
        <w:rPr>
          <w:rFonts w:cs="Times New Roman"/>
          <w:szCs w:val="22"/>
        </w:rPr>
        <w:lastRenderedPageBreak/>
        <w:t xml:space="preserve">with a charge greater than 2.6 kg and less than 6.0 kg containing HFC-32. </w:t>
      </w:r>
      <w:r>
        <w:t>By the end of 2019, there was an estimated bank of more than 3,250 tonnes of HFC-32 across all types of stationary AC.</w:t>
      </w:r>
      <w:r>
        <w:rPr>
          <w:rStyle w:val="FootnoteReference"/>
        </w:rPr>
        <w:footnoteReference w:id="7"/>
      </w:r>
    </w:p>
    <w:p w14:paraId="5F897771" w14:textId="77777777" w:rsidR="00626D90" w:rsidRDefault="00626D90" w:rsidP="00626D90">
      <w:r>
        <w:t>As HFC-32 is approved for use in more countries, and in larger charge sizes, it is also starting to displace HFC-134a and HFC-410A in some chillers. Scroll chillers, that would previously have used HFC-410A, are now being manufactured with HFC-32 for instance.</w:t>
      </w:r>
    </w:p>
    <w:p w14:paraId="37B80AA2" w14:textId="77777777" w:rsidR="00626D90" w:rsidRDefault="00626D90" w:rsidP="00626D90">
      <w:r>
        <w:t xml:space="preserve">HFC-32 is being offered in Large AC with some manufactures offering chillers from 70 kW up to 700 kW, using HFC-32 charges that are thirty percent smaller than the previous HFC-410A charges required. This trend to HFC-32 in chillers with scroll compressor appears to be firmly entrenched in most Japanese based designs that are also offered in Europe. </w:t>
      </w:r>
    </w:p>
    <w:p w14:paraId="2A7CC7DD" w14:textId="77777777" w:rsidR="00626D90" w:rsidRDefault="00626D90" w:rsidP="00626D90">
      <w:r>
        <w:t xml:space="preserve">On the back of the widespread adoption of HFC-32, technology developers are continuing the trend of developing new refrigerant blends for demanding applications. These often incorporate HFC-32 with other HFCs and a portion of one of the newly developed family of very low GWP refrigerants, </w:t>
      </w:r>
      <w:proofErr w:type="spellStart"/>
      <w:r>
        <w:t>hydrofluoro</w:t>
      </w:r>
      <w:proofErr w:type="spellEnd"/>
      <w:r>
        <w:noBreakHyphen/>
        <w:t>olefins (HFOs). For instance, in 2019 small numbers of chillers with charge sizes ranging from 273 to 2,815</w:t>
      </w:r>
      <w:r w:rsidRPr="000D04F4">
        <w:t xml:space="preserve"> </w:t>
      </w:r>
      <w:r>
        <w:t xml:space="preserve">kg were imported pre-charged with HFO/HFC blend R515A, which has a GWP of 386. Another relatively new, lower GWP blend being reported in small and medium sized chillers with charge sizes up to 318 kg is R513A, </w:t>
      </w:r>
      <w:proofErr w:type="gramStart"/>
      <w:r>
        <w:t>a</w:t>
      </w:r>
      <w:proofErr w:type="gramEnd"/>
      <w:r>
        <w:t xml:space="preserve"> HFO/HFC blend with a GWP of 629 that is being promoted as a drop-in replacement for HFC-134a, previously the most widely used HFC in chillers.</w:t>
      </w:r>
    </w:p>
    <w:p w14:paraId="100C290D" w14:textId="77777777" w:rsidR="00626D90" w:rsidRPr="00006767" w:rsidRDefault="00626D90" w:rsidP="00626D90">
      <w:r>
        <w:t>The emergence of new blends and new refrigerants is expected to be a continuing trend throughout the next two decades, driven by the need for improved energy efficiency and lower GWP. The increasing diversity of refrigerants in the market will require the RAC workforce to stay up to date with identification of new refrigerants and to understand their properties. Currently the incidence of lower GWP refrigerant alternatives being employed in Australia is relatively small, except for HFC-32, which is well established and being found in a wider range of equipment formats and sizes.</w:t>
      </w:r>
    </w:p>
    <w:p w14:paraId="3D8FA14D" w14:textId="77777777" w:rsidR="00626D90" w:rsidRDefault="00626D90" w:rsidP="00626D90">
      <w:r>
        <w:t>HFOs, that had been predicted to be a rapidly growing portion of the bank, have also slowly begun to be deployed in Australia. Some suppliers are adopting a two-step approach, moving to a Class A1 HFO/HFC blend with around half the GWP of HFC-134a, such as HFC-513A (GWP of 629), while planning the transition to pure HFOs. Every leading chiller manufacturer is currently offering equipment charged with HFOs, with screw chillers available charged with R1234ze and centrifugal chillers using</w:t>
      </w:r>
      <w:r w:rsidRPr="005D2558">
        <w:t xml:space="preserve"> </w:t>
      </w:r>
      <w:r>
        <w:t>R1233zd. However total sales of pure HFO charged stationary equipment in the period has not been significant and is estimated at less than 5% of sales.</w:t>
      </w:r>
    </w:p>
    <w:p w14:paraId="4A2BEF0C" w14:textId="77777777" w:rsidR="00626D90" w:rsidRDefault="00626D90" w:rsidP="00626D90">
      <w:pPr>
        <w:spacing w:before="0"/>
        <w:jc w:val="left"/>
      </w:pPr>
    </w:p>
    <w:p w14:paraId="127E84AA" w14:textId="77777777" w:rsidR="00626D90" w:rsidRDefault="00626D90" w:rsidP="00626D90">
      <w:pPr>
        <w:pStyle w:val="Heading2"/>
        <w:ind w:left="567" w:hanging="567"/>
        <w:jc w:val="both"/>
      </w:pPr>
      <w:bookmarkStart w:id="11" w:name="_Toc46923717"/>
      <w:r>
        <w:t>Mobile air conditioning</w:t>
      </w:r>
      <w:bookmarkEnd w:id="11"/>
    </w:p>
    <w:p w14:paraId="1AB4376A" w14:textId="77777777" w:rsidR="00626D90" w:rsidRDefault="00626D90" w:rsidP="00626D90">
      <w:pPr>
        <w:rPr>
          <w:rFonts w:cs="Times New Roman"/>
          <w:color w:val="000000" w:themeColor="text1"/>
          <w:szCs w:val="22"/>
        </w:rPr>
      </w:pPr>
      <w:r w:rsidRPr="00542CD2">
        <w:rPr>
          <w:color w:val="000000" w:themeColor="text1"/>
          <w:szCs w:val="22"/>
        </w:rPr>
        <w:t xml:space="preserve">Mobile air conditioning (MAC) includes equipment </w:t>
      </w:r>
      <w:r>
        <w:rPr>
          <w:color w:val="000000" w:themeColor="text1"/>
          <w:szCs w:val="22"/>
        </w:rPr>
        <w:t xml:space="preserve">captured </w:t>
      </w:r>
      <w:r w:rsidRPr="00E607C8">
        <w:rPr>
          <w:rFonts w:cs="Times New Roman"/>
          <w:color w:val="000000" w:themeColor="text1"/>
          <w:szCs w:val="22"/>
        </w:rPr>
        <w:t>in two broad segments</w:t>
      </w:r>
      <w:r>
        <w:rPr>
          <w:rFonts w:cs="Times New Roman"/>
          <w:color w:val="000000" w:themeColor="text1"/>
          <w:szCs w:val="22"/>
        </w:rPr>
        <w:t xml:space="preserve"> of the RAC Stock Model</w:t>
      </w:r>
      <w:r w:rsidRPr="00E607C8">
        <w:rPr>
          <w:rFonts w:cs="Times New Roman"/>
          <w:color w:val="000000" w:themeColor="text1"/>
          <w:szCs w:val="22"/>
        </w:rPr>
        <w:t xml:space="preserve">, </w:t>
      </w:r>
      <w:r>
        <w:rPr>
          <w:rFonts w:cs="Times New Roman"/>
          <w:color w:val="000000" w:themeColor="text1"/>
          <w:szCs w:val="22"/>
        </w:rPr>
        <w:t>including S</w:t>
      </w:r>
      <w:r w:rsidRPr="00E607C8">
        <w:rPr>
          <w:rFonts w:cs="Times New Roman"/>
          <w:color w:val="000000" w:themeColor="text1"/>
          <w:szCs w:val="22"/>
        </w:rPr>
        <w:t xml:space="preserve">mall MAC </w:t>
      </w:r>
      <w:r>
        <w:rPr>
          <w:rFonts w:cs="Times New Roman"/>
          <w:color w:val="000000" w:themeColor="text1"/>
          <w:szCs w:val="22"/>
        </w:rPr>
        <w:t xml:space="preserve">and Large MAC. </w:t>
      </w:r>
    </w:p>
    <w:p w14:paraId="0EBEA631" w14:textId="77777777" w:rsidR="00626D90" w:rsidRPr="000601F4" w:rsidRDefault="00626D90" w:rsidP="00626D90">
      <w:pPr>
        <w:rPr>
          <w:color w:val="000000" w:themeColor="text1"/>
          <w:szCs w:val="22"/>
        </w:rPr>
      </w:pPr>
      <w:bookmarkStart w:id="12" w:name="_Hlk508546541"/>
      <w:r w:rsidRPr="000601F4">
        <w:rPr>
          <w:color w:val="000000" w:themeColor="text1"/>
          <w:szCs w:val="22"/>
        </w:rPr>
        <w:t>The</w:t>
      </w:r>
      <w:r>
        <w:rPr>
          <w:color w:val="000000" w:themeColor="text1"/>
          <w:szCs w:val="22"/>
        </w:rPr>
        <w:t>se</w:t>
      </w:r>
      <w:r w:rsidRPr="000601F4">
        <w:rPr>
          <w:color w:val="000000" w:themeColor="text1"/>
          <w:szCs w:val="22"/>
        </w:rPr>
        <w:t xml:space="preserve"> two segments and </w:t>
      </w:r>
      <w:r>
        <w:rPr>
          <w:color w:val="000000" w:themeColor="text1"/>
          <w:szCs w:val="22"/>
        </w:rPr>
        <w:t xml:space="preserve">the </w:t>
      </w:r>
      <w:r w:rsidRPr="000601F4">
        <w:rPr>
          <w:color w:val="000000" w:themeColor="text1"/>
          <w:szCs w:val="22"/>
        </w:rPr>
        <w:t xml:space="preserve">twelve product categories </w:t>
      </w:r>
      <w:r>
        <w:rPr>
          <w:color w:val="000000" w:themeColor="text1"/>
          <w:szCs w:val="22"/>
        </w:rPr>
        <w:t xml:space="preserve">in </w:t>
      </w:r>
      <w:r w:rsidRPr="000601F4">
        <w:rPr>
          <w:color w:val="000000" w:themeColor="text1"/>
          <w:szCs w:val="22"/>
        </w:rPr>
        <w:t>this class</w:t>
      </w:r>
      <w:r>
        <w:rPr>
          <w:color w:val="000000" w:themeColor="text1"/>
          <w:szCs w:val="22"/>
        </w:rPr>
        <w:t xml:space="preserve"> make up the second largest portion of the total bank of working refrigerants,</w:t>
      </w:r>
      <w:r w:rsidRPr="000601F4">
        <w:rPr>
          <w:color w:val="000000" w:themeColor="text1"/>
          <w:szCs w:val="22"/>
        </w:rPr>
        <w:t xml:space="preserve"> contain</w:t>
      </w:r>
      <w:r>
        <w:rPr>
          <w:color w:val="000000" w:themeColor="text1"/>
          <w:szCs w:val="22"/>
        </w:rPr>
        <w:t>ing</w:t>
      </w:r>
      <w:r w:rsidRPr="000601F4">
        <w:rPr>
          <w:color w:val="000000" w:themeColor="text1"/>
          <w:szCs w:val="22"/>
        </w:rPr>
        <w:t xml:space="preserve"> approximately </w:t>
      </w:r>
      <w:r w:rsidRPr="0040560F">
        <w:rPr>
          <w:color w:val="000000" w:themeColor="text1"/>
          <w:szCs w:val="22"/>
        </w:rPr>
        <w:t>21% of</w:t>
      </w:r>
      <w:r w:rsidRPr="000601F4">
        <w:rPr>
          <w:color w:val="000000" w:themeColor="text1"/>
          <w:szCs w:val="22"/>
        </w:rPr>
        <w:t xml:space="preserve"> the bank in Australia, or </w:t>
      </w:r>
      <w:r w:rsidRPr="00B26EA2">
        <w:rPr>
          <w:color w:val="000000" w:themeColor="text1"/>
          <w:szCs w:val="22"/>
        </w:rPr>
        <w:t>around 1</w:t>
      </w:r>
      <w:r>
        <w:rPr>
          <w:color w:val="000000" w:themeColor="text1"/>
          <w:szCs w:val="22"/>
        </w:rPr>
        <w:t>1</w:t>
      </w:r>
      <w:r w:rsidRPr="00B26EA2">
        <w:rPr>
          <w:color w:val="000000" w:themeColor="text1"/>
          <w:szCs w:val="22"/>
        </w:rPr>
        <w:t>,0</w:t>
      </w:r>
      <w:r>
        <w:rPr>
          <w:color w:val="000000" w:themeColor="text1"/>
          <w:szCs w:val="22"/>
        </w:rPr>
        <w:t>1</w:t>
      </w:r>
      <w:r w:rsidRPr="00B26EA2">
        <w:rPr>
          <w:color w:val="000000" w:themeColor="text1"/>
          <w:szCs w:val="22"/>
        </w:rPr>
        <w:t>0</w:t>
      </w:r>
      <w:r w:rsidRPr="000601F4">
        <w:rPr>
          <w:color w:val="000000" w:themeColor="text1"/>
          <w:szCs w:val="22"/>
        </w:rPr>
        <w:t xml:space="preserve"> tonnes in more than </w:t>
      </w:r>
      <w:r>
        <w:rPr>
          <w:color w:val="000000" w:themeColor="text1"/>
          <w:szCs w:val="22"/>
        </w:rPr>
        <w:t>19.3</w:t>
      </w:r>
      <w:r w:rsidRPr="000601F4">
        <w:rPr>
          <w:color w:val="000000" w:themeColor="text1"/>
          <w:szCs w:val="22"/>
        </w:rPr>
        <w:t xml:space="preserve"> million vehicles of all sorts (</w:t>
      </w:r>
      <w:r w:rsidRPr="000601F4">
        <w:rPr>
          <w:i/>
          <w:color w:val="000000" w:themeColor="text1"/>
          <w:szCs w:val="22"/>
        </w:rPr>
        <w:t>CHF</w:t>
      </w:r>
      <w:r>
        <w:rPr>
          <w:i/>
          <w:color w:val="000000" w:themeColor="text1"/>
          <w:szCs w:val="22"/>
        </w:rPr>
        <w:t>3 2016</w:t>
      </w:r>
      <w:r w:rsidRPr="000601F4">
        <w:rPr>
          <w:i/>
          <w:color w:val="000000" w:themeColor="text1"/>
          <w:szCs w:val="22"/>
        </w:rPr>
        <w:t xml:space="preserve">, </w:t>
      </w:r>
      <w:r w:rsidRPr="00E57988">
        <w:rPr>
          <w:i/>
          <w:color w:val="000000" w:themeColor="text1"/>
          <w:szCs w:val="22"/>
        </w:rPr>
        <w:t xml:space="preserve">21%, 10,800 tonnes and </w:t>
      </w:r>
      <w:r w:rsidRPr="006977E7">
        <w:rPr>
          <w:i/>
          <w:color w:val="000000" w:themeColor="text1"/>
          <w:szCs w:val="22"/>
        </w:rPr>
        <w:t>18</w:t>
      </w:r>
      <w:r>
        <w:rPr>
          <w:i/>
          <w:color w:val="000000" w:themeColor="text1"/>
          <w:szCs w:val="22"/>
        </w:rPr>
        <w:t>.2</w:t>
      </w:r>
      <w:r w:rsidRPr="006977E7">
        <w:rPr>
          <w:i/>
          <w:color w:val="000000" w:themeColor="text1"/>
          <w:szCs w:val="22"/>
        </w:rPr>
        <w:t xml:space="preserve"> million</w:t>
      </w:r>
      <w:r>
        <w:rPr>
          <w:i/>
          <w:color w:val="000000" w:themeColor="text1"/>
          <w:szCs w:val="22"/>
        </w:rPr>
        <w:t xml:space="preserve"> vehicles</w:t>
      </w:r>
      <w:r w:rsidRPr="000601F4">
        <w:rPr>
          <w:color w:val="000000" w:themeColor="text1"/>
          <w:szCs w:val="22"/>
        </w:rPr>
        <w:t xml:space="preserve">). </w:t>
      </w:r>
    </w:p>
    <w:bookmarkEnd w:id="12"/>
    <w:p w14:paraId="42FA609F" w14:textId="77777777" w:rsidR="00626D90" w:rsidRDefault="00626D90" w:rsidP="00626D90">
      <w:pPr>
        <w:rPr>
          <w:rFonts w:cs="Times New Roman"/>
          <w:color w:val="000000" w:themeColor="text1"/>
          <w:szCs w:val="22"/>
        </w:rPr>
      </w:pPr>
      <w:r>
        <w:rPr>
          <w:rFonts w:cs="Times New Roman"/>
          <w:color w:val="000000" w:themeColor="text1"/>
          <w:szCs w:val="22"/>
        </w:rPr>
        <w:t>Small MAC</w:t>
      </w:r>
      <w:r w:rsidRPr="00E607C8">
        <w:rPr>
          <w:rFonts w:cs="Times New Roman"/>
          <w:color w:val="000000" w:themeColor="text1"/>
          <w:szCs w:val="22"/>
        </w:rPr>
        <w:t xml:space="preserve"> includes </w:t>
      </w:r>
      <w:r>
        <w:rPr>
          <w:rFonts w:cs="Times New Roman"/>
          <w:color w:val="000000" w:themeColor="text1"/>
          <w:szCs w:val="22"/>
        </w:rPr>
        <w:t xml:space="preserve">air conditioning equipment in </w:t>
      </w:r>
      <w:r w:rsidRPr="00E607C8">
        <w:rPr>
          <w:rFonts w:cs="Times New Roman"/>
          <w:color w:val="000000" w:themeColor="text1"/>
          <w:szCs w:val="22"/>
        </w:rPr>
        <w:t xml:space="preserve">passenger </w:t>
      </w:r>
      <w:r>
        <w:rPr>
          <w:rFonts w:cs="Times New Roman"/>
          <w:color w:val="000000" w:themeColor="text1"/>
          <w:szCs w:val="22"/>
        </w:rPr>
        <w:t xml:space="preserve">vehicles, </w:t>
      </w:r>
      <w:r w:rsidRPr="00E607C8">
        <w:rPr>
          <w:rFonts w:cs="Times New Roman"/>
          <w:color w:val="000000" w:themeColor="text1"/>
          <w:szCs w:val="22"/>
        </w:rPr>
        <w:t xml:space="preserve">light commercial vehicles, </w:t>
      </w:r>
      <w:r>
        <w:rPr>
          <w:rFonts w:cs="Times New Roman"/>
          <w:color w:val="000000" w:themeColor="text1"/>
          <w:szCs w:val="22"/>
        </w:rPr>
        <w:t xml:space="preserve">trucks and commuter buses which together </w:t>
      </w:r>
      <w:r w:rsidRPr="00E607C8">
        <w:rPr>
          <w:rFonts w:cs="Times New Roman"/>
          <w:color w:val="000000" w:themeColor="text1"/>
          <w:szCs w:val="22"/>
        </w:rPr>
        <w:t>employ</w:t>
      </w:r>
      <w:r>
        <w:rPr>
          <w:rFonts w:cs="Times New Roman"/>
          <w:color w:val="000000" w:themeColor="text1"/>
          <w:szCs w:val="22"/>
        </w:rPr>
        <w:t xml:space="preserve">ed </w:t>
      </w:r>
      <w:r w:rsidRPr="0085338B">
        <w:rPr>
          <w:rFonts w:cs="Times New Roman"/>
          <w:color w:val="000000" w:themeColor="text1"/>
          <w:szCs w:val="22"/>
        </w:rPr>
        <w:t>around 93% of the MAC bank in 2019</w:t>
      </w:r>
      <w:r>
        <w:rPr>
          <w:rFonts w:cs="Times New Roman"/>
          <w:color w:val="000000" w:themeColor="text1"/>
          <w:szCs w:val="22"/>
        </w:rPr>
        <w:t xml:space="preserve">. </w:t>
      </w:r>
      <w:r w:rsidRPr="00E607C8">
        <w:rPr>
          <w:rFonts w:cs="Times New Roman"/>
          <w:color w:val="000000" w:themeColor="text1"/>
          <w:szCs w:val="22"/>
        </w:rPr>
        <w:t xml:space="preserve">Large MAC </w:t>
      </w:r>
      <w:r>
        <w:rPr>
          <w:rFonts w:cs="Times New Roman"/>
          <w:color w:val="000000" w:themeColor="text1"/>
          <w:szCs w:val="22"/>
        </w:rPr>
        <w:t xml:space="preserve">includes equipment found in a diverse range of registered, unregistered and off-road vehicles, such as: </w:t>
      </w:r>
      <w:r w:rsidRPr="00E607C8">
        <w:rPr>
          <w:rFonts w:cs="Times New Roman"/>
          <w:color w:val="000000" w:themeColor="text1"/>
          <w:szCs w:val="22"/>
        </w:rPr>
        <w:t>large</w:t>
      </w:r>
      <w:r>
        <w:rPr>
          <w:rFonts w:cs="Times New Roman"/>
          <w:color w:val="000000" w:themeColor="text1"/>
          <w:szCs w:val="22"/>
        </w:rPr>
        <w:t xml:space="preserve">r </w:t>
      </w:r>
      <w:r w:rsidRPr="00E607C8">
        <w:rPr>
          <w:rFonts w:cs="Times New Roman"/>
          <w:color w:val="000000" w:themeColor="text1"/>
          <w:szCs w:val="22"/>
        </w:rPr>
        <w:t>buses</w:t>
      </w:r>
      <w:r>
        <w:rPr>
          <w:rFonts w:cs="Times New Roman"/>
          <w:color w:val="000000" w:themeColor="text1"/>
          <w:szCs w:val="22"/>
        </w:rPr>
        <w:t xml:space="preserve"> and coaches;</w:t>
      </w:r>
      <w:r w:rsidRPr="00E607C8">
        <w:rPr>
          <w:rFonts w:cs="Times New Roman"/>
          <w:color w:val="000000" w:themeColor="text1"/>
          <w:szCs w:val="22"/>
        </w:rPr>
        <w:t xml:space="preserve"> </w:t>
      </w:r>
      <w:r>
        <w:rPr>
          <w:rFonts w:cs="Times New Roman"/>
          <w:color w:val="000000" w:themeColor="text1"/>
          <w:szCs w:val="22"/>
        </w:rPr>
        <w:t xml:space="preserve">locomotives, </w:t>
      </w:r>
      <w:r w:rsidRPr="00E607C8">
        <w:rPr>
          <w:rFonts w:cs="Times New Roman"/>
          <w:color w:val="000000" w:themeColor="text1"/>
          <w:szCs w:val="22"/>
        </w:rPr>
        <w:t>passenger trains</w:t>
      </w:r>
      <w:r>
        <w:rPr>
          <w:rFonts w:cs="Times New Roman"/>
          <w:color w:val="000000" w:themeColor="text1"/>
          <w:szCs w:val="22"/>
        </w:rPr>
        <w:t xml:space="preserve"> and trams;</w:t>
      </w:r>
      <w:r w:rsidRPr="00E607C8">
        <w:rPr>
          <w:rFonts w:cs="Times New Roman"/>
          <w:color w:val="000000" w:themeColor="text1"/>
          <w:szCs w:val="22"/>
        </w:rPr>
        <w:t xml:space="preserve"> recreational vehicles</w:t>
      </w:r>
      <w:r>
        <w:rPr>
          <w:rFonts w:cs="Times New Roman"/>
          <w:color w:val="000000" w:themeColor="text1"/>
          <w:szCs w:val="22"/>
        </w:rPr>
        <w:t xml:space="preserve"> and </w:t>
      </w:r>
      <w:r w:rsidRPr="00E607C8">
        <w:rPr>
          <w:rFonts w:cs="Times New Roman"/>
          <w:color w:val="000000" w:themeColor="text1"/>
          <w:szCs w:val="22"/>
        </w:rPr>
        <w:t>caravans</w:t>
      </w:r>
      <w:r>
        <w:rPr>
          <w:rFonts w:cs="Times New Roman"/>
          <w:color w:val="000000" w:themeColor="text1"/>
          <w:szCs w:val="22"/>
        </w:rPr>
        <w:t>; boats and</w:t>
      </w:r>
      <w:r w:rsidRPr="00E607C8">
        <w:rPr>
          <w:rFonts w:cs="Times New Roman"/>
          <w:color w:val="000000" w:themeColor="text1"/>
          <w:szCs w:val="22"/>
        </w:rPr>
        <w:t xml:space="preserve"> </w:t>
      </w:r>
      <w:r>
        <w:rPr>
          <w:rFonts w:cs="Times New Roman"/>
          <w:color w:val="000000" w:themeColor="text1"/>
          <w:szCs w:val="22"/>
        </w:rPr>
        <w:t xml:space="preserve">pleasure craft; aircraft systems; </w:t>
      </w:r>
      <w:r w:rsidRPr="00E607C8">
        <w:rPr>
          <w:rFonts w:cs="Times New Roman"/>
          <w:color w:val="000000" w:themeColor="text1"/>
          <w:szCs w:val="22"/>
        </w:rPr>
        <w:t>mobile cranes</w:t>
      </w:r>
      <w:r>
        <w:rPr>
          <w:rFonts w:cs="Times New Roman"/>
          <w:color w:val="000000" w:themeColor="text1"/>
          <w:szCs w:val="22"/>
        </w:rPr>
        <w:t>;</w:t>
      </w:r>
      <w:r w:rsidRPr="00E607C8">
        <w:rPr>
          <w:rFonts w:cs="Times New Roman"/>
          <w:color w:val="000000" w:themeColor="text1"/>
          <w:szCs w:val="22"/>
        </w:rPr>
        <w:t xml:space="preserve"> combine harvesters</w:t>
      </w:r>
      <w:r>
        <w:rPr>
          <w:rFonts w:cs="Times New Roman"/>
          <w:color w:val="000000" w:themeColor="text1"/>
          <w:szCs w:val="22"/>
        </w:rPr>
        <w:t xml:space="preserve">; </w:t>
      </w:r>
      <w:proofErr w:type="gramStart"/>
      <w:r>
        <w:rPr>
          <w:rFonts w:cs="Times New Roman"/>
          <w:color w:val="000000" w:themeColor="text1"/>
          <w:szCs w:val="22"/>
        </w:rPr>
        <w:t>and,</w:t>
      </w:r>
      <w:proofErr w:type="gramEnd"/>
      <w:r>
        <w:rPr>
          <w:rFonts w:cs="Times New Roman"/>
          <w:color w:val="000000" w:themeColor="text1"/>
          <w:szCs w:val="22"/>
        </w:rPr>
        <w:t xml:space="preserve"> </w:t>
      </w:r>
      <w:r w:rsidRPr="00E607C8">
        <w:rPr>
          <w:rFonts w:cs="Times New Roman"/>
          <w:color w:val="000000" w:themeColor="text1"/>
          <w:szCs w:val="22"/>
        </w:rPr>
        <w:t xml:space="preserve">road </w:t>
      </w:r>
      <w:r>
        <w:rPr>
          <w:rFonts w:cs="Times New Roman"/>
          <w:color w:val="000000" w:themeColor="text1"/>
          <w:szCs w:val="22"/>
        </w:rPr>
        <w:t>construction</w:t>
      </w:r>
      <w:r w:rsidRPr="00E607C8">
        <w:rPr>
          <w:rFonts w:cs="Times New Roman"/>
          <w:color w:val="000000" w:themeColor="text1"/>
          <w:szCs w:val="22"/>
        </w:rPr>
        <w:t xml:space="preserve"> equipment.</w:t>
      </w:r>
    </w:p>
    <w:p w14:paraId="1A597DCB" w14:textId="77777777" w:rsidR="00626D90" w:rsidRDefault="00626D90" w:rsidP="00626D90">
      <w:pPr>
        <w:rPr>
          <w:rFonts w:cs="Times New Roman"/>
          <w:color w:val="000000" w:themeColor="text1"/>
          <w:szCs w:val="22"/>
        </w:rPr>
      </w:pPr>
      <w:r w:rsidRPr="00B13BF4">
        <w:rPr>
          <w:rFonts w:cs="Times New Roman"/>
          <w:color w:val="000000" w:themeColor="text1"/>
          <w:szCs w:val="22"/>
        </w:rPr>
        <w:t xml:space="preserve">The estimate of the 2019 service usage of 677.4 tonnes is a very robust value, based on six consecutive years of surveying of after market participants, up 14% compared to the </w:t>
      </w:r>
      <w:proofErr w:type="gramStart"/>
      <w:r w:rsidRPr="00B13BF4">
        <w:rPr>
          <w:rFonts w:cs="Times New Roman"/>
          <w:color w:val="000000" w:themeColor="text1"/>
          <w:szCs w:val="22"/>
        </w:rPr>
        <w:t>five year</w:t>
      </w:r>
      <w:proofErr w:type="gramEnd"/>
      <w:r w:rsidRPr="00B13BF4">
        <w:rPr>
          <w:rFonts w:cs="Times New Roman"/>
          <w:color w:val="000000" w:themeColor="text1"/>
          <w:szCs w:val="22"/>
        </w:rPr>
        <w:t xml:space="preserve"> average of 596.5 tonnes from 2014 to 2018.</w:t>
      </w:r>
    </w:p>
    <w:p w14:paraId="763B99E7" w14:textId="77777777" w:rsidR="00626D90" w:rsidRDefault="00626D90" w:rsidP="00626D90">
      <w:pPr>
        <w:rPr>
          <w:color w:val="000000" w:themeColor="text1"/>
        </w:rPr>
      </w:pPr>
      <w:r w:rsidRPr="003625DC">
        <w:rPr>
          <w:color w:val="000000" w:themeColor="text1"/>
        </w:rPr>
        <w:lastRenderedPageBreak/>
        <w:t xml:space="preserve">HFOs that had been predicted to </w:t>
      </w:r>
      <w:r>
        <w:rPr>
          <w:color w:val="000000" w:themeColor="text1"/>
        </w:rPr>
        <w:t>appear in the Australian market soon after release into international markets</w:t>
      </w:r>
      <w:r w:rsidRPr="003625DC">
        <w:rPr>
          <w:color w:val="000000" w:themeColor="text1"/>
        </w:rPr>
        <w:t xml:space="preserve"> </w:t>
      </w:r>
      <w:r>
        <w:rPr>
          <w:color w:val="000000" w:themeColor="text1"/>
        </w:rPr>
        <w:t xml:space="preserve">from around 2011 </w:t>
      </w:r>
      <w:r w:rsidRPr="003625DC">
        <w:rPr>
          <w:color w:val="000000" w:themeColor="text1"/>
        </w:rPr>
        <w:t>ha</w:t>
      </w:r>
      <w:r>
        <w:rPr>
          <w:color w:val="000000" w:themeColor="text1"/>
        </w:rPr>
        <w:t>ve</w:t>
      </w:r>
      <w:r w:rsidRPr="003625DC">
        <w:rPr>
          <w:color w:val="000000" w:themeColor="text1"/>
        </w:rPr>
        <w:t xml:space="preserve">, </w:t>
      </w:r>
      <w:proofErr w:type="gramStart"/>
      <w:r w:rsidRPr="003625DC">
        <w:rPr>
          <w:color w:val="000000" w:themeColor="text1"/>
        </w:rPr>
        <w:t>on the basis of</w:t>
      </w:r>
      <w:proofErr w:type="gramEnd"/>
      <w:r w:rsidRPr="003625DC">
        <w:rPr>
          <w:color w:val="000000" w:themeColor="text1"/>
        </w:rPr>
        <w:t xml:space="preserve"> available data, be</w:t>
      </w:r>
      <w:r>
        <w:rPr>
          <w:color w:val="000000" w:themeColor="text1"/>
        </w:rPr>
        <w:t>gun to be</w:t>
      </w:r>
      <w:r w:rsidRPr="003625DC">
        <w:rPr>
          <w:color w:val="000000" w:themeColor="text1"/>
        </w:rPr>
        <w:t xml:space="preserve"> employed </w:t>
      </w:r>
      <w:r>
        <w:rPr>
          <w:color w:val="000000" w:themeColor="text1"/>
        </w:rPr>
        <w:t xml:space="preserve">in a small portion </w:t>
      </w:r>
      <w:r w:rsidRPr="003625DC">
        <w:rPr>
          <w:color w:val="000000" w:themeColor="text1"/>
        </w:rPr>
        <w:t>of new cars sold in 2019.</w:t>
      </w:r>
    </w:p>
    <w:p w14:paraId="678C25DB" w14:textId="77777777" w:rsidR="00626D90" w:rsidRDefault="00626D90" w:rsidP="00626D90">
      <w:pPr>
        <w:rPr>
          <w:color w:val="000000" w:themeColor="text1"/>
        </w:rPr>
      </w:pPr>
      <w:proofErr w:type="gramStart"/>
      <w:r>
        <w:rPr>
          <w:color w:val="000000" w:themeColor="text1"/>
        </w:rPr>
        <w:t>The majority of</w:t>
      </w:r>
      <w:proofErr w:type="gramEnd"/>
      <w:r>
        <w:rPr>
          <w:color w:val="000000" w:themeColor="text1"/>
        </w:rPr>
        <w:t xml:space="preserve"> vehicles imported by t</w:t>
      </w:r>
      <w:r w:rsidRPr="003625DC">
        <w:rPr>
          <w:color w:val="000000" w:themeColor="text1"/>
        </w:rPr>
        <w:t xml:space="preserve">he twenty market leading brands sold in Australia </w:t>
      </w:r>
      <w:r>
        <w:rPr>
          <w:color w:val="000000" w:themeColor="text1"/>
        </w:rPr>
        <w:t>are</w:t>
      </w:r>
      <w:r w:rsidRPr="003625DC">
        <w:rPr>
          <w:color w:val="000000" w:themeColor="text1"/>
        </w:rPr>
        <w:t xml:space="preserve"> still primarily reporting HFC</w:t>
      </w:r>
      <w:r>
        <w:rPr>
          <w:color w:val="000000" w:themeColor="text1"/>
        </w:rPr>
        <w:noBreakHyphen/>
      </w:r>
      <w:r w:rsidRPr="003625DC">
        <w:rPr>
          <w:color w:val="000000" w:themeColor="text1"/>
        </w:rPr>
        <w:t>134a charges</w:t>
      </w:r>
      <w:r>
        <w:rPr>
          <w:color w:val="000000" w:themeColor="text1"/>
        </w:rPr>
        <w:t xml:space="preserve"> of pre-charged equipment imports</w:t>
      </w:r>
      <w:r w:rsidRPr="003625DC">
        <w:rPr>
          <w:color w:val="000000" w:themeColor="text1"/>
        </w:rPr>
        <w:t>. As HFOs are not reportable, changes to year</w:t>
      </w:r>
      <w:r>
        <w:rPr>
          <w:color w:val="000000" w:themeColor="text1"/>
        </w:rPr>
        <w:t>-</w:t>
      </w:r>
      <w:r w:rsidRPr="003625DC">
        <w:rPr>
          <w:color w:val="000000" w:themeColor="text1"/>
        </w:rPr>
        <w:t>on</w:t>
      </w:r>
      <w:r>
        <w:rPr>
          <w:color w:val="000000" w:themeColor="text1"/>
        </w:rPr>
        <w:t>-</w:t>
      </w:r>
      <w:r w:rsidRPr="003625DC">
        <w:rPr>
          <w:color w:val="000000" w:themeColor="text1"/>
        </w:rPr>
        <w:t xml:space="preserve">year sales </w:t>
      </w:r>
      <w:r>
        <w:rPr>
          <w:color w:val="000000" w:themeColor="text1"/>
        </w:rPr>
        <w:t>and changes to numbers of</w:t>
      </w:r>
      <w:r w:rsidRPr="003625DC">
        <w:rPr>
          <w:color w:val="000000" w:themeColor="text1"/>
        </w:rPr>
        <w:t xml:space="preserve"> vehicles</w:t>
      </w:r>
      <w:r>
        <w:rPr>
          <w:color w:val="000000" w:themeColor="text1"/>
        </w:rPr>
        <w:t xml:space="preserve"> imported </w:t>
      </w:r>
      <w:r w:rsidRPr="003625DC">
        <w:rPr>
          <w:color w:val="000000" w:themeColor="text1"/>
        </w:rPr>
        <w:t>with HFC charged systems have been used to deduce the likely volume of HFOs imported in MAC</w:t>
      </w:r>
      <w:r>
        <w:rPr>
          <w:color w:val="000000" w:themeColor="text1"/>
        </w:rPr>
        <w:t xml:space="preserve">. Combined with </w:t>
      </w:r>
      <w:r w:rsidRPr="00ED2DD1">
        <w:rPr>
          <w:color w:val="000000" w:themeColor="text1"/>
        </w:rPr>
        <w:t>interviews with dealers</w:t>
      </w:r>
      <w:r>
        <w:rPr>
          <w:color w:val="000000" w:themeColor="text1"/>
        </w:rPr>
        <w:t xml:space="preserve">, </w:t>
      </w:r>
      <w:r w:rsidRPr="00ED2DD1">
        <w:rPr>
          <w:color w:val="000000" w:themeColor="text1"/>
        </w:rPr>
        <w:t xml:space="preserve">the evidence indicates the largest selling </w:t>
      </w:r>
      <w:r>
        <w:rPr>
          <w:color w:val="000000" w:themeColor="text1"/>
        </w:rPr>
        <w:t>brands, such as Toyota, Mazda and Hyundai,</w:t>
      </w:r>
      <w:r w:rsidRPr="00ED2DD1">
        <w:rPr>
          <w:color w:val="000000" w:themeColor="text1"/>
        </w:rPr>
        <w:t xml:space="preserve"> have not yet commenced importing systems charged with HFOs</w:t>
      </w:r>
      <w:r>
        <w:rPr>
          <w:color w:val="000000" w:themeColor="text1"/>
        </w:rPr>
        <w:t xml:space="preserve"> into Australia</w:t>
      </w:r>
      <w:r w:rsidRPr="00ED2DD1">
        <w:rPr>
          <w:color w:val="000000" w:themeColor="text1"/>
        </w:rPr>
        <w:t xml:space="preserve">. </w:t>
      </w:r>
      <w:r w:rsidRPr="00792120">
        <w:rPr>
          <w:color w:val="000000" w:themeColor="text1"/>
        </w:rPr>
        <w:t>However,</w:t>
      </w:r>
      <w:r w:rsidRPr="00ED2DD1">
        <w:rPr>
          <w:color w:val="000000" w:themeColor="text1"/>
        </w:rPr>
        <w:t xml:space="preserve"> </w:t>
      </w:r>
      <w:r>
        <w:rPr>
          <w:color w:val="000000" w:themeColor="text1"/>
        </w:rPr>
        <w:t xml:space="preserve">the data does suggest </w:t>
      </w:r>
      <w:proofErr w:type="gramStart"/>
      <w:r w:rsidRPr="00ED2DD1">
        <w:rPr>
          <w:color w:val="000000" w:themeColor="text1"/>
        </w:rPr>
        <w:t>a number of</w:t>
      </w:r>
      <w:proofErr w:type="gramEnd"/>
      <w:r w:rsidRPr="00ED2DD1">
        <w:rPr>
          <w:color w:val="000000" w:themeColor="text1"/>
        </w:rPr>
        <w:t xml:space="preserve"> brands with smaller market shares, do appear to have commenced imports of some models with HFO charged MAC</w:t>
      </w:r>
      <w:r>
        <w:rPr>
          <w:color w:val="000000" w:themeColor="text1"/>
        </w:rPr>
        <w:t>, including Japanese auto makers Nissan, Honda and Suzuki, and a number of European brands including BMW and Renault</w:t>
      </w:r>
      <w:r w:rsidRPr="00ED2DD1">
        <w:rPr>
          <w:color w:val="000000" w:themeColor="text1"/>
        </w:rPr>
        <w:t>. In total however</w:t>
      </w:r>
      <w:r>
        <w:rPr>
          <w:color w:val="000000" w:themeColor="text1"/>
        </w:rPr>
        <w:t xml:space="preserve">, the 2019 </w:t>
      </w:r>
      <w:r w:rsidRPr="00ED2DD1">
        <w:rPr>
          <w:color w:val="000000" w:themeColor="text1"/>
        </w:rPr>
        <w:t>total volume of HFO imports in MAC would be less than 5% of all refrigerant imported in MAC that year.</w:t>
      </w:r>
      <w:r>
        <w:rPr>
          <w:color w:val="000000" w:themeColor="text1"/>
        </w:rPr>
        <w:t xml:space="preserve"> </w:t>
      </w:r>
    </w:p>
    <w:p w14:paraId="069534FA" w14:textId="77777777" w:rsidR="00626D90" w:rsidRDefault="00626D90" w:rsidP="00626D90">
      <w:pPr>
        <w:rPr>
          <w:color w:val="000000" w:themeColor="text1"/>
        </w:rPr>
      </w:pPr>
      <w:r>
        <w:rPr>
          <w:color w:val="000000" w:themeColor="text1"/>
        </w:rPr>
        <w:t xml:space="preserve">Research conducted in the USA and Europe in 2019 appears to confirm that the transition to HFOs in new vehicles is well underway with </w:t>
      </w:r>
      <w:proofErr w:type="gramStart"/>
      <w:r>
        <w:rPr>
          <w:color w:val="000000" w:themeColor="text1"/>
        </w:rPr>
        <w:t>the large majority of</w:t>
      </w:r>
      <w:proofErr w:type="gramEnd"/>
      <w:r>
        <w:rPr>
          <w:color w:val="000000" w:themeColor="text1"/>
        </w:rPr>
        <w:t xml:space="preserve"> vehicles currently manufactured for those markets now containing HFO-1234yf. </w:t>
      </w:r>
    </w:p>
    <w:p w14:paraId="251E1C4F" w14:textId="77777777" w:rsidR="00626D90" w:rsidRDefault="00626D90" w:rsidP="00626D90">
      <w:pPr>
        <w:rPr>
          <w:color w:val="000000" w:themeColor="text1"/>
        </w:rPr>
      </w:pPr>
      <w:r>
        <w:rPr>
          <w:color w:val="000000" w:themeColor="text1"/>
        </w:rPr>
        <w:t xml:space="preserve">There has been no movement with HFOs or HFO/HFC blends in large MAC in the Australian market. However, there have been some sophisticated and expensive concepts emerging in other markets. For example, a range of </w:t>
      </w:r>
      <w:r w:rsidRPr="00B55D11">
        <w:rPr>
          <w:color w:val="000000" w:themeColor="text1"/>
        </w:rPr>
        <w:t>modular rooftop unit</w:t>
      </w:r>
      <w:r>
        <w:rPr>
          <w:color w:val="000000" w:themeColor="text1"/>
        </w:rPr>
        <w:t xml:space="preserve">s for bus air conditioning was showcased at </w:t>
      </w:r>
      <w:proofErr w:type="spellStart"/>
      <w:r>
        <w:rPr>
          <w:color w:val="000000" w:themeColor="text1"/>
        </w:rPr>
        <w:t>BusWorld</w:t>
      </w:r>
      <w:proofErr w:type="spellEnd"/>
      <w:r>
        <w:rPr>
          <w:color w:val="000000" w:themeColor="text1"/>
        </w:rPr>
        <w:t xml:space="preserve"> in Rome in 2019. It employed a flammable refrigerant as the primary refrigerant, isolated</w:t>
      </w:r>
      <w:r w:rsidRPr="00B55D11">
        <w:rPr>
          <w:color w:val="000000" w:themeColor="text1"/>
        </w:rPr>
        <w:t xml:space="preserve"> from the </w:t>
      </w:r>
      <w:r>
        <w:rPr>
          <w:color w:val="000000" w:themeColor="text1"/>
        </w:rPr>
        <w:t xml:space="preserve">passenger </w:t>
      </w:r>
      <w:r w:rsidRPr="00B55D11">
        <w:rPr>
          <w:color w:val="000000" w:themeColor="text1"/>
        </w:rPr>
        <w:t>cabin via a glycol secondary loop</w:t>
      </w:r>
      <w:r>
        <w:rPr>
          <w:color w:val="000000" w:themeColor="text1"/>
        </w:rPr>
        <w:t xml:space="preserve"> to deliver comfort conditions to the occupied space. Industry sources confirm there is a lot of interest in charging bus air conditioning with HFO/HFC blend R513A, though none is presently in use in Australia. </w:t>
      </w:r>
    </w:p>
    <w:p w14:paraId="0F30D31A" w14:textId="77777777" w:rsidR="00626D90" w:rsidRDefault="00626D90" w:rsidP="00626D90">
      <w:pPr>
        <w:rPr>
          <w:color w:val="000000" w:themeColor="text1"/>
        </w:rPr>
      </w:pPr>
      <w:r>
        <w:rPr>
          <w:color w:val="000000" w:themeColor="text1"/>
        </w:rPr>
        <w:t xml:space="preserve">There have been no reported movement away from HFCs in locomotive or passenger rail air conditioning in Australia </w:t>
      </w:r>
      <w:proofErr w:type="gramStart"/>
      <w:r>
        <w:rPr>
          <w:color w:val="000000" w:themeColor="text1"/>
        </w:rPr>
        <w:t>as yet</w:t>
      </w:r>
      <w:proofErr w:type="gramEnd"/>
      <w:r>
        <w:rPr>
          <w:color w:val="000000" w:themeColor="text1"/>
        </w:rPr>
        <w:t>.</w:t>
      </w:r>
    </w:p>
    <w:p w14:paraId="5F1F3C19" w14:textId="77777777" w:rsidR="00626D90" w:rsidRDefault="00626D90" w:rsidP="00626D90">
      <w:pPr>
        <w:jc w:val="left"/>
        <w:rPr>
          <w:color w:val="000000" w:themeColor="text1"/>
        </w:rPr>
      </w:pPr>
    </w:p>
    <w:p w14:paraId="4C517900" w14:textId="77777777" w:rsidR="00626D90" w:rsidRDefault="00626D90" w:rsidP="00626D90">
      <w:pPr>
        <w:pStyle w:val="Heading2"/>
        <w:jc w:val="both"/>
      </w:pPr>
      <w:bookmarkStart w:id="13" w:name="_Toc46923718"/>
      <w:r w:rsidRPr="001A7965">
        <w:t>Refrigerated cold food chain</w:t>
      </w:r>
      <w:bookmarkEnd w:id="13"/>
    </w:p>
    <w:p w14:paraId="6C9BE0BF" w14:textId="77777777" w:rsidR="00626D90" w:rsidRDefault="00626D90" w:rsidP="00626D90">
      <w:r>
        <w:t xml:space="preserve">The refrigerated cold food chain (RCFC) includes diverse equipment formats employed in processing, storage, transport and display of perishable foods. This includes cool rooms used inside the farm gate and blast freezers on fishing vessels, at the point of production of food, and continues through numerous refrigerated formats to the point of purchase in retail outlets and hospitality venues. </w:t>
      </w:r>
    </w:p>
    <w:p w14:paraId="3309E0DF" w14:textId="77777777" w:rsidR="00626D90" w:rsidRDefault="00626D90" w:rsidP="00626D90">
      <w:r>
        <w:t>The RCFC is a diverse group of equipment because of the wide range and scale of applications and situations in which it is employed.</w:t>
      </w:r>
    </w:p>
    <w:p w14:paraId="1D048AA1" w14:textId="77777777" w:rsidR="00626D90" w:rsidRPr="00D943EA" w:rsidRDefault="00626D90" w:rsidP="00626D90">
      <w:r>
        <w:t xml:space="preserve">There are </w:t>
      </w:r>
      <w:proofErr w:type="gramStart"/>
      <w:r>
        <w:t>a number of</w:t>
      </w:r>
      <w:proofErr w:type="gramEnd"/>
      <w:r>
        <w:t xml:space="preserve"> notable and fast emerging trends in this class of equipment, including:</w:t>
      </w:r>
    </w:p>
    <w:p w14:paraId="5246FE21" w14:textId="77777777" w:rsidR="00626D90" w:rsidRPr="007342CF" w:rsidRDefault="00626D90" w:rsidP="00626D90">
      <w:pPr>
        <w:pStyle w:val="ListParagraph"/>
        <w:numPr>
          <w:ilvl w:val="0"/>
          <w:numId w:val="42"/>
        </w:numPr>
        <w:spacing w:before="120" w:after="0" w:line="240" w:lineRule="auto"/>
        <w:ind w:left="357" w:hanging="357"/>
        <w:contextualSpacing w:val="0"/>
        <w:jc w:val="both"/>
        <w:rPr>
          <w:rFonts w:ascii="Times New Roman" w:hAnsi="Times New Roman"/>
        </w:rPr>
      </w:pPr>
      <w:r w:rsidRPr="007342CF">
        <w:rPr>
          <w:rFonts w:ascii="Times New Roman" w:hAnsi="Times New Roman"/>
        </w:rPr>
        <w:t xml:space="preserve">The continuing evolution of advanced refrigeration systems </w:t>
      </w:r>
      <w:r>
        <w:rPr>
          <w:rFonts w:ascii="Times New Roman" w:hAnsi="Times New Roman"/>
        </w:rPr>
        <w:t xml:space="preserve">seeking higher efficiency options with lower GWP formats. This trend </w:t>
      </w:r>
      <w:r w:rsidRPr="007342CF">
        <w:rPr>
          <w:rFonts w:ascii="Times New Roman" w:hAnsi="Times New Roman"/>
        </w:rPr>
        <w:t xml:space="preserve">initially </w:t>
      </w:r>
      <w:r>
        <w:rPr>
          <w:rFonts w:ascii="Times New Roman" w:hAnsi="Times New Roman"/>
        </w:rPr>
        <w:t xml:space="preserve">saw the </w:t>
      </w:r>
      <w:r w:rsidRPr="007342CF">
        <w:rPr>
          <w:rFonts w:ascii="Times New Roman" w:hAnsi="Times New Roman"/>
        </w:rPr>
        <w:t>adoption CO</w:t>
      </w:r>
      <w:r w:rsidRPr="007342CF">
        <w:rPr>
          <w:rFonts w:ascii="Times New Roman" w:hAnsi="Times New Roman"/>
          <w:vertAlign w:val="subscript"/>
        </w:rPr>
        <w:t>2</w:t>
      </w:r>
      <w:r w:rsidRPr="007342CF">
        <w:rPr>
          <w:rFonts w:ascii="Times New Roman" w:hAnsi="Times New Roman"/>
        </w:rPr>
        <w:t>/HFC two stage cascade systems</w:t>
      </w:r>
      <w:r>
        <w:rPr>
          <w:rFonts w:ascii="Times New Roman" w:hAnsi="Times New Roman"/>
        </w:rPr>
        <w:t>,</w:t>
      </w:r>
      <w:r w:rsidRPr="007342CF">
        <w:rPr>
          <w:rFonts w:ascii="Times New Roman" w:hAnsi="Times New Roman"/>
        </w:rPr>
        <w:t xml:space="preserve"> </w:t>
      </w:r>
      <w:r>
        <w:rPr>
          <w:rFonts w:ascii="Times New Roman" w:hAnsi="Times New Roman"/>
        </w:rPr>
        <w:t>although in more recent years this trend has seen accelerated deployment of</w:t>
      </w:r>
      <w:r w:rsidRPr="007342CF">
        <w:rPr>
          <w:rFonts w:ascii="Times New Roman" w:hAnsi="Times New Roman"/>
        </w:rPr>
        <w:t xml:space="preserve"> CO</w:t>
      </w:r>
      <w:r w:rsidRPr="007342CF">
        <w:rPr>
          <w:rFonts w:ascii="Times New Roman" w:hAnsi="Times New Roman"/>
          <w:vertAlign w:val="subscript"/>
        </w:rPr>
        <w:t>2</w:t>
      </w:r>
      <w:r w:rsidRPr="007342CF">
        <w:rPr>
          <w:rFonts w:ascii="Times New Roman" w:hAnsi="Times New Roman"/>
        </w:rPr>
        <w:t xml:space="preserve"> only trans-critical refrigeration systems in new supermarkets </w:t>
      </w:r>
      <w:r>
        <w:rPr>
          <w:rFonts w:ascii="Times New Roman" w:hAnsi="Times New Roman"/>
        </w:rPr>
        <w:t>and as</w:t>
      </w:r>
      <w:r w:rsidRPr="007342CF">
        <w:rPr>
          <w:rFonts w:ascii="Times New Roman" w:hAnsi="Times New Roman"/>
        </w:rPr>
        <w:t xml:space="preserve"> plant room refurbishments are undertaken. </w:t>
      </w:r>
    </w:p>
    <w:p w14:paraId="0890284F" w14:textId="77777777" w:rsidR="00626D90" w:rsidRDefault="00626D90" w:rsidP="00626D90">
      <w:pPr>
        <w:pStyle w:val="ListParagraph"/>
        <w:numPr>
          <w:ilvl w:val="0"/>
          <w:numId w:val="42"/>
        </w:numPr>
        <w:spacing w:before="120" w:after="0" w:line="240" w:lineRule="auto"/>
        <w:ind w:left="357" w:hanging="357"/>
        <w:contextualSpacing w:val="0"/>
        <w:jc w:val="both"/>
        <w:rPr>
          <w:rFonts w:ascii="Times New Roman" w:hAnsi="Times New Roman"/>
        </w:rPr>
      </w:pPr>
      <w:r>
        <w:rPr>
          <w:rFonts w:ascii="Times New Roman" w:hAnsi="Times New Roman"/>
        </w:rPr>
        <w:t xml:space="preserve">In the self-contained refrigerated display cases segments new HC charged system sales continue to take larger market </w:t>
      </w:r>
      <w:r w:rsidRPr="00EA1B10">
        <w:rPr>
          <w:rFonts w:ascii="Times New Roman" w:hAnsi="Times New Roman"/>
        </w:rPr>
        <w:t>share</w:t>
      </w:r>
      <w:r>
        <w:rPr>
          <w:rFonts w:ascii="Times New Roman" w:hAnsi="Times New Roman"/>
        </w:rPr>
        <w:t xml:space="preserve">. While HC refrigerants are not reportable under the </w:t>
      </w:r>
      <w:r w:rsidRPr="00125034">
        <w:rPr>
          <w:rFonts w:ascii="Times New Roman" w:hAnsi="Times New Roman"/>
          <w:i/>
        </w:rPr>
        <w:t xml:space="preserve">Ozone Protection and Synthetic Greenhouse Gas </w:t>
      </w:r>
      <w:r w:rsidRPr="00125034">
        <w:rPr>
          <w:rFonts w:ascii="Times New Roman" w:hAnsi="Times New Roman"/>
          <w:i/>
          <w:iCs/>
        </w:rPr>
        <w:t>Management Act 1989</w:t>
      </w:r>
      <w:r>
        <w:rPr>
          <w:rFonts w:ascii="Times New Roman" w:hAnsi="Times New Roman"/>
        </w:rPr>
        <w:t xml:space="preserve">, inspection of offerings at industry exhibitions during 2019, and anecdotal reports from the supply chain and buyers suggest that sales of HC charged self-contained refrigeration with refrigerant charges smaller than 150 grams </w:t>
      </w:r>
      <w:r w:rsidRPr="00EA1B10">
        <w:rPr>
          <w:rFonts w:ascii="Times New Roman" w:hAnsi="Times New Roman"/>
        </w:rPr>
        <w:t xml:space="preserve">could have been as much of 50% of </w:t>
      </w:r>
      <w:r>
        <w:rPr>
          <w:rFonts w:ascii="Times New Roman" w:hAnsi="Times New Roman"/>
        </w:rPr>
        <w:t xml:space="preserve">all </w:t>
      </w:r>
      <w:r w:rsidRPr="00EA1B10">
        <w:rPr>
          <w:rFonts w:ascii="Times New Roman" w:hAnsi="Times New Roman"/>
        </w:rPr>
        <w:t>sales in</w:t>
      </w:r>
      <w:r>
        <w:rPr>
          <w:rFonts w:ascii="Times New Roman" w:hAnsi="Times New Roman"/>
        </w:rPr>
        <w:t xml:space="preserve"> this category in 2019. The charge size limit in Australia means that manufacturers are focussed on delivering HC charged equipment in the common smaller formats for catering equipment, storage cabinets and two/three door display cabinets. Smaller self-contained display case formats charged with HCs are delivering significant energy efficiency improvements. Major manufacturers are reporting a </w:t>
      </w:r>
      <w:r>
        <w:rPr>
          <w:rFonts w:ascii="Times New Roman" w:hAnsi="Times New Roman"/>
        </w:rPr>
        <w:lastRenderedPageBreak/>
        <w:t xml:space="preserve">concerted move to transition </w:t>
      </w:r>
      <w:proofErr w:type="gramStart"/>
      <w:r>
        <w:rPr>
          <w:rFonts w:ascii="Times New Roman" w:hAnsi="Times New Roman"/>
        </w:rPr>
        <w:t>the majority of</w:t>
      </w:r>
      <w:proofErr w:type="gramEnd"/>
      <w:r>
        <w:rPr>
          <w:rFonts w:ascii="Times New Roman" w:hAnsi="Times New Roman"/>
        </w:rPr>
        <w:t xml:space="preserve"> their designs to HCs. It is reasonable to assume that </w:t>
      </w:r>
      <w:proofErr w:type="gramStart"/>
      <w:r>
        <w:rPr>
          <w:rFonts w:ascii="Times New Roman" w:hAnsi="Times New Roman"/>
        </w:rPr>
        <w:t>the large majority of</w:t>
      </w:r>
      <w:proofErr w:type="gramEnd"/>
      <w:r>
        <w:rPr>
          <w:rFonts w:ascii="Times New Roman" w:hAnsi="Times New Roman"/>
        </w:rPr>
        <w:t xml:space="preserve"> new sales across smaller commercial refrigeration formats will employ HCs within the next two years. </w:t>
      </w:r>
    </w:p>
    <w:p w14:paraId="1D671CE4" w14:textId="77777777" w:rsidR="00626D90" w:rsidRPr="00230B96" w:rsidRDefault="00626D90" w:rsidP="00626D90">
      <w:pPr>
        <w:pStyle w:val="ListParagraph"/>
        <w:numPr>
          <w:ilvl w:val="0"/>
          <w:numId w:val="42"/>
        </w:numPr>
        <w:spacing w:before="120" w:after="0" w:line="240" w:lineRule="auto"/>
        <w:ind w:left="357" w:hanging="357"/>
        <w:contextualSpacing w:val="0"/>
        <w:jc w:val="both"/>
        <w:rPr>
          <w:rFonts w:ascii="Times New Roman" w:hAnsi="Times New Roman"/>
        </w:rPr>
      </w:pPr>
      <w:r w:rsidRPr="00230B96">
        <w:rPr>
          <w:rFonts w:ascii="Times New Roman" w:hAnsi="Times New Roman"/>
        </w:rPr>
        <w:t>In some larger formats of self-contained systems where refrigerant charges larger than 150 grams of HCs are required, HFO/HFC blends are being trialled in the market that also deliver improved efficiency and have lower overall GWPs due to the &lt;10 GWP HFO constituents. Blends reported in charges up to 1.5 kg include R449A and R452A in 2019</w:t>
      </w:r>
      <w:r>
        <w:rPr>
          <w:rFonts w:ascii="Times New Roman" w:hAnsi="Times New Roman"/>
        </w:rPr>
        <w:t>,</w:t>
      </w:r>
      <w:r w:rsidRPr="00230B96">
        <w:rPr>
          <w:rFonts w:ascii="Times New Roman" w:hAnsi="Times New Roman"/>
        </w:rPr>
        <w:t xml:space="preserve"> these blends were used in possibly only 1 or 2% of total display case sales. The </w:t>
      </w:r>
      <w:proofErr w:type="gramStart"/>
      <w:r w:rsidRPr="00230B96">
        <w:rPr>
          <w:rFonts w:ascii="Times New Roman" w:hAnsi="Times New Roman"/>
        </w:rPr>
        <w:t>150 gram</w:t>
      </w:r>
      <w:proofErr w:type="gramEnd"/>
      <w:r w:rsidRPr="00230B96">
        <w:rPr>
          <w:rFonts w:ascii="Times New Roman" w:hAnsi="Times New Roman"/>
        </w:rPr>
        <w:t xml:space="preserve"> HC charge threshold </w:t>
      </w:r>
      <w:r>
        <w:rPr>
          <w:rFonts w:ascii="Times New Roman" w:hAnsi="Times New Roman"/>
        </w:rPr>
        <w:t xml:space="preserve">was </w:t>
      </w:r>
      <w:r w:rsidRPr="00230B96">
        <w:rPr>
          <w:rFonts w:ascii="Times New Roman" w:hAnsi="Times New Roman"/>
        </w:rPr>
        <w:t xml:space="preserve">increased in Europe to around 500 grams in self-contained refrigeration </w:t>
      </w:r>
      <w:r>
        <w:rPr>
          <w:rFonts w:ascii="Times New Roman" w:hAnsi="Times New Roman"/>
        </w:rPr>
        <w:t xml:space="preserve">in May 2019 </w:t>
      </w:r>
      <w:r w:rsidRPr="00230B96">
        <w:rPr>
          <w:rFonts w:ascii="Times New Roman" w:hAnsi="Times New Roman"/>
        </w:rPr>
        <w:t>so larger HC charged equipment formats are being now developed, tested and deployed in the market and will be ready for deployment into the Australian market</w:t>
      </w:r>
      <w:r>
        <w:rPr>
          <w:rFonts w:ascii="Times New Roman" w:hAnsi="Times New Roman"/>
        </w:rPr>
        <w:t xml:space="preserve">. In June 2020, a new edition of </w:t>
      </w:r>
      <w:r w:rsidRPr="0053153C">
        <w:rPr>
          <w:rFonts w:ascii="Times New Roman" w:hAnsi="Times New Roman"/>
        </w:rPr>
        <w:t>AS/NZS 60335.2.89:2020</w:t>
      </w:r>
      <w:r>
        <w:rPr>
          <w:rStyle w:val="FootnoteReference"/>
        </w:rPr>
        <w:footnoteReference w:id="8"/>
      </w:r>
      <w:r w:rsidRPr="0053153C">
        <w:rPr>
          <w:rFonts w:ascii="Times New Roman" w:hAnsi="Times New Roman"/>
        </w:rPr>
        <w:t xml:space="preserve"> </w:t>
      </w:r>
      <w:r>
        <w:rPr>
          <w:rFonts w:ascii="Times New Roman" w:hAnsi="Times New Roman"/>
        </w:rPr>
        <w:t xml:space="preserve">was released </w:t>
      </w:r>
      <w:r w:rsidRPr="0053153C">
        <w:rPr>
          <w:rFonts w:ascii="Times New Roman" w:hAnsi="Times New Roman"/>
        </w:rPr>
        <w:t>that allows up to 494</w:t>
      </w:r>
      <w:r>
        <w:rPr>
          <w:rFonts w:ascii="Times New Roman" w:hAnsi="Times New Roman"/>
        </w:rPr>
        <w:t xml:space="preserve"> </w:t>
      </w:r>
      <w:r w:rsidRPr="0053153C">
        <w:rPr>
          <w:rFonts w:ascii="Times New Roman" w:hAnsi="Times New Roman"/>
        </w:rPr>
        <w:t xml:space="preserve">grams of R290 </w:t>
      </w:r>
      <w:r>
        <w:rPr>
          <w:rFonts w:ascii="Times New Roman" w:hAnsi="Times New Roman"/>
        </w:rPr>
        <w:t>in commercial refrigeration appliances (</w:t>
      </w:r>
      <w:r w:rsidRPr="0053153C">
        <w:rPr>
          <w:rFonts w:ascii="Times New Roman" w:hAnsi="Times New Roman"/>
        </w:rPr>
        <w:t xml:space="preserve">provided the </w:t>
      </w:r>
      <w:r>
        <w:rPr>
          <w:rFonts w:ascii="Times New Roman" w:hAnsi="Times New Roman"/>
        </w:rPr>
        <w:t xml:space="preserve">equipment </w:t>
      </w:r>
      <w:r w:rsidRPr="0053153C">
        <w:rPr>
          <w:rFonts w:ascii="Times New Roman" w:hAnsi="Times New Roman"/>
        </w:rPr>
        <w:t>meet</w:t>
      </w:r>
      <w:r>
        <w:rPr>
          <w:rFonts w:ascii="Times New Roman" w:hAnsi="Times New Roman"/>
        </w:rPr>
        <w:t>s</w:t>
      </w:r>
      <w:r w:rsidRPr="0053153C">
        <w:rPr>
          <w:rFonts w:ascii="Times New Roman" w:hAnsi="Times New Roman"/>
        </w:rPr>
        <w:t xml:space="preserve"> the additional requirements of the </w:t>
      </w:r>
      <w:r>
        <w:rPr>
          <w:rFonts w:ascii="Times New Roman" w:hAnsi="Times New Roman"/>
        </w:rPr>
        <w:t>s</w:t>
      </w:r>
      <w:r w:rsidRPr="0053153C">
        <w:rPr>
          <w:rFonts w:ascii="Times New Roman" w:hAnsi="Times New Roman"/>
        </w:rPr>
        <w:t>tandard for R290 charge sizes &gt;150</w:t>
      </w:r>
      <w:r>
        <w:rPr>
          <w:rFonts w:ascii="Times New Roman" w:hAnsi="Times New Roman"/>
        </w:rPr>
        <w:t xml:space="preserve"> </w:t>
      </w:r>
      <w:r w:rsidRPr="0053153C">
        <w:rPr>
          <w:rFonts w:ascii="Times New Roman" w:hAnsi="Times New Roman"/>
        </w:rPr>
        <w:t>grams and &lt;494</w:t>
      </w:r>
      <w:r>
        <w:rPr>
          <w:rFonts w:ascii="Times New Roman" w:hAnsi="Times New Roman"/>
        </w:rPr>
        <w:t xml:space="preserve"> </w:t>
      </w:r>
      <w:r w:rsidRPr="0053153C">
        <w:rPr>
          <w:rFonts w:ascii="Times New Roman" w:hAnsi="Times New Roman"/>
        </w:rPr>
        <w:t>grams</w:t>
      </w:r>
      <w:r>
        <w:rPr>
          <w:rFonts w:ascii="Times New Roman" w:hAnsi="Times New Roman"/>
        </w:rPr>
        <w:t>)</w:t>
      </w:r>
      <w:r w:rsidRPr="00230B96">
        <w:rPr>
          <w:rFonts w:ascii="Times New Roman" w:hAnsi="Times New Roman"/>
        </w:rPr>
        <w:t xml:space="preserve">. </w:t>
      </w:r>
      <w:r w:rsidRPr="009F6347">
        <w:rPr>
          <w:rFonts w:ascii="Times New Roman" w:hAnsi="Times New Roman"/>
        </w:rPr>
        <w:t xml:space="preserve">This development is expected to </w:t>
      </w:r>
      <w:r>
        <w:rPr>
          <w:rFonts w:ascii="Times New Roman" w:hAnsi="Times New Roman"/>
        </w:rPr>
        <w:t xml:space="preserve">hasten </w:t>
      </w:r>
      <w:r w:rsidRPr="009F6347">
        <w:rPr>
          <w:rFonts w:ascii="Times New Roman" w:hAnsi="Times New Roman"/>
        </w:rPr>
        <w:t>the transition of self-contained commercial refrigeration to HCs with a corresponding dampening effect on HFC-404 in the bank.</w:t>
      </w:r>
      <w:r>
        <w:rPr>
          <w:rFonts w:ascii="Times New Roman" w:hAnsi="Times New Roman"/>
        </w:rPr>
        <w:t xml:space="preserve"> </w:t>
      </w:r>
      <w:r w:rsidRPr="00230B96">
        <w:rPr>
          <w:rFonts w:ascii="Times New Roman" w:hAnsi="Times New Roman"/>
        </w:rPr>
        <w:t>Another HFO/HFC blend on offer in Europe in this segment is R455A</w:t>
      </w:r>
      <w:r>
        <w:rPr>
          <w:rFonts w:ascii="Times New Roman" w:hAnsi="Times New Roman"/>
        </w:rPr>
        <w:t xml:space="preserve"> (GWP of 145)</w:t>
      </w:r>
      <w:r w:rsidRPr="00230B96">
        <w:rPr>
          <w:rFonts w:ascii="Times New Roman" w:hAnsi="Times New Roman"/>
        </w:rPr>
        <w:t>, that has not been observed in Australia</w:t>
      </w:r>
      <w:r>
        <w:rPr>
          <w:rFonts w:ascii="Times New Roman" w:hAnsi="Times New Roman"/>
        </w:rPr>
        <w:t xml:space="preserve"> </w:t>
      </w:r>
      <w:r w:rsidRPr="00230B96">
        <w:rPr>
          <w:rFonts w:ascii="Times New Roman" w:hAnsi="Times New Roman"/>
        </w:rPr>
        <w:t xml:space="preserve">yet. </w:t>
      </w:r>
    </w:p>
    <w:p w14:paraId="17CC2787" w14:textId="77777777" w:rsidR="00626D90" w:rsidRPr="00305E08" w:rsidRDefault="00626D90" w:rsidP="00626D90">
      <w:pPr>
        <w:pStyle w:val="ListParagraph"/>
        <w:numPr>
          <w:ilvl w:val="0"/>
          <w:numId w:val="42"/>
        </w:numPr>
        <w:spacing w:before="120" w:after="0" w:line="240" w:lineRule="auto"/>
        <w:ind w:left="357" w:hanging="357"/>
        <w:contextualSpacing w:val="0"/>
        <w:jc w:val="both"/>
        <w:rPr>
          <w:lang w:val="en-AU"/>
        </w:rPr>
      </w:pPr>
      <w:r>
        <w:rPr>
          <w:rFonts w:ascii="Times New Roman" w:hAnsi="Times New Roman"/>
        </w:rPr>
        <w:t>M</w:t>
      </w:r>
      <w:r w:rsidRPr="00305E08">
        <w:rPr>
          <w:rFonts w:ascii="Times New Roman" w:hAnsi="Times New Roman"/>
        </w:rPr>
        <w:t>edium sized equipment with remote condensing units</w:t>
      </w:r>
      <w:r>
        <w:rPr>
          <w:rFonts w:ascii="Times New Roman" w:hAnsi="Times New Roman"/>
        </w:rPr>
        <w:t xml:space="preserve">, commonly used for </w:t>
      </w:r>
      <w:r w:rsidRPr="00305E08">
        <w:rPr>
          <w:rFonts w:ascii="Times New Roman" w:hAnsi="Times New Roman"/>
        </w:rPr>
        <w:t>walk-in cold rooms (</w:t>
      </w:r>
      <w:proofErr w:type="gramStart"/>
      <w:r w:rsidRPr="00305E08">
        <w:rPr>
          <w:rFonts w:ascii="Times New Roman" w:hAnsi="Times New Roman"/>
        </w:rPr>
        <w:t>i.e.</w:t>
      </w:r>
      <w:proofErr w:type="gramEnd"/>
      <w:r w:rsidRPr="00305E08">
        <w:rPr>
          <w:rFonts w:ascii="Times New Roman" w:hAnsi="Times New Roman"/>
        </w:rPr>
        <w:t xml:space="preserve"> chillers and freezers) </w:t>
      </w:r>
      <w:r>
        <w:rPr>
          <w:rFonts w:ascii="Times New Roman" w:hAnsi="Times New Roman"/>
        </w:rPr>
        <w:t xml:space="preserve">are now offered by </w:t>
      </w:r>
      <w:r w:rsidRPr="00305E08">
        <w:rPr>
          <w:rFonts w:ascii="Times New Roman" w:hAnsi="Times New Roman"/>
        </w:rPr>
        <w:t xml:space="preserve">European manufacturers </w:t>
      </w:r>
      <w:r>
        <w:rPr>
          <w:rFonts w:ascii="Times New Roman" w:hAnsi="Times New Roman"/>
        </w:rPr>
        <w:t xml:space="preserve">to operate </w:t>
      </w:r>
      <w:r w:rsidRPr="00305E08">
        <w:rPr>
          <w:rFonts w:ascii="Times New Roman" w:hAnsi="Times New Roman"/>
        </w:rPr>
        <w:t>on a range of HFO/HFC blends</w:t>
      </w:r>
      <w:r>
        <w:rPr>
          <w:rFonts w:ascii="Times New Roman" w:hAnsi="Times New Roman"/>
        </w:rPr>
        <w:t>,</w:t>
      </w:r>
      <w:r w:rsidRPr="00305E08">
        <w:rPr>
          <w:rFonts w:ascii="Times New Roman" w:hAnsi="Times New Roman"/>
        </w:rPr>
        <w:t xml:space="preserve"> including R454A, R454C and R455A. While refrigeration compressors are now rated for a variety of blends, the main refrigerant of choice in this sector in Australia is still HFC-404A with suppliers offering HFC-134a as a lower GWP option for medium temperature applications (</w:t>
      </w:r>
      <w:proofErr w:type="gramStart"/>
      <w:r w:rsidRPr="00305E08">
        <w:rPr>
          <w:rFonts w:ascii="Times New Roman" w:hAnsi="Times New Roman"/>
        </w:rPr>
        <w:t>i.e.</w:t>
      </w:r>
      <w:proofErr w:type="gramEnd"/>
      <w:r w:rsidRPr="00305E08">
        <w:rPr>
          <w:rFonts w:ascii="Times New Roman" w:hAnsi="Times New Roman"/>
        </w:rPr>
        <w:t xml:space="preserve"> chillers).</w:t>
      </w:r>
    </w:p>
    <w:p w14:paraId="0E153193" w14:textId="77777777" w:rsidR="00626D90" w:rsidRPr="00230B96" w:rsidRDefault="00626D90" w:rsidP="00626D90">
      <w:pPr>
        <w:rPr>
          <w:highlight w:val="yellow"/>
          <w:lang w:val="en-AU"/>
        </w:rPr>
      </w:pPr>
    </w:p>
    <w:p w14:paraId="5E1B8B79" w14:textId="77777777" w:rsidR="00626D90" w:rsidRPr="00707E36" w:rsidRDefault="00626D90" w:rsidP="00626D90">
      <w:pPr>
        <w:pStyle w:val="Heading3"/>
      </w:pPr>
      <w:bookmarkStart w:id="14" w:name="_Toc46923719"/>
      <w:r w:rsidRPr="00707E36">
        <w:t>Transport refrigeration</w:t>
      </w:r>
      <w:bookmarkEnd w:id="14"/>
    </w:p>
    <w:p w14:paraId="61C28E33" w14:textId="77777777" w:rsidR="00626D90" w:rsidRPr="007C6A5B" w:rsidRDefault="00626D90" w:rsidP="00626D90">
      <w:pPr>
        <w:rPr>
          <w:color w:val="000000" w:themeColor="text1"/>
        </w:rPr>
      </w:pPr>
      <w:r>
        <w:rPr>
          <w:color w:val="000000" w:themeColor="text1"/>
        </w:rPr>
        <w:t>Road t</w:t>
      </w:r>
      <w:r w:rsidRPr="007C6A5B">
        <w:rPr>
          <w:color w:val="000000" w:themeColor="text1"/>
        </w:rPr>
        <w:t>ransport refrigeration technology is made up of:</w:t>
      </w:r>
    </w:p>
    <w:p w14:paraId="7FD63448" w14:textId="77777777" w:rsidR="00626D90" w:rsidRPr="005A2B3C" w:rsidRDefault="00626D90" w:rsidP="00626D90">
      <w:pPr>
        <w:pStyle w:val="ListParagraph"/>
        <w:numPr>
          <w:ilvl w:val="0"/>
          <w:numId w:val="53"/>
        </w:numPr>
        <w:spacing w:before="120" w:after="0" w:line="240" w:lineRule="auto"/>
        <w:contextualSpacing w:val="0"/>
        <w:jc w:val="both"/>
        <w:rPr>
          <w:rFonts w:ascii="Times New Roman" w:hAnsi="Times New Roman"/>
          <w:color w:val="000000" w:themeColor="text1"/>
        </w:rPr>
      </w:pPr>
      <w:r>
        <w:rPr>
          <w:rFonts w:ascii="Times New Roman" w:hAnsi="Times New Roman"/>
          <w:color w:val="000000" w:themeColor="text1"/>
        </w:rPr>
        <w:t>t</w:t>
      </w:r>
      <w:r w:rsidRPr="005A2B3C">
        <w:rPr>
          <w:rFonts w:ascii="Times New Roman" w:hAnsi="Times New Roman"/>
          <w:color w:val="000000" w:themeColor="text1"/>
        </w:rPr>
        <w:t xml:space="preserve">he transport refrigeration units (TRUs) used on articulated trucks and trailers </w:t>
      </w:r>
      <w:r>
        <w:rPr>
          <w:rFonts w:ascii="Times New Roman" w:hAnsi="Times New Roman"/>
          <w:color w:val="000000" w:themeColor="text1"/>
        </w:rPr>
        <w:t>and on</w:t>
      </w:r>
      <w:r w:rsidRPr="005A2B3C">
        <w:rPr>
          <w:rFonts w:ascii="Times New Roman" w:hAnsi="Times New Roman"/>
          <w:color w:val="000000" w:themeColor="text1"/>
        </w:rPr>
        <w:t xml:space="preserve"> intermodal </w:t>
      </w:r>
      <w:r>
        <w:rPr>
          <w:rFonts w:ascii="Times New Roman" w:hAnsi="Times New Roman"/>
          <w:color w:val="000000" w:themeColor="text1"/>
        </w:rPr>
        <w:t xml:space="preserve">containers </w:t>
      </w:r>
      <w:r w:rsidRPr="005A2B3C">
        <w:rPr>
          <w:rFonts w:ascii="Times New Roman" w:hAnsi="Times New Roman"/>
          <w:color w:val="000000" w:themeColor="text1"/>
        </w:rPr>
        <w:t xml:space="preserve">(road or rail) </w:t>
      </w:r>
      <w:r>
        <w:rPr>
          <w:rFonts w:ascii="Times New Roman" w:hAnsi="Times New Roman"/>
          <w:color w:val="000000" w:themeColor="text1"/>
        </w:rPr>
        <w:t>which are</w:t>
      </w:r>
      <w:r w:rsidRPr="005A2B3C">
        <w:rPr>
          <w:rFonts w:ascii="Times New Roman" w:hAnsi="Times New Roman"/>
          <w:color w:val="000000" w:themeColor="text1"/>
        </w:rPr>
        <w:t xml:space="preserve"> described as the trailer/intermodal </w:t>
      </w:r>
      <w:proofErr w:type="gramStart"/>
      <w:r w:rsidRPr="005A2B3C">
        <w:rPr>
          <w:rFonts w:ascii="Times New Roman" w:hAnsi="Times New Roman"/>
          <w:color w:val="000000" w:themeColor="text1"/>
        </w:rPr>
        <w:t>segment;</w:t>
      </w:r>
      <w:proofErr w:type="gramEnd"/>
      <w:r w:rsidRPr="005A2B3C">
        <w:rPr>
          <w:rFonts w:ascii="Times New Roman" w:hAnsi="Times New Roman"/>
          <w:color w:val="000000" w:themeColor="text1"/>
        </w:rPr>
        <w:t xml:space="preserve"> </w:t>
      </w:r>
    </w:p>
    <w:p w14:paraId="57A0B4BA" w14:textId="77777777" w:rsidR="00626D90" w:rsidRPr="005A2B3C" w:rsidRDefault="00626D90" w:rsidP="00626D90">
      <w:pPr>
        <w:pStyle w:val="ListParagraph"/>
        <w:numPr>
          <w:ilvl w:val="0"/>
          <w:numId w:val="53"/>
        </w:numPr>
        <w:spacing w:before="120" w:after="0" w:line="240" w:lineRule="auto"/>
        <w:contextualSpacing w:val="0"/>
        <w:jc w:val="both"/>
        <w:rPr>
          <w:rFonts w:ascii="Times New Roman" w:hAnsi="Times New Roman"/>
          <w:color w:val="000000" w:themeColor="text1"/>
        </w:rPr>
      </w:pPr>
      <w:r>
        <w:rPr>
          <w:rFonts w:ascii="Times New Roman" w:hAnsi="Times New Roman"/>
          <w:color w:val="000000" w:themeColor="text1"/>
        </w:rPr>
        <w:t>t</w:t>
      </w:r>
      <w:r w:rsidRPr="005A2B3C">
        <w:rPr>
          <w:rFonts w:ascii="Times New Roman" w:hAnsi="Times New Roman"/>
          <w:color w:val="000000" w:themeColor="text1"/>
        </w:rPr>
        <w:t>he diesel drive segment largely comprising rigid trucks with a gross vehicle mass of 3 to 8 tonnes; and,</w:t>
      </w:r>
    </w:p>
    <w:p w14:paraId="4B42261A" w14:textId="77777777" w:rsidR="00626D90" w:rsidRPr="005A2B3C" w:rsidRDefault="00626D90" w:rsidP="00626D90">
      <w:pPr>
        <w:pStyle w:val="ListParagraph"/>
        <w:numPr>
          <w:ilvl w:val="0"/>
          <w:numId w:val="53"/>
        </w:numPr>
        <w:spacing w:before="120" w:after="0" w:line="240" w:lineRule="auto"/>
        <w:contextualSpacing w:val="0"/>
        <w:jc w:val="both"/>
        <w:rPr>
          <w:rFonts w:ascii="Times New Roman" w:hAnsi="Times New Roman"/>
          <w:color w:val="000000" w:themeColor="text1"/>
        </w:rPr>
      </w:pPr>
      <w:r>
        <w:rPr>
          <w:rFonts w:ascii="Times New Roman" w:hAnsi="Times New Roman"/>
          <w:color w:val="000000" w:themeColor="text1"/>
        </w:rPr>
        <w:t>o</w:t>
      </w:r>
      <w:r w:rsidRPr="005A2B3C">
        <w:rPr>
          <w:rFonts w:ascii="Times New Roman" w:hAnsi="Times New Roman"/>
          <w:color w:val="000000" w:themeColor="text1"/>
        </w:rPr>
        <w:t xml:space="preserve">ff-engine vehicle powered refrigeration units used on small trucks and vans. </w:t>
      </w:r>
    </w:p>
    <w:p w14:paraId="43BC87D1" w14:textId="77777777" w:rsidR="00626D90" w:rsidRDefault="00626D90" w:rsidP="00626D90">
      <w:pPr>
        <w:rPr>
          <w:szCs w:val="22"/>
        </w:rPr>
      </w:pPr>
      <w:r>
        <w:rPr>
          <w:color w:val="000000" w:themeColor="text1"/>
        </w:rPr>
        <w:t>T</w:t>
      </w:r>
      <w:r w:rsidRPr="00581047">
        <w:rPr>
          <w:color w:val="000000" w:themeColor="text1"/>
        </w:rPr>
        <w:t>railer/intermodal and diesel drive single temperature units from Europe are imported fully charged, tested and ready to be fitted.</w:t>
      </w:r>
      <w:r w:rsidRPr="007C6A5B">
        <w:rPr>
          <w:color w:val="000000" w:themeColor="text1"/>
        </w:rPr>
        <w:t xml:space="preserve"> These configurations are now </w:t>
      </w:r>
      <w:r w:rsidRPr="007C6A5B">
        <w:rPr>
          <w:lang w:val="en-AU"/>
        </w:rPr>
        <w:t xml:space="preserve">rapidly transitioning </w:t>
      </w:r>
      <w:r>
        <w:rPr>
          <w:lang w:val="en-AU"/>
        </w:rPr>
        <w:t xml:space="preserve">from HFC-404A </w:t>
      </w:r>
      <w:r w:rsidRPr="007C6A5B">
        <w:rPr>
          <w:lang w:val="en-AU"/>
        </w:rPr>
        <w:t xml:space="preserve">to </w:t>
      </w:r>
      <w:r>
        <w:rPr>
          <w:szCs w:val="22"/>
        </w:rPr>
        <w:t>HFO/HFC</w:t>
      </w:r>
      <w:r w:rsidRPr="003A6F90">
        <w:rPr>
          <w:szCs w:val="22"/>
        </w:rPr>
        <w:t xml:space="preserve"> blend </w:t>
      </w:r>
      <w:r w:rsidRPr="007C6A5B">
        <w:rPr>
          <w:szCs w:val="22"/>
        </w:rPr>
        <w:t>R452A (GWP of 21</w:t>
      </w:r>
      <w:r>
        <w:rPr>
          <w:szCs w:val="22"/>
        </w:rPr>
        <w:t>39</w:t>
      </w:r>
      <w:r w:rsidRPr="007C6A5B">
        <w:rPr>
          <w:szCs w:val="22"/>
        </w:rPr>
        <w:t>)</w:t>
      </w:r>
      <w:r>
        <w:rPr>
          <w:szCs w:val="22"/>
        </w:rPr>
        <w:t xml:space="preserve"> with improved designs and lower refrigerant charges by around 25%. As this market is dominated by two main companies, Thermo King and Carrier Transicold, this transition of new sales is expected to be complete within one to two years. </w:t>
      </w:r>
    </w:p>
    <w:p w14:paraId="32B324A2" w14:textId="77777777" w:rsidR="00626D90" w:rsidRDefault="00626D90" w:rsidP="00626D90">
      <w:pPr>
        <w:rPr>
          <w:color w:val="000000" w:themeColor="text1"/>
        </w:rPr>
      </w:pPr>
      <w:r w:rsidRPr="00581047">
        <w:rPr>
          <w:szCs w:val="22"/>
        </w:rPr>
        <w:t xml:space="preserve">Diesel powered </w:t>
      </w:r>
      <w:r>
        <w:rPr>
          <w:szCs w:val="22"/>
        </w:rPr>
        <w:t>t</w:t>
      </w:r>
      <w:r w:rsidRPr="00581047">
        <w:rPr>
          <w:szCs w:val="22"/>
        </w:rPr>
        <w:t xml:space="preserve">railer and </w:t>
      </w:r>
      <w:r>
        <w:rPr>
          <w:szCs w:val="22"/>
        </w:rPr>
        <w:t>t</w:t>
      </w:r>
      <w:r w:rsidRPr="00581047">
        <w:rPr>
          <w:szCs w:val="22"/>
        </w:rPr>
        <w:t xml:space="preserve">ruck </w:t>
      </w:r>
      <w:r>
        <w:rPr>
          <w:szCs w:val="22"/>
        </w:rPr>
        <w:t>m</w:t>
      </w:r>
      <w:r w:rsidRPr="00581047">
        <w:rPr>
          <w:szCs w:val="22"/>
        </w:rPr>
        <w:t xml:space="preserve">ulti-temperature units </w:t>
      </w:r>
      <w:r>
        <w:rPr>
          <w:color w:val="000000" w:themeColor="text1"/>
        </w:rPr>
        <w:t xml:space="preserve">are still predominately charged with HFC-404A, </w:t>
      </w:r>
      <w:r w:rsidRPr="00581047">
        <w:rPr>
          <w:color w:val="000000" w:themeColor="text1"/>
        </w:rPr>
        <w:t>with no changes expected to emerge in the Australian market within the next couple of years.</w:t>
      </w:r>
      <w:r>
        <w:rPr>
          <w:color w:val="000000" w:themeColor="text1"/>
        </w:rPr>
        <w:t xml:space="preserve"> Off engine vehicle powered refrigeration </w:t>
      </w:r>
      <w:r w:rsidRPr="007C6A5B">
        <w:rPr>
          <w:color w:val="000000" w:themeColor="text1"/>
        </w:rPr>
        <w:t xml:space="preserve">units </w:t>
      </w:r>
      <w:r>
        <w:rPr>
          <w:color w:val="000000" w:themeColor="text1"/>
        </w:rPr>
        <w:t>on small trucks and vans transporting chilled goods are mostly HFC-134a.</w:t>
      </w:r>
    </w:p>
    <w:p w14:paraId="1D912E2D" w14:textId="77777777" w:rsidR="00626D90" w:rsidRDefault="00626D90" w:rsidP="00626D90">
      <w:pPr>
        <w:rPr>
          <w:lang w:val="en-AU"/>
        </w:rPr>
      </w:pPr>
      <w:r>
        <w:rPr>
          <w:lang w:val="en-AU"/>
        </w:rPr>
        <w:t>The fishing fleet still has limited refrigerant options suitable to the conditions and able to be employed in the existing fleet. I</w:t>
      </w:r>
      <w:r w:rsidRPr="00B06041">
        <w:rPr>
          <w:lang w:val="en-AU"/>
        </w:rPr>
        <w:t xml:space="preserve">n 2012 more than 95% of the </w:t>
      </w:r>
      <w:r>
        <w:rPr>
          <w:szCs w:val="22"/>
        </w:rPr>
        <w:t>52 long distance vessels of between 17 to 28 metres that operate in the northern prawn fishery of Australia</w:t>
      </w:r>
      <w:r>
        <w:rPr>
          <w:lang w:val="en-AU"/>
        </w:rPr>
        <w:t xml:space="preserve"> </w:t>
      </w:r>
      <w:proofErr w:type="spellStart"/>
      <w:r>
        <w:rPr>
          <w:lang w:val="en-AU"/>
        </w:rPr>
        <w:t>were</w:t>
      </w:r>
      <w:proofErr w:type="spellEnd"/>
      <w:r>
        <w:rPr>
          <w:lang w:val="en-AU"/>
        </w:rPr>
        <w:t xml:space="preserve"> </w:t>
      </w:r>
      <w:r w:rsidRPr="00B06041">
        <w:rPr>
          <w:lang w:val="en-AU"/>
        </w:rPr>
        <w:t>using HCFC-22, with just a few employing HFC-404A</w:t>
      </w:r>
      <w:r>
        <w:rPr>
          <w:lang w:val="en-AU"/>
        </w:rPr>
        <w:t>. These vessels had typical blast freezing capacity of three tonnes of prawns per day</w:t>
      </w:r>
      <w:r w:rsidRPr="00B06041">
        <w:rPr>
          <w:lang w:val="en-AU"/>
        </w:rPr>
        <w:t>.</w:t>
      </w:r>
      <w:r>
        <w:rPr>
          <w:lang w:val="en-AU"/>
        </w:rPr>
        <w:t xml:space="preserve"> In the intervening eight years the risk of and cost of HCFC-22 supply resulted in many of the vessels transitioning to HFC-</w:t>
      </w:r>
      <w:r w:rsidRPr="00B06041">
        <w:rPr>
          <w:lang w:val="en-AU"/>
        </w:rPr>
        <w:t>438A</w:t>
      </w:r>
      <w:r>
        <w:rPr>
          <w:lang w:val="en-AU"/>
        </w:rPr>
        <w:t xml:space="preserve"> (GWP of 2264) which is</w:t>
      </w:r>
      <w:r w:rsidRPr="00B06041">
        <w:rPr>
          <w:lang w:val="en-AU"/>
        </w:rPr>
        <w:t xml:space="preserve"> a </w:t>
      </w:r>
      <w:r>
        <w:rPr>
          <w:lang w:val="en-AU"/>
        </w:rPr>
        <w:t>HCFC-</w:t>
      </w:r>
      <w:r w:rsidRPr="00B06041">
        <w:rPr>
          <w:lang w:val="en-AU"/>
        </w:rPr>
        <w:t>22 drop</w:t>
      </w:r>
      <w:r>
        <w:rPr>
          <w:lang w:val="en-AU"/>
        </w:rPr>
        <w:t>-</w:t>
      </w:r>
      <w:r w:rsidRPr="00B06041">
        <w:rPr>
          <w:lang w:val="en-AU"/>
        </w:rPr>
        <w:t>in replacement</w:t>
      </w:r>
      <w:r>
        <w:rPr>
          <w:lang w:val="en-AU"/>
        </w:rPr>
        <w:t>. Some vessels underwent more expensive equipment upgrades and transitioned from HCFC-22 to HFC-</w:t>
      </w:r>
      <w:r w:rsidRPr="00B06041">
        <w:rPr>
          <w:lang w:val="en-AU"/>
        </w:rPr>
        <w:t xml:space="preserve">404A </w:t>
      </w:r>
      <w:r>
        <w:rPr>
          <w:lang w:val="en-AU"/>
        </w:rPr>
        <w:t xml:space="preserve">with </w:t>
      </w:r>
      <w:r w:rsidRPr="00B06041">
        <w:rPr>
          <w:lang w:val="en-AU"/>
        </w:rPr>
        <w:t>fully welded pipes for improved containment.</w:t>
      </w:r>
      <w:r>
        <w:rPr>
          <w:lang w:val="en-AU"/>
        </w:rPr>
        <w:t xml:space="preserve"> </w:t>
      </w:r>
      <w:r>
        <w:rPr>
          <w:lang w:val="en-AU"/>
        </w:rPr>
        <w:lastRenderedPageBreak/>
        <w:t xml:space="preserve">Of the 52 vessels operating today, just 8% are operating on HCFC-22, 38% on HFC-438A, 40% on HFC-404A and 13% is unknown.  </w:t>
      </w:r>
    </w:p>
    <w:p w14:paraId="65A52739" w14:textId="77777777" w:rsidR="00626D90" w:rsidRDefault="00626D90" w:rsidP="00626D90">
      <w:pPr>
        <w:rPr>
          <w:lang w:val="en-AU"/>
        </w:rPr>
      </w:pPr>
      <w:r>
        <w:rPr>
          <w:lang w:val="en-AU"/>
        </w:rPr>
        <w:t xml:space="preserve">New designs for larger fishing vessels using ammonia charged refrigeration are starting to enter the market. At time of writing Austral Fisheries is expecting to take delivery of a new </w:t>
      </w:r>
      <w:r w:rsidRPr="00CC5FAB">
        <w:rPr>
          <w:lang w:val="en-AU"/>
        </w:rPr>
        <w:t xml:space="preserve">68 metre </w:t>
      </w:r>
      <w:r>
        <w:rPr>
          <w:lang w:val="en-AU"/>
        </w:rPr>
        <w:t xml:space="preserve">vessel, the Cape Arkona out of </w:t>
      </w:r>
      <w:r w:rsidRPr="00CC5FAB">
        <w:rPr>
          <w:lang w:val="en-AU"/>
        </w:rPr>
        <w:t>Norway</w:t>
      </w:r>
      <w:r>
        <w:rPr>
          <w:lang w:val="en-AU"/>
        </w:rPr>
        <w:t>, p</w:t>
      </w:r>
      <w:r w:rsidRPr="00CC5FAB">
        <w:rPr>
          <w:lang w:val="en-AU"/>
        </w:rPr>
        <w:t>rimarily</w:t>
      </w:r>
      <w:r>
        <w:rPr>
          <w:lang w:val="en-AU"/>
        </w:rPr>
        <w:t xml:space="preserve"> to </w:t>
      </w:r>
      <w:r w:rsidRPr="00CC5FAB">
        <w:rPr>
          <w:lang w:val="en-AU"/>
        </w:rPr>
        <w:t>fish for Patagonian Toothfish in the Southern Ocean</w:t>
      </w:r>
      <w:r>
        <w:rPr>
          <w:lang w:val="en-AU"/>
        </w:rPr>
        <w:t xml:space="preserve">. This vessel has an on-board fish processing and blast freezing capacity of 50 tonnes per day operating on ammonia contained in a dedicated refrigeration plant room. However, like many other types of commercial and industrial equipment, fishing vessels are designed to have very long operating lives. As such, the turnover of the fishing fleet, and thus opportunities for the introduction of new refrigeration systems, is expected to proceed relatively slowly. While this is one example of a fishing vessel operating on a very low GWP refrigerant, </w:t>
      </w:r>
      <w:proofErr w:type="gramStart"/>
      <w:r>
        <w:rPr>
          <w:lang w:val="en-AU"/>
        </w:rPr>
        <w:t>the large majority of</w:t>
      </w:r>
      <w:proofErr w:type="gramEnd"/>
      <w:r>
        <w:rPr>
          <w:lang w:val="en-AU"/>
        </w:rPr>
        <w:t xml:space="preserve"> vessels in the Australian fishing fleet have limited refrigerant options, as smaller vessel size means a dedicated refrigeration plant room is not possible.</w:t>
      </w:r>
    </w:p>
    <w:p w14:paraId="0BDE9C5D" w14:textId="77777777" w:rsidR="00626D90" w:rsidRDefault="00626D90" w:rsidP="00626D90">
      <w:pPr>
        <w:rPr>
          <w:lang w:val="en-AU"/>
        </w:rPr>
      </w:pPr>
    </w:p>
    <w:p w14:paraId="7621496A" w14:textId="77777777" w:rsidR="00626D90" w:rsidRPr="00C56020" w:rsidRDefault="00626D90" w:rsidP="00626D90">
      <w:pPr>
        <w:pStyle w:val="Heading3"/>
      </w:pPr>
      <w:bookmarkStart w:id="15" w:name="_Toc46923720"/>
      <w:r w:rsidRPr="00E46BAB">
        <w:t>Waste</w:t>
      </w:r>
      <w:r w:rsidRPr="00C56020">
        <w:t xml:space="preserve"> in the cold food chain and opportunities for improvement</w:t>
      </w:r>
      <w:bookmarkEnd w:id="15"/>
      <w:r w:rsidRPr="00C56020">
        <w:t xml:space="preserve"> </w:t>
      </w:r>
    </w:p>
    <w:p w14:paraId="760A5919" w14:textId="77777777" w:rsidR="00626D90" w:rsidRPr="00E90441" w:rsidRDefault="00626D90" w:rsidP="00626D90">
      <w:pPr>
        <w:rPr>
          <w:szCs w:val="22"/>
        </w:rPr>
      </w:pPr>
      <w:r>
        <w:rPr>
          <w:szCs w:val="22"/>
        </w:rPr>
        <w:t>A recent global and Australian focus on food waste has underlined the importance of the cold food chain in managing a range of social, environmental and economic issues. In 2019, a report prepared by the Expert Group produced e</w:t>
      </w:r>
      <w:r w:rsidRPr="00E90441">
        <w:rPr>
          <w:szCs w:val="22"/>
        </w:rPr>
        <w:t xml:space="preserve">stimates of food waste attributable to breaks and deficiencies in the cold food chain </w:t>
      </w:r>
      <w:r>
        <w:rPr>
          <w:szCs w:val="22"/>
        </w:rPr>
        <w:t>in Australia</w:t>
      </w:r>
      <w:r w:rsidRPr="00E90441">
        <w:rPr>
          <w:szCs w:val="22"/>
        </w:rPr>
        <w:t xml:space="preserve"> for the first time.</w:t>
      </w:r>
      <w:r>
        <w:rPr>
          <w:rStyle w:val="FootnoteReference"/>
          <w:szCs w:val="22"/>
        </w:rPr>
        <w:footnoteReference w:id="9"/>
      </w:r>
      <w:r w:rsidRPr="00E90441">
        <w:rPr>
          <w:szCs w:val="22"/>
        </w:rPr>
        <w:t xml:space="preserve"> Preliminary and conservative estimates put the </w:t>
      </w:r>
      <w:r>
        <w:rPr>
          <w:szCs w:val="22"/>
        </w:rPr>
        <w:t xml:space="preserve">economic </w:t>
      </w:r>
      <w:r w:rsidRPr="00E90441">
        <w:rPr>
          <w:szCs w:val="22"/>
        </w:rPr>
        <w:t>cost of food waste within the cold food chain at</w:t>
      </w:r>
      <w:r>
        <w:rPr>
          <w:szCs w:val="22"/>
        </w:rPr>
        <w:t xml:space="preserve"> a minimum of</w:t>
      </w:r>
      <w:r w:rsidRPr="00E90441">
        <w:rPr>
          <w:szCs w:val="22"/>
        </w:rPr>
        <w:t xml:space="preserve"> $3.8 billion </w:t>
      </w:r>
      <w:r>
        <w:rPr>
          <w:szCs w:val="22"/>
        </w:rPr>
        <w:t xml:space="preserve">annually </w:t>
      </w:r>
      <w:r w:rsidRPr="00E90441">
        <w:rPr>
          <w:szCs w:val="22"/>
        </w:rPr>
        <w:t>at farm gate values</w:t>
      </w:r>
      <w:r>
        <w:rPr>
          <w:szCs w:val="22"/>
        </w:rPr>
        <w:t>. This figure</w:t>
      </w:r>
      <w:r w:rsidRPr="00E90441">
        <w:rPr>
          <w:szCs w:val="22"/>
        </w:rPr>
        <w:t xml:space="preserve"> </w:t>
      </w:r>
      <w:r>
        <w:rPr>
          <w:szCs w:val="22"/>
        </w:rPr>
        <w:t>is made up of</w:t>
      </w:r>
      <w:r w:rsidRPr="00E90441">
        <w:rPr>
          <w:szCs w:val="22"/>
        </w:rPr>
        <w:t>:</w:t>
      </w:r>
    </w:p>
    <w:p w14:paraId="0608FC03" w14:textId="77777777" w:rsidR="00626D90" w:rsidRPr="00E90441" w:rsidRDefault="00626D90" w:rsidP="00626D90">
      <w:pPr>
        <w:pStyle w:val="ListParagraph"/>
        <w:numPr>
          <w:ilvl w:val="0"/>
          <w:numId w:val="47"/>
        </w:numPr>
        <w:spacing w:before="120" w:after="0" w:line="240" w:lineRule="auto"/>
        <w:ind w:left="357" w:hanging="357"/>
        <w:contextualSpacing w:val="0"/>
        <w:jc w:val="both"/>
        <w:rPr>
          <w:rFonts w:ascii="Times New Roman" w:hAnsi="Times New Roman"/>
        </w:rPr>
      </w:pPr>
      <w:r w:rsidRPr="00E90441">
        <w:rPr>
          <w:rFonts w:ascii="Times New Roman" w:hAnsi="Times New Roman"/>
        </w:rPr>
        <w:t>25%</w:t>
      </w:r>
      <w:r>
        <w:rPr>
          <w:rFonts w:ascii="Times New Roman" w:hAnsi="Times New Roman"/>
        </w:rPr>
        <w:t xml:space="preserve"> </w:t>
      </w:r>
      <w:r w:rsidRPr="00E90441">
        <w:rPr>
          <w:rFonts w:ascii="Times New Roman" w:hAnsi="Times New Roman"/>
        </w:rPr>
        <w:t xml:space="preserve">of </w:t>
      </w:r>
      <w:r>
        <w:rPr>
          <w:rFonts w:ascii="Times New Roman" w:hAnsi="Times New Roman"/>
        </w:rPr>
        <w:t xml:space="preserve">the </w:t>
      </w:r>
      <w:r w:rsidRPr="00E90441">
        <w:rPr>
          <w:rFonts w:ascii="Times New Roman" w:hAnsi="Times New Roman"/>
        </w:rPr>
        <w:t>annual production of fruit and vegetables</w:t>
      </w:r>
      <w:r>
        <w:rPr>
          <w:rFonts w:ascii="Times New Roman" w:hAnsi="Times New Roman"/>
        </w:rPr>
        <w:t>,</w:t>
      </w:r>
      <w:r w:rsidRPr="00E90441">
        <w:rPr>
          <w:rFonts w:ascii="Times New Roman" w:hAnsi="Times New Roman"/>
        </w:rPr>
        <w:t xml:space="preserve"> </w:t>
      </w:r>
      <w:r>
        <w:rPr>
          <w:rFonts w:ascii="Times New Roman" w:hAnsi="Times New Roman"/>
        </w:rPr>
        <w:t xml:space="preserve">or approximately </w:t>
      </w:r>
      <w:r w:rsidRPr="00E90441">
        <w:rPr>
          <w:rFonts w:ascii="Times New Roman" w:hAnsi="Times New Roman"/>
        </w:rPr>
        <w:t xml:space="preserve">1,930,000 tonnes worth $3 </w:t>
      </w:r>
      <w:proofErr w:type="gramStart"/>
      <w:r w:rsidRPr="00E90441">
        <w:rPr>
          <w:rFonts w:ascii="Times New Roman" w:hAnsi="Times New Roman"/>
        </w:rPr>
        <w:t>billion</w:t>
      </w:r>
      <w:r>
        <w:rPr>
          <w:rFonts w:ascii="Times New Roman" w:hAnsi="Times New Roman"/>
        </w:rPr>
        <w:t>;</w:t>
      </w:r>
      <w:proofErr w:type="gramEnd"/>
    </w:p>
    <w:p w14:paraId="21B8B02C" w14:textId="77777777" w:rsidR="00626D90" w:rsidRDefault="00626D90" w:rsidP="00626D90">
      <w:pPr>
        <w:pStyle w:val="ListParagraph"/>
        <w:numPr>
          <w:ilvl w:val="0"/>
          <w:numId w:val="47"/>
        </w:numPr>
        <w:spacing w:before="120" w:after="0" w:line="240" w:lineRule="auto"/>
        <w:ind w:left="357" w:hanging="357"/>
        <w:contextualSpacing w:val="0"/>
        <w:jc w:val="both"/>
        <w:rPr>
          <w:rFonts w:ascii="Times New Roman" w:hAnsi="Times New Roman"/>
        </w:rPr>
      </w:pPr>
      <w:r w:rsidRPr="00E90441">
        <w:rPr>
          <w:rFonts w:ascii="Times New Roman" w:hAnsi="Times New Roman"/>
        </w:rPr>
        <w:t>3.5%</w:t>
      </w:r>
      <w:r>
        <w:rPr>
          <w:rFonts w:ascii="Times New Roman" w:hAnsi="Times New Roman"/>
        </w:rPr>
        <w:t xml:space="preserve"> </w:t>
      </w:r>
      <w:r w:rsidRPr="00E90441">
        <w:rPr>
          <w:rFonts w:ascii="Times New Roman" w:hAnsi="Times New Roman"/>
        </w:rPr>
        <w:t xml:space="preserve">of </w:t>
      </w:r>
      <w:r>
        <w:rPr>
          <w:rFonts w:ascii="Times New Roman" w:hAnsi="Times New Roman"/>
        </w:rPr>
        <w:t xml:space="preserve">the </w:t>
      </w:r>
      <w:r w:rsidRPr="00E90441">
        <w:rPr>
          <w:rFonts w:ascii="Times New Roman" w:hAnsi="Times New Roman"/>
        </w:rPr>
        <w:t>annual production of meat</w:t>
      </w:r>
      <w:r>
        <w:rPr>
          <w:rFonts w:ascii="Times New Roman" w:hAnsi="Times New Roman"/>
        </w:rPr>
        <w:t>, or approximately 155,000 tonnes</w:t>
      </w:r>
      <w:r w:rsidRPr="00E90441">
        <w:rPr>
          <w:rFonts w:ascii="Times New Roman" w:hAnsi="Times New Roman"/>
        </w:rPr>
        <w:t xml:space="preserve"> worth $670 </w:t>
      </w:r>
      <w:proofErr w:type="gramStart"/>
      <w:r w:rsidRPr="00E90441">
        <w:rPr>
          <w:rFonts w:ascii="Times New Roman" w:hAnsi="Times New Roman"/>
        </w:rPr>
        <w:t>million</w:t>
      </w:r>
      <w:r>
        <w:rPr>
          <w:rFonts w:ascii="Times New Roman" w:hAnsi="Times New Roman"/>
        </w:rPr>
        <w:t>;</w:t>
      </w:r>
      <w:proofErr w:type="gramEnd"/>
    </w:p>
    <w:p w14:paraId="454B3A7C" w14:textId="77777777" w:rsidR="00626D90" w:rsidRPr="00E90441" w:rsidRDefault="00626D90" w:rsidP="00626D90">
      <w:pPr>
        <w:pStyle w:val="ListParagraph"/>
        <w:numPr>
          <w:ilvl w:val="0"/>
          <w:numId w:val="47"/>
        </w:numPr>
        <w:spacing w:before="120" w:after="0" w:line="240" w:lineRule="auto"/>
        <w:ind w:left="357" w:hanging="357"/>
        <w:contextualSpacing w:val="0"/>
        <w:jc w:val="both"/>
        <w:rPr>
          <w:rFonts w:ascii="Times New Roman" w:hAnsi="Times New Roman"/>
        </w:rPr>
      </w:pPr>
      <w:r>
        <w:rPr>
          <w:rFonts w:ascii="Times New Roman" w:hAnsi="Times New Roman"/>
        </w:rPr>
        <w:t xml:space="preserve">approximately 8,500 tonnes of </w:t>
      </w:r>
      <w:r w:rsidRPr="00E90441">
        <w:rPr>
          <w:rFonts w:ascii="Times New Roman" w:hAnsi="Times New Roman"/>
        </w:rPr>
        <w:t>seafood worth $90 million</w:t>
      </w:r>
      <w:r>
        <w:rPr>
          <w:rFonts w:ascii="Times New Roman" w:hAnsi="Times New Roman"/>
        </w:rPr>
        <w:t>; and</w:t>
      </w:r>
    </w:p>
    <w:p w14:paraId="720F9138" w14:textId="77777777" w:rsidR="00626D90" w:rsidRPr="00E90441" w:rsidRDefault="00626D90" w:rsidP="00626D90">
      <w:pPr>
        <w:pStyle w:val="ListParagraph"/>
        <w:numPr>
          <w:ilvl w:val="0"/>
          <w:numId w:val="47"/>
        </w:numPr>
        <w:spacing w:before="120" w:after="0" w:line="240" w:lineRule="auto"/>
        <w:ind w:left="357" w:hanging="357"/>
        <w:contextualSpacing w:val="0"/>
        <w:jc w:val="both"/>
        <w:rPr>
          <w:rFonts w:ascii="Times New Roman" w:hAnsi="Times New Roman"/>
        </w:rPr>
      </w:pPr>
      <w:r w:rsidRPr="00E90441">
        <w:rPr>
          <w:rFonts w:ascii="Times New Roman" w:hAnsi="Times New Roman"/>
        </w:rPr>
        <w:t>1%</w:t>
      </w:r>
      <w:r>
        <w:rPr>
          <w:rFonts w:ascii="Times New Roman" w:hAnsi="Times New Roman"/>
        </w:rPr>
        <w:t xml:space="preserve"> </w:t>
      </w:r>
      <w:r w:rsidRPr="00E90441">
        <w:rPr>
          <w:rFonts w:ascii="Times New Roman" w:hAnsi="Times New Roman"/>
        </w:rPr>
        <w:t>of annual dairy production</w:t>
      </w:r>
      <w:r>
        <w:rPr>
          <w:rFonts w:ascii="Times New Roman" w:hAnsi="Times New Roman"/>
        </w:rPr>
        <w:t>,</w:t>
      </w:r>
      <w:r w:rsidRPr="00E90441">
        <w:rPr>
          <w:rFonts w:ascii="Times New Roman" w:hAnsi="Times New Roman"/>
        </w:rPr>
        <w:t xml:space="preserve"> </w:t>
      </w:r>
      <w:r>
        <w:rPr>
          <w:rFonts w:ascii="Times New Roman" w:hAnsi="Times New Roman"/>
        </w:rPr>
        <w:t xml:space="preserve">or approximately </w:t>
      </w:r>
      <w:r w:rsidRPr="00E90441">
        <w:rPr>
          <w:rFonts w:ascii="Times New Roman" w:hAnsi="Times New Roman"/>
        </w:rPr>
        <w:t>90,000 tonnes valued at $70 million.</w:t>
      </w:r>
    </w:p>
    <w:p w14:paraId="5A42F9F1" w14:textId="77777777" w:rsidR="00626D90" w:rsidRPr="00E90441" w:rsidRDefault="00626D90" w:rsidP="00626D90">
      <w:pPr>
        <w:rPr>
          <w:szCs w:val="22"/>
        </w:rPr>
      </w:pPr>
      <w:r w:rsidRPr="0038196B">
        <w:rPr>
          <w:szCs w:val="22"/>
        </w:rPr>
        <w:t>The</w:t>
      </w:r>
      <w:r>
        <w:rPr>
          <w:szCs w:val="22"/>
        </w:rPr>
        <w:t xml:space="preserve"> </w:t>
      </w:r>
      <w:r w:rsidRPr="0038196B">
        <w:rPr>
          <w:szCs w:val="22"/>
        </w:rPr>
        <w:t xml:space="preserve">greenhouse gas emissions from food waste attributed to sub-par refrigeration technology, practices and processes in the cold food chain </w:t>
      </w:r>
      <w:r>
        <w:rPr>
          <w:szCs w:val="22"/>
        </w:rPr>
        <w:t>are</w:t>
      </w:r>
      <w:r w:rsidRPr="0038196B">
        <w:rPr>
          <w:szCs w:val="22"/>
        </w:rPr>
        <w:t xml:space="preserve"> </w:t>
      </w:r>
      <w:r>
        <w:rPr>
          <w:szCs w:val="22"/>
        </w:rPr>
        <w:t xml:space="preserve">estimated at </w:t>
      </w:r>
      <w:r w:rsidRPr="0038196B">
        <w:rPr>
          <w:szCs w:val="22"/>
        </w:rPr>
        <w:t>7.0 Mt CO</w:t>
      </w:r>
      <w:r w:rsidRPr="000F060A">
        <w:rPr>
          <w:szCs w:val="22"/>
          <w:vertAlign w:val="subscript"/>
        </w:rPr>
        <w:t>2</w:t>
      </w:r>
      <w:r>
        <w:rPr>
          <w:szCs w:val="22"/>
        </w:rPr>
        <w:t>-</w:t>
      </w:r>
      <w:r w:rsidRPr="0038196B">
        <w:rPr>
          <w:szCs w:val="22"/>
        </w:rPr>
        <w:t xml:space="preserve">e in 2018, </w:t>
      </w:r>
      <w:r>
        <w:rPr>
          <w:szCs w:val="22"/>
        </w:rPr>
        <w:t xml:space="preserve">equivalent to </w:t>
      </w:r>
      <w:r w:rsidRPr="0038196B">
        <w:rPr>
          <w:szCs w:val="22"/>
        </w:rPr>
        <w:t xml:space="preserve">about 1.3% of Australia’s annual greenhouse gas </w:t>
      </w:r>
      <w:r>
        <w:rPr>
          <w:szCs w:val="22"/>
        </w:rPr>
        <w:t>emissions in that year</w:t>
      </w:r>
      <w:r w:rsidRPr="0038196B">
        <w:rPr>
          <w:szCs w:val="22"/>
        </w:rPr>
        <w:t>. Th</w:t>
      </w:r>
      <w:r>
        <w:rPr>
          <w:szCs w:val="22"/>
        </w:rPr>
        <w:t>ese emissions were equivalent to</w:t>
      </w:r>
      <w:r w:rsidRPr="0038196B">
        <w:rPr>
          <w:szCs w:val="22"/>
        </w:rPr>
        <w:t xml:space="preserve"> </w:t>
      </w:r>
      <w:r>
        <w:rPr>
          <w:szCs w:val="22"/>
        </w:rPr>
        <w:t xml:space="preserve">more than </w:t>
      </w:r>
      <w:r w:rsidRPr="0038196B">
        <w:rPr>
          <w:szCs w:val="22"/>
        </w:rPr>
        <w:t xml:space="preserve">35% of the total emissions (direct and indirect) </w:t>
      </w:r>
      <w:r>
        <w:rPr>
          <w:szCs w:val="22"/>
        </w:rPr>
        <w:t>that resulted from</w:t>
      </w:r>
      <w:r w:rsidRPr="0038196B">
        <w:rPr>
          <w:szCs w:val="22"/>
        </w:rPr>
        <w:t xml:space="preserve"> operat</w:t>
      </w:r>
      <w:r>
        <w:rPr>
          <w:szCs w:val="22"/>
        </w:rPr>
        <w:t>ion of</w:t>
      </w:r>
      <w:r w:rsidRPr="0038196B">
        <w:rPr>
          <w:szCs w:val="22"/>
        </w:rPr>
        <w:t xml:space="preserve"> the cold</w:t>
      </w:r>
      <w:r>
        <w:rPr>
          <w:szCs w:val="22"/>
        </w:rPr>
        <w:t xml:space="preserve"> </w:t>
      </w:r>
      <w:r w:rsidRPr="0038196B">
        <w:rPr>
          <w:szCs w:val="22"/>
        </w:rPr>
        <w:t>food</w:t>
      </w:r>
      <w:r>
        <w:rPr>
          <w:szCs w:val="22"/>
        </w:rPr>
        <w:t xml:space="preserve"> </w:t>
      </w:r>
      <w:r w:rsidRPr="0038196B">
        <w:rPr>
          <w:szCs w:val="22"/>
        </w:rPr>
        <w:t>chain in the same year (18.9 Mt CO</w:t>
      </w:r>
      <w:r w:rsidRPr="000F060A">
        <w:rPr>
          <w:szCs w:val="22"/>
          <w:vertAlign w:val="subscript"/>
        </w:rPr>
        <w:t>2</w:t>
      </w:r>
      <w:r>
        <w:rPr>
          <w:szCs w:val="22"/>
        </w:rPr>
        <w:t>-</w:t>
      </w:r>
      <w:r w:rsidRPr="0038196B">
        <w:rPr>
          <w:szCs w:val="22"/>
        </w:rPr>
        <w:t>e).</w:t>
      </w:r>
      <w:r>
        <w:rPr>
          <w:szCs w:val="22"/>
        </w:rPr>
        <w:t xml:space="preserve"> </w:t>
      </w:r>
      <w:r w:rsidRPr="00E90441">
        <w:rPr>
          <w:szCs w:val="22"/>
        </w:rPr>
        <w:t>Th</w:t>
      </w:r>
      <w:r>
        <w:rPr>
          <w:szCs w:val="22"/>
        </w:rPr>
        <w:t>ese</w:t>
      </w:r>
      <w:r w:rsidRPr="00E90441">
        <w:rPr>
          <w:szCs w:val="22"/>
        </w:rPr>
        <w:t xml:space="preserve"> estimate</w:t>
      </w:r>
      <w:r>
        <w:rPr>
          <w:szCs w:val="22"/>
        </w:rPr>
        <w:t>s</w:t>
      </w:r>
      <w:r w:rsidRPr="00E90441">
        <w:rPr>
          <w:szCs w:val="22"/>
        </w:rPr>
        <w:t xml:space="preserve"> </w:t>
      </w:r>
      <w:r>
        <w:rPr>
          <w:szCs w:val="22"/>
        </w:rPr>
        <w:t>of the emissions resulting from food waste are</w:t>
      </w:r>
      <w:r w:rsidRPr="00E90441">
        <w:rPr>
          <w:szCs w:val="22"/>
        </w:rPr>
        <w:t xml:space="preserve"> based on </w:t>
      </w:r>
      <w:r>
        <w:rPr>
          <w:szCs w:val="22"/>
        </w:rPr>
        <w:t xml:space="preserve">globally </w:t>
      </w:r>
      <w:r w:rsidRPr="00E90441">
        <w:rPr>
          <w:szCs w:val="22"/>
        </w:rPr>
        <w:t xml:space="preserve">accepted estimates of greenhouse gas emissions intensity </w:t>
      </w:r>
      <w:proofErr w:type="gramStart"/>
      <w:r w:rsidRPr="00E90441">
        <w:rPr>
          <w:szCs w:val="22"/>
        </w:rPr>
        <w:t xml:space="preserve">for </w:t>
      </w:r>
      <w:r>
        <w:rPr>
          <w:szCs w:val="22"/>
        </w:rPr>
        <w:t xml:space="preserve">the </w:t>
      </w:r>
      <w:r w:rsidRPr="00E90441">
        <w:rPr>
          <w:szCs w:val="22"/>
        </w:rPr>
        <w:t>production of</w:t>
      </w:r>
      <w:proofErr w:type="gramEnd"/>
      <w:r w:rsidRPr="00E90441">
        <w:rPr>
          <w:szCs w:val="22"/>
        </w:rPr>
        <w:t xml:space="preserve"> various food types.</w:t>
      </w:r>
    </w:p>
    <w:p w14:paraId="567B8245" w14:textId="77777777" w:rsidR="00626D90" w:rsidRDefault="00626D90" w:rsidP="00626D90">
      <w:pPr>
        <w:spacing w:before="0"/>
        <w:jc w:val="left"/>
      </w:pPr>
    </w:p>
    <w:p w14:paraId="5B41643C" w14:textId="77777777" w:rsidR="00626D90" w:rsidRPr="00F82605" w:rsidRDefault="00626D90" w:rsidP="00626D90">
      <w:pPr>
        <w:pStyle w:val="Heading2"/>
        <w:jc w:val="both"/>
      </w:pPr>
      <w:bookmarkStart w:id="16" w:name="_Toc46923721"/>
      <w:r>
        <w:t>Domestic r</w:t>
      </w:r>
      <w:r w:rsidRPr="00A85138">
        <w:t>efrigerat</w:t>
      </w:r>
      <w:r>
        <w:t>ion</w:t>
      </w:r>
      <w:bookmarkEnd w:id="16"/>
    </w:p>
    <w:p w14:paraId="76AF4376" w14:textId="77777777" w:rsidR="00626D90" w:rsidRDefault="00626D90" w:rsidP="00626D90">
      <w:pPr>
        <w:rPr>
          <w:color w:val="000000" w:themeColor="text1"/>
          <w:szCs w:val="22"/>
        </w:rPr>
      </w:pPr>
      <w:r w:rsidRPr="007B65E6">
        <w:rPr>
          <w:color w:val="000000" w:themeColor="text1"/>
          <w:szCs w:val="22"/>
        </w:rPr>
        <w:t>This class of equipment includes both refrigerators and freezers found in every</w:t>
      </w:r>
      <w:r>
        <w:rPr>
          <w:color w:val="000000" w:themeColor="text1"/>
          <w:szCs w:val="22"/>
        </w:rPr>
        <w:t xml:space="preserve"> residential</w:t>
      </w:r>
      <w:r w:rsidRPr="007B65E6">
        <w:rPr>
          <w:color w:val="000000" w:themeColor="text1"/>
          <w:szCs w:val="22"/>
        </w:rPr>
        <w:t xml:space="preserve"> kitchen, plus a growing number of portable and vehicle refrigeration systems that are used in caravans, trucks, and as camping systems that can run on low voltage automotive power feeds.</w:t>
      </w:r>
    </w:p>
    <w:p w14:paraId="3CBBF4C3" w14:textId="77777777" w:rsidR="00626D90" w:rsidRDefault="00626D90" w:rsidP="00626D90">
      <w:pPr>
        <w:rPr>
          <w:color w:val="000000" w:themeColor="text1"/>
          <w:szCs w:val="22"/>
        </w:rPr>
      </w:pPr>
      <w:r>
        <w:rPr>
          <w:color w:val="000000" w:themeColor="text1"/>
          <w:szCs w:val="22"/>
        </w:rPr>
        <w:t xml:space="preserve">The transition of new domestic refrigerator sales away from high GWP refrigerants is effectively complete with 99% of domestic refrigerators and freezers sold in 2019 containing HC refrigerant. Just 10.8 tonnes of HFC-134a </w:t>
      </w:r>
      <w:proofErr w:type="gramStart"/>
      <w:r>
        <w:rPr>
          <w:color w:val="000000" w:themeColor="text1"/>
          <w:szCs w:val="22"/>
        </w:rPr>
        <w:t>was</w:t>
      </w:r>
      <w:proofErr w:type="gramEnd"/>
      <w:r>
        <w:rPr>
          <w:color w:val="000000" w:themeColor="text1"/>
          <w:szCs w:val="22"/>
        </w:rPr>
        <w:t xml:space="preserve"> imported in domestic refrigeration systems</w:t>
      </w:r>
      <w:r w:rsidRPr="00716182">
        <w:rPr>
          <w:color w:val="000000" w:themeColor="text1"/>
          <w:szCs w:val="22"/>
        </w:rPr>
        <w:t xml:space="preserve"> </w:t>
      </w:r>
      <w:r>
        <w:rPr>
          <w:color w:val="000000" w:themeColor="text1"/>
          <w:szCs w:val="22"/>
        </w:rPr>
        <w:t xml:space="preserve">in 2019, almost entirely in very low charge portable </w:t>
      </w:r>
      <w:r w:rsidRPr="007B65E6">
        <w:rPr>
          <w:color w:val="000000" w:themeColor="text1"/>
          <w:szCs w:val="22"/>
        </w:rPr>
        <w:t>and vehicle refrigeration systems</w:t>
      </w:r>
      <w:r>
        <w:rPr>
          <w:color w:val="000000" w:themeColor="text1"/>
          <w:szCs w:val="22"/>
        </w:rPr>
        <w:t>, compared to a peak of 139 tonnes in domestic refrigeration systems in 2008. There are no signs of these very low charge portable and vehicle systems (&lt;65 grams of HFC-134a) transitioning away from HFC-134a.</w:t>
      </w:r>
    </w:p>
    <w:p w14:paraId="11A9B017" w14:textId="77777777" w:rsidR="00626D90" w:rsidRDefault="00626D90" w:rsidP="00626D90">
      <w:pPr>
        <w:rPr>
          <w:color w:val="000000" w:themeColor="text1"/>
          <w:szCs w:val="22"/>
        </w:rPr>
      </w:pPr>
      <w:r>
        <w:rPr>
          <w:color w:val="000000" w:themeColor="text1"/>
          <w:szCs w:val="22"/>
        </w:rPr>
        <w:t>As a result of the comprehensive transition of new sales to HC charges, the</w:t>
      </w:r>
      <w:r w:rsidRPr="004D6502">
        <w:rPr>
          <w:color w:val="000000" w:themeColor="text1"/>
          <w:szCs w:val="22"/>
        </w:rPr>
        <w:t xml:space="preserve"> </w:t>
      </w:r>
      <w:r>
        <w:rPr>
          <w:color w:val="000000" w:themeColor="text1"/>
          <w:szCs w:val="22"/>
        </w:rPr>
        <w:t>proportion</w:t>
      </w:r>
      <w:r w:rsidRPr="004D6502">
        <w:rPr>
          <w:color w:val="000000" w:themeColor="text1"/>
          <w:szCs w:val="22"/>
        </w:rPr>
        <w:t xml:space="preserve"> of hydrocarbon charged domestic refrigerators and freezers in the stock</w:t>
      </w:r>
      <w:r>
        <w:rPr>
          <w:color w:val="000000" w:themeColor="text1"/>
          <w:szCs w:val="22"/>
        </w:rPr>
        <w:t xml:space="preserve"> of equipment</w:t>
      </w:r>
      <w:r w:rsidRPr="004D6502">
        <w:rPr>
          <w:color w:val="000000" w:themeColor="text1"/>
          <w:szCs w:val="22"/>
        </w:rPr>
        <w:t xml:space="preserve"> has </w:t>
      </w:r>
      <w:r>
        <w:rPr>
          <w:color w:val="000000" w:themeColor="text1"/>
          <w:szCs w:val="22"/>
        </w:rPr>
        <w:t xml:space="preserve">grown strongly since </w:t>
      </w:r>
      <w:r w:rsidRPr="004D6502">
        <w:rPr>
          <w:color w:val="000000" w:themeColor="text1"/>
          <w:szCs w:val="22"/>
        </w:rPr>
        <w:t xml:space="preserve">2012, with </w:t>
      </w:r>
      <w:r w:rsidRPr="004D6502">
        <w:rPr>
          <w:color w:val="000000" w:themeColor="text1"/>
          <w:szCs w:val="22"/>
        </w:rPr>
        <w:lastRenderedPageBreak/>
        <w:t xml:space="preserve">an estimated </w:t>
      </w:r>
      <w:r>
        <w:rPr>
          <w:color w:val="000000" w:themeColor="text1"/>
          <w:szCs w:val="22"/>
        </w:rPr>
        <w:t>40</w:t>
      </w:r>
      <w:r w:rsidRPr="004D6502">
        <w:rPr>
          <w:color w:val="000000" w:themeColor="text1"/>
          <w:szCs w:val="22"/>
        </w:rPr>
        <w:t>% of the stock</w:t>
      </w:r>
      <w:r>
        <w:rPr>
          <w:color w:val="000000" w:themeColor="text1"/>
          <w:szCs w:val="22"/>
        </w:rPr>
        <w:t xml:space="preserve"> (~8</w:t>
      </w:r>
      <w:r w:rsidRPr="004D6502">
        <w:rPr>
          <w:color w:val="000000" w:themeColor="text1"/>
          <w:szCs w:val="22"/>
        </w:rPr>
        <w:t xml:space="preserve"> million devices) containing hydrocarbon HC-600a in 201</w:t>
      </w:r>
      <w:r>
        <w:rPr>
          <w:color w:val="000000" w:themeColor="text1"/>
          <w:szCs w:val="22"/>
        </w:rPr>
        <w:t>9</w:t>
      </w:r>
      <w:r w:rsidRPr="004D6502">
        <w:rPr>
          <w:color w:val="000000" w:themeColor="text1"/>
          <w:szCs w:val="22"/>
        </w:rPr>
        <w:t xml:space="preserve">. </w:t>
      </w:r>
      <w:r>
        <w:rPr>
          <w:color w:val="000000" w:themeColor="text1"/>
          <w:szCs w:val="22"/>
        </w:rPr>
        <w:t>As older stock is removed from service and replaced, the proportion of HC charged domestic refrigeration is expected to be greater than 50% of the stock of this equipment segment before the end of 2021.</w:t>
      </w:r>
    </w:p>
    <w:p w14:paraId="35D50E44" w14:textId="77777777" w:rsidR="00626D90" w:rsidRDefault="00626D90" w:rsidP="00626D90">
      <w:pPr>
        <w:rPr>
          <w:color w:val="000000" w:themeColor="text1"/>
          <w:szCs w:val="22"/>
        </w:rPr>
      </w:pPr>
      <w:r>
        <w:rPr>
          <w:color w:val="000000" w:themeColor="text1"/>
          <w:szCs w:val="22"/>
        </w:rPr>
        <w:t>Service consumption of HFCs has continued to decline in this sector as older equipment charged with HFCs becomes increasingly un-economical to service or repair.</w:t>
      </w:r>
    </w:p>
    <w:p w14:paraId="49910B1D" w14:textId="77777777" w:rsidR="00626D90" w:rsidRPr="007B65E6" w:rsidRDefault="00626D90" w:rsidP="00626D90">
      <w:pPr>
        <w:rPr>
          <w:color w:val="000000" w:themeColor="text1"/>
          <w:szCs w:val="22"/>
        </w:rPr>
      </w:pPr>
      <w:r w:rsidRPr="00017244">
        <w:rPr>
          <w:color w:val="000000" w:themeColor="text1"/>
          <w:szCs w:val="22"/>
        </w:rPr>
        <w:t xml:space="preserve">In </w:t>
      </w:r>
      <w:r>
        <w:rPr>
          <w:color w:val="000000" w:themeColor="text1"/>
          <w:szCs w:val="22"/>
        </w:rPr>
        <w:t>later</w:t>
      </w:r>
      <w:r w:rsidRPr="00017244">
        <w:rPr>
          <w:color w:val="000000" w:themeColor="text1"/>
          <w:szCs w:val="22"/>
        </w:rPr>
        <w:t xml:space="preserve"> editions of the Cold Hard Facts research series</w:t>
      </w:r>
      <w:r>
        <w:rPr>
          <w:color w:val="000000" w:themeColor="text1"/>
          <w:szCs w:val="22"/>
        </w:rPr>
        <w:t>,</w:t>
      </w:r>
      <w:r w:rsidRPr="00017244">
        <w:rPr>
          <w:color w:val="000000" w:themeColor="text1"/>
          <w:szCs w:val="22"/>
        </w:rPr>
        <w:t xml:space="preserve"> the Domestic Refrigeration Class of equipment will be amalgamated into the Refrigerated Cold Food Chain</w:t>
      </w:r>
      <w:r>
        <w:rPr>
          <w:color w:val="000000" w:themeColor="text1"/>
          <w:szCs w:val="22"/>
        </w:rPr>
        <w:t xml:space="preserve"> class</w:t>
      </w:r>
      <w:r w:rsidRPr="00017244">
        <w:rPr>
          <w:color w:val="000000" w:themeColor="text1"/>
          <w:szCs w:val="22"/>
        </w:rPr>
        <w:t>, simplifying the CHF taxonomy to just three major equipment Classes.</w:t>
      </w:r>
    </w:p>
    <w:p w14:paraId="5C642B27" w14:textId="77777777" w:rsidR="00626D90" w:rsidRDefault="00626D90" w:rsidP="00626D90">
      <w:pPr>
        <w:spacing w:before="0"/>
        <w:jc w:val="left"/>
        <w:rPr>
          <w:rFonts w:ascii="Calibri" w:eastAsia="Times New Roman" w:hAnsi="Calibri" w:cs="Times New Roman"/>
          <w:b/>
          <w:bCs/>
          <w:kern w:val="32"/>
          <w:sz w:val="32"/>
          <w:szCs w:val="32"/>
          <w:lang w:val="en-US"/>
        </w:rPr>
      </w:pPr>
      <w:r>
        <w:br w:type="page"/>
      </w:r>
    </w:p>
    <w:p w14:paraId="09D86C49" w14:textId="77777777" w:rsidR="00626D90" w:rsidRDefault="00626D90" w:rsidP="00626D90">
      <w:pPr>
        <w:pStyle w:val="Heading1"/>
        <w:jc w:val="both"/>
      </w:pPr>
      <w:bookmarkStart w:id="17" w:name="_Toc46923722"/>
      <w:r w:rsidRPr="000226CB">
        <w:lastRenderedPageBreak/>
        <w:t xml:space="preserve">The </w:t>
      </w:r>
      <w:r>
        <w:t>refrigerant</w:t>
      </w:r>
      <w:bookmarkEnd w:id="8"/>
      <w:r>
        <w:t xml:space="preserve"> bank</w:t>
      </w:r>
      <w:bookmarkEnd w:id="17"/>
    </w:p>
    <w:p w14:paraId="4EBEDC53" w14:textId="77777777" w:rsidR="00626D90" w:rsidRPr="00FC6F65" w:rsidRDefault="00626D90" w:rsidP="00626D90">
      <w:pPr>
        <w:rPr>
          <w:szCs w:val="22"/>
        </w:rPr>
      </w:pPr>
      <w:r w:rsidRPr="00FC6F65">
        <w:rPr>
          <w:szCs w:val="22"/>
        </w:rPr>
        <w:t xml:space="preserve">The common denominator of all </w:t>
      </w:r>
      <w:r>
        <w:rPr>
          <w:szCs w:val="22"/>
        </w:rPr>
        <w:t xml:space="preserve">vapour compression </w:t>
      </w:r>
      <w:r w:rsidRPr="00FC6F65">
        <w:rPr>
          <w:szCs w:val="22"/>
        </w:rPr>
        <w:t>air conditioning and refrigeration</w:t>
      </w:r>
      <w:r>
        <w:rPr>
          <w:szCs w:val="22"/>
        </w:rPr>
        <w:t xml:space="preserve"> </w:t>
      </w:r>
      <w:r w:rsidRPr="00FC6F65">
        <w:rPr>
          <w:szCs w:val="22"/>
        </w:rPr>
        <w:t>is th</w:t>
      </w:r>
      <w:r>
        <w:rPr>
          <w:szCs w:val="22"/>
        </w:rPr>
        <w:t>at it employs a thermal media; the</w:t>
      </w:r>
      <w:r w:rsidRPr="00FC6F65">
        <w:rPr>
          <w:szCs w:val="22"/>
        </w:rPr>
        <w:t xml:space="preserve"> working </w:t>
      </w:r>
      <w:r>
        <w:rPr>
          <w:szCs w:val="22"/>
        </w:rPr>
        <w:t>refrigerants</w:t>
      </w:r>
      <w:r w:rsidRPr="00FC6F65">
        <w:rPr>
          <w:szCs w:val="22"/>
        </w:rPr>
        <w:t xml:space="preserve"> that are the medium for transferring heat. The sum of all </w:t>
      </w:r>
      <w:r>
        <w:rPr>
          <w:szCs w:val="22"/>
        </w:rPr>
        <w:t>refrigerant</w:t>
      </w:r>
      <w:r w:rsidRPr="00FC6F65">
        <w:rPr>
          <w:szCs w:val="22"/>
        </w:rPr>
        <w:t xml:space="preserve"> contained in RAC equipment </w:t>
      </w:r>
      <w:r>
        <w:rPr>
          <w:szCs w:val="22"/>
        </w:rPr>
        <w:t>is</w:t>
      </w:r>
      <w:r w:rsidRPr="00FC6F65">
        <w:rPr>
          <w:szCs w:val="22"/>
        </w:rPr>
        <w:t xml:space="preserve"> referred to as ‘the bank’ of </w:t>
      </w:r>
      <w:r>
        <w:rPr>
          <w:szCs w:val="22"/>
        </w:rPr>
        <w:t>working refrigerants</w:t>
      </w:r>
      <w:r w:rsidRPr="00FC6F65">
        <w:rPr>
          <w:szCs w:val="22"/>
        </w:rPr>
        <w:t>.</w:t>
      </w:r>
    </w:p>
    <w:p w14:paraId="0B1731A6" w14:textId="77777777" w:rsidR="00626D90" w:rsidRDefault="00626D90" w:rsidP="00626D90">
      <w:pPr>
        <w:rPr>
          <w:szCs w:val="22"/>
        </w:rPr>
      </w:pPr>
      <w:r>
        <w:rPr>
          <w:szCs w:val="22"/>
        </w:rPr>
        <w:t xml:space="preserve">Over the past century, as the RAC industry has developed and expanded to become one of the cornerstone technologies of modern society, the nature of the bank has also evolved. Originally starting with common compounds such as ammonia and methyl chloride, today the bank is populated by dozens of synthetic and natural refrigerants with varying properties suitable for different applications. </w:t>
      </w:r>
    </w:p>
    <w:p w14:paraId="13D86A73" w14:textId="77777777" w:rsidR="00626D90" w:rsidRPr="00707E36" w:rsidRDefault="00626D90" w:rsidP="00626D90">
      <w:pPr>
        <w:rPr>
          <w:szCs w:val="22"/>
        </w:rPr>
      </w:pPr>
      <w:r w:rsidRPr="00707E36">
        <w:rPr>
          <w:szCs w:val="22"/>
        </w:rPr>
        <w:t xml:space="preserve">As shown in </w:t>
      </w:r>
      <w:r w:rsidRPr="00707E36">
        <w:rPr>
          <w:i/>
          <w:iCs/>
          <w:szCs w:val="22"/>
        </w:rPr>
        <w:t>Figure 1</w:t>
      </w:r>
      <w:r w:rsidRPr="00707E36">
        <w:rPr>
          <w:szCs w:val="22"/>
        </w:rPr>
        <w:t xml:space="preserve">, the total refrigerant bank of HCFCs and HFCs in Australia has grown strongly since this research series commenced in 2006, increasing more than 61% in the period. This strong overall growth in the refrigerant bank Australia has experienced since 2006 has been largely, but not entirely, as </w:t>
      </w:r>
      <w:r>
        <w:rPr>
          <w:szCs w:val="22"/>
        </w:rPr>
        <w:t xml:space="preserve">a </w:t>
      </w:r>
      <w:r w:rsidRPr="00707E36">
        <w:rPr>
          <w:szCs w:val="22"/>
        </w:rPr>
        <w:t>result of more than a decade of strong sales growth of small and medium domestic and commercial air conditioning systems (&lt;25 kW)</w:t>
      </w:r>
      <w:r>
        <w:rPr>
          <w:szCs w:val="22"/>
        </w:rPr>
        <w:t>,</w:t>
      </w:r>
      <w:r w:rsidRPr="00707E36">
        <w:rPr>
          <w:szCs w:val="22"/>
        </w:rPr>
        <w:t xml:space="preserve"> up to the peak in sales reached in 2017. </w:t>
      </w:r>
    </w:p>
    <w:p w14:paraId="707879A4" w14:textId="77777777" w:rsidR="00626D90" w:rsidRDefault="00626D90" w:rsidP="00626D90">
      <w:pPr>
        <w:rPr>
          <w:szCs w:val="22"/>
        </w:rPr>
      </w:pPr>
      <w:r w:rsidRPr="00707E36">
        <w:rPr>
          <w:szCs w:val="22"/>
        </w:rPr>
        <w:t>This trend was supported by steady falls in the price of small split AC, combined</w:t>
      </w:r>
      <w:r>
        <w:rPr>
          <w:szCs w:val="22"/>
        </w:rPr>
        <w:t xml:space="preserve"> with increasing marketing budgets invested in branding and advertising by the leading manufacturers since the turn of the century. The growing community-wide acceptance of and dependency on AC, and widely held expectation of AC comfort in all forms of buildings, was reinforced by changing climatic conditions that have seen five of the hottest years ever recorded in the last seven. </w:t>
      </w:r>
    </w:p>
    <w:p w14:paraId="58DF8DCD" w14:textId="77777777" w:rsidR="00626D90" w:rsidRDefault="00626D90" w:rsidP="00626D90">
      <w:pPr>
        <w:rPr>
          <w:szCs w:val="22"/>
        </w:rPr>
      </w:pPr>
      <w:r>
        <w:rPr>
          <w:szCs w:val="22"/>
        </w:rPr>
        <w:t xml:space="preserve">The near comprehensive adoption of mobile AC in all types of vehicles, and growth in the passenger and light commercial vehicle fleet of more than 50% since the year 2000, has also contributed strongly to growth of the bank. </w:t>
      </w:r>
    </w:p>
    <w:p w14:paraId="134FC9D1" w14:textId="77777777" w:rsidR="00626D90" w:rsidRDefault="00626D90" w:rsidP="00626D90">
      <w:pPr>
        <w:rPr>
          <w:szCs w:val="22"/>
        </w:rPr>
      </w:pPr>
      <w:r>
        <w:rPr>
          <w:szCs w:val="22"/>
        </w:rPr>
        <w:t>During the same period, Australia’s increasing food exports have driven greater investments in refrigeration systems in agriculture and an expansion of the refrigerated cold food chain in Australia. This sector is also directly affected by hotter temperatures.</w:t>
      </w:r>
    </w:p>
    <w:p w14:paraId="76FE1051" w14:textId="77777777" w:rsidR="00626D90" w:rsidRDefault="00626D90" w:rsidP="00626D90">
      <w:pPr>
        <w:spacing w:before="0"/>
        <w:jc w:val="left"/>
        <w:rPr>
          <w:szCs w:val="22"/>
        </w:rPr>
      </w:pPr>
      <w:r>
        <w:rPr>
          <w:szCs w:val="22"/>
        </w:rPr>
        <w:br w:type="page"/>
      </w: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5D159D" w14:paraId="1E8C702F" w14:textId="77777777" w:rsidTr="00EF0FC0">
        <w:tc>
          <w:tcPr>
            <w:tcW w:w="9492" w:type="dxa"/>
            <w:vAlign w:val="center"/>
          </w:tcPr>
          <w:p w14:paraId="0BC4F8E0" w14:textId="77777777" w:rsidR="00626D90" w:rsidRPr="005D159D" w:rsidRDefault="00626D90" w:rsidP="00EF0FC0">
            <w:pPr>
              <w:spacing w:after="120"/>
              <w:jc w:val="center"/>
              <w:rPr>
                <w:b/>
                <w:sz w:val="24"/>
              </w:rPr>
            </w:pPr>
            <w:r w:rsidRPr="005D159D">
              <w:rPr>
                <w:b/>
                <w:sz w:val="24"/>
              </w:rPr>
              <w:lastRenderedPageBreak/>
              <w:br w:type="page"/>
            </w:r>
            <w:r>
              <w:rPr>
                <w:b/>
                <w:sz w:val="24"/>
              </w:rPr>
              <w:t xml:space="preserve">HCFC and HFC Refrigerant bank in Australia from 2006 to </w:t>
            </w:r>
            <w:r w:rsidRPr="004514A0">
              <w:rPr>
                <w:b/>
                <w:sz w:val="24"/>
              </w:rPr>
              <w:t>2019</w:t>
            </w:r>
            <w:r>
              <w:rPr>
                <w:b/>
                <w:sz w:val="24"/>
              </w:rPr>
              <w:t xml:space="preserve"> (tonnes)</w:t>
            </w:r>
          </w:p>
        </w:tc>
      </w:tr>
      <w:tr w:rsidR="00626D90" w:rsidRPr="00BD20BC" w14:paraId="30A0DFE0" w14:textId="77777777" w:rsidTr="00EF0FC0">
        <w:tc>
          <w:tcPr>
            <w:tcW w:w="9492" w:type="dxa"/>
            <w:vAlign w:val="center"/>
          </w:tcPr>
          <w:p w14:paraId="0CB88781" w14:textId="77777777" w:rsidR="00626D90" w:rsidRDefault="00626D90" w:rsidP="00EF0FC0">
            <w:pPr>
              <w:spacing w:before="60" w:after="60"/>
              <w:jc w:val="center"/>
              <w:rPr>
                <w:sz w:val="16"/>
                <w:szCs w:val="16"/>
              </w:rPr>
            </w:pPr>
          </w:p>
          <w:p w14:paraId="1E331DD5" w14:textId="77777777" w:rsidR="00626D90" w:rsidRDefault="00626D90" w:rsidP="00EF0FC0">
            <w:pPr>
              <w:spacing w:before="60" w:after="60"/>
              <w:jc w:val="center"/>
              <w:rPr>
                <w:sz w:val="16"/>
                <w:szCs w:val="16"/>
              </w:rPr>
            </w:pPr>
            <w:r>
              <w:rPr>
                <w:noProof/>
              </w:rPr>
              <w:drawing>
                <wp:inline distT="0" distB="0" distL="0" distR="0" wp14:anchorId="44940FD5" wp14:editId="7F303D4F">
                  <wp:extent cx="6030595" cy="3655695"/>
                  <wp:effectExtent l="0" t="0" r="1905" b="1905"/>
                  <wp:docPr id="1" name="Picture 1" descr="Graph shows growth in the HCFC and HFC refrigerant bank from around 33,000 metric tonnes in 2006, leveling off to around 54,000 tonnes b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3655695"/>
                          </a:xfrm>
                          <a:prstGeom prst="rect">
                            <a:avLst/>
                          </a:prstGeom>
                        </pic:spPr>
                      </pic:pic>
                    </a:graphicData>
                  </a:graphic>
                </wp:inline>
              </w:drawing>
            </w:r>
          </w:p>
          <w:p w14:paraId="2A0C302C" w14:textId="77777777" w:rsidR="00626D90" w:rsidRPr="00BD20BC" w:rsidRDefault="00626D90" w:rsidP="00EF0FC0">
            <w:pPr>
              <w:spacing w:before="60" w:after="60"/>
              <w:jc w:val="center"/>
              <w:rPr>
                <w:sz w:val="16"/>
                <w:szCs w:val="16"/>
              </w:rPr>
            </w:pPr>
          </w:p>
        </w:tc>
      </w:tr>
      <w:tr w:rsidR="00626D90" w:rsidRPr="00573A8B" w14:paraId="3324E163" w14:textId="77777777" w:rsidTr="00EF0FC0">
        <w:tc>
          <w:tcPr>
            <w:tcW w:w="9492" w:type="dxa"/>
            <w:vAlign w:val="center"/>
          </w:tcPr>
          <w:p w14:paraId="26B970B0" w14:textId="77777777" w:rsidR="00626D90" w:rsidRPr="00036F8F" w:rsidRDefault="00626D90" w:rsidP="00EF0FC0">
            <w:pPr>
              <w:pStyle w:val="Caption"/>
              <w:rPr>
                <w:szCs w:val="22"/>
              </w:rPr>
            </w:pPr>
            <w:bookmarkStart w:id="18" w:name="_Toc525141336"/>
            <w:bookmarkStart w:id="19" w:name="_Toc46846956"/>
            <w:r>
              <w:t xml:space="preserve">Figure </w:t>
            </w:r>
            <w:r w:rsidR="001B2EDA">
              <w:fldChar w:fldCharType="begin"/>
            </w:r>
            <w:r w:rsidR="001B2EDA">
              <w:instrText xml:space="preserve"> SEQ Figure \* ARABIC </w:instrText>
            </w:r>
            <w:r w:rsidR="001B2EDA">
              <w:fldChar w:fldCharType="separate"/>
            </w:r>
            <w:r>
              <w:rPr>
                <w:noProof/>
              </w:rPr>
              <w:t>1</w:t>
            </w:r>
            <w:r w:rsidR="001B2EDA">
              <w:rPr>
                <w:noProof/>
              </w:rPr>
              <w:fldChar w:fldCharType="end"/>
            </w:r>
            <w:r>
              <w:t xml:space="preserve">: </w:t>
            </w:r>
            <w:r w:rsidRPr="00036F8F">
              <w:rPr>
                <w:szCs w:val="22"/>
              </w:rPr>
              <w:t xml:space="preserve">The </w:t>
            </w:r>
            <w:r>
              <w:rPr>
                <w:szCs w:val="22"/>
              </w:rPr>
              <w:t>HCFC and HFC R</w:t>
            </w:r>
            <w:r w:rsidRPr="00036F8F">
              <w:rPr>
                <w:szCs w:val="22"/>
              </w:rPr>
              <w:t>efrigerant bank from 2006 to 201</w:t>
            </w:r>
            <w:r>
              <w:rPr>
                <w:szCs w:val="22"/>
              </w:rPr>
              <w:t>9</w:t>
            </w:r>
            <w:r w:rsidRPr="00036F8F">
              <w:rPr>
                <w:szCs w:val="22"/>
              </w:rPr>
              <w:t xml:space="preserve">, and sensitivity analysis in </w:t>
            </w:r>
            <w:proofErr w:type="spellStart"/>
            <w:r w:rsidRPr="00036F8F">
              <w:rPr>
                <w:szCs w:val="22"/>
              </w:rPr>
              <w:t>tonnes</w:t>
            </w:r>
            <w:proofErr w:type="spellEnd"/>
            <w:r w:rsidRPr="00036F8F">
              <w:rPr>
                <w:szCs w:val="22"/>
              </w:rPr>
              <w:t>.</w:t>
            </w:r>
            <w:bookmarkEnd w:id="18"/>
            <w:bookmarkEnd w:id="19"/>
          </w:p>
        </w:tc>
      </w:tr>
    </w:tbl>
    <w:p w14:paraId="28E75773" w14:textId="77777777" w:rsidR="00626D90" w:rsidRDefault="00626D90" w:rsidP="00626D90">
      <w:pPr>
        <w:spacing w:before="0"/>
        <w:rPr>
          <w:sz w:val="20"/>
          <w:szCs w:val="20"/>
        </w:rPr>
      </w:pPr>
      <w:r w:rsidRPr="00116557">
        <w:rPr>
          <w:sz w:val="20"/>
          <w:szCs w:val="20"/>
        </w:rPr>
        <w:t>(Sources:</w:t>
      </w:r>
      <w:r>
        <w:rPr>
          <w:sz w:val="20"/>
          <w:szCs w:val="20"/>
        </w:rPr>
        <w:t xml:space="preserve"> CHF1, CHF2 and CHF3 RAC Stock Models)</w:t>
      </w:r>
    </w:p>
    <w:p w14:paraId="4E12B15D" w14:textId="77777777" w:rsidR="00626D90" w:rsidRDefault="00626D90" w:rsidP="00626D90">
      <w:pPr>
        <w:spacing w:before="60"/>
        <w:rPr>
          <w:sz w:val="20"/>
          <w:szCs w:val="20"/>
        </w:rPr>
      </w:pPr>
      <w:r>
        <w:rPr>
          <w:sz w:val="20"/>
          <w:szCs w:val="20"/>
        </w:rPr>
        <w:t>Notes:</w:t>
      </w:r>
    </w:p>
    <w:p w14:paraId="3E2B2DC7" w14:textId="77777777" w:rsidR="00626D90" w:rsidRPr="00F76B96" w:rsidRDefault="00626D90" w:rsidP="00626D90">
      <w:pPr>
        <w:pStyle w:val="ListParagraph"/>
        <w:numPr>
          <w:ilvl w:val="0"/>
          <w:numId w:val="34"/>
        </w:numPr>
        <w:spacing w:before="60" w:after="0" w:line="240" w:lineRule="auto"/>
        <w:contextualSpacing w:val="0"/>
        <w:jc w:val="both"/>
        <w:rPr>
          <w:rFonts w:ascii="Times New Roman" w:hAnsi="Times New Roman"/>
          <w:sz w:val="20"/>
          <w:szCs w:val="20"/>
          <w:lang w:val="en-AU"/>
        </w:rPr>
      </w:pPr>
      <w:r w:rsidRPr="00F76B96">
        <w:rPr>
          <w:rFonts w:ascii="Times New Roman" w:hAnsi="Times New Roman"/>
          <w:sz w:val="20"/>
          <w:szCs w:val="20"/>
          <w:lang w:val="en-AU"/>
        </w:rPr>
        <w:t xml:space="preserve">The band </w:t>
      </w:r>
      <w:r>
        <w:rPr>
          <w:rFonts w:ascii="Times New Roman" w:hAnsi="Times New Roman"/>
          <w:sz w:val="20"/>
          <w:szCs w:val="20"/>
          <w:lang w:val="en-AU"/>
        </w:rPr>
        <w:t xml:space="preserve">provides </w:t>
      </w:r>
      <w:r w:rsidRPr="00F76B96">
        <w:rPr>
          <w:rFonts w:ascii="Times New Roman" w:hAnsi="Times New Roman"/>
          <w:sz w:val="20"/>
          <w:szCs w:val="20"/>
          <w:lang w:val="en-AU"/>
        </w:rPr>
        <w:t xml:space="preserve">sensitivity analysis with the 2006 value (+20%, -5%), 2012 </w:t>
      </w:r>
      <w:r>
        <w:rPr>
          <w:rFonts w:ascii="Times New Roman" w:hAnsi="Times New Roman"/>
          <w:sz w:val="20"/>
          <w:szCs w:val="20"/>
          <w:lang w:val="en-AU"/>
        </w:rPr>
        <w:t>value</w:t>
      </w:r>
      <w:r w:rsidRPr="00F76B96">
        <w:rPr>
          <w:rFonts w:ascii="Times New Roman" w:hAnsi="Times New Roman"/>
          <w:sz w:val="20"/>
          <w:szCs w:val="20"/>
          <w:lang w:val="en-AU"/>
        </w:rPr>
        <w:t xml:space="preserve"> (+10%, -5%)</w:t>
      </w:r>
      <w:r>
        <w:rPr>
          <w:rFonts w:ascii="Times New Roman" w:hAnsi="Times New Roman"/>
          <w:sz w:val="20"/>
          <w:szCs w:val="20"/>
          <w:lang w:val="en-AU"/>
        </w:rPr>
        <w:t>,</w:t>
      </w:r>
      <w:r w:rsidRPr="00F76B96">
        <w:rPr>
          <w:rFonts w:ascii="Times New Roman" w:hAnsi="Times New Roman"/>
          <w:sz w:val="20"/>
          <w:szCs w:val="20"/>
          <w:lang w:val="en-AU"/>
        </w:rPr>
        <w:t xml:space="preserve"> 2016 </w:t>
      </w:r>
      <w:r>
        <w:rPr>
          <w:rFonts w:ascii="Times New Roman" w:hAnsi="Times New Roman"/>
          <w:sz w:val="20"/>
          <w:szCs w:val="20"/>
          <w:lang w:val="en-AU"/>
        </w:rPr>
        <w:t xml:space="preserve">and 2018 </w:t>
      </w:r>
      <w:r w:rsidRPr="00F76B96">
        <w:rPr>
          <w:rFonts w:ascii="Times New Roman" w:hAnsi="Times New Roman"/>
          <w:sz w:val="20"/>
          <w:szCs w:val="20"/>
          <w:lang w:val="en-AU"/>
        </w:rPr>
        <w:t>value</w:t>
      </w:r>
      <w:r>
        <w:rPr>
          <w:rFonts w:ascii="Times New Roman" w:hAnsi="Times New Roman"/>
          <w:sz w:val="20"/>
          <w:szCs w:val="20"/>
          <w:lang w:val="en-AU"/>
        </w:rPr>
        <w:t>s</w:t>
      </w:r>
      <w:r w:rsidRPr="00F76B96">
        <w:rPr>
          <w:rFonts w:ascii="Times New Roman" w:hAnsi="Times New Roman"/>
          <w:sz w:val="20"/>
          <w:szCs w:val="20"/>
          <w:lang w:val="en-AU"/>
        </w:rPr>
        <w:t xml:space="preserve"> (+5%, -5%).</w:t>
      </w:r>
      <w:r>
        <w:rPr>
          <w:rFonts w:ascii="Times New Roman" w:hAnsi="Times New Roman"/>
          <w:sz w:val="20"/>
          <w:szCs w:val="20"/>
          <w:lang w:val="en-AU"/>
        </w:rPr>
        <w:t xml:space="preserve"> In CHF2 </w:t>
      </w:r>
      <w:r w:rsidRPr="00F76B96">
        <w:rPr>
          <w:rFonts w:ascii="Times New Roman" w:hAnsi="Times New Roman"/>
          <w:sz w:val="20"/>
          <w:szCs w:val="20"/>
          <w:lang w:val="en-AU"/>
        </w:rPr>
        <w:t>the authors concluded that the 2006 bank was likely to have been underestimated by no more than 10%</w:t>
      </w:r>
      <w:r>
        <w:rPr>
          <w:rFonts w:ascii="Times New Roman" w:hAnsi="Times New Roman"/>
          <w:sz w:val="20"/>
          <w:szCs w:val="20"/>
          <w:lang w:val="en-AU"/>
        </w:rPr>
        <w:t>, the value of 33,185 tonnes represents higher estimate.</w:t>
      </w:r>
    </w:p>
    <w:p w14:paraId="198801D6" w14:textId="77777777" w:rsidR="00626D90" w:rsidRDefault="00626D90" w:rsidP="00626D90">
      <w:pPr>
        <w:rPr>
          <w:szCs w:val="22"/>
        </w:rPr>
      </w:pPr>
    </w:p>
    <w:p w14:paraId="11BB40B8" w14:textId="77777777" w:rsidR="00626D90" w:rsidRDefault="00626D90" w:rsidP="00626D90">
      <w:pPr>
        <w:rPr>
          <w:szCs w:val="22"/>
        </w:rPr>
      </w:pPr>
      <w:r>
        <w:rPr>
          <w:szCs w:val="22"/>
        </w:rPr>
        <w:t>The total bank i</w:t>
      </w:r>
      <w:r w:rsidRPr="00670A4E">
        <w:rPr>
          <w:szCs w:val="22"/>
        </w:rPr>
        <w:t>n 201</w:t>
      </w:r>
      <w:r>
        <w:rPr>
          <w:szCs w:val="22"/>
        </w:rPr>
        <w:t>9</w:t>
      </w:r>
      <w:r w:rsidRPr="00670A4E">
        <w:rPr>
          <w:szCs w:val="22"/>
        </w:rPr>
        <w:t xml:space="preserve"> is estimated at approximately 5</w:t>
      </w:r>
      <w:r>
        <w:rPr>
          <w:szCs w:val="22"/>
        </w:rPr>
        <w:t>3</w:t>
      </w:r>
      <w:r w:rsidRPr="00670A4E">
        <w:rPr>
          <w:szCs w:val="22"/>
        </w:rPr>
        <w:t>,</w:t>
      </w:r>
      <w:r>
        <w:rPr>
          <w:szCs w:val="22"/>
        </w:rPr>
        <w:t xml:space="preserve">581 </w:t>
      </w:r>
      <w:r w:rsidRPr="00670A4E">
        <w:rPr>
          <w:szCs w:val="22"/>
        </w:rPr>
        <w:t>tonnes (</w:t>
      </w:r>
      <w:r w:rsidRPr="00664596">
        <w:rPr>
          <w:i/>
          <w:iCs/>
          <w:szCs w:val="22"/>
        </w:rPr>
        <w:t>CHF3 2016, 50,756 tonnes</w:t>
      </w:r>
      <w:r w:rsidRPr="00670A4E">
        <w:rPr>
          <w:szCs w:val="22"/>
        </w:rPr>
        <w:t xml:space="preserve">). </w:t>
      </w:r>
      <w:r>
        <w:rPr>
          <w:szCs w:val="22"/>
        </w:rPr>
        <w:t xml:space="preserve">This is the slowest rate of growth in the bank since the research series began in 2006. </w:t>
      </w:r>
    </w:p>
    <w:p w14:paraId="57AE7B61" w14:textId="77777777" w:rsidR="00626D90" w:rsidRDefault="00626D90" w:rsidP="00626D90">
      <w:pPr>
        <w:rPr>
          <w:szCs w:val="22"/>
        </w:rPr>
      </w:pPr>
      <w:r w:rsidRPr="00EB5B40">
        <w:rPr>
          <w:szCs w:val="22"/>
        </w:rPr>
        <w:t xml:space="preserve">Using the starting point of 33,185 tonnes in 2006, the </w:t>
      </w:r>
      <w:r>
        <w:rPr>
          <w:szCs w:val="22"/>
        </w:rPr>
        <w:t xml:space="preserve">regulated </w:t>
      </w:r>
      <w:r w:rsidRPr="00EB5B40">
        <w:rPr>
          <w:szCs w:val="22"/>
        </w:rPr>
        <w:t xml:space="preserve">bank </w:t>
      </w:r>
      <w:r>
        <w:rPr>
          <w:szCs w:val="22"/>
        </w:rPr>
        <w:t xml:space="preserve">grew </w:t>
      </w:r>
      <w:r w:rsidRPr="00EB5B40">
        <w:rPr>
          <w:szCs w:val="22"/>
        </w:rPr>
        <w:t xml:space="preserve">by </w:t>
      </w:r>
      <w:r>
        <w:rPr>
          <w:szCs w:val="22"/>
        </w:rPr>
        <w:t xml:space="preserve">around </w:t>
      </w:r>
      <w:r w:rsidRPr="00EB5B40">
        <w:rPr>
          <w:szCs w:val="22"/>
        </w:rPr>
        <w:t>5</w:t>
      </w:r>
      <w:r>
        <w:rPr>
          <w:szCs w:val="22"/>
        </w:rPr>
        <w:t>3</w:t>
      </w:r>
      <w:r w:rsidRPr="00EB5B40">
        <w:rPr>
          <w:szCs w:val="22"/>
        </w:rPr>
        <w:t>% between 2006 and 2016</w:t>
      </w:r>
      <w:r>
        <w:rPr>
          <w:szCs w:val="22"/>
        </w:rPr>
        <w:t>,</w:t>
      </w:r>
      <w:r w:rsidRPr="00EB5B40">
        <w:rPr>
          <w:szCs w:val="22"/>
        </w:rPr>
        <w:t xml:space="preserve"> equivalent to a compound annual growth rate of 4.</w:t>
      </w:r>
      <w:r>
        <w:rPr>
          <w:szCs w:val="22"/>
        </w:rPr>
        <w:t>3</w:t>
      </w:r>
      <w:r w:rsidRPr="00EB5B40">
        <w:rPr>
          <w:szCs w:val="22"/>
        </w:rPr>
        <w:t xml:space="preserve">% over the period. However, </w:t>
      </w:r>
      <w:r>
        <w:rPr>
          <w:szCs w:val="22"/>
        </w:rPr>
        <w:t xml:space="preserve">from </w:t>
      </w:r>
      <w:r w:rsidRPr="00EB5B40">
        <w:rPr>
          <w:szCs w:val="22"/>
        </w:rPr>
        <w:t xml:space="preserve">2016 to 2019 the bank </w:t>
      </w:r>
      <w:r>
        <w:rPr>
          <w:szCs w:val="22"/>
        </w:rPr>
        <w:t xml:space="preserve">of HFCs and HCFCs </w:t>
      </w:r>
      <w:r w:rsidRPr="00EB5B40">
        <w:rPr>
          <w:szCs w:val="22"/>
        </w:rPr>
        <w:t xml:space="preserve">has only increased </w:t>
      </w:r>
      <w:r>
        <w:rPr>
          <w:szCs w:val="22"/>
        </w:rPr>
        <w:t>slightly</w:t>
      </w:r>
      <w:r w:rsidRPr="00EB5B40">
        <w:rPr>
          <w:szCs w:val="22"/>
        </w:rPr>
        <w:t xml:space="preserve"> more than 5.5%, </w:t>
      </w:r>
      <w:r>
        <w:rPr>
          <w:szCs w:val="22"/>
        </w:rPr>
        <w:t xml:space="preserve">achieving a </w:t>
      </w:r>
      <w:r w:rsidRPr="00EB5B40">
        <w:rPr>
          <w:szCs w:val="22"/>
        </w:rPr>
        <w:t xml:space="preserve">compound annual growth </w:t>
      </w:r>
      <w:r>
        <w:rPr>
          <w:szCs w:val="22"/>
        </w:rPr>
        <w:t xml:space="preserve">rate </w:t>
      </w:r>
      <w:r w:rsidRPr="00EB5B40">
        <w:rPr>
          <w:szCs w:val="22"/>
        </w:rPr>
        <w:t>of just 1.8%.</w:t>
      </w:r>
    </w:p>
    <w:p w14:paraId="5BC01C57" w14:textId="77777777" w:rsidR="00626D90" w:rsidRDefault="00626D90" w:rsidP="00626D90">
      <w:pPr>
        <w:rPr>
          <w:szCs w:val="22"/>
        </w:rPr>
      </w:pPr>
      <w:r>
        <w:rPr>
          <w:szCs w:val="22"/>
        </w:rPr>
        <w:t>This shows the slowdown in the rate of growth of HFCs in the bank, as sales of small split AC systems have stabilised and then declined, and as non-HFC alternatives have taken more market share in some equipment segments (particularly in domestic refrigerators and self-contained commercial refrigeration).</w:t>
      </w:r>
    </w:p>
    <w:p w14:paraId="740C2938" w14:textId="77777777" w:rsidR="00626D90" w:rsidRDefault="00626D90" w:rsidP="00626D90">
      <w:pPr>
        <w:rPr>
          <w:szCs w:val="22"/>
        </w:rPr>
      </w:pPr>
      <w:r>
        <w:rPr>
          <w:szCs w:val="22"/>
        </w:rPr>
        <w:t>Notably, additional to large ammonia charged systems, there is estimated to be slightly more than 1,000 metric tonnes of non-HFC natural and low GWP refrigerants with a GWP&lt;10 in use in the stock of equipment in 2019, an increase of more than 13% on just one year earlier. While this low GWP refrigerant bank is only equivalent to slightly less than 2% of the metric tonnes employed in the bank of regulated refrigerants, it is growing rapidly and is taking market share from HFCs. Efforts to improve the quality of data about the rate of adoption of these unregulated and therefore unreported refrigerants are underway and monitoring will continue.</w:t>
      </w:r>
    </w:p>
    <w:p w14:paraId="11962D9A" w14:textId="77777777" w:rsidR="00626D90" w:rsidRDefault="00626D90" w:rsidP="00626D90">
      <w:pPr>
        <w:rPr>
          <w:szCs w:val="22"/>
        </w:rPr>
      </w:pPr>
      <w:bookmarkStart w:id="20" w:name="_Hlk45705828"/>
      <w:r>
        <w:rPr>
          <w:szCs w:val="22"/>
        </w:rPr>
        <w:lastRenderedPageBreak/>
        <w:t>Having successfully implemented an international phase out of ozone depleting refrigerants, international governments and the refrigerants industry have started a phase down of HFCs, including refrigerants, to further reduce emissions. This is resulting in increasing diversity in the types of refrigerants employed in equipment as a fourth generation of refrigerants is developed and tested, and existing natural refrigerants find wider applications.</w:t>
      </w:r>
    </w:p>
    <w:bookmarkEnd w:id="20"/>
    <w:p w14:paraId="496021EB" w14:textId="77777777" w:rsidR="00626D90" w:rsidRDefault="00626D90" w:rsidP="00626D90">
      <w:pPr>
        <w:rPr>
          <w:szCs w:val="22"/>
        </w:rPr>
      </w:pPr>
    </w:p>
    <w:p w14:paraId="08021E53" w14:textId="77777777" w:rsidR="00626D90" w:rsidRPr="00630668" w:rsidRDefault="00626D90" w:rsidP="00626D90">
      <w:pPr>
        <w:pStyle w:val="Heading2"/>
        <w:jc w:val="both"/>
      </w:pPr>
      <w:bookmarkStart w:id="21" w:name="_Toc525141272"/>
      <w:bookmarkStart w:id="22" w:name="_Toc46923723"/>
      <w:r>
        <w:t>Constituents of the b</w:t>
      </w:r>
      <w:r w:rsidRPr="00630668">
        <w:t>ank, GWP and CO</w:t>
      </w:r>
      <w:r w:rsidRPr="001C39FD">
        <w:rPr>
          <w:vertAlign w:val="subscript"/>
        </w:rPr>
        <w:t>2</w:t>
      </w:r>
      <w:r w:rsidRPr="00630668">
        <w:t>e</w:t>
      </w:r>
      <w:bookmarkEnd w:id="21"/>
      <w:bookmarkEnd w:id="22"/>
    </w:p>
    <w:p w14:paraId="5452037C" w14:textId="77777777" w:rsidR="00626D90" w:rsidRPr="005441AE" w:rsidRDefault="00626D90" w:rsidP="00626D90">
      <w:pPr>
        <w:rPr>
          <w:rFonts w:cs="Times New Roman"/>
          <w:szCs w:val="22"/>
        </w:rPr>
      </w:pPr>
      <w:r w:rsidRPr="005441AE">
        <w:rPr>
          <w:rFonts w:cs="Times New Roman"/>
          <w:szCs w:val="22"/>
        </w:rPr>
        <w:t xml:space="preserve">The main </w:t>
      </w:r>
      <w:r>
        <w:rPr>
          <w:rFonts w:cs="Times New Roman"/>
          <w:szCs w:val="22"/>
        </w:rPr>
        <w:t>species of refrigerants</w:t>
      </w:r>
      <w:r w:rsidRPr="005441AE">
        <w:rPr>
          <w:rFonts w:cs="Times New Roman"/>
          <w:szCs w:val="22"/>
        </w:rPr>
        <w:t xml:space="preserve"> in use today</w:t>
      </w:r>
      <w:r>
        <w:rPr>
          <w:rFonts w:cs="Times New Roman"/>
          <w:szCs w:val="22"/>
        </w:rPr>
        <w:t>, described below in order of proportion of the bank they comprise,</w:t>
      </w:r>
      <w:r w:rsidRPr="005441AE">
        <w:rPr>
          <w:rFonts w:cs="Times New Roman"/>
          <w:szCs w:val="22"/>
        </w:rPr>
        <w:t xml:space="preserve"> are:</w:t>
      </w:r>
    </w:p>
    <w:p w14:paraId="695C81C3" w14:textId="77777777" w:rsidR="00626D90" w:rsidRPr="00316CE5" w:rsidRDefault="00626D90" w:rsidP="00626D90">
      <w:pPr>
        <w:pStyle w:val="ListBullet"/>
        <w:numPr>
          <w:ilvl w:val="0"/>
          <w:numId w:val="9"/>
        </w:numPr>
        <w:ind w:left="357" w:hanging="357"/>
        <w:contextualSpacing w:val="0"/>
      </w:pPr>
      <w:r w:rsidRPr="007E3E14">
        <w:t>HFCs comprise 48,500 tonnes, or 90% of the bank, up from 83% in 2016.</w:t>
      </w:r>
      <w:r w:rsidRPr="00316CE5">
        <w:t xml:space="preserve"> </w:t>
      </w:r>
      <w:r>
        <w:t>The half dozen most common</w:t>
      </w:r>
      <w:r w:rsidRPr="00316CE5">
        <w:t xml:space="preserve"> HFCs </w:t>
      </w:r>
      <w:r>
        <w:t>that make up the majority of the bank</w:t>
      </w:r>
      <w:r w:rsidRPr="00316CE5">
        <w:t xml:space="preserve"> have </w:t>
      </w:r>
      <w:r>
        <w:t xml:space="preserve">high </w:t>
      </w:r>
      <w:r w:rsidRPr="00316CE5">
        <w:t>GWP values</w:t>
      </w:r>
      <w:r>
        <w:t>,</w:t>
      </w:r>
      <w:r w:rsidRPr="00316CE5">
        <w:t xml:space="preserve"> ranging from 675 for HFC-32</w:t>
      </w:r>
      <w:r>
        <w:t>,</w:t>
      </w:r>
      <w:r w:rsidRPr="00316CE5">
        <w:t xml:space="preserve"> to 3922 for HFC-404A. HFCs are now subject to an international agreement to phase down their production </w:t>
      </w:r>
      <w:r>
        <w:t xml:space="preserve">and consumption </w:t>
      </w:r>
      <w:r w:rsidRPr="00316CE5">
        <w:t xml:space="preserve">gradually from 2019 towards a 2036 target </w:t>
      </w:r>
      <w:r>
        <w:t xml:space="preserve">capped at </w:t>
      </w:r>
      <w:r w:rsidRPr="00316CE5">
        <w:t xml:space="preserve">15% of recent levels of </w:t>
      </w:r>
      <w:r>
        <w:t xml:space="preserve">annual global </w:t>
      </w:r>
      <w:r w:rsidRPr="00316CE5">
        <w:t>production</w:t>
      </w:r>
      <w:bookmarkStart w:id="23" w:name="_Hlk508554087"/>
      <w:r>
        <w:t xml:space="preserve"> and </w:t>
      </w:r>
      <w:proofErr w:type="gramStart"/>
      <w:r>
        <w:t>consumption</w:t>
      </w:r>
      <w:r w:rsidRPr="00316CE5">
        <w:t>;</w:t>
      </w:r>
      <w:proofErr w:type="gramEnd"/>
    </w:p>
    <w:bookmarkEnd w:id="23"/>
    <w:p w14:paraId="1CEB0E41" w14:textId="77777777" w:rsidR="00626D90" w:rsidRPr="005441AE" w:rsidRDefault="00626D90" w:rsidP="00626D90">
      <w:pPr>
        <w:pStyle w:val="ListBullet"/>
        <w:numPr>
          <w:ilvl w:val="0"/>
          <w:numId w:val="9"/>
        </w:numPr>
        <w:ind w:left="357" w:hanging="357"/>
        <w:contextualSpacing w:val="0"/>
      </w:pPr>
      <w:r w:rsidRPr="007E3E14">
        <w:t>HCFCs and CFC make up 4,700 tonnes or 8.7% of the bank (down from 16% in 2016).</w:t>
      </w:r>
      <w:r>
        <w:t xml:space="preserve"> These were </w:t>
      </w:r>
      <w:r w:rsidRPr="005441AE">
        <w:t>once the most common species of refrigerant</w:t>
      </w:r>
      <w:r>
        <w:t xml:space="preserve"> in use. </w:t>
      </w:r>
      <w:r w:rsidRPr="005441AE">
        <w:t>HCFCs are</w:t>
      </w:r>
      <w:r>
        <w:t xml:space="preserve"> being </w:t>
      </w:r>
      <w:r w:rsidRPr="005441AE">
        <w:t xml:space="preserve">phased out of </w:t>
      </w:r>
      <w:r>
        <w:t>production</w:t>
      </w:r>
      <w:r w:rsidRPr="005441AE">
        <w:t xml:space="preserve"> under </w:t>
      </w:r>
      <w:r>
        <w:t xml:space="preserve">the </w:t>
      </w:r>
      <w:r w:rsidRPr="005441AE">
        <w:t>Montreal Protocol</w:t>
      </w:r>
      <w:r>
        <w:t xml:space="preserve">, an agreement established in 1987. Significant volumes, particularly of HCFCs, are still employed in the stock of equipment and, due to the long life of some types of equipment, are expected to persist in the economy and the environment well towards the end of the </w:t>
      </w:r>
      <w:proofErr w:type="gramStart"/>
      <w:r>
        <w:t>2020s</w:t>
      </w:r>
      <w:r w:rsidRPr="005441AE">
        <w:t>;</w:t>
      </w:r>
      <w:proofErr w:type="gramEnd"/>
    </w:p>
    <w:p w14:paraId="008E831F" w14:textId="77777777" w:rsidR="00626D90" w:rsidRPr="00707E36" w:rsidRDefault="00626D90" w:rsidP="00626D90">
      <w:pPr>
        <w:pStyle w:val="ListBullet"/>
        <w:numPr>
          <w:ilvl w:val="0"/>
          <w:numId w:val="9"/>
        </w:numPr>
        <w:contextualSpacing w:val="0"/>
      </w:pPr>
      <w:r w:rsidRPr="00193B05">
        <w:t>The bank of natural refrigerants in commercial refrigeration and mobile applications</w:t>
      </w:r>
      <w:r>
        <w:t xml:space="preserve"> in 2019</w:t>
      </w:r>
      <w:r w:rsidRPr="00193B05">
        <w:t xml:space="preserve"> is estimated at </w:t>
      </w:r>
      <w:r>
        <w:t>around 1,000</w:t>
      </w:r>
      <w:r w:rsidRPr="00193B05">
        <w:t xml:space="preserve"> tonnes</w:t>
      </w:r>
      <w:r>
        <w:t xml:space="preserve"> (up quite strongly from 700 tonnes in 2016)</w:t>
      </w:r>
      <w:r w:rsidRPr="00193B05">
        <w:t xml:space="preserve">. </w:t>
      </w:r>
      <w:r>
        <w:t>Natural refrigerants</w:t>
      </w:r>
      <w:r w:rsidRPr="00193B05">
        <w:t xml:space="preserve"> </w:t>
      </w:r>
      <w:r>
        <w:t xml:space="preserve">are </w:t>
      </w:r>
      <w:r w:rsidRPr="00193B05">
        <w:t>a group of refrigerants including ammonia, hydrocarbons and CO</w:t>
      </w:r>
      <w:r w:rsidRPr="00193B05">
        <w:rPr>
          <w:vertAlign w:val="subscript"/>
        </w:rPr>
        <w:t>2</w:t>
      </w:r>
      <w:r w:rsidRPr="00193B05">
        <w:t xml:space="preserve">, that have very low or zero GWP, but </w:t>
      </w:r>
      <w:r>
        <w:t xml:space="preserve">that may </w:t>
      </w:r>
      <w:r w:rsidRPr="00193B05">
        <w:t>have other properties, such as flammability, toxicity or requirements for high</w:t>
      </w:r>
      <w:r>
        <w:t>er</w:t>
      </w:r>
      <w:r w:rsidRPr="00193B05">
        <w:t xml:space="preserve"> operating pressures</w:t>
      </w:r>
      <w:r>
        <w:t>,</w:t>
      </w:r>
      <w:r w:rsidRPr="00193B05">
        <w:t xml:space="preserve"> that limit their use in some applications</w:t>
      </w:r>
      <w:r w:rsidRPr="00193B05">
        <w:rPr>
          <w:rStyle w:val="FootnoteReference"/>
        </w:rPr>
        <w:footnoteReference w:id="10"/>
      </w:r>
      <w:r>
        <w:t>.</w:t>
      </w:r>
      <w:r w:rsidRPr="00193B05">
        <w:t xml:space="preserve"> There is a further estimated </w:t>
      </w:r>
      <w:r w:rsidRPr="000425DE">
        <w:t>5,000 tonnes</w:t>
      </w:r>
      <w:r w:rsidRPr="00193B05">
        <w:t xml:space="preserve"> of ammonia in use in the cold food chain, the vast majority of which is in large chilling, blast freezing and ice making systems in the primary and secondary stages of the cold food chain, and large cold storage distribution centres.</w:t>
      </w:r>
      <w:r>
        <w:t xml:space="preserve"> These </w:t>
      </w:r>
      <w:r w:rsidRPr="00707E36">
        <w:t xml:space="preserve">ammonia refrigerants are not included in the estimate of the bank in 2019 as illustrated in </w:t>
      </w:r>
      <w:r w:rsidRPr="00707E36">
        <w:rPr>
          <w:i/>
          <w:iCs/>
        </w:rPr>
        <w:t>Figure</w:t>
      </w:r>
      <w:r>
        <w:rPr>
          <w:i/>
          <w:iCs/>
        </w:rPr>
        <w:t> </w:t>
      </w:r>
      <w:r w:rsidRPr="00707E36">
        <w:rPr>
          <w:i/>
          <w:iCs/>
        </w:rPr>
        <w:t>2</w:t>
      </w:r>
      <w:r w:rsidRPr="00707E36">
        <w:t>.</w:t>
      </w:r>
    </w:p>
    <w:p w14:paraId="7648F5E1" w14:textId="77777777" w:rsidR="00626D90" w:rsidRPr="00630668" w:rsidRDefault="00626D90" w:rsidP="00626D90">
      <w:pPr>
        <w:pStyle w:val="ListBullet"/>
        <w:numPr>
          <w:ilvl w:val="0"/>
          <w:numId w:val="9"/>
        </w:numPr>
        <w:ind w:left="357" w:hanging="357"/>
        <w:contextualSpacing w:val="0"/>
        <w:rPr>
          <w:szCs w:val="22"/>
        </w:rPr>
      </w:pPr>
      <w:r>
        <w:t xml:space="preserve">HFOs are the newest generation of synthetic refrigerants that, in most cases, are mildly flammable, but exhibit the properties of thermal stability and non-toxicity that HFCs provide, while also having very low GWPs (the GWPs of HFO-1234yf and HFO-1234ze are 5 and </w:t>
      </w:r>
      <w:r w:rsidRPr="0048328C">
        <w:rPr>
          <w:rFonts w:cs="Times New Roman"/>
          <w:szCs w:val="22"/>
          <w:lang w:val="en-US"/>
        </w:rPr>
        <w:t>1</w:t>
      </w:r>
      <w:r>
        <w:rPr>
          <w:rFonts w:cs="Times New Roman"/>
          <w:szCs w:val="22"/>
          <w:lang w:val="en-US"/>
        </w:rPr>
        <w:t>, respectively</w:t>
      </w:r>
      <w:r>
        <w:t>).</w:t>
      </w:r>
      <w:r>
        <w:rPr>
          <w:rStyle w:val="FootnoteReference"/>
          <w:rFonts w:cs="Times New Roman"/>
          <w:szCs w:val="22"/>
          <w:lang w:val="en-US"/>
        </w:rPr>
        <w:footnoteReference w:id="11"/>
      </w:r>
      <w:r>
        <w:t xml:space="preserve"> HFOs are entering into service internationally, initially in new motor vehicles, and chiller manufacturers are offering models that employ HFOs due in part to the energy efficiency gains they deliver. In 2019 there was no significant volume of HFOs</w:t>
      </w:r>
      <w:r>
        <w:rPr>
          <w:rStyle w:val="FootnoteReference"/>
        </w:rPr>
        <w:footnoteReference w:id="12"/>
      </w:r>
      <w:r>
        <w:t xml:space="preserve"> in use in equipment in Australia.</w:t>
      </w:r>
    </w:p>
    <w:p w14:paraId="680DACBA" w14:textId="77777777" w:rsidR="00626D90" w:rsidRPr="003D2C52" w:rsidRDefault="00626D90" w:rsidP="00626D90">
      <w:pPr>
        <w:rPr>
          <w:szCs w:val="22"/>
        </w:rPr>
      </w:pPr>
      <w:r w:rsidRPr="003D2C52">
        <w:rPr>
          <w:szCs w:val="22"/>
        </w:rPr>
        <w:t xml:space="preserve">The effects of </w:t>
      </w:r>
      <w:r>
        <w:rPr>
          <w:szCs w:val="22"/>
        </w:rPr>
        <w:t>regulation, the introduction of new generations of gases,</w:t>
      </w:r>
      <w:r w:rsidRPr="003D2C52">
        <w:rPr>
          <w:szCs w:val="22"/>
        </w:rPr>
        <w:t xml:space="preserve"> </w:t>
      </w:r>
      <w:r>
        <w:rPr>
          <w:szCs w:val="22"/>
        </w:rPr>
        <w:t xml:space="preserve">changing </w:t>
      </w:r>
      <w:r w:rsidRPr="003D2C52">
        <w:rPr>
          <w:szCs w:val="22"/>
        </w:rPr>
        <w:t xml:space="preserve">consumer demand </w:t>
      </w:r>
      <w:r>
        <w:rPr>
          <w:szCs w:val="22"/>
        </w:rPr>
        <w:t>and industry trends have all contributed to the current make-up of the refrigerant bank in 2019.</w:t>
      </w:r>
    </w:p>
    <w:p w14:paraId="6FA847D7" w14:textId="77777777" w:rsidR="00626D90" w:rsidRDefault="00626D90" w:rsidP="00626D90">
      <w:pPr>
        <w:spacing w:before="0"/>
        <w:jc w:val="left"/>
        <w:rPr>
          <w:szCs w:val="22"/>
        </w:rPr>
      </w:pPr>
      <w:r>
        <w:rPr>
          <w:szCs w:val="22"/>
        </w:rPr>
        <w:br w:type="page"/>
      </w: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5D159D" w14:paraId="0E55C26C" w14:textId="77777777" w:rsidTr="00EF0FC0">
        <w:tc>
          <w:tcPr>
            <w:tcW w:w="9492" w:type="dxa"/>
            <w:vAlign w:val="center"/>
          </w:tcPr>
          <w:p w14:paraId="25D8EF01" w14:textId="77777777" w:rsidR="00626D90" w:rsidRPr="005D159D" w:rsidRDefault="00626D90" w:rsidP="00EF0FC0">
            <w:pPr>
              <w:spacing w:after="120"/>
              <w:jc w:val="center"/>
              <w:rPr>
                <w:b/>
                <w:sz w:val="24"/>
              </w:rPr>
            </w:pPr>
            <w:r w:rsidRPr="005D159D">
              <w:rPr>
                <w:b/>
                <w:sz w:val="24"/>
              </w:rPr>
              <w:lastRenderedPageBreak/>
              <w:br w:type="page"/>
            </w:r>
            <w:r w:rsidRPr="004514A0">
              <w:rPr>
                <w:b/>
                <w:sz w:val="24"/>
              </w:rPr>
              <w:t>Bank by species 2006, 2012, 2016, 2018, 2019 (tonnes)</w:t>
            </w:r>
          </w:p>
        </w:tc>
      </w:tr>
      <w:tr w:rsidR="00626D90" w:rsidRPr="00BD20BC" w14:paraId="7023357E" w14:textId="77777777" w:rsidTr="00EF0FC0">
        <w:tc>
          <w:tcPr>
            <w:tcW w:w="9492" w:type="dxa"/>
            <w:vAlign w:val="center"/>
          </w:tcPr>
          <w:p w14:paraId="0B106089" w14:textId="77777777" w:rsidR="00626D90" w:rsidRDefault="00626D90" w:rsidP="00EF0FC0">
            <w:pPr>
              <w:spacing w:before="60" w:after="60"/>
              <w:jc w:val="center"/>
              <w:rPr>
                <w:sz w:val="16"/>
                <w:szCs w:val="16"/>
              </w:rPr>
            </w:pPr>
          </w:p>
          <w:p w14:paraId="0E541D32" w14:textId="77777777" w:rsidR="00626D90" w:rsidRDefault="00626D90" w:rsidP="00EF0FC0">
            <w:pPr>
              <w:spacing w:before="60" w:after="60"/>
              <w:jc w:val="center"/>
              <w:rPr>
                <w:sz w:val="16"/>
                <w:szCs w:val="16"/>
              </w:rPr>
            </w:pPr>
            <w:r>
              <w:rPr>
                <w:noProof/>
              </w:rPr>
              <w:drawing>
                <wp:inline distT="0" distB="0" distL="0" distR="0" wp14:anchorId="78AD0538" wp14:editId="20AE298F">
                  <wp:extent cx="5803200" cy="2529205"/>
                  <wp:effectExtent l="0" t="0" r="1270" b="0"/>
                  <wp:docPr id="2" name="Picture 2" descr="Shows the refrigerant bank by species in metric tonnes for 2006, 2012, 2016, 2018, and 2019. HCFC 22 declines, while HFCs 134A, 404A, 410A and 32 grow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640" cy="2530704"/>
                          </a:xfrm>
                          <a:prstGeom prst="rect">
                            <a:avLst/>
                          </a:prstGeom>
                        </pic:spPr>
                      </pic:pic>
                    </a:graphicData>
                  </a:graphic>
                </wp:inline>
              </w:drawing>
            </w:r>
          </w:p>
          <w:p w14:paraId="4BF0CE32" w14:textId="77777777" w:rsidR="00626D90" w:rsidRPr="00BD20BC" w:rsidRDefault="00626D90" w:rsidP="00EF0FC0">
            <w:pPr>
              <w:spacing w:before="60" w:after="60"/>
              <w:jc w:val="center"/>
              <w:rPr>
                <w:sz w:val="16"/>
                <w:szCs w:val="16"/>
              </w:rPr>
            </w:pPr>
          </w:p>
        </w:tc>
      </w:tr>
      <w:tr w:rsidR="00626D90" w:rsidRPr="00573A8B" w14:paraId="45AAC5E0" w14:textId="77777777" w:rsidTr="00EF0FC0">
        <w:tc>
          <w:tcPr>
            <w:tcW w:w="9492" w:type="dxa"/>
            <w:vAlign w:val="center"/>
          </w:tcPr>
          <w:p w14:paraId="11C8211B" w14:textId="77777777" w:rsidR="00626D90" w:rsidRPr="00BB16C6" w:rsidRDefault="00626D90" w:rsidP="00EF0FC0">
            <w:pPr>
              <w:pStyle w:val="Caption"/>
              <w:rPr>
                <w:szCs w:val="22"/>
              </w:rPr>
            </w:pPr>
            <w:bookmarkStart w:id="24" w:name="_Toc525141337"/>
            <w:bookmarkStart w:id="25" w:name="_Toc46846957"/>
            <w:r w:rsidRPr="00BB16C6">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BB16C6">
              <w:t xml:space="preserve">: </w:t>
            </w:r>
            <w:r w:rsidRPr="00BB16C6">
              <w:rPr>
                <w:szCs w:val="22"/>
              </w:rPr>
              <w:t>Refrigerant bank by species 2006, 2012, 2016</w:t>
            </w:r>
            <w:r>
              <w:rPr>
                <w:szCs w:val="22"/>
              </w:rPr>
              <w:t xml:space="preserve">, 2018, 2019 </w:t>
            </w:r>
            <w:r w:rsidRPr="00BB16C6">
              <w:rPr>
                <w:szCs w:val="22"/>
              </w:rPr>
              <w:t xml:space="preserve">in </w:t>
            </w:r>
            <w:proofErr w:type="spellStart"/>
            <w:r w:rsidRPr="00BB16C6">
              <w:rPr>
                <w:szCs w:val="22"/>
              </w:rPr>
              <w:t>tonnes</w:t>
            </w:r>
            <w:proofErr w:type="spellEnd"/>
            <w:r>
              <w:rPr>
                <w:szCs w:val="22"/>
              </w:rPr>
              <w:t xml:space="preserve"> (excluding ammonia)</w:t>
            </w:r>
            <w:r w:rsidRPr="00BB16C6">
              <w:rPr>
                <w:szCs w:val="22"/>
              </w:rPr>
              <w:t>.</w:t>
            </w:r>
            <w:bookmarkEnd w:id="24"/>
            <w:bookmarkEnd w:id="25"/>
          </w:p>
        </w:tc>
      </w:tr>
    </w:tbl>
    <w:p w14:paraId="4375FDA3" w14:textId="77777777" w:rsidR="00626D90" w:rsidRDefault="00626D90" w:rsidP="00626D90">
      <w:pPr>
        <w:spacing w:before="0"/>
        <w:rPr>
          <w:sz w:val="20"/>
          <w:szCs w:val="20"/>
        </w:rPr>
      </w:pPr>
      <w:r w:rsidRPr="00116557">
        <w:rPr>
          <w:sz w:val="20"/>
          <w:szCs w:val="20"/>
        </w:rPr>
        <w:t>(Sources:</w:t>
      </w:r>
      <w:r>
        <w:rPr>
          <w:sz w:val="20"/>
          <w:szCs w:val="20"/>
        </w:rPr>
        <w:t xml:space="preserve"> CHF1, CHF2 and CHF3 RAC Stock Models) </w:t>
      </w:r>
    </w:p>
    <w:p w14:paraId="20903933" w14:textId="77777777" w:rsidR="00626D90" w:rsidRDefault="00626D90" w:rsidP="00626D90">
      <w:pPr>
        <w:rPr>
          <w:szCs w:val="22"/>
        </w:rPr>
      </w:pPr>
    </w:p>
    <w:p w14:paraId="57EF0AFB" w14:textId="77777777" w:rsidR="00626D90" w:rsidRPr="00EC56EB" w:rsidRDefault="00626D90" w:rsidP="00626D90">
      <w:pPr>
        <w:rPr>
          <w:szCs w:val="22"/>
        </w:rPr>
      </w:pPr>
      <w:r>
        <w:rPr>
          <w:szCs w:val="22"/>
        </w:rPr>
        <w:t>The effect of the rapid adoption of small and medium AC, and the shift away from HCFCs, can be seen in the slow decline of HCFC-22, once the largest single component of the bank, coupled with the rapid growth of HFC</w:t>
      </w:r>
      <w:r>
        <w:rPr>
          <w:szCs w:val="22"/>
        </w:rPr>
        <w:noBreakHyphen/>
        <w:t>410A between 2006 and 2018.</w:t>
      </w:r>
    </w:p>
    <w:p w14:paraId="08851488" w14:textId="77777777" w:rsidR="00626D90" w:rsidRDefault="00626D90" w:rsidP="00626D90">
      <w:pPr>
        <w:rPr>
          <w:szCs w:val="22"/>
        </w:rPr>
      </w:pPr>
      <w:r>
        <w:rPr>
          <w:szCs w:val="22"/>
        </w:rPr>
        <w:t xml:space="preserve">The move </w:t>
      </w:r>
      <w:r w:rsidRPr="001C4E28">
        <w:rPr>
          <w:szCs w:val="22"/>
        </w:rPr>
        <w:t>from HCFC-22 to HFC-410A as the predominant refrigerant charge in small and medium stationary AC started around 2005</w:t>
      </w:r>
      <w:r>
        <w:rPr>
          <w:szCs w:val="22"/>
        </w:rPr>
        <w:t>. This occurred</w:t>
      </w:r>
      <w:r w:rsidRPr="001C4E28">
        <w:rPr>
          <w:szCs w:val="22"/>
        </w:rPr>
        <w:t xml:space="preserve"> </w:t>
      </w:r>
      <w:r>
        <w:rPr>
          <w:szCs w:val="22"/>
        </w:rPr>
        <w:t xml:space="preserve">around </w:t>
      </w:r>
      <w:r w:rsidRPr="001C4E28">
        <w:rPr>
          <w:szCs w:val="22"/>
        </w:rPr>
        <w:t>the time small and medium AC sales first passed more than one million units a year in Australia</w:t>
      </w:r>
      <w:r>
        <w:rPr>
          <w:szCs w:val="22"/>
        </w:rPr>
        <w:t xml:space="preserve">; </w:t>
      </w:r>
      <w:r w:rsidRPr="001C4E28">
        <w:rPr>
          <w:szCs w:val="22"/>
        </w:rPr>
        <w:t>a figure that continued to climb to more than 1.3</w:t>
      </w:r>
      <w:r>
        <w:rPr>
          <w:szCs w:val="22"/>
        </w:rPr>
        <w:t> </w:t>
      </w:r>
      <w:r w:rsidRPr="001C4E28">
        <w:rPr>
          <w:szCs w:val="22"/>
        </w:rPr>
        <w:t>million units</w:t>
      </w:r>
      <w:r>
        <w:rPr>
          <w:szCs w:val="22"/>
        </w:rPr>
        <w:t xml:space="preserve"> sold</w:t>
      </w:r>
      <w:r w:rsidRPr="001C4E28">
        <w:rPr>
          <w:szCs w:val="22"/>
        </w:rPr>
        <w:t xml:space="preserve"> in 2017. Th</w:t>
      </w:r>
      <w:r>
        <w:rPr>
          <w:szCs w:val="22"/>
        </w:rPr>
        <w:t>e decade-long million-plus annual unit sales has</w:t>
      </w:r>
      <w:r w:rsidRPr="001C4E28">
        <w:rPr>
          <w:szCs w:val="22"/>
        </w:rPr>
        <w:t xml:space="preserve"> built a stock of more than </w:t>
      </w:r>
      <w:r>
        <w:rPr>
          <w:szCs w:val="22"/>
        </w:rPr>
        <w:t>10 </w:t>
      </w:r>
      <w:r w:rsidRPr="001C4E28">
        <w:rPr>
          <w:szCs w:val="22"/>
        </w:rPr>
        <w:t>million HFC-410A charged pieces of equipment</w:t>
      </w:r>
      <w:r>
        <w:rPr>
          <w:szCs w:val="22"/>
        </w:rPr>
        <w:t xml:space="preserve">, containing a bank of more than </w:t>
      </w:r>
      <w:r w:rsidRPr="00555796">
        <w:rPr>
          <w:szCs w:val="22"/>
        </w:rPr>
        <w:t>2</w:t>
      </w:r>
      <w:r>
        <w:rPr>
          <w:szCs w:val="22"/>
        </w:rPr>
        <w:t>2</w:t>
      </w:r>
      <w:r w:rsidRPr="00555796">
        <w:rPr>
          <w:szCs w:val="22"/>
        </w:rPr>
        <w:t xml:space="preserve">,000 tonnes of HFC-410A, representing </w:t>
      </w:r>
      <w:r>
        <w:rPr>
          <w:szCs w:val="22"/>
        </w:rPr>
        <w:t xml:space="preserve">more than </w:t>
      </w:r>
      <w:r w:rsidRPr="00555796">
        <w:rPr>
          <w:szCs w:val="22"/>
        </w:rPr>
        <w:t>4</w:t>
      </w:r>
      <w:r>
        <w:rPr>
          <w:szCs w:val="22"/>
        </w:rPr>
        <w:t>0</w:t>
      </w:r>
      <w:r w:rsidRPr="00555796">
        <w:rPr>
          <w:szCs w:val="22"/>
        </w:rPr>
        <w:t>%</w:t>
      </w:r>
      <w:r>
        <w:rPr>
          <w:szCs w:val="22"/>
        </w:rPr>
        <w:t xml:space="preserve"> of the entire bank.</w:t>
      </w:r>
    </w:p>
    <w:p w14:paraId="7471549C" w14:textId="77777777" w:rsidR="00626D90" w:rsidRPr="002744A2" w:rsidRDefault="00626D90" w:rsidP="00626D90">
      <w:pPr>
        <w:rPr>
          <w:szCs w:val="22"/>
        </w:rPr>
      </w:pPr>
      <w:r>
        <w:rPr>
          <w:szCs w:val="22"/>
        </w:rPr>
        <w:t xml:space="preserve">This growth in </w:t>
      </w:r>
      <w:r w:rsidRPr="002744A2">
        <w:rPr>
          <w:szCs w:val="22"/>
        </w:rPr>
        <w:t xml:space="preserve">HFC-410A from </w:t>
      </w:r>
      <w:r>
        <w:rPr>
          <w:szCs w:val="22"/>
        </w:rPr>
        <w:t xml:space="preserve">just </w:t>
      </w:r>
      <w:r w:rsidRPr="002744A2">
        <w:rPr>
          <w:szCs w:val="22"/>
        </w:rPr>
        <w:t>9</w:t>
      </w:r>
      <w:r>
        <w:rPr>
          <w:szCs w:val="22"/>
        </w:rPr>
        <w:t>%</w:t>
      </w:r>
      <w:r w:rsidRPr="002744A2">
        <w:rPr>
          <w:szCs w:val="22"/>
        </w:rPr>
        <w:t xml:space="preserve"> of the bank (2,</w:t>
      </w:r>
      <w:r>
        <w:rPr>
          <w:szCs w:val="22"/>
        </w:rPr>
        <w:t>800</w:t>
      </w:r>
      <w:r w:rsidRPr="002744A2">
        <w:rPr>
          <w:szCs w:val="22"/>
        </w:rPr>
        <w:t xml:space="preserve"> tonnes) in 2006 </w:t>
      </w:r>
      <w:r>
        <w:rPr>
          <w:szCs w:val="22"/>
        </w:rPr>
        <w:t xml:space="preserve">means that </w:t>
      </w:r>
      <w:r w:rsidRPr="002744A2">
        <w:rPr>
          <w:szCs w:val="22"/>
        </w:rPr>
        <w:t xml:space="preserve">HFC-410A is now the largest </w:t>
      </w:r>
      <w:r>
        <w:rPr>
          <w:szCs w:val="22"/>
        </w:rPr>
        <w:t xml:space="preserve">single </w:t>
      </w:r>
      <w:r w:rsidRPr="002744A2">
        <w:rPr>
          <w:szCs w:val="22"/>
        </w:rPr>
        <w:t xml:space="preserve">component of the bank, </w:t>
      </w:r>
      <w:r>
        <w:rPr>
          <w:szCs w:val="22"/>
        </w:rPr>
        <w:t>surpassing</w:t>
      </w:r>
      <w:r w:rsidRPr="002744A2">
        <w:rPr>
          <w:szCs w:val="22"/>
        </w:rPr>
        <w:t xml:space="preserve"> HFC-134a</w:t>
      </w:r>
      <w:r>
        <w:rPr>
          <w:szCs w:val="22"/>
        </w:rPr>
        <w:t xml:space="preserve"> now at just under 17,000 tonnes. The HFC-410A bank is now more than four times larger than the declining bank of HCFC</w:t>
      </w:r>
      <w:r>
        <w:rPr>
          <w:szCs w:val="22"/>
        </w:rPr>
        <w:noBreakHyphen/>
        <w:t>22 that it was introduced to replace</w:t>
      </w:r>
      <w:r w:rsidRPr="002744A2">
        <w:rPr>
          <w:szCs w:val="22"/>
        </w:rPr>
        <w:t xml:space="preserve">.  </w:t>
      </w:r>
    </w:p>
    <w:p w14:paraId="3AC7CF25" w14:textId="77777777" w:rsidR="00626D90" w:rsidRDefault="00626D90" w:rsidP="00626D90">
      <w:pPr>
        <w:rPr>
          <w:szCs w:val="22"/>
        </w:rPr>
      </w:pPr>
      <w:r w:rsidRPr="002744A2">
        <w:rPr>
          <w:szCs w:val="22"/>
        </w:rPr>
        <w:t xml:space="preserve">HCFC-22 </w:t>
      </w:r>
      <w:r>
        <w:rPr>
          <w:szCs w:val="22"/>
        </w:rPr>
        <w:t xml:space="preserve">as a proportion of the total </w:t>
      </w:r>
      <w:r w:rsidRPr="002744A2">
        <w:rPr>
          <w:szCs w:val="22"/>
        </w:rPr>
        <w:t>bank</w:t>
      </w:r>
      <w:r>
        <w:rPr>
          <w:szCs w:val="22"/>
        </w:rPr>
        <w:t xml:space="preserve"> has declined</w:t>
      </w:r>
      <w:r w:rsidRPr="002744A2">
        <w:rPr>
          <w:szCs w:val="22"/>
        </w:rPr>
        <w:t xml:space="preserve"> from 3</w:t>
      </w:r>
      <w:r>
        <w:rPr>
          <w:szCs w:val="22"/>
        </w:rPr>
        <w:t xml:space="preserve">7% </w:t>
      </w:r>
      <w:r w:rsidRPr="002744A2">
        <w:rPr>
          <w:szCs w:val="22"/>
        </w:rPr>
        <w:t>in 2006</w:t>
      </w:r>
      <w:r>
        <w:rPr>
          <w:szCs w:val="22"/>
        </w:rPr>
        <w:t xml:space="preserve"> </w:t>
      </w:r>
      <w:r w:rsidRPr="002744A2">
        <w:rPr>
          <w:szCs w:val="22"/>
        </w:rPr>
        <w:t xml:space="preserve">to </w:t>
      </w:r>
      <w:r>
        <w:rPr>
          <w:szCs w:val="22"/>
        </w:rPr>
        <w:t>8.4%</w:t>
      </w:r>
      <w:r w:rsidRPr="002744A2">
        <w:rPr>
          <w:szCs w:val="22"/>
        </w:rPr>
        <w:t xml:space="preserve"> in 201</w:t>
      </w:r>
      <w:r>
        <w:rPr>
          <w:szCs w:val="22"/>
        </w:rPr>
        <w:t xml:space="preserve">9. </w:t>
      </w:r>
    </w:p>
    <w:p w14:paraId="1E629CA1" w14:textId="77777777" w:rsidR="00626D90" w:rsidRDefault="00626D90" w:rsidP="00626D90">
      <w:pPr>
        <w:rPr>
          <w:szCs w:val="22"/>
        </w:rPr>
      </w:pPr>
      <w:r w:rsidRPr="002744A2">
        <w:rPr>
          <w:szCs w:val="22"/>
        </w:rPr>
        <w:t>Previously HCFC-22 was the refrigerant of choice in air conditioning applications. I</w:t>
      </w:r>
      <w:r>
        <w:rPr>
          <w:szCs w:val="22"/>
        </w:rPr>
        <w:t xml:space="preserve">n absolute metric tonnes employed it peaked </w:t>
      </w:r>
      <w:r w:rsidRPr="00F74C3C">
        <w:rPr>
          <w:szCs w:val="22"/>
        </w:rPr>
        <w:t>before 2012 whe</w:t>
      </w:r>
      <w:r>
        <w:rPr>
          <w:szCs w:val="22"/>
        </w:rPr>
        <w:t>n</w:t>
      </w:r>
      <w:r w:rsidRPr="00F74C3C">
        <w:rPr>
          <w:szCs w:val="22"/>
        </w:rPr>
        <w:t xml:space="preserve"> HCFCs made up nearly 30% of the bank</w:t>
      </w:r>
      <w:r w:rsidRPr="002744A2">
        <w:rPr>
          <w:szCs w:val="22"/>
        </w:rPr>
        <w:t xml:space="preserve">. In what is quite a sharp fall, the bank of HCFCs </w:t>
      </w:r>
      <w:r>
        <w:rPr>
          <w:szCs w:val="22"/>
        </w:rPr>
        <w:t>has reduced by more than 9,000</w:t>
      </w:r>
      <w:r w:rsidRPr="002744A2">
        <w:rPr>
          <w:szCs w:val="22"/>
        </w:rPr>
        <w:t xml:space="preserve"> tonnes from that high point</w:t>
      </w:r>
      <w:r>
        <w:rPr>
          <w:szCs w:val="22"/>
        </w:rPr>
        <w:t>, a drop of more than 66%, in the last 10 years.</w:t>
      </w:r>
    </w:p>
    <w:p w14:paraId="481F8C54" w14:textId="77777777" w:rsidR="00626D90" w:rsidRDefault="00626D90" w:rsidP="00626D90">
      <w:pPr>
        <w:rPr>
          <w:szCs w:val="22"/>
        </w:rPr>
      </w:pPr>
      <w:r>
        <w:rPr>
          <w:szCs w:val="22"/>
        </w:rPr>
        <w:t xml:space="preserve">This was a predictable outcome due to the age of the stock of HCFC-22 charged equipment employed in Australia, and the </w:t>
      </w:r>
      <w:r w:rsidRPr="002744A2">
        <w:rPr>
          <w:szCs w:val="22"/>
        </w:rPr>
        <w:t xml:space="preserve">accelerated phase out of HCFC-22 </w:t>
      </w:r>
      <w:r>
        <w:rPr>
          <w:szCs w:val="22"/>
        </w:rPr>
        <w:t xml:space="preserve">adopted by Australia in the mid-1990s </w:t>
      </w:r>
      <w:r w:rsidRPr="002744A2">
        <w:rPr>
          <w:szCs w:val="22"/>
        </w:rPr>
        <w:t>under</w:t>
      </w:r>
      <w:r>
        <w:rPr>
          <w:szCs w:val="22"/>
        </w:rPr>
        <w:t xml:space="preserve"> its </w:t>
      </w:r>
      <w:r w:rsidRPr="00587E03">
        <w:rPr>
          <w:szCs w:val="22"/>
        </w:rPr>
        <w:t>commitment to the Montreal Protocol. In 2016 Australia’s HCFC import cap stepped down from 10</w:t>
      </w:r>
      <w:r>
        <w:rPr>
          <w:szCs w:val="22"/>
        </w:rPr>
        <w:t> </w:t>
      </w:r>
      <w:r w:rsidRPr="00587E03">
        <w:rPr>
          <w:szCs w:val="22"/>
        </w:rPr>
        <w:t>ODP tonnes to just 2.5</w:t>
      </w:r>
      <w:r>
        <w:rPr>
          <w:szCs w:val="22"/>
        </w:rPr>
        <w:t> </w:t>
      </w:r>
      <w:r w:rsidRPr="00587E03">
        <w:rPr>
          <w:szCs w:val="22"/>
        </w:rPr>
        <w:t>ODP tonnes (equivalent to around 45.5 metric tonnes of HCFC-22 per annum), before the final phase out of HCFC imports in 2030.</w:t>
      </w:r>
    </w:p>
    <w:p w14:paraId="7D57430F" w14:textId="77777777" w:rsidR="00626D90" w:rsidRDefault="00626D90" w:rsidP="00626D90">
      <w:pPr>
        <w:rPr>
          <w:szCs w:val="22"/>
        </w:rPr>
      </w:pPr>
      <w:r>
        <w:rPr>
          <w:szCs w:val="22"/>
        </w:rPr>
        <w:t xml:space="preserve">This phase out of bulk imports was coupled with a ban on imports of most HCFC-22 pre-charged equipment that commenced in July 2010. </w:t>
      </w:r>
      <w:r w:rsidRPr="00D63E58">
        <w:rPr>
          <w:szCs w:val="22"/>
        </w:rPr>
        <w:t>The import of space chillers charged with HCFC-123 continued until the end of 2015.</w:t>
      </w:r>
    </w:p>
    <w:p w14:paraId="17B4A0C5" w14:textId="77777777" w:rsidR="00626D90" w:rsidRDefault="00626D90" w:rsidP="00626D90">
      <w:pPr>
        <w:rPr>
          <w:szCs w:val="22"/>
        </w:rPr>
      </w:pPr>
      <w:r w:rsidRPr="00D63E58">
        <w:rPr>
          <w:szCs w:val="22"/>
        </w:rPr>
        <w:lastRenderedPageBreak/>
        <w:t xml:space="preserve">Despite the ban on import and manufacture of HCFC </w:t>
      </w:r>
      <w:r>
        <w:rPr>
          <w:szCs w:val="22"/>
        </w:rPr>
        <w:t>charged</w:t>
      </w:r>
      <w:r w:rsidRPr="00D63E58">
        <w:rPr>
          <w:szCs w:val="22"/>
        </w:rPr>
        <w:t xml:space="preserve"> equipment, small quantities of HCFC pre-charged equipment are still</w:t>
      </w:r>
      <w:r>
        <w:rPr>
          <w:szCs w:val="22"/>
        </w:rPr>
        <w:t xml:space="preserve"> able to be</w:t>
      </w:r>
      <w:r w:rsidRPr="00D63E58">
        <w:rPr>
          <w:szCs w:val="22"/>
        </w:rPr>
        <w:t xml:space="preserve"> imported under special exemptions, mainly as replacement parts for condensing units to match evaporators of air conditioning units already installed. </w:t>
      </w:r>
    </w:p>
    <w:p w14:paraId="07886509" w14:textId="77777777" w:rsidR="00626D90" w:rsidRDefault="00626D90" w:rsidP="00626D90">
      <w:pPr>
        <w:rPr>
          <w:szCs w:val="22"/>
        </w:rPr>
      </w:pPr>
      <w:r>
        <w:rPr>
          <w:szCs w:val="22"/>
        </w:rPr>
        <w:t xml:space="preserve">Expert Group analysis indicates </w:t>
      </w:r>
      <w:r w:rsidRPr="00FE7030">
        <w:rPr>
          <w:szCs w:val="22"/>
        </w:rPr>
        <w:t xml:space="preserve">that the tail of </w:t>
      </w:r>
      <w:r>
        <w:rPr>
          <w:szCs w:val="22"/>
        </w:rPr>
        <w:t xml:space="preserve">greatly reduced </w:t>
      </w:r>
      <w:r w:rsidRPr="00FE7030">
        <w:rPr>
          <w:szCs w:val="22"/>
        </w:rPr>
        <w:t xml:space="preserve">HCFC-22 bulk imports </w:t>
      </w:r>
      <w:r>
        <w:rPr>
          <w:szCs w:val="22"/>
        </w:rPr>
        <w:t xml:space="preserve">until the end of 2029 will </w:t>
      </w:r>
      <w:r w:rsidRPr="00FE7030">
        <w:rPr>
          <w:szCs w:val="22"/>
        </w:rPr>
        <w:t xml:space="preserve">not be sufficient to meet demand </w:t>
      </w:r>
      <w:r>
        <w:rPr>
          <w:szCs w:val="22"/>
        </w:rPr>
        <w:t>for</w:t>
      </w:r>
      <w:r w:rsidRPr="00FE7030">
        <w:rPr>
          <w:szCs w:val="22"/>
        </w:rPr>
        <w:t xml:space="preserve"> service and repair </w:t>
      </w:r>
      <w:r>
        <w:rPr>
          <w:szCs w:val="22"/>
        </w:rPr>
        <w:t xml:space="preserve">of </w:t>
      </w:r>
      <w:r w:rsidRPr="00FE7030">
        <w:rPr>
          <w:szCs w:val="22"/>
        </w:rPr>
        <w:t xml:space="preserve">the remaining </w:t>
      </w:r>
      <w:r>
        <w:rPr>
          <w:szCs w:val="22"/>
        </w:rPr>
        <w:t xml:space="preserve">HCFC charged equipment. Forecast service demand for HCFC-22 can only be met by recovering and recycling much of the remaining bank of HCFC-22 as older equipment is retired. Data available from Refrigerants Reclaim Australia (RRA) indicated that nearly all HCFC-22 recovered by contractors during service or from end-of-life equipment is being reconditioned and reused. An increase in the use of effective ‘drop-in’ replacements is also being reported and may relieve pressure for the reuse of the steadily declining bank of HCFC-22.  </w:t>
      </w:r>
    </w:p>
    <w:p w14:paraId="1698B7FB" w14:textId="77777777" w:rsidR="00626D90" w:rsidRPr="00FE7030" w:rsidRDefault="00626D90" w:rsidP="00626D90">
      <w:pPr>
        <w:rPr>
          <w:szCs w:val="22"/>
        </w:rPr>
      </w:pPr>
      <w:r>
        <w:rPr>
          <w:szCs w:val="22"/>
        </w:rPr>
        <w:t xml:space="preserve">Additional </w:t>
      </w:r>
      <w:r w:rsidRPr="00FE7030">
        <w:rPr>
          <w:szCs w:val="22"/>
        </w:rPr>
        <w:t>HCFCs</w:t>
      </w:r>
      <w:r>
        <w:rPr>
          <w:szCs w:val="22"/>
        </w:rPr>
        <w:t xml:space="preserve">, above the import cap, </w:t>
      </w:r>
      <w:r w:rsidRPr="00FE7030">
        <w:rPr>
          <w:szCs w:val="22"/>
        </w:rPr>
        <w:t xml:space="preserve">will be required for </w:t>
      </w:r>
      <w:r w:rsidRPr="00D0371E">
        <w:rPr>
          <w:szCs w:val="22"/>
        </w:rPr>
        <w:t>service and maintenance until at least 2025.</w:t>
      </w:r>
      <w:r w:rsidRPr="00FE7030">
        <w:rPr>
          <w:szCs w:val="22"/>
        </w:rPr>
        <w:t xml:space="preserve"> In the case of HCFC</w:t>
      </w:r>
      <w:r>
        <w:rPr>
          <w:szCs w:val="22"/>
        </w:rPr>
        <w:noBreakHyphen/>
      </w:r>
      <w:r w:rsidRPr="00FE7030">
        <w:rPr>
          <w:szCs w:val="22"/>
        </w:rPr>
        <w:t>123</w:t>
      </w:r>
      <w:r>
        <w:rPr>
          <w:szCs w:val="22"/>
        </w:rPr>
        <w:t>,</w:t>
      </w:r>
      <w:r w:rsidRPr="00FE7030">
        <w:rPr>
          <w:szCs w:val="22"/>
        </w:rPr>
        <w:t xml:space="preserve"> which is employed in long lasting</w:t>
      </w:r>
      <w:r>
        <w:rPr>
          <w:szCs w:val="22"/>
        </w:rPr>
        <w:t>,</w:t>
      </w:r>
      <w:r w:rsidRPr="00FE7030">
        <w:rPr>
          <w:szCs w:val="22"/>
        </w:rPr>
        <w:t xml:space="preserve"> large</w:t>
      </w:r>
      <w:r>
        <w:rPr>
          <w:szCs w:val="22"/>
        </w:rPr>
        <w:t>,</w:t>
      </w:r>
      <w:r w:rsidRPr="00FE7030">
        <w:rPr>
          <w:szCs w:val="22"/>
        </w:rPr>
        <w:t xml:space="preserve"> and expensive chillers, the service </w:t>
      </w:r>
      <w:r>
        <w:rPr>
          <w:szCs w:val="22"/>
        </w:rPr>
        <w:t>requirement</w:t>
      </w:r>
      <w:r w:rsidRPr="00FE7030">
        <w:rPr>
          <w:szCs w:val="22"/>
        </w:rPr>
        <w:t xml:space="preserve"> is likely to continue </w:t>
      </w:r>
      <w:r>
        <w:rPr>
          <w:szCs w:val="22"/>
        </w:rPr>
        <w:t>for at least another decade</w:t>
      </w:r>
      <w:r>
        <w:t>.</w:t>
      </w:r>
    </w:p>
    <w:p w14:paraId="7BD6C403" w14:textId="77777777" w:rsidR="00626D90" w:rsidRPr="008C190F" w:rsidRDefault="00626D90" w:rsidP="00626D90">
      <w:pPr>
        <w:rPr>
          <w:i/>
          <w:szCs w:val="22"/>
        </w:rPr>
      </w:pPr>
      <w:r>
        <w:rPr>
          <w:szCs w:val="22"/>
        </w:rPr>
        <w:t>The effect of the decreasing supply and increasing prices for HCFC-22 since 2012 has created an active recycling industry to supply reconditioned HCFC-22 that provides equipment owners an option to get the longest possible operating life out of their equipment.</w:t>
      </w:r>
    </w:p>
    <w:p w14:paraId="792AB141" w14:textId="77777777" w:rsidR="00626D90" w:rsidRPr="00FE7030" w:rsidRDefault="00626D90" w:rsidP="00626D90">
      <w:pPr>
        <w:rPr>
          <w:szCs w:val="22"/>
        </w:rPr>
      </w:pPr>
      <w:r>
        <w:rPr>
          <w:szCs w:val="22"/>
        </w:rPr>
        <w:t>The</w:t>
      </w:r>
      <w:r w:rsidRPr="00FE7030">
        <w:rPr>
          <w:szCs w:val="22"/>
        </w:rPr>
        <w:t xml:space="preserve"> HCFC bank</w:t>
      </w:r>
      <w:r>
        <w:rPr>
          <w:szCs w:val="22"/>
        </w:rPr>
        <w:t xml:space="preserve"> will </w:t>
      </w:r>
      <w:r w:rsidRPr="00FE7030">
        <w:rPr>
          <w:szCs w:val="22"/>
        </w:rPr>
        <w:t xml:space="preserve">continue </w:t>
      </w:r>
      <w:r>
        <w:rPr>
          <w:szCs w:val="22"/>
        </w:rPr>
        <w:t>to decline as some of the many</w:t>
      </w:r>
      <w:r w:rsidRPr="00FE7030">
        <w:rPr>
          <w:szCs w:val="22"/>
        </w:rPr>
        <w:t xml:space="preserve"> </w:t>
      </w:r>
      <w:r>
        <w:rPr>
          <w:szCs w:val="22"/>
        </w:rPr>
        <w:t xml:space="preserve">smaller </w:t>
      </w:r>
      <w:r w:rsidRPr="00FE7030">
        <w:rPr>
          <w:szCs w:val="22"/>
        </w:rPr>
        <w:t>HCFC charged air conditioning units that were installed between 10 and 2</w:t>
      </w:r>
      <w:r>
        <w:rPr>
          <w:szCs w:val="22"/>
        </w:rPr>
        <w:t>5</w:t>
      </w:r>
      <w:r w:rsidRPr="00FE7030">
        <w:rPr>
          <w:szCs w:val="22"/>
        </w:rPr>
        <w:t xml:space="preserve"> years ago a</w:t>
      </w:r>
      <w:r>
        <w:rPr>
          <w:szCs w:val="22"/>
        </w:rPr>
        <w:t>re</w:t>
      </w:r>
      <w:r w:rsidRPr="00FE7030">
        <w:rPr>
          <w:szCs w:val="22"/>
        </w:rPr>
        <w:t xml:space="preserve"> retired</w:t>
      </w:r>
      <w:r>
        <w:rPr>
          <w:szCs w:val="22"/>
        </w:rPr>
        <w:t>. However, the rate of recovery, reconditioning and then reuse of HCFC-22 in larger, longer life equipment, will become a significant driver of changes to the HCFC bank, and its overall rate of decline in the decade ahead. Given that there is an active market for reconditioned HCFC-22, it would be reasonable to expect the rate of decline in the HCFC-22 bank to slow as recovery rates increase, with the last generation of HCFC-22 charged equipment, installed as late as 2011 and 2012, potentially maintained on 100% recycled and reconditioned refrigerants into the early 2030s.</w:t>
      </w:r>
    </w:p>
    <w:p w14:paraId="75DF08B7" w14:textId="77777777" w:rsidR="00626D90" w:rsidRDefault="00626D90" w:rsidP="00626D90">
      <w:pPr>
        <w:rPr>
          <w:szCs w:val="22"/>
        </w:rPr>
      </w:pPr>
      <w:r>
        <w:rPr>
          <w:szCs w:val="22"/>
        </w:rPr>
        <w:t xml:space="preserve">However, predicting the future rate of change in the bank of HCFCs is now becoming more complicated as market intelligence suggests an increasing amount of unreported HCFC-22 recovery and reuse by contractors, the relative cost and benefits of maintaining older equipment, and the changing market prices for recycled HCFC-22. </w:t>
      </w:r>
    </w:p>
    <w:p w14:paraId="085E494C" w14:textId="77777777" w:rsidR="00626D90" w:rsidRPr="002744A2" w:rsidRDefault="00626D90" w:rsidP="00626D90">
      <w:pPr>
        <w:rPr>
          <w:szCs w:val="22"/>
        </w:rPr>
      </w:pPr>
      <w:r>
        <w:rPr>
          <w:szCs w:val="22"/>
        </w:rPr>
        <w:t xml:space="preserve">After HFC-410A, </w:t>
      </w:r>
      <w:r w:rsidRPr="002744A2">
        <w:rPr>
          <w:szCs w:val="22"/>
        </w:rPr>
        <w:t xml:space="preserve">HFC-134a is the second most abundant </w:t>
      </w:r>
      <w:r>
        <w:rPr>
          <w:szCs w:val="22"/>
        </w:rPr>
        <w:t xml:space="preserve">refrigerant in the 2019 bank, </w:t>
      </w:r>
      <w:r w:rsidRPr="002744A2">
        <w:rPr>
          <w:szCs w:val="22"/>
        </w:rPr>
        <w:t>growing steadily at around 3</w:t>
      </w:r>
      <w:r>
        <w:rPr>
          <w:szCs w:val="22"/>
        </w:rPr>
        <w:t>%</w:t>
      </w:r>
      <w:r w:rsidRPr="002744A2">
        <w:rPr>
          <w:szCs w:val="22"/>
        </w:rPr>
        <w:t xml:space="preserve"> per annum</w:t>
      </w:r>
      <w:r>
        <w:rPr>
          <w:szCs w:val="22"/>
        </w:rPr>
        <w:t xml:space="preserve"> up to 2016, at which point it constituted some 32% of the bank. New refrigerant uptake has seen HFC-134a decline marginally since 2016 to make up 31.6% of the total bank in 2019</w:t>
      </w:r>
      <w:r>
        <w:rPr>
          <w:i/>
          <w:szCs w:val="22"/>
        </w:rPr>
        <w:t xml:space="preserve">. </w:t>
      </w:r>
      <w:r w:rsidRPr="002744A2">
        <w:rPr>
          <w:szCs w:val="22"/>
        </w:rPr>
        <w:t xml:space="preserve"> </w:t>
      </w:r>
    </w:p>
    <w:p w14:paraId="242EA2FB" w14:textId="77777777" w:rsidR="00626D90" w:rsidRPr="002744A2" w:rsidRDefault="00626D90" w:rsidP="00626D90">
      <w:pPr>
        <w:rPr>
          <w:szCs w:val="22"/>
        </w:rPr>
      </w:pPr>
      <w:r w:rsidRPr="002744A2">
        <w:rPr>
          <w:szCs w:val="22"/>
        </w:rPr>
        <w:t>HFC-404A</w:t>
      </w:r>
      <w:r>
        <w:rPr>
          <w:szCs w:val="22"/>
        </w:rPr>
        <w:t xml:space="preserve"> saw strong growth </w:t>
      </w:r>
      <w:r w:rsidRPr="002744A2">
        <w:rPr>
          <w:szCs w:val="22"/>
        </w:rPr>
        <w:t>in overall tonnes</w:t>
      </w:r>
      <w:r>
        <w:rPr>
          <w:szCs w:val="22"/>
        </w:rPr>
        <w:t xml:space="preserve"> between 2012 and 2016, increasing by more than 1,200 tonnes, or more than 30%</w:t>
      </w:r>
      <w:r w:rsidRPr="002744A2">
        <w:rPr>
          <w:szCs w:val="22"/>
        </w:rPr>
        <w:t xml:space="preserve">, </w:t>
      </w:r>
      <w:r>
        <w:rPr>
          <w:szCs w:val="22"/>
        </w:rPr>
        <w:t xml:space="preserve">to reach 4,550 tonnes, reaching 9% of the total bank in 2016. Since that time, it has declined slightly with now an estimated 4,500 tonnes in 2019 representing just 8.2% of the bank. </w:t>
      </w:r>
    </w:p>
    <w:p w14:paraId="2C2F3DC5" w14:textId="77777777" w:rsidR="00626D90" w:rsidRDefault="00626D90" w:rsidP="00626D90">
      <w:pPr>
        <w:rPr>
          <w:szCs w:val="22"/>
        </w:rPr>
      </w:pPr>
      <w:r>
        <w:rPr>
          <w:szCs w:val="22"/>
        </w:rPr>
        <w:t>The rapid adoption of HFC-32, primarily in small and medium sized stationary AC applications, saw total volumes grow strongly from nearly 2,300 tonnes in 2018 to more than 3,200 tonnes in 2019. This growth is occurring largely at the expense of the much higher GWP HFC-410A. HFC-32 made up 6% of the bank in 2019, up from just 4% in 2018. Adoption of HFC-32 across a wider range of equipment formats is expected to further accelerate the rapid growth of this HFC in total tonnes, and as a proportion of the bank.</w:t>
      </w:r>
    </w:p>
    <w:p w14:paraId="2B616617" w14:textId="77777777" w:rsidR="00626D90" w:rsidRDefault="00626D90" w:rsidP="00626D90">
      <w:pPr>
        <w:rPr>
          <w:szCs w:val="22"/>
        </w:rPr>
      </w:pPr>
      <w:r>
        <w:rPr>
          <w:szCs w:val="22"/>
        </w:rPr>
        <w:t>Mostly as a result of having similar refrigeration characteristics as HCFC-22, which it is sometimes used to replace,</w:t>
      </w:r>
      <w:r w:rsidRPr="002744A2">
        <w:rPr>
          <w:szCs w:val="22"/>
        </w:rPr>
        <w:t xml:space="preserve"> </w:t>
      </w:r>
      <w:r>
        <w:rPr>
          <w:szCs w:val="22"/>
        </w:rPr>
        <w:t xml:space="preserve">the bank of </w:t>
      </w:r>
      <w:r w:rsidRPr="002744A2">
        <w:rPr>
          <w:szCs w:val="22"/>
        </w:rPr>
        <w:t>HFC-407C</w:t>
      </w:r>
      <w:r>
        <w:rPr>
          <w:szCs w:val="22"/>
        </w:rPr>
        <w:t xml:space="preserve"> reached approximately 1,300 tonnes in 2016, having grown steadily from around 700 tonnes in 2006, increasing its proportion to 2.8% of the bank. By 2019 HFC-407C had grown to more than 1,500 tonnes although was still only 2.8% of the overall bank</w:t>
      </w:r>
      <w:r w:rsidRPr="002744A2">
        <w:rPr>
          <w:szCs w:val="22"/>
        </w:rPr>
        <w:t>.</w:t>
      </w:r>
    </w:p>
    <w:p w14:paraId="52964AAF" w14:textId="77777777" w:rsidR="00626D90" w:rsidRDefault="00626D90" w:rsidP="00626D90">
      <w:pPr>
        <w:rPr>
          <w:szCs w:val="22"/>
        </w:rPr>
      </w:pPr>
      <w:r w:rsidRPr="0022411C">
        <w:rPr>
          <w:szCs w:val="22"/>
        </w:rPr>
        <w:t xml:space="preserve">The table below contains the data from which </w:t>
      </w:r>
      <w:r w:rsidRPr="0022411C">
        <w:rPr>
          <w:i/>
          <w:szCs w:val="22"/>
        </w:rPr>
        <w:t>Figure 2</w:t>
      </w:r>
      <w:r w:rsidRPr="0022411C">
        <w:rPr>
          <w:szCs w:val="22"/>
        </w:rPr>
        <w:t xml:space="preserve"> was produced. The tabulated data of the bank by species notably shows the emergence in 2016 of HFC-32 as a component of the overall bank. HFC-32 with a GWP of 675, as compared to HFC-410A with a GWP of 2088, is expected to cap the overall GWP intensity of the refrigerant bank as it becomes the most common refrigerant employed in the extensive stock of small AC.</w:t>
      </w:r>
    </w:p>
    <w:p w14:paraId="6ABBFC9B" w14:textId="77777777" w:rsidR="00626D90" w:rsidRDefault="00626D90" w:rsidP="00626D90">
      <w:pPr>
        <w:rPr>
          <w:szCs w:val="22"/>
        </w:rPr>
      </w:pPr>
    </w:p>
    <w:p w14:paraId="48D6A8C4" w14:textId="77777777" w:rsidR="00626D90" w:rsidRPr="00597B6C" w:rsidRDefault="00626D90" w:rsidP="00626D90">
      <w:pPr>
        <w:spacing w:before="0"/>
        <w:jc w:val="left"/>
        <w:rPr>
          <w:i/>
          <w:iCs/>
          <w:szCs w:val="22"/>
        </w:rPr>
      </w:pPr>
      <w:bookmarkStart w:id="26" w:name="_Toc525141407"/>
      <w:r>
        <w:br w:type="page"/>
      </w:r>
      <w:bookmarkStart w:id="27" w:name="_Toc49756559"/>
      <w:r w:rsidRPr="00597B6C">
        <w:rPr>
          <w:i/>
          <w:iCs/>
        </w:rPr>
        <w:lastRenderedPageBreak/>
        <w:t xml:space="preserve">Table </w:t>
      </w:r>
      <w:r w:rsidRPr="00597B6C">
        <w:rPr>
          <w:i/>
          <w:iCs/>
          <w:noProof/>
        </w:rPr>
        <w:fldChar w:fldCharType="begin"/>
      </w:r>
      <w:r w:rsidRPr="00597B6C">
        <w:rPr>
          <w:i/>
          <w:iCs/>
          <w:noProof/>
        </w:rPr>
        <w:instrText xml:space="preserve"> SEQ Table \* ARABIC </w:instrText>
      </w:r>
      <w:r w:rsidRPr="00597B6C">
        <w:rPr>
          <w:i/>
          <w:iCs/>
          <w:noProof/>
        </w:rPr>
        <w:fldChar w:fldCharType="separate"/>
      </w:r>
      <w:r w:rsidRPr="00597B6C">
        <w:rPr>
          <w:i/>
          <w:iCs/>
          <w:noProof/>
        </w:rPr>
        <w:t>3</w:t>
      </w:r>
      <w:r w:rsidRPr="00597B6C">
        <w:rPr>
          <w:i/>
          <w:iCs/>
          <w:noProof/>
        </w:rPr>
        <w:fldChar w:fldCharType="end"/>
      </w:r>
      <w:r w:rsidRPr="00597B6C">
        <w:rPr>
          <w:i/>
          <w:iCs/>
        </w:rPr>
        <w:t xml:space="preserve">: </w:t>
      </w:r>
      <w:r w:rsidRPr="00597B6C">
        <w:rPr>
          <w:i/>
          <w:iCs/>
          <w:szCs w:val="22"/>
        </w:rPr>
        <w:t>Refrigerant bank 2006, 2012, 2016, 2018 and 2019 by mass in tonnes and share in percent.</w:t>
      </w:r>
      <w:bookmarkEnd w:id="26"/>
      <w:bookmarkEnd w:id="27"/>
    </w:p>
    <w:tbl>
      <w:tblPr>
        <w:tblStyle w:val="TableGrid"/>
        <w:tblW w:w="0" w:type="auto"/>
        <w:tblLook w:val="04A0" w:firstRow="1" w:lastRow="0" w:firstColumn="1" w:lastColumn="0" w:noHBand="0" w:noVBand="1"/>
      </w:tblPr>
      <w:tblGrid>
        <w:gridCol w:w="1292"/>
        <w:gridCol w:w="865"/>
        <w:gridCol w:w="752"/>
        <w:gridCol w:w="875"/>
        <w:gridCol w:w="751"/>
        <w:gridCol w:w="875"/>
        <w:gridCol w:w="751"/>
        <w:gridCol w:w="864"/>
        <w:gridCol w:w="785"/>
        <w:gridCol w:w="875"/>
        <w:gridCol w:w="802"/>
      </w:tblGrid>
      <w:tr w:rsidR="00626D90" w14:paraId="7001B8AD" w14:textId="77777777" w:rsidTr="00EF0FC0">
        <w:tc>
          <w:tcPr>
            <w:tcW w:w="1292" w:type="dxa"/>
            <w:vMerge w:val="restart"/>
            <w:shd w:val="clear" w:color="auto" w:fill="B6DDE8" w:themeFill="accent5" w:themeFillTint="66"/>
          </w:tcPr>
          <w:p w14:paraId="6E15349A" w14:textId="77777777" w:rsidR="00626D90" w:rsidRPr="008B5902" w:rsidRDefault="00626D90" w:rsidP="00EF0FC0">
            <w:pPr>
              <w:snapToGrid w:val="0"/>
              <w:spacing w:after="120"/>
              <w:jc w:val="left"/>
              <w:rPr>
                <w:sz w:val="20"/>
              </w:rPr>
            </w:pPr>
          </w:p>
        </w:tc>
        <w:tc>
          <w:tcPr>
            <w:tcW w:w="1617" w:type="dxa"/>
            <w:gridSpan w:val="2"/>
            <w:shd w:val="clear" w:color="auto" w:fill="B6DDE8" w:themeFill="accent5" w:themeFillTint="66"/>
            <w:vAlign w:val="center"/>
          </w:tcPr>
          <w:p w14:paraId="3E8FEA23" w14:textId="77777777" w:rsidR="00626D90" w:rsidRPr="008B5902" w:rsidRDefault="00626D90" w:rsidP="00EF0FC0">
            <w:pPr>
              <w:snapToGrid w:val="0"/>
              <w:spacing w:after="120"/>
              <w:jc w:val="center"/>
              <w:rPr>
                <w:sz w:val="20"/>
              </w:rPr>
            </w:pPr>
            <w:r w:rsidRPr="008B5902">
              <w:rPr>
                <w:sz w:val="20"/>
              </w:rPr>
              <w:t xml:space="preserve">2006 </w:t>
            </w:r>
            <w:r w:rsidRPr="008B5902">
              <w:rPr>
                <w:sz w:val="20"/>
                <w:vertAlign w:val="superscript"/>
              </w:rPr>
              <w:t>(</w:t>
            </w:r>
            <w:r>
              <w:rPr>
                <w:sz w:val="20"/>
                <w:vertAlign w:val="superscript"/>
              </w:rPr>
              <w:t>1</w:t>
            </w:r>
            <w:r w:rsidRPr="008B5902">
              <w:rPr>
                <w:sz w:val="20"/>
                <w:vertAlign w:val="superscript"/>
              </w:rPr>
              <w:t>)</w:t>
            </w:r>
          </w:p>
        </w:tc>
        <w:tc>
          <w:tcPr>
            <w:tcW w:w="1626" w:type="dxa"/>
            <w:gridSpan w:val="2"/>
            <w:shd w:val="clear" w:color="auto" w:fill="B6DDE8" w:themeFill="accent5" w:themeFillTint="66"/>
            <w:vAlign w:val="center"/>
          </w:tcPr>
          <w:p w14:paraId="321613A9" w14:textId="77777777" w:rsidR="00626D90" w:rsidRPr="008B5902" w:rsidRDefault="00626D90" w:rsidP="00EF0FC0">
            <w:pPr>
              <w:snapToGrid w:val="0"/>
              <w:spacing w:after="120"/>
              <w:jc w:val="center"/>
              <w:rPr>
                <w:sz w:val="20"/>
              </w:rPr>
            </w:pPr>
            <w:r w:rsidRPr="008B5902">
              <w:rPr>
                <w:sz w:val="20"/>
              </w:rPr>
              <w:t>2012</w:t>
            </w:r>
          </w:p>
        </w:tc>
        <w:tc>
          <w:tcPr>
            <w:tcW w:w="1626" w:type="dxa"/>
            <w:gridSpan w:val="2"/>
            <w:shd w:val="clear" w:color="auto" w:fill="B6DDE8" w:themeFill="accent5" w:themeFillTint="66"/>
            <w:vAlign w:val="center"/>
          </w:tcPr>
          <w:p w14:paraId="13FD1729" w14:textId="77777777" w:rsidR="00626D90" w:rsidRPr="008B5902" w:rsidRDefault="00626D90" w:rsidP="00EF0FC0">
            <w:pPr>
              <w:snapToGrid w:val="0"/>
              <w:spacing w:after="120"/>
              <w:jc w:val="center"/>
              <w:rPr>
                <w:sz w:val="20"/>
              </w:rPr>
            </w:pPr>
            <w:r w:rsidRPr="008B5902">
              <w:rPr>
                <w:sz w:val="20"/>
              </w:rPr>
              <w:t>2016</w:t>
            </w:r>
          </w:p>
        </w:tc>
        <w:tc>
          <w:tcPr>
            <w:tcW w:w="1649" w:type="dxa"/>
            <w:gridSpan w:val="2"/>
            <w:shd w:val="clear" w:color="auto" w:fill="B6DDE8" w:themeFill="accent5" w:themeFillTint="66"/>
          </w:tcPr>
          <w:p w14:paraId="6F6E2E6C" w14:textId="77777777" w:rsidR="00626D90" w:rsidRPr="008B5902" w:rsidRDefault="00626D90" w:rsidP="00EF0FC0">
            <w:pPr>
              <w:snapToGrid w:val="0"/>
              <w:spacing w:after="120"/>
              <w:jc w:val="center"/>
              <w:rPr>
                <w:sz w:val="20"/>
              </w:rPr>
            </w:pPr>
            <w:r w:rsidRPr="008B5902">
              <w:rPr>
                <w:sz w:val="20"/>
              </w:rPr>
              <w:t>2018</w:t>
            </w:r>
          </w:p>
        </w:tc>
        <w:tc>
          <w:tcPr>
            <w:tcW w:w="1677" w:type="dxa"/>
            <w:gridSpan w:val="2"/>
            <w:shd w:val="clear" w:color="auto" w:fill="B6DDE8" w:themeFill="accent5" w:themeFillTint="66"/>
          </w:tcPr>
          <w:p w14:paraId="70F7DDB7" w14:textId="77777777" w:rsidR="00626D90" w:rsidRPr="008B5902" w:rsidRDefault="00626D90" w:rsidP="00EF0FC0">
            <w:pPr>
              <w:snapToGrid w:val="0"/>
              <w:spacing w:after="120"/>
              <w:jc w:val="center"/>
              <w:rPr>
                <w:sz w:val="20"/>
              </w:rPr>
            </w:pPr>
            <w:r w:rsidRPr="008B5902">
              <w:rPr>
                <w:sz w:val="20"/>
              </w:rPr>
              <w:t>2019</w:t>
            </w:r>
          </w:p>
        </w:tc>
      </w:tr>
      <w:tr w:rsidR="00626D90" w14:paraId="2BDA0353" w14:textId="77777777" w:rsidTr="00EF0FC0">
        <w:tc>
          <w:tcPr>
            <w:tcW w:w="1292" w:type="dxa"/>
            <w:vMerge/>
            <w:shd w:val="clear" w:color="auto" w:fill="B6DDE8" w:themeFill="accent5" w:themeFillTint="66"/>
          </w:tcPr>
          <w:p w14:paraId="0D16C727" w14:textId="77777777" w:rsidR="00626D90" w:rsidRPr="008B5902" w:rsidRDefault="00626D90" w:rsidP="00EF0FC0">
            <w:pPr>
              <w:snapToGrid w:val="0"/>
              <w:spacing w:after="120"/>
              <w:jc w:val="left"/>
              <w:rPr>
                <w:sz w:val="20"/>
              </w:rPr>
            </w:pPr>
          </w:p>
        </w:tc>
        <w:tc>
          <w:tcPr>
            <w:tcW w:w="865" w:type="dxa"/>
            <w:shd w:val="clear" w:color="auto" w:fill="B6DDE8" w:themeFill="accent5" w:themeFillTint="66"/>
            <w:vAlign w:val="center"/>
          </w:tcPr>
          <w:p w14:paraId="3DE2D1D9" w14:textId="77777777" w:rsidR="00626D90" w:rsidRPr="008B5902" w:rsidRDefault="00626D90" w:rsidP="00EF0FC0">
            <w:pPr>
              <w:tabs>
                <w:tab w:val="left" w:pos="560"/>
              </w:tabs>
              <w:snapToGrid w:val="0"/>
              <w:spacing w:after="120"/>
              <w:jc w:val="center"/>
              <w:rPr>
                <w:sz w:val="20"/>
              </w:rPr>
            </w:pPr>
            <w:r w:rsidRPr="008B5902">
              <w:rPr>
                <w:sz w:val="20"/>
              </w:rPr>
              <w:t>Tonnes</w:t>
            </w:r>
          </w:p>
        </w:tc>
        <w:tc>
          <w:tcPr>
            <w:tcW w:w="752" w:type="dxa"/>
            <w:shd w:val="clear" w:color="auto" w:fill="B6DDE8" w:themeFill="accent5" w:themeFillTint="66"/>
            <w:vAlign w:val="center"/>
          </w:tcPr>
          <w:p w14:paraId="419951E4" w14:textId="77777777" w:rsidR="00626D90" w:rsidRPr="008B5902" w:rsidRDefault="00626D90" w:rsidP="00EF0FC0">
            <w:pPr>
              <w:snapToGrid w:val="0"/>
              <w:spacing w:after="120"/>
              <w:jc w:val="center"/>
              <w:rPr>
                <w:sz w:val="20"/>
              </w:rPr>
            </w:pPr>
            <w:r w:rsidRPr="008B5902">
              <w:rPr>
                <w:sz w:val="20"/>
              </w:rPr>
              <w:t>Share</w:t>
            </w:r>
          </w:p>
        </w:tc>
        <w:tc>
          <w:tcPr>
            <w:tcW w:w="875" w:type="dxa"/>
            <w:shd w:val="clear" w:color="auto" w:fill="B6DDE8" w:themeFill="accent5" w:themeFillTint="66"/>
            <w:vAlign w:val="center"/>
          </w:tcPr>
          <w:p w14:paraId="31E76C6C" w14:textId="77777777" w:rsidR="00626D90" w:rsidRPr="008B5902" w:rsidRDefault="00626D90" w:rsidP="00EF0FC0">
            <w:pPr>
              <w:snapToGrid w:val="0"/>
              <w:spacing w:after="120"/>
              <w:jc w:val="center"/>
              <w:rPr>
                <w:sz w:val="20"/>
              </w:rPr>
            </w:pPr>
            <w:r w:rsidRPr="008B5902">
              <w:rPr>
                <w:sz w:val="20"/>
              </w:rPr>
              <w:t>Tonnes</w:t>
            </w:r>
          </w:p>
        </w:tc>
        <w:tc>
          <w:tcPr>
            <w:tcW w:w="751" w:type="dxa"/>
            <w:shd w:val="clear" w:color="auto" w:fill="B6DDE8" w:themeFill="accent5" w:themeFillTint="66"/>
            <w:vAlign w:val="center"/>
          </w:tcPr>
          <w:p w14:paraId="163747D9" w14:textId="77777777" w:rsidR="00626D90" w:rsidRPr="008B5902" w:rsidRDefault="00626D90" w:rsidP="00EF0FC0">
            <w:pPr>
              <w:snapToGrid w:val="0"/>
              <w:spacing w:after="120"/>
              <w:jc w:val="center"/>
              <w:rPr>
                <w:sz w:val="20"/>
              </w:rPr>
            </w:pPr>
            <w:r w:rsidRPr="008B5902">
              <w:rPr>
                <w:sz w:val="20"/>
              </w:rPr>
              <w:t>Share</w:t>
            </w:r>
          </w:p>
        </w:tc>
        <w:tc>
          <w:tcPr>
            <w:tcW w:w="875" w:type="dxa"/>
            <w:shd w:val="clear" w:color="auto" w:fill="B6DDE8" w:themeFill="accent5" w:themeFillTint="66"/>
            <w:vAlign w:val="center"/>
          </w:tcPr>
          <w:p w14:paraId="61CC16CA" w14:textId="77777777" w:rsidR="00626D90" w:rsidRPr="008B5902" w:rsidRDefault="00626D90" w:rsidP="00EF0FC0">
            <w:pPr>
              <w:snapToGrid w:val="0"/>
              <w:spacing w:after="120"/>
              <w:jc w:val="center"/>
              <w:rPr>
                <w:sz w:val="20"/>
              </w:rPr>
            </w:pPr>
            <w:r w:rsidRPr="008B5902">
              <w:rPr>
                <w:sz w:val="20"/>
              </w:rPr>
              <w:t>Tonnes</w:t>
            </w:r>
          </w:p>
        </w:tc>
        <w:tc>
          <w:tcPr>
            <w:tcW w:w="751" w:type="dxa"/>
            <w:shd w:val="clear" w:color="auto" w:fill="B6DDE8" w:themeFill="accent5" w:themeFillTint="66"/>
            <w:vAlign w:val="center"/>
          </w:tcPr>
          <w:p w14:paraId="6D931DBE" w14:textId="77777777" w:rsidR="00626D90" w:rsidRPr="008B5902" w:rsidRDefault="00626D90" w:rsidP="00EF0FC0">
            <w:pPr>
              <w:snapToGrid w:val="0"/>
              <w:spacing w:after="120"/>
              <w:jc w:val="center"/>
              <w:rPr>
                <w:sz w:val="20"/>
              </w:rPr>
            </w:pPr>
            <w:r w:rsidRPr="008B5902">
              <w:rPr>
                <w:sz w:val="20"/>
              </w:rPr>
              <w:t>Share</w:t>
            </w:r>
          </w:p>
        </w:tc>
        <w:tc>
          <w:tcPr>
            <w:tcW w:w="864" w:type="dxa"/>
            <w:shd w:val="clear" w:color="auto" w:fill="B6DDE8" w:themeFill="accent5" w:themeFillTint="66"/>
            <w:vAlign w:val="center"/>
          </w:tcPr>
          <w:p w14:paraId="3FE90479" w14:textId="77777777" w:rsidR="00626D90" w:rsidRPr="008B5902" w:rsidRDefault="00626D90" w:rsidP="00EF0FC0">
            <w:pPr>
              <w:snapToGrid w:val="0"/>
              <w:spacing w:after="120"/>
              <w:jc w:val="center"/>
              <w:rPr>
                <w:sz w:val="20"/>
              </w:rPr>
            </w:pPr>
            <w:r w:rsidRPr="008B5902">
              <w:rPr>
                <w:sz w:val="20"/>
              </w:rPr>
              <w:t>Tonnes</w:t>
            </w:r>
          </w:p>
        </w:tc>
        <w:tc>
          <w:tcPr>
            <w:tcW w:w="785" w:type="dxa"/>
            <w:shd w:val="clear" w:color="auto" w:fill="B6DDE8" w:themeFill="accent5" w:themeFillTint="66"/>
            <w:vAlign w:val="center"/>
          </w:tcPr>
          <w:p w14:paraId="695D78EF" w14:textId="77777777" w:rsidR="00626D90" w:rsidRPr="008B5902" w:rsidRDefault="00626D90" w:rsidP="00EF0FC0">
            <w:pPr>
              <w:snapToGrid w:val="0"/>
              <w:spacing w:after="120"/>
              <w:jc w:val="center"/>
              <w:rPr>
                <w:sz w:val="20"/>
              </w:rPr>
            </w:pPr>
            <w:r w:rsidRPr="008B5902">
              <w:rPr>
                <w:sz w:val="20"/>
              </w:rPr>
              <w:t>Share</w:t>
            </w:r>
          </w:p>
        </w:tc>
        <w:tc>
          <w:tcPr>
            <w:tcW w:w="875" w:type="dxa"/>
            <w:shd w:val="clear" w:color="auto" w:fill="B6DDE8" w:themeFill="accent5" w:themeFillTint="66"/>
            <w:vAlign w:val="center"/>
          </w:tcPr>
          <w:p w14:paraId="41F56701" w14:textId="77777777" w:rsidR="00626D90" w:rsidRPr="008B5902" w:rsidRDefault="00626D90" w:rsidP="00EF0FC0">
            <w:pPr>
              <w:snapToGrid w:val="0"/>
              <w:spacing w:after="120"/>
              <w:jc w:val="center"/>
              <w:rPr>
                <w:sz w:val="20"/>
              </w:rPr>
            </w:pPr>
            <w:r w:rsidRPr="008B5902">
              <w:rPr>
                <w:sz w:val="20"/>
              </w:rPr>
              <w:t>Tonnes</w:t>
            </w:r>
          </w:p>
        </w:tc>
        <w:tc>
          <w:tcPr>
            <w:tcW w:w="802" w:type="dxa"/>
            <w:shd w:val="clear" w:color="auto" w:fill="B6DDE8" w:themeFill="accent5" w:themeFillTint="66"/>
            <w:vAlign w:val="center"/>
          </w:tcPr>
          <w:p w14:paraId="7E7D66B4" w14:textId="77777777" w:rsidR="00626D90" w:rsidRPr="008B5902" w:rsidRDefault="00626D90" w:rsidP="00EF0FC0">
            <w:pPr>
              <w:snapToGrid w:val="0"/>
              <w:spacing w:after="120"/>
              <w:jc w:val="center"/>
              <w:rPr>
                <w:sz w:val="20"/>
              </w:rPr>
            </w:pPr>
            <w:r w:rsidRPr="008B5902">
              <w:rPr>
                <w:sz w:val="20"/>
              </w:rPr>
              <w:t>Share</w:t>
            </w:r>
          </w:p>
        </w:tc>
      </w:tr>
      <w:tr w:rsidR="00626D90" w14:paraId="1A7A56B1" w14:textId="77777777" w:rsidTr="00EF0FC0">
        <w:tc>
          <w:tcPr>
            <w:tcW w:w="1292" w:type="dxa"/>
            <w:vAlign w:val="center"/>
          </w:tcPr>
          <w:p w14:paraId="65BE4B69" w14:textId="77777777" w:rsidR="00626D90" w:rsidRPr="008B5902" w:rsidRDefault="00626D90" w:rsidP="00EF0FC0">
            <w:pPr>
              <w:snapToGrid w:val="0"/>
              <w:spacing w:after="120"/>
              <w:jc w:val="left"/>
              <w:rPr>
                <w:sz w:val="20"/>
              </w:rPr>
            </w:pPr>
            <w:r w:rsidRPr="008B5902">
              <w:rPr>
                <w:color w:val="000000"/>
                <w:sz w:val="20"/>
                <w:lang w:val="en-AU"/>
              </w:rPr>
              <w:t>HCFC-22</w:t>
            </w:r>
          </w:p>
        </w:tc>
        <w:tc>
          <w:tcPr>
            <w:tcW w:w="865" w:type="dxa"/>
            <w:vAlign w:val="center"/>
          </w:tcPr>
          <w:p w14:paraId="505FE731" w14:textId="77777777" w:rsidR="00626D90" w:rsidRPr="008B5902" w:rsidRDefault="00626D90" w:rsidP="00EF0FC0">
            <w:pPr>
              <w:snapToGrid w:val="0"/>
              <w:spacing w:after="120"/>
              <w:jc w:val="center"/>
              <w:rPr>
                <w:sz w:val="20"/>
              </w:rPr>
            </w:pPr>
            <w:r w:rsidRPr="008B5902">
              <w:rPr>
                <w:color w:val="000000"/>
                <w:sz w:val="20"/>
              </w:rPr>
              <w:t>11,280</w:t>
            </w:r>
          </w:p>
        </w:tc>
        <w:tc>
          <w:tcPr>
            <w:tcW w:w="752" w:type="dxa"/>
            <w:vAlign w:val="center"/>
          </w:tcPr>
          <w:p w14:paraId="0A3519CC" w14:textId="77777777" w:rsidR="00626D90" w:rsidRPr="008B5902" w:rsidRDefault="00626D90" w:rsidP="00EF0FC0">
            <w:pPr>
              <w:snapToGrid w:val="0"/>
              <w:spacing w:after="120"/>
              <w:jc w:val="center"/>
              <w:rPr>
                <w:sz w:val="20"/>
              </w:rPr>
            </w:pPr>
            <w:r w:rsidRPr="008B5902">
              <w:rPr>
                <w:color w:val="000000"/>
                <w:sz w:val="20"/>
              </w:rPr>
              <w:t>37%</w:t>
            </w:r>
          </w:p>
        </w:tc>
        <w:tc>
          <w:tcPr>
            <w:tcW w:w="875" w:type="dxa"/>
            <w:vAlign w:val="center"/>
          </w:tcPr>
          <w:p w14:paraId="322B562A" w14:textId="77777777" w:rsidR="00626D90" w:rsidRPr="008B5902" w:rsidRDefault="00626D90" w:rsidP="00EF0FC0">
            <w:pPr>
              <w:snapToGrid w:val="0"/>
              <w:spacing w:after="120"/>
              <w:jc w:val="center"/>
              <w:rPr>
                <w:sz w:val="20"/>
              </w:rPr>
            </w:pPr>
            <w:r w:rsidRPr="008B5902">
              <w:rPr>
                <w:color w:val="000000"/>
                <w:sz w:val="20"/>
              </w:rPr>
              <w:t>11,227</w:t>
            </w:r>
          </w:p>
        </w:tc>
        <w:tc>
          <w:tcPr>
            <w:tcW w:w="751" w:type="dxa"/>
            <w:vAlign w:val="center"/>
          </w:tcPr>
          <w:p w14:paraId="439565CB" w14:textId="77777777" w:rsidR="00626D90" w:rsidRPr="008B5902" w:rsidRDefault="00626D90" w:rsidP="00EF0FC0">
            <w:pPr>
              <w:snapToGrid w:val="0"/>
              <w:spacing w:after="120"/>
              <w:jc w:val="center"/>
              <w:rPr>
                <w:sz w:val="20"/>
              </w:rPr>
            </w:pPr>
            <w:r w:rsidRPr="008B5902">
              <w:rPr>
                <w:color w:val="000000"/>
                <w:sz w:val="20"/>
              </w:rPr>
              <w:t>26%</w:t>
            </w:r>
          </w:p>
        </w:tc>
        <w:tc>
          <w:tcPr>
            <w:tcW w:w="875" w:type="dxa"/>
            <w:vAlign w:val="center"/>
          </w:tcPr>
          <w:p w14:paraId="556F0319" w14:textId="77777777" w:rsidR="00626D90" w:rsidRPr="008B5902" w:rsidRDefault="00626D90" w:rsidP="00EF0FC0">
            <w:pPr>
              <w:snapToGrid w:val="0"/>
              <w:spacing w:after="120"/>
              <w:jc w:val="center"/>
              <w:rPr>
                <w:sz w:val="20"/>
              </w:rPr>
            </w:pPr>
            <w:r w:rsidRPr="008B5902">
              <w:rPr>
                <w:color w:val="000000"/>
                <w:sz w:val="20"/>
              </w:rPr>
              <w:t>8,283</w:t>
            </w:r>
          </w:p>
        </w:tc>
        <w:tc>
          <w:tcPr>
            <w:tcW w:w="751" w:type="dxa"/>
            <w:vAlign w:val="center"/>
          </w:tcPr>
          <w:p w14:paraId="1ED6B492" w14:textId="77777777" w:rsidR="00626D90" w:rsidRPr="008B5902" w:rsidRDefault="00626D90" w:rsidP="00EF0FC0">
            <w:pPr>
              <w:snapToGrid w:val="0"/>
              <w:spacing w:after="120"/>
              <w:jc w:val="center"/>
              <w:rPr>
                <w:color w:val="000000"/>
                <w:sz w:val="20"/>
              </w:rPr>
            </w:pPr>
            <w:r w:rsidRPr="008B5902">
              <w:rPr>
                <w:color w:val="000000"/>
                <w:sz w:val="20"/>
              </w:rPr>
              <w:t>16%</w:t>
            </w:r>
          </w:p>
        </w:tc>
        <w:tc>
          <w:tcPr>
            <w:tcW w:w="864" w:type="dxa"/>
            <w:vAlign w:val="center"/>
          </w:tcPr>
          <w:p w14:paraId="2DD9FA64" w14:textId="77777777" w:rsidR="00626D90" w:rsidRPr="008B5902" w:rsidRDefault="00626D90" w:rsidP="00EF0FC0">
            <w:pPr>
              <w:snapToGrid w:val="0"/>
              <w:spacing w:after="120"/>
              <w:jc w:val="center"/>
              <w:rPr>
                <w:color w:val="000000"/>
                <w:sz w:val="20"/>
              </w:rPr>
            </w:pPr>
            <w:r w:rsidRPr="008B5902">
              <w:rPr>
                <w:color w:val="000000"/>
                <w:sz w:val="20"/>
              </w:rPr>
              <w:t>5,605</w:t>
            </w:r>
          </w:p>
        </w:tc>
        <w:tc>
          <w:tcPr>
            <w:tcW w:w="785" w:type="dxa"/>
            <w:vMerge w:val="restart"/>
            <w:vAlign w:val="center"/>
          </w:tcPr>
          <w:p w14:paraId="1E678E65" w14:textId="77777777" w:rsidR="00626D90" w:rsidRPr="008B5902" w:rsidRDefault="00626D90" w:rsidP="00EF0FC0">
            <w:pPr>
              <w:snapToGrid w:val="0"/>
              <w:spacing w:after="120"/>
              <w:jc w:val="center"/>
              <w:rPr>
                <w:color w:val="000000"/>
                <w:sz w:val="20"/>
              </w:rPr>
            </w:pPr>
            <w:r w:rsidRPr="008B5902">
              <w:rPr>
                <w:color w:val="000000"/>
                <w:sz w:val="20"/>
              </w:rPr>
              <w:t>1</w:t>
            </w:r>
            <w:r>
              <w:rPr>
                <w:color w:val="000000"/>
                <w:sz w:val="20"/>
              </w:rPr>
              <w:t>0.9</w:t>
            </w:r>
            <w:r w:rsidRPr="008B5902">
              <w:rPr>
                <w:color w:val="000000"/>
                <w:sz w:val="20"/>
              </w:rPr>
              <w:t>%</w:t>
            </w:r>
          </w:p>
        </w:tc>
        <w:tc>
          <w:tcPr>
            <w:tcW w:w="875" w:type="dxa"/>
            <w:vAlign w:val="center"/>
          </w:tcPr>
          <w:p w14:paraId="05CE77C9" w14:textId="77777777" w:rsidR="00626D90" w:rsidRPr="008B5902" w:rsidRDefault="00626D90" w:rsidP="00EF0FC0">
            <w:pPr>
              <w:snapToGrid w:val="0"/>
              <w:spacing w:after="120"/>
              <w:jc w:val="center"/>
              <w:rPr>
                <w:color w:val="000000"/>
                <w:sz w:val="20"/>
              </w:rPr>
            </w:pPr>
            <w:r w:rsidRPr="008B5902">
              <w:rPr>
                <w:color w:val="000000"/>
                <w:sz w:val="20"/>
              </w:rPr>
              <w:t>4,475</w:t>
            </w:r>
          </w:p>
        </w:tc>
        <w:tc>
          <w:tcPr>
            <w:tcW w:w="802" w:type="dxa"/>
            <w:vMerge w:val="restart"/>
            <w:vAlign w:val="center"/>
          </w:tcPr>
          <w:p w14:paraId="5CD60B3F" w14:textId="77777777" w:rsidR="00626D90" w:rsidRPr="008B5902" w:rsidRDefault="00626D90" w:rsidP="00EF0FC0">
            <w:pPr>
              <w:snapToGrid w:val="0"/>
              <w:spacing w:after="120"/>
              <w:jc w:val="center"/>
              <w:rPr>
                <w:color w:val="000000"/>
                <w:sz w:val="20"/>
              </w:rPr>
            </w:pPr>
            <w:r w:rsidRPr="008B5902">
              <w:rPr>
                <w:color w:val="000000"/>
                <w:sz w:val="20"/>
              </w:rPr>
              <w:t>8.7%</w:t>
            </w:r>
          </w:p>
        </w:tc>
      </w:tr>
      <w:tr w:rsidR="00626D90" w14:paraId="4F91C970" w14:textId="77777777" w:rsidTr="00EF0FC0">
        <w:tc>
          <w:tcPr>
            <w:tcW w:w="1292" w:type="dxa"/>
            <w:vAlign w:val="center"/>
          </w:tcPr>
          <w:p w14:paraId="625C7FDE" w14:textId="77777777" w:rsidR="00626D90" w:rsidRPr="008B5902" w:rsidRDefault="00626D90" w:rsidP="00EF0FC0">
            <w:pPr>
              <w:snapToGrid w:val="0"/>
              <w:spacing w:after="120"/>
              <w:jc w:val="left"/>
              <w:rPr>
                <w:sz w:val="20"/>
              </w:rPr>
            </w:pPr>
            <w:r w:rsidRPr="008B5902">
              <w:rPr>
                <w:color w:val="000000"/>
                <w:sz w:val="20"/>
                <w:lang w:val="en-AU"/>
              </w:rPr>
              <w:t>HCFC Mix</w:t>
            </w:r>
          </w:p>
        </w:tc>
        <w:tc>
          <w:tcPr>
            <w:tcW w:w="865" w:type="dxa"/>
            <w:vAlign w:val="center"/>
          </w:tcPr>
          <w:p w14:paraId="11A25100" w14:textId="77777777" w:rsidR="00626D90" w:rsidRPr="008B5902" w:rsidRDefault="00626D90" w:rsidP="00EF0FC0">
            <w:pPr>
              <w:snapToGrid w:val="0"/>
              <w:spacing w:after="120"/>
              <w:jc w:val="center"/>
              <w:rPr>
                <w:sz w:val="20"/>
              </w:rPr>
            </w:pPr>
            <w:r w:rsidRPr="008B5902">
              <w:rPr>
                <w:color w:val="000000"/>
                <w:sz w:val="20"/>
              </w:rPr>
              <w:t>1,000</w:t>
            </w:r>
          </w:p>
        </w:tc>
        <w:tc>
          <w:tcPr>
            <w:tcW w:w="752" w:type="dxa"/>
            <w:vAlign w:val="center"/>
          </w:tcPr>
          <w:p w14:paraId="1B0A2F50" w14:textId="77777777" w:rsidR="00626D90" w:rsidRPr="008B5902" w:rsidRDefault="00626D90" w:rsidP="00EF0FC0">
            <w:pPr>
              <w:snapToGrid w:val="0"/>
              <w:spacing w:after="120"/>
              <w:jc w:val="center"/>
              <w:rPr>
                <w:sz w:val="20"/>
              </w:rPr>
            </w:pPr>
            <w:r w:rsidRPr="008B5902">
              <w:rPr>
                <w:color w:val="000000"/>
                <w:sz w:val="20"/>
              </w:rPr>
              <w:t>3%</w:t>
            </w:r>
          </w:p>
        </w:tc>
        <w:tc>
          <w:tcPr>
            <w:tcW w:w="875" w:type="dxa"/>
            <w:vAlign w:val="center"/>
          </w:tcPr>
          <w:p w14:paraId="70C5E062" w14:textId="77777777" w:rsidR="00626D90" w:rsidRPr="008B5902" w:rsidRDefault="00626D90" w:rsidP="00EF0FC0">
            <w:pPr>
              <w:snapToGrid w:val="0"/>
              <w:spacing w:after="120"/>
              <w:jc w:val="center"/>
              <w:rPr>
                <w:sz w:val="20"/>
              </w:rPr>
            </w:pPr>
            <w:r w:rsidRPr="008B5902">
              <w:rPr>
                <w:color w:val="000000"/>
                <w:sz w:val="20"/>
              </w:rPr>
              <w:t>201</w:t>
            </w:r>
          </w:p>
        </w:tc>
        <w:tc>
          <w:tcPr>
            <w:tcW w:w="751" w:type="dxa"/>
            <w:vAlign w:val="center"/>
          </w:tcPr>
          <w:p w14:paraId="723E0503" w14:textId="77777777" w:rsidR="00626D90" w:rsidRPr="008B5902" w:rsidRDefault="00626D90" w:rsidP="00EF0FC0">
            <w:pPr>
              <w:snapToGrid w:val="0"/>
              <w:spacing w:after="120"/>
              <w:jc w:val="center"/>
              <w:rPr>
                <w:sz w:val="20"/>
              </w:rPr>
            </w:pPr>
            <w:r w:rsidRPr="008B5902">
              <w:rPr>
                <w:color w:val="000000"/>
                <w:sz w:val="20"/>
              </w:rPr>
              <w:t>0%</w:t>
            </w:r>
          </w:p>
        </w:tc>
        <w:tc>
          <w:tcPr>
            <w:tcW w:w="875" w:type="dxa"/>
            <w:vAlign w:val="center"/>
          </w:tcPr>
          <w:p w14:paraId="50533634" w14:textId="77777777" w:rsidR="00626D90" w:rsidRPr="008B5902" w:rsidRDefault="00626D90" w:rsidP="00EF0FC0">
            <w:pPr>
              <w:snapToGrid w:val="0"/>
              <w:spacing w:after="120"/>
              <w:jc w:val="center"/>
              <w:rPr>
                <w:sz w:val="20"/>
              </w:rPr>
            </w:pPr>
            <w:r w:rsidRPr="008B5902">
              <w:rPr>
                <w:color w:val="000000"/>
                <w:sz w:val="20"/>
              </w:rPr>
              <w:t>217</w:t>
            </w:r>
          </w:p>
        </w:tc>
        <w:tc>
          <w:tcPr>
            <w:tcW w:w="751" w:type="dxa"/>
            <w:vAlign w:val="center"/>
          </w:tcPr>
          <w:p w14:paraId="23535B4F" w14:textId="77777777" w:rsidR="00626D90" w:rsidRPr="008B5902" w:rsidRDefault="00626D90" w:rsidP="00EF0FC0">
            <w:pPr>
              <w:snapToGrid w:val="0"/>
              <w:spacing w:after="120"/>
              <w:jc w:val="center"/>
              <w:rPr>
                <w:color w:val="000000"/>
                <w:sz w:val="20"/>
              </w:rPr>
            </w:pPr>
            <w:r w:rsidRPr="008B5902">
              <w:rPr>
                <w:color w:val="000000"/>
                <w:sz w:val="20"/>
              </w:rPr>
              <w:t>0%</w:t>
            </w:r>
          </w:p>
        </w:tc>
        <w:tc>
          <w:tcPr>
            <w:tcW w:w="864" w:type="dxa"/>
            <w:vAlign w:val="center"/>
          </w:tcPr>
          <w:p w14:paraId="4FE2A730" w14:textId="77777777" w:rsidR="00626D90" w:rsidRPr="008B5902" w:rsidRDefault="00626D90" w:rsidP="00EF0FC0">
            <w:pPr>
              <w:snapToGrid w:val="0"/>
              <w:spacing w:after="120"/>
              <w:jc w:val="center"/>
              <w:rPr>
                <w:color w:val="000000"/>
                <w:sz w:val="20"/>
              </w:rPr>
            </w:pPr>
            <w:r w:rsidRPr="008B5902">
              <w:rPr>
                <w:color w:val="000000"/>
                <w:sz w:val="20"/>
              </w:rPr>
              <w:t>199</w:t>
            </w:r>
          </w:p>
        </w:tc>
        <w:tc>
          <w:tcPr>
            <w:tcW w:w="785" w:type="dxa"/>
            <w:vMerge/>
            <w:vAlign w:val="center"/>
          </w:tcPr>
          <w:p w14:paraId="4534ACD6" w14:textId="77777777" w:rsidR="00626D90" w:rsidRPr="008B5902" w:rsidRDefault="00626D90" w:rsidP="00EF0FC0">
            <w:pPr>
              <w:snapToGrid w:val="0"/>
              <w:spacing w:after="120"/>
              <w:jc w:val="center"/>
              <w:rPr>
                <w:color w:val="000000"/>
                <w:sz w:val="20"/>
              </w:rPr>
            </w:pPr>
          </w:p>
        </w:tc>
        <w:tc>
          <w:tcPr>
            <w:tcW w:w="875" w:type="dxa"/>
            <w:vAlign w:val="center"/>
          </w:tcPr>
          <w:p w14:paraId="10D763C3" w14:textId="77777777" w:rsidR="00626D90" w:rsidRPr="008B5902" w:rsidRDefault="00626D90" w:rsidP="00EF0FC0">
            <w:pPr>
              <w:snapToGrid w:val="0"/>
              <w:spacing w:after="120"/>
              <w:jc w:val="center"/>
              <w:rPr>
                <w:color w:val="000000"/>
                <w:sz w:val="20"/>
              </w:rPr>
            </w:pPr>
            <w:r w:rsidRPr="008B5902">
              <w:rPr>
                <w:color w:val="000000"/>
                <w:sz w:val="20"/>
              </w:rPr>
              <w:t>190</w:t>
            </w:r>
          </w:p>
        </w:tc>
        <w:tc>
          <w:tcPr>
            <w:tcW w:w="802" w:type="dxa"/>
            <w:vMerge/>
            <w:vAlign w:val="center"/>
          </w:tcPr>
          <w:p w14:paraId="321AF766" w14:textId="77777777" w:rsidR="00626D90" w:rsidRPr="008B5902" w:rsidRDefault="00626D90" w:rsidP="00EF0FC0">
            <w:pPr>
              <w:snapToGrid w:val="0"/>
              <w:spacing w:after="120"/>
              <w:jc w:val="center"/>
              <w:rPr>
                <w:color w:val="000000"/>
                <w:sz w:val="20"/>
              </w:rPr>
            </w:pPr>
          </w:p>
        </w:tc>
      </w:tr>
      <w:tr w:rsidR="00626D90" w14:paraId="740F81D5" w14:textId="77777777" w:rsidTr="00EF0FC0">
        <w:tc>
          <w:tcPr>
            <w:tcW w:w="1292" w:type="dxa"/>
            <w:vAlign w:val="center"/>
          </w:tcPr>
          <w:p w14:paraId="26E9AF2C" w14:textId="77777777" w:rsidR="00626D90" w:rsidRPr="008B5902" w:rsidRDefault="00626D90" w:rsidP="00EF0FC0">
            <w:pPr>
              <w:snapToGrid w:val="0"/>
              <w:spacing w:after="120"/>
              <w:jc w:val="left"/>
              <w:rPr>
                <w:sz w:val="20"/>
              </w:rPr>
            </w:pPr>
            <w:r w:rsidRPr="008B5902">
              <w:rPr>
                <w:color w:val="000000"/>
                <w:sz w:val="20"/>
                <w:lang w:val="en-AU"/>
              </w:rPr>
              <w:t>HFC-134a</w:t>
            </w:r>
          </w:p>
        </w:tc>
        <w:tc>
          <w:tcPr>
            <w:tcW w:w="865" w:type="dxa"/>
            <w:vAlign w:val="center"/>
          </w:tcPr>
          <w:p w14:paraId="6DF1EA85" w14:textId="77777777" w:rsidR="00626D90" w:rsidRPr="008B5902" w:rsidRDefault="00626D90" w:rsidP="00EF0FC0">
            <w:pPr>
              <w:snapToGrid w:val="0"/>
              <w:spacing w:after="120"/>
              <w:jc w:val="center"/>
              <w:rPr>
                <w:sz w:val="20"/>
              </w:rPr>
            </w:pPr>
            <w:r w:rsidRPr="008B5902">
              <w:rPr>
                <w:color w:val="000000"/>
                <w:sz w:val="20"/>
              </w:rPr>
              <w:t>11,389</w:t>
            </w:r>
          </w:p>
        </w:tc>
        <w:tc>
          <w:tcPr>
            <w:tcW w:w="752" w:type="dxa"/>
            <w:vAlign w:val="center"/>
          </w:tcPr>
          <w:p w14:paraId="74BEF1B7" w14:textId="77777777" w:rsidR="00626D90" w:rsidRPr="008B5902" w:rsidRDefault="00626D90" w:rsidP="00EF0FC0">
            <w:pPr>
              <w:snapToGrid w:val="0"/>
              <w:spacing w:after="120"/>
              <w:jc w:val="center"/>
              <w:rPr>
                <w:sz w:val="20"/>
              </w:rPr>
            </w:pPr>
            <w:r w:rsidRPr="008B5902">
              <w:rPr>
                <w:color w:val="000000"/>
                <w:sz w:val="20"/>
              </w:rPr>
              <w:t>37%</w:t>
            </w:r>
          </w:p>
        </w:tc>
        <w:tc>
          <w:tcPr>
            <w:tcW w:w="875" w:type="dxa"/>
            <w:vAlign w:val="center"/>
          </w:tcPr>
          <w:p w14:paraId="5C4BEDFE" w14:textId="77777777" w:rsidR="00626D90" w:rsidRPr="008B5902" w:rsidRDefault="00626D90" w:rsidP="00EF0FC0">
            <w:pPr>
              <w:snapToGrid w:val="0"/>
              <w:spacing w:after="120"/>
              <w:jc w:val="center"/>
              <w:rPr>
                <w:sz w:val="20"/>
              </w:rPr>
            </w:pPr>
            <w:r w:rsidRPr="008B5902">
              <w:rPr>
                <w:color w:val="000000"/>
                <w:sz w:val="20"/>
              </w:rPr>
              <w:t>13,432</w:t>
            </w:r>
          </w:p>
        </w:tc>
        <w:tc>
          <w:tcPr>
            <w:tcW w:w="751" w:type="dxa"/>
            <w:vAlign w:val="center"/>
          </w:tcPr>
          <w:p w14:paraId="67F6147E" w14:textId="77777777" w:rsidR="00626D90" w:rsidRPr="008B5902" w:rsidRDefault="00626D90" w:rsidP="00EF0FC0">
            <w:pPr>
              <w:snapToGrid w:val="0"/>
              <w:spacing w:after="120"/>
              <w:jc w:val="center"/>
              <w:rPr>
                <w:sz w:val="20"/>
              </w:rPr>
            </w:pPr>
            <w:r w:rsidRPr="008B5902">
              <w:rPr>
                <w:color w:val="000000"/>
                <w:sz w:val="20"/>
              </w:rPr>
              <w:t>31%</w:t>
            </w:r>
          </w:p>
        </w:tc>
        <w:tc>
          <w:tcPr>
            <w:tcW w:w="875" w:type="dxa"/>
            <w:vAlign w:val="center"/>
          </w:tcPr>
          <w:p w14:paraId="667D2334" w14:textId="77777777" w:rsidR="00626D90" w:rsidRPr="008B5902" w:rsidRDefault="00626D90" w:rsidP="00EF0FC0">
            <w:pPr>
              <w:snapToGrid w:val="0"/>
              <w:spacing w:after="120"/>
              <w:jc w:val="center"/>
              <w:rPr>
                <w:sz w:val="20"/>
              </w:rPr>
            </w:pPr>
            <w:r w:rsidRPr="008B5902">
              <w:rPr>
                <w:color w:val="000000"/>
                <w:sz w:val="20"/>
              </w:rPr>
              <w:t>16,343</w:t>
            </w:r>
          </w:p>
        </w:tc>
        <w:tc>
          <w:tcPr>
            <w:tcW w:w="751" w:type="dxa"/>
            <w:vAlign w:val="center"/>
          </w:tcPr>
          <w:p w14:paraId="69BC5E46" w14:textId="77777777" w:rsidR="00626D90" w:rsidRPr="008B5902" w:rsidRDefault="00626D90" w:rsidP="00EF0FC0">
            <w:pPr>
              <w:snapToGrid w:val="0"/>
              <w:spacing w:after="120"/>
              <w:jc w:val="center"/>
              <w:rPr>
                <w:color w:val="000000"/>
                <w:sz w:val="20"/>
              </w:rPr>
            </w:pPr>
            <w:r w:rsidRPr="008B5902">
              <w:rPr>
                <w:color w:val="000000"/>
                <w:sz w:val="20"/>
              </w:rPr>
              <w:t>32%</w:t>
            </w:r>
          </w:p>
        </w:tc>
        <w:tc>
          <w:tcPr>
            <w:tcW w:w="864" w:type="dxa"/>
            <w:vAlign w:val="center"/>
          </w:tcPr>
          <w:p w14:paraId="7A79A235" w14:textId="77777777" w:rsidR="00626D90" w:rsidRPr="008B5902" w:rsidRDefault="00626D90" w:rsidP="00EF0FC0">
            <w:pPr>
              <w:snapToGrid w:val="0"/>
              <w:spacing w:after="120"/>
              <w:jc w:val="center"/>
              <w:rPr>
                <w:color w:val="000000"/>
                <w:sz w:val="20"/>
              </w:rPr>
            </w:pPr>
            <w:r w:rsidRPr="008B5902">
              <w:rPr>
                <w:color w:val="000000"/>
                <w:sz w:val="20"/>
              </w:rPr>
              <w:t>16,803</w:t>
            </w:r>
          </w:p>
        </w:tc>
        <w:tc>
          <w:tcPr>
            <w:tcW w:w="785" w:type="dxa"/>
            <w:vAlign w:val="center"/>
          </w:tcPr>
          <w:p w14:paraId="2750B1FC" w14:textId="77777777" w:rsidR="00626D90" w:rsidRPr="008B5902" w:rsidRDefault="00626D90" w:rsidP="00EF0FC0">
            <w:pPr>
              <w:snapToGrid w:val="0"/>
              <w:spacing w:after="120"/>
              <w:jc w:val="center"/>
              <w:rPr>
                <w:color w:val="000000"/>
                <w:sz w:val="20"/>
              </w:rPr>
            </w:pPr>
            <w:r w:rsidRPr="008B5902">
              <w:rPr>
                <w:color w:val="000000"/>
                <w:sz w:val="20"/>
              </w:rPr>
              <w:t>31.5%</w:t>
            </w:r>
          </w:p>
        </w:tc>
        <w:tc>
          <w:tcPr>
            <w:tcW w:w="875" w:type="dxa"/>
            <w:vAlign w:val="center"/>
          </w:tcPr>
          <w:p w14:paraId="5DC8C538" w14:textId="77777777" w:rsidR="00626D90" w:rsidRPr="008B5902" w:rsidRDefault="00626D90" w:rsidP="00EF0FC0">
            <w:pPr>
              <w:snapToGrid w:val="0"/>
              <w:spacing w:after="120"/>
              <w:jc w:val="center"/>
              <w:rPr>
                <w:color w:val="000000"/>
                <w:sz w:val="20"/>
              </w:rPr>
            </w:pPr>
            <w:r w:rsidRPr="008B5902">
              <w:rPr>
                <w:color w:val="000000"/>
                <w:sz w:val="20"/>
              </w:rPr>
              <w:t>16,933</w:t>
            </w:r>
          </w:p>
        </w:tc>
        <w:tc>
          <w:tcPr>
            <w:tcW w:w="802" w:type="dxa"/>
            <w:vAlign w:val="center"/>
          </w:tcPr>
          <w:p w14:paraId="7A42E9C7" w14:textId="77777777" w:rsidR="00626D90" w:rsidRPr="008B5902" w:rsidRDefault="00626D90" w:rsidP="00EF0FC0">
            <w:pPr>
              <w:snapToGrid w:val="0"/>
              <w:spacing w:after="120"/>
              <w:jc w:val="center"/>
              <w:rPr>
                <w:color w:val="000000"/>
                <w:sz w:val="20"/>
              </w:rPr>
            </w:pPr>
            <w:r w:rsidRPr="008B5902">
              <w:rPr>
                <w:color w:val="000000"/>
                <w:sz w:val="20"/>
              </w:rPr>
              <w:t>31.6%</w:t>
            </w:r>
          </w:p>
        </w:tc>
      </w:tr>
      <w:tr w:rsidR="00626D90" w14:paraId="1E43379F" w14:textId="77777777" w:rsidTr="00EF0FC0">
        <w:tc>
          <w:tcPr>
            <w:tcW w:w="1292" w:type="dxa"/>
            <w:vAlign w:val="center"/>
          </w:tcPr>
          <w:p w14:paraId="11F4C30A" w14:textId="77777777" w:rsidR="00626D90" w:rsidRPr="008B5902" w:rsidRDefault="00626D90" w:rsidP="00EF0FC0">
            <w:pPr>
              <w:snapToGrid w:val="0"/>
              <w:spacing w:after="120"/>
              <w:jc w:val="left"/>
              <w:rPr>
                <w:sz w:val="20"/>
              </w:rPr>
            </w:pPr>
            <w:r w:rsidRPr="008B5902">
              <w:rPr>
                <w:color w:val="000000"/>
                <w:sz w:val="20"/>
                <w:lang w:val="en-AU"/>
              </w:rPr>
              <w:t>HFC-404A</w:t>
            </w:r>
          </w:p>
        </w:tc>
        <w:tc>
          <w:tcPr>
            <w:tcW w:w="865" w:type="dxa"/>
            <w:vAlign w:val="center"/>
          </w:tcPr>
          <w:p w14:paraId="75EB1771" w14:textId="77777777" w:rsidR="00626D90" w:rsidRPr="008B5902" w:rsidRDefault="00626D90" w:rsidP="00EF0FC0">
            <w:pPr>
              <w:snapToGrid w:val="0"/>
              <w:spacing w:after="120"/>
              <w:jc w:val="center"/>
              <w:rPr>
                <w:sz w:val="20"/>
              </w:rPr>
            </w:pPr>
            <w:r w:rsidRPr="008B5902">
              <w:rPr>
                <w:color w:val="000000"/>
                <w:sz w:val="20"/>
              </w:rPr>
              <w:t>3,412</w:t>
            </w:r>
          </w:p>
        </w:tc>
        <w:tc>
          <w:tcPr>
            <w:tcW w:w="752" w:type="dxa"/>
            <w:vAlign w:val="center"/>
          </w:tcPr>
          <w:p w14:paraId="56EF4ED3" w14:textId="77777777" w:rsidR="00626D90" w:rsidRPr="008B5902" w:rsidRDefault="00626D90" w:rsidP="00EF0FC0">
            <w:pPr>
              <w:snapToGrid w:val="0"/>
              <w:spacing w:after="120"/>
              <w:jc w:val="center"/>
              <w:rPr>
                <w:sz w:val="20"/>
              </w:rPr>
            </w:pPr>
            <w:r w:rsidRPr="008B5902">
              <w:rPr>
                <w:color w:val="000000"/>
                <w:sz w:val="20"/>
              </w:rPr>
              <w:t>11%</w:t>
            </w:r>
          </w:p>
        </w:tc>
        <w:tc>
          <w:tcPr>
            <w:tcW w:w="875" w:type="dxa"/>
            <w:vAlign w:val="center"/>
          </w:tcPr>
          <w:p w14:paraId="35AFC966" w14:textId="77777777" w:rsidR="00626D90" w:rsidRPr="008B5902" w:rsidRDefault="00626D90" w:rsidP="00EF0FC0">
            <w:pPr>
              <w:snapToGrid w:val="0"/>
              <w:spacing w:after="120"/>
              <w:jc w:val="center"/>
              <w:rPr>
                <w:sz w:val="20"/>
              </w:rPr>
            </w:pPr>
            <w:r w:rsidRPr="008B5902">
              <w:rPr>
                <w:color w:val="000000"/>
                <w:sz w:val="20"/>
              </w:rPr>
              <w:t>3,306</w:t>
            </w:r>
            <w:r>
              <w:rPr>
                <w:color w:val="000000"/>
                <w:sz w:val="20"/>
              </w:rPr>
              <w:t xml:space="preserve"> </w:t>
            </w:r>
            <w:r w:rsidRPr="0089543A">
              <w:rPr>
                <w:color w:val="000000"/>
                <w:sz w:val="20"/>
                <w:vertAlign w:val="superscript"/>
              </w:rPr>
              <w:t>(4)</w:t>
            </w:r>
          </w:p>
        </w:tc>
        <w:tc>
          <w:tcPr>
            <w:tcW w:w="751" w:type="dxa"/>
            <w:vAlign w:val="center"/>
          </w:tcPr>
          <w:p w14:paraId="33CE123E" w14:textId="77777777" w:rsidR="00626D90" w:rsidRPr="008B5902" w:rsidRDefault="00626D90" w:rsidP="00EF0FC0">
            <w:pPr>
              <w:snapToGrid w:val="0"/>
              <w:spacing w:after="120"/>
              <w:jc w:val="center"/>
              <w:rPr>
                <w:sz w:val="20"/>
              </w:rPr>
            </w:pPr>
            <w:r w:rsidRPr="008B5902">
              <w:rPr>
                <w:color w:val="000000"/>
                <w:sz w:val="20"/>
              </w:rPr>
              <w:t>8%</w:t>
            </w:r>
          </w:p>
        </w:tc>
        <w:tc>
          <w:tcPr>
            <w:tcW w:w="875" w:type="dxa"/>
            <w:vAlign w:val="center"/>
          </w:tcPr>
          <w:p w14:paraId="039E933E" w14:textId="77777777" w:rsidR="00626D90" w:rsidRPr="008B5902" w:rsidRDefault="00626D90" w:rsidP="00EF0FC0">
            <w:pPr>
              <w:snapToGrid w:val="0"/>
              <w:spacing w:after="120"/>
              <w:jc w:val="center"/>
              <w:rPr>
                <w:sz w:val="20"/>
              </w:rPr>
            </w:pPr>
            <w:r w:rsidRPr="008B5902">
              <w:rPr>
                <w:color w:val="000000"/>
                <w:sz w:val="20"/>
              </w:rPr>
              <w:t>4,547</w:t>
            </w:r>
          </w:p>
        </w:tc>
        <w:tc>
          <w:tcPr>
            <w:tcW w:w="751" w:type="dxa"/>
            <w:vAlign w:val="center"/>
          </w:tcPr>
          <w:p w14:paraId="75836645" w14:textId="77777777" w:rsidR="00626D90" w:rsidRPr="008B5902" w:rsidRDefault="00626D90" w:rsidP="00EF0FC0">
            <w:pPr>
              <w:snapToGrid w:val="0"/>
              <w:spacing w:after="120"/>
              <w:jc w:val="center"/>
              <w:rPr>
                <w:color w:val="000000"/>
                <w:sz w:val="20"/>
              </w:rPr>
            </w:pPr>
            <w:r w:rsidRPr="008B5902">
              <w:rPr>
                <w:color w:val="000000"/>
                <w:sz w:val="20"/>
              </w:rPr>
              <w:t>9%</w:t>
            </w:r>
          </w:p>
        </w:tc>
        <w:tc>
          <w:tcPr>
            <w:tcW w:w="864" w:type="dxa"/>
            <w:vAlign w:val="center"/>
          </w:tcPr>
          <w:p w14:paraId="4CF76079" w14:textId="77777777" w:rsidR="00626D90" w:rsidRPr="008B5902" w:rsidRDefault="00626D90" w:rsidP="00EF0FC0">
            <w:pPr>
              <w:snapToGrid w:val="0"/>
              <w:spacing w:after="120"/>
              <w:jc w:val="center"/>
              <w:rPr>
                <w:color w:val="000000"/>
                <w:sz w:val="20"/>
              </w:rPr>
            </w:pPr>
            <w:r w:rsidRPr="008B5902">
              <w:rPr>
                <w:color w:val="000000"/>
                <w:sz w:val="20"/>
              </w:rPr>
              <w:t>4,560</w:t>
            </w:r>
          </w:p>
        </w:tc>
        <w:tc>
          <w:tcPr>
            <w:tcW w:w="785" w:type="dxa"/>
            <w:vAlign w:val="center"/>
          </w:tcPr>
          <w:p w14:paraId="493CE217" w14:textId="77777777" w:rsidR="00626D90" w:rsidRPr="008B5902" w:rsidRDefault="00626D90" w:rsidP="00EF0FC0">
            <w:pPr>
              <w:snapToGrid w:val="0"/>
              <w:spacing w:after="120"/>
              <w:jc w:val="center"/>
              <w:rPr>
                <w:color w:val="000000"/>
                <w:sz w:val="20"/>
              </w:rPr>
            </w:pPr>
            <w:r>
              <w:rPr>
                <w:color w:val="000000"/>
                <w:sz w:val="20"/>
              </w:rPr>
              <w:t>8.6</w:t>
            </w:r>
            <w:r w:rsidRPr="008B5902">
              <w:rPr>
                <w:color w:val="000000"/>
                <w:sz w:val="20"/>
              </w:rPr>
              <w:t>%</w:t>
            </w:r>
          </w:p>
        </w:tc>
        <w:tc>
          <w:tcPr>
            <w:tcW w:w="875" w:type="dxa"/>
            <w:vAlign w:val="center"/>
          </w:tcPr>
          <w:p w14:paraId="3FBA67EB" w14:textId="77777777" w:rsidR="00626D90" w:rsidRPr="008B5902" w:rsidRDefault="00626D90" w:rsidP="00EF0FC0">
            <w:pPr>
              <w:snapToGrid w:val="0"/>
              <w:spacing w:after="120"/>
              <w:jc w:val="center"/>
              <w:rPr>
                <w:color w:val="000000"/>
                <w:sz w:val="20"/>
              </w:rPr>
            </w:pPr>
            <w:r w:rsidRPr="008B5902">
              <w:rPr>
                <w:color w:val="000000"/>
                <w:sz w:val="20"/>
              </w:rPr>
              <w:t>4,501</w:t>
            </w:r>
          </w:p>
        </w:tc>
        <w:tc>
          <w:tcPr>
            <w:tcW w:w="802" w:type="dxa"/>
            <w:vAlign w:val="center"/>
          </w:tcPr>
          <w:p w14:paraId="6D317ADC" w14:textId="77777777" w:rsidR="00626D90" w:rsidRPr="008B5902" w:rsidRDefault="00626D90" w:rsidP="00EF0FC0">
            <w:pPr>
              <w:snapToGrid w:val="0"/>
              <w:spacing w:after="120"/>
              <w:jc w:val="center"/>
              <w:rPr>
                <w:color w:val="000000"/>
                <w:sz w:val="20"/>
              </w:rPr>
            </w:pPr>
            <w:r w:rsidRPr="008B5902">
              <w:rPr>
                <w:color w:val="000000"/>
                <w:sz w:val="20"/>
              </w:rPr>
              <w:t>8.4%</w:t>
            </w:r>
          </w:p>
        </w:tc>
      </w:tr>
      <w:tr w:rsidR="00626D90" w14:paraId="70692E49" w14:textId="77777777" w:rsidTr="00EF0FC0">
        <w:tc>
          <w:tcPr>
            <w:tcW w:w="1292" w:type="dxa"/>
            <w:vAlign w:val="center"/>
          </w:tcPr>
          <w:p w14:paraId="13B97F3E" w14:textId="77777777" w:rsidR="00626D90" w:rsidRPr="008B5902" w:rsidRDefault="00626D90" w:rsidP="00EF0FC0">
            <w:pPr>
              <w:snapToGrid w:val="0"/>
              <w:spacing w:after="120"/>
              <w:jc w:val="left"/>
              <w:rPr>
                <w:sz w:val="20"/>
              </w:rPr>
            </w:pPr>
            <w:r w:rsidRPr="008B5902">
              <w:rPr>
                <w:color w:val="000000"/>
                <w:sz w:val="20"/>
                <w:lang w:val="en-AU"/>
              </w:rPr>
              <w:t>HFC-407C</w:t>
            </w:r>
          </w:p>
        </w:tc>
        <w:tc>
          <w:tcPr>
            <w:tcW w:w="865" w:type="dxa"/>
            <w:vAlign w:val="center"/>
          </w:tcPr>
          <w:p w14:paraId="4E533501" w14:textId="77777777" w:rsidR="00626D90" w:rsidRPr="008B5902" w:rsidRDefault="00626D90" w:rsidP="00EF0FC0">
            <w:pPr>
              <w:snapToGrid w:val="0"/>
              <w:spacing w:after="120"/>
              <w:jc w:val="center"/>
              <w:rPr>
                <w:sz w:val="20"/>
              </w:rPr>
            </w:pPr>
            <w:r w:rsidRPr="008B5902">
              <w:rPr>
                <w:color w:val="000000"/>
                <w:sz w:val="20"/>
              </w:rPr>
              <w:t>711</w:t>
            </w:r>
          </w:p>
        </w:tc>
        <w:tc>
          <w:tcPr>
            <w:tcW w:w="752" w:type="dxa"/>
            <w:vAlign w:val="center"/>
          </w:tcPr>
          <w:p w14:paraId="69254C24" w14:textId="77777777" w:rsidR="00626D90" w:rsidRPr="008B5902" w:rsidRDefault="00626D90" w:rsidP="00EF0FC0">
            <w:pPr>
              <w:snapToGrid w:val="0"/>
              <w:spacing w:after="120"/>
              <w:jc w:val="center"/>
              <w:rPr>
                <w:sz w:val="20"/>
              </w:rPr>
            </w:pPr>
            <w:r w:rsidRPr="008B5902">
              <w:rPr>
                <w:color w:val="000000"/>
                <w:sz w:val="20"/>
              </w:rPr>
              <w:t>2%</w:t>
            </w:r>
          </w:p>
        </w:tc>
        <w:tc>
          <w:tcPr>
            <w:tcW w:w="875" w:type="dxa"/>
            <w:vAlign w:val="center"/>
          </w:tcPr>
          <w:p w14:paraId="56E6E6AE" w14:textId="77777777" w:rsidR="00626D90" w:rsidRPr="008B5902" w:rsidRDefault="00626D90" w:rsidP="00EF0FC0">
            <w:pPr>
              <w:snapToGrid w:val="0"/>
              <w:spacing w:after="120"/>
              <w:jc w:val="center"/>
              <w:rPr>
                <w:sz w:val="20"/>
              </w:rPr>
            </w:pPr>
            <w:r w:rsidRPr="008B5902">
              <w:rPr>
                <w:color w:val="000000"/>
                <w:sz w:val="20"/>
              </w:rPr>
              <w:t>1,017</w:t>
            </w:r>
          </w:p>
        </w:tc>
        <w:tc>
          <w:tcPr>
            <w:tcW w:w="751" w:type="dxa"/>
            <w:vAlign w:val="center"/>
          </w:tcPr>
          <w:p w14:paraId="732C86BC" w14:textId="77777777" w:rsidR="00626D90" w:rsidRPr="008B5902" w:rsidRDefault="00626D90" w:rsidP="00EF0FC0">
            <w:pPr>
              <w:snapToGrid w:val="0"/>
              <w:spacing w:after="120"/>
              <w:jc w:val="center"/>
              <w:rPr>
                <w:sz w:val="20"/>
              </w:rPr>
            </w:pPr>
            <w:r w:rsidRPr="008B5902">
              <w:rPr>
                <w:color w:val="000000"/>
                <w:sz w:val="20"/>
              </w:rPr>
              <w:t>2%</w:t>
            </w:r>
          </w:p>
        </w:tc>
        <w:tc>
          <w:tcPr>
            <w:tcW w:w="875" w:type="dxa"/>
            <w:vAlign w:val="center"/>
          </w:tcPr>
          <w:p w14:paraId="0E39DF39" w14:textId="77777777" w:rsidR="00626D90" w:rsidRPr="008B5902" w:rsidRDefault="00626D90" w:rsidP="00EF0FC0">
            <w:pPr>
              <w:snapToGrid w:val="0"/>
              <w:spacing w:after="120"/>
              <w:jc w:val="center"/>
              <w:rPr>
                <w:sz w:val="20"/>
              </w:rPr>
            </w:pPr>
            <w:r w:rsidRPr="008B5902">
              <w:rPr>
                <w:color w:val="000000"/>
                <w:sz w:val="20"/>
              </w:rPr>
              <w:t>1,336</w:t>
            </w:r>
          </w:p>
        </w:tc>
        <w:tc>
          <w:tcPr>
            <w:tcW w:w="751" w:type="dxa"/>
            <w:vAlign w:val="center"/>
          </w:tcPr>
          <w:p w14:paraId="5D354A2C" w14:textId="77777777" w:rsidR="00626D90" w:rsidRPr="008B5902" w:rsidRDefault="00626D90" w:rsidP="00EF0FC0">
            <w:pPr>
              <w:snapToGrid w:val="0"/>
              <w:spacing w:after="120"/>
              <w:jc w:val="center"/>
              <w:rPr>
                <w:color w:val="000000"/>
                <w:sz w:val="20"/>
              </w:rPr>
            </w:pPr>
            <w:r w:rsidRPr="008B5902">
              <w:rPr>
                <w:color w:val="000000"/>
                <w:sz w:val="20"/>
              </w:rPr>
              <w:t>2.6%</w:t>
            </w:r>
          </w:p>
        </w:tc>
        <w:tc>
          <w:tcPr>
            <w:tcW w:w="864" w:type="dxa"/>
            <w:vAlign w:val="center"/>
          </w:tcPr>
          <w:p w14:paraId="606B6A3A" w14:textId="77777777" w:rsidR="00626D90" w:rsidRPr="008B5902" w:rsidRDefault="00626D90" w:rsidP="00EF0FC0">
            <w:pPr>
              <w:snapToGrid w:val="0"/>
              <w:spacing w:after="120"/>
              <w:jc w:val="center"/>
              <w:rPr>
                <w:color w:val="000000"/>
                <w:sz w:val="20"/>
              </w:rPr>
            </w:pPr>
            <w:r w:rsidRPr="008B5902">
              <w:rPr>
                <w:color w:val="000000"/>
                <w:sz w:val="20"/>
              </w:rPr>
              <w:t>1,492</w:t>
            </w:r>
          </w:p>
        </w:tc>
        <w:tc>
          <w:tcPr>
            <w:tcW w:w="785" w:type="dxa"/>
            <w:vAlign w:val="center"/>
          </w:tcPr>
          <w:p w14:paraId="13D710A9" w14:textId="77777777" w:rsidR="00626D90" w:rsidRPr="008B5902" w:rsidRDefault="00626D90" w:rsidP="00EF0FC0">
            <w:pPr>
              <w:snapToGrid w:val="0"/>
              <w:spacing w:after="120"/>
              <w:jc w:val="center"/>
              <w:rPr>
                <w:color w:val="000000"/>
                <w:sz w:val="20"/>
              </w:rPr>
            </w:pPr>
            <w:r w:rsidRPr="008B5902">
              <w:rPr>
                <w:color w:val="000000"/>
                <w:sz w:val="20"/>
              </w:rPr>
              <w:t>2.8%</w:t>
            </w:r>
          </w:p>
        </w:tc>
        <w:tc>
          <w:tcPr>
            <w:tcW w:w="875" w:type="dxa"/>
            <w:vAlign w:val="center"/>
          </w:tcPr>
          <w:p w14:paraId="3CA6D1DA" w14:textId="77777777" w:rsidR="00626D90" w:rsidRPr="008B5902" w:rsidRDefault="00626D90" w:rsidP="00EF0FC0">
            <w:pPr>
              <w:snapToGrid w:val="0"/>
              <w:spacing w:after="120"/>
              <w:jc w:val="center"/>
              <w:rPr>
                <w:color w:val="000000"/>
                <w:sz w:val="20"/>
              </w:rPr>
            </w:pPr>
            <w:r w:rsidRPr="008B5902">
              <w:rPr>
                <w:color w:val="000000"/>
                <w:sz w:val="20"/>
              </w:rPr>
              <w:t>1,519</w:t>
            </w:r>
          </w:p>
        </w:tc>
        <w:tc>
          <w:tcPr>
            <w:tcW w:w="802" w:type="dxa"/>
            <w:vAlign w:val="center"/>
          </w:tcPr>
          <w:p w14:paraId="66CD6359" w14:textId="77777777" w:rsidR="00626D90" w:rsidRPr="008B5902" w:rsidRDefault="00626D90" w:rsidP="00EF0FC0">
            <w:pPr>
              <w:snapToGrid w:val="0"/>
              <w:spacing w:after="120"/>
              <w:jc w:val="center"/>
              <w:rPr>
                <w:color w:val="000000"/>
                <w:sz w:val="20"/>
              </w:rPr>
            </w:pPr>
            <w:r w:rsidRPr="008B5902">
              <w:rPr>
                <w:color w:val="000000"/>
                <w:sz w:val="20"/>
              </w:rPr>
              <w:t>2.8%</w:t>
            </w:r>
          </w:p>
        </w:tc>
      </w:tr>
      <w:tr w:rsidR="00626D90" w14:paraId="342ECCF2" w14:textId="77777777" w:rsidTr="00EF0FC0">
        <w:tc>
          <w:tcPr>
            <w:tcW w:w="1292" w:type="dxa"/>
            <w:vAlign w:val="center"/>
          </w:tcPr>
          <w:p w14:paraId="0E21A860" w14:textId="77777777" w:rsidR="00626D90" w:rsidRPr="008B5902" w:rsidRDefault="00626D90" w:rsidP="00EF0FC0">
            <w:pPr>
              <w:snapToGrid w:val="0"/>
              <w:spacing w:after="120"/>
              <w:jc w:val="left"/>
              <w:rPr>
                <w:sz w:val="20"/>
              </w:rPr>
            </w:pPr>
            <w:r w:rsidRPr="008B5902">
              <w:rPr>
                <w:color w:val="000000"/>
                <w:sz w:val="20"/>
                <w:lang w:val="en-AU"/>
              </w:rPr>
              <w:t>HFC-410A</w:t>
            </w:r>
          </w:p>
        </w:tc>
        <w:tc>
          <w:tcPr>
            <w:tcW w:w="865" w:type="dxa"/>
            <w:vAlign w:val="center"/>
          </w:tcPr>
          <w:p w14:paraId="3C45161C" w14:textId="77777777" w:rsidR="00626D90" w:rsidRPr="008B5902" w:rsidRDefault="00626D90" w:rsidP="00EF0FC0">
            <w:pPr>
              <w:snapToGrid w:val="0"/>
              <w:spacing w:after="120"/>
              <w:jc w:val="center"/>
              <w:rPr>
                <w:sz w:val="20"/>
              </w:rPr>
            </w:pPr>
            <w:r w:rsidRPr="008B5902">
              <w:rPr>
                <w:color w:val="000000"/>
                <w:sz w:val="20"/>
              </w:rPr>
              <w:t>2,783</w:t>
            </w:r>
          </w:p>
        </w:tc>
        <w:tc>
          <w:tcPr>
            <w:tcW w:w="752" w:type="dxa"/>
            <w:vAlign w:val="center"/>
          </w:tcPr>
          <w:p w14:paraId="416E0298" w14:textId="77777777" w:rsidR="00626D90" w:rsidRPr="008B5902" w:rsidRDefault="00626D90" w:rsidP="00EF0FC0">
            <w:pPr>
              <w:snapToGrid w:val="0"/>
              <w:spacing w:after="120"/>
              <w:jc w:val="center"/>
              <w:rPr>
                <w:sz w:val="20"/>
              </w:rPr>
            </w:pPr>
            <w:r w:rsidRPr="008B5902">
              <w:rPr>
                <w:color w:val="000000"/>
                <w:sz w:val="20"/>
              </w:rPr>
              <w:t>9%</w:t>
            </w:r>
          </w:p>
        </w:tc>
        <w:tc>
          <w:tcPr>
            <w:tcW w:w="875" w:type="dxa"/>
            <w:vAlign w:val="center"/>
          </w:tcPr>
          <w:p w14:paraId="34665391" w14:textId="77777777" w:rsidR="00626D90" w:rsidRPr="008B5902" w:rsidRDefault="00626D90" w:rsidP="00EF0FC0">
            <w:pPr>
              <w:snapToGrid w:val="0"/>
              <w:spacing w:after="120"/>
              <w:jc w:val="center"/>
              <w:rPr>
                <w:sz w:val="20"/>
              </w:rPr>
            </w:pPr>
            <w:r w:rsidRPr="008B5902">
              <w:rPr>
                <w:color w:val="000000"/>
                <w:sz w:val="20"/>
              </w:rPr>
              <w:t>14,341</w:t>
            </w:r>
          </w:p>
        </w:tc>
        <w:tc>
          <w:tcPr>
            <w:tcW w:w="751" w:type="dxa"/>
            <w:vAlign w:val="center"/>
          </w:tcPr>
          <w:p w14:paraId="54A0AD0D" w14:textId="77777777" w:rsidR="00626D90" w:rsidRPr="008B5902" w:rsidRDefault="00626D90" w:rsidP="00EF0FC0">
            <w:pPr>
              <w:snapToGrid w:val="0"/>
              <w:spacing w:after="120"/>
              <w:jc w:val="center"/>
              <w:rPr>
                <w:sz w:val="20"/>
              </w:rPr>
            </w:pPr>
            <w:r w:rsidRPr="008B5902">
              <w:rPr>
                <w:color w:val="000000"/>
                <w:sz w:val="20"/>
              </w:rPr>
              <w:t>33%</w:t>
            </w:r>
          </w:p>
        </w:tc>
        <w:tc>
          <w:tcPr>
            <w:tcW w:w="875" w:type="dxa"/>
            <w:vAlign w:val="center"/>
          </w:tcPr>
          <w:p w14:paraId="331BC196" w14:textId="77777777" w:rsidR="00626D90" w:rsidRPr="008B5902" w:rsidRDefault="00626D90" w:rsidP="00EF0FC0">
            <w:pPr>
              <w:snapToGrid w:val="0"/>
              <w:spacing w:after="120"/>
              <w:jc w:val="center"/>
              <w:rPr>
                <w:sz w:val="20"/>
              </w:rPr>
            </w:pPr>
            <w:r w:rsidRPr="008B5902">
              <w:rPr>
                <w:color w:val="000000"/>
                <w:sz w:val="20"/>
              </w:rPr>
              <w:t>18,660</w:t>
            </w:r>
          </w:p>
        </w:tc>
        <w:tc>
          <w:tcPr>
            <w:tcW w:w="751" w:type="dxa"/>
            <w:vAlign w:val="center"/>
          </w:tcPr>
          <w:p w14:paraId="4ADE669E" w14:textId="77777777" w:rsidR="00626D90" w:rsidRPr="008B5902" w:rsidRDefault="00626D90" w:rsidP="00EF0FC0">
            <w:pPr>
              <w:snapToGrid w:val="0"/>
              <w:spacing w:after="120"/>
              <w:jc w:val="center"/>
              <w:rPr>
                <w:color w:val="000000"/>
                <w:sz w:val="20"/>
              </w:rPr>
            </w:pPr>
            <w:r w:rsidRPr="008B5902">
              <w:rPr>
                <w:color w:val="000000"/>
                <w:sz w:val="20"/>
              </w:rPr>
              <w:t>37%</w:t>
            </w:r>
          </w:p>
        </w:tc>
        <w:tc>
          <w:tcPr>
            <w:tcW w:w="864" w:type="dxa"/>
            <w:vAlign w:val="center"/>
          </w:tcPr>
          <w:p w14:paraId="51138E0B" w14:textId="77777777" w:rsidR="00626D90" w:rsidRPr="008B5902" w:rsidRDefault="00626D90" w:rsidP="00EF0FC0">
            <w:pPr>
              <w:snapToGrid w:val="0"/>
              <w:spacing w:after="120"/>
              <w:jc w:val="center"/>
              <w:rPr>
                <w:color w:val="000000"/>
                <w:sz w:val="20"/>
              </w:rPr>
            </w:pPr>
            <w:r w:rsidRPr="008B5902">
              <w:rPr>
                <w:color w:val="000000"/>
                <w:sz w:val="20"/>
              </w:rPr>
              <w:t>21,893</w:t>
            </w:r>
          </w:p>
        </w:tc>
        <w:tc>
          <w:tcPr>
            <w:tcW w:w="785" w:type="dxa"/>
            <w:vAlign w:val="center"/>
          </w:tcPr>
          <w:p w14:paraId="763D233F" w14:textId="77777777" w:rsidR="00626D90" w:rsidRPr="008B5902" w:rsidRDefault="00626D90" w:rsidP="00EF0FC0">
            <w:pPr>
              <w:snapToGrid w:val="0"/>
              <w:spacing w:after="120"/>
              <w:jc w:val="center"/>
              <w:rPr>
                <w:color w:val="000000"/>
                <w:sz w:val="20"/>
              </w:rPr>
            </w:pPr>
            <w:r w:rsidRPr="008B5902">
              <w:rPr>
                <w:color w:val="000000"/>
                <w:sz w:val="20"/>
              </w:rPr>
              <w:t>41</w:t>
            </w:r>
            <w:r>
              <w:rPr>
                <w:color w:val="000000"/>
                <w:sz w:val="20"/>
              </w:rPr>
              <w:t>.1</w:t>
            </w:r>
            <w:r w:rsidRPr="008B5902">
              <w:rPr>
                <w:color w:val="000000"/>
                <w:sz w:val="20"/>
              </w:rPr>
              <w:t>%</w:t>
            </w:r>
          </w:p>
        </w:tc>
        <w:tc>
          <w:tcPr>
            <w:tcW w:w="875" w:type="dxa"/>
            <w:vAlign w:val="center"/>
          </w:tcPr>
          <w:p w14:paraId="227E0D44" w14:textId="77777777" w:rsidR="00626D90" w:rsidRPr="008B5902" w:rsidRDefault="00626D90" w:rsidP="00EF0FC0">
            <w:pPr>
              <w:snapToGrid w:val="0"/>
              <w:spacing w:after="120"/>
              <w:jc w:val="center"/>
              <w:rPr>
                <w:color w:val="000000"/>
                <w:sz w:val="20"/>
              </w:rPr>
            </w:pPr>
            <w:r w:rsidRPr="008B5902">
              <w:rPr>
                <w:color w:val="000000"/>
                <w:sz w:val="20"/>
              </w:rPr>
              <w:t>22,262</w:t>
            </w:r>
          </w:p>
        </w:tc>
        <w:tc>
          <w:tcPr>
            <w:tcW w:w="802" w:type="dxa"/>
            <w:vAlign w:val="center"/>
          </w:tcPr>
          <w:p w14:paraId="58CFBA66" w14:textId="77777777" w:rsidR="00626D90" w:rsidRPr="008B5902" w:rsidRDefault="00626D90" w:rsidP="00EF0FC0">
            <w:pPr>
              <w:snapToGrid w:val="0"/>
              <w:spacing w:after="120"/>
              <w:jc w:val="center"/>
              <w:rPr>
                <w:color w:val="000000"/>
                <w:sz w:val="20"/>
              </w:rPr>
            </w:pPr>
            <w:r w:rsidRPr="008B5902">
              <w:rPr>
                <w:color w:val="000000"/>
                <w:sz w:val="20"/>
              </w:rPr>
              <w:t>41.5%</w:t>
            </w:r>
          </w:p>
        </w:tc>
      </w:tr>
      <w:tr w:rsidR="00626D90" w14:paraId="362ED577" w14:textId="77777777" w:rsidTr="00EF0FC0">
        <w:tc>
          <w:tcPr>
            <w:tcW w:w="1292" w:type="dxa"/>
            <w:vAlign w:val="center"/>
          </w:tcPr>
          <w:p w14:paraId="02793D5B" w14:textId="77777777" w:rsidR="00626D90" w:rsidRPr="008B5902" w:rsidRDefault="00626D90" w:rsidP="00EF0FC0">
            <w:pPr>
              <w:snapToGrid w:val="0"/>
              <w:spacing w:after="120"/>
              <w:jc w:val="left"/>
              <w:rPr>
                <w:sz w:val="20"/>
              </w:rPr>
            </w:pPr>
            <w:r w:rsidRPr="008B5902">
              <w:rPr>
                <w:color w:val="000000"/>
                <w:sz w:val="20"/>
                <w:lang w:val="en-AU"/>
              </w:rPr>
              <w:t>HFC-32</w:t>
            </w:r>
          </w:p>
        </w:tc>
        <w:tc>
          <w:tcPr>
            <w:tcW w:w="865" w:type="dxa"/>
            <w:vAlign w:val="center"/>
          </w:tcPr>
          <w:p w14:paraId="00336C95" w14:textId="77777777" w:rsidR="00626D90" w:rsidRPr="008B5902" w:rsidRDefault="00626D90" w:rsidP="00EF0FC0">
            <w:pPr>
              <w:snapToGrid w:val="0"/>
              <w:spacing w:after="120"/>
              <w:jc w:val="center"/>
              <w:rPr>
                <w:sz w:val="20"/>
              </w:rPr>
            </w:pPr>
            <w:r w:rsidRPr="008B5902">
              <w:rPr>
                <w:color w:val="000000"/>
                <w:sz w:val="20"/>
              </w:rPr>
              <w:t>0</w:t>
            </w:r>
          </w:p>
        </w:tc>
        <w:tc>
          <w:tcPr>
            <w:tcW w:w="752" w:type="dxa"/>
            <w:vAlign w:val="center"/>
          </w:tcPr>
          <w:p w14:paraId="4FD93D2A" w14:textId="77777777" w:rsidR="00626D90" w:rsidRPr="008B5902" w:rsidRDefault="00626D90" w:rsidP="00EF0FC0">
            <w:pPr>
              <w:snapToGrid w:val="0"/>
              <w:spacing w:after="120"/>
              <w:jc w:val="center"/>
              <w:rPr>
                <w:sz w:val="20"/>
              </w:rPr>
            </w:pPr>
            <w:r w:rsidRPr="008B5902">
              <w:rPr>
                <w:color w:val="000000"/>
                <w:sz w:val="20"/>
              </w:rPr>
              <w:t>0%</w:t>
            </w:r>
          </w:p>
        </w:tc>
        <w:tc>
          <w:tcPr>
            <w:tcW w:w="875" w:type="dxa"/>
            <w:vAlign w:val="center"/>
          </w:tcPr>
          <w:p w14:paraId="5C0C4519" w14:textId="77777777" w:rsidR="00626D90" w:rsidRPr="008B5902" w:rsidRDefault="00626D90" w:rsidP="00EF0FC0">
            <w:pPr>
              <w:snapToGrid w:val="0"/>
              <w:spacing w:after="120"/>
              <w:jc w:val="center"/>
              <w:rPr>
                <w:sz w:val="20"/>
              </w:rPr>
            </w:pPr>
            <w:r w:rsidRPr="008B5902">
              <w:rPr>
                <w:color w:val="000000"/>
                <w:sz w:val="20"/>
              </w:rPr>
              <w:t>0</w:t>
            </w:r>
          </w:p>
        </w:tc>
        <w:tc>
          <w:tcPr>
            <w:tcW w:w="751" w:type="dxa"/>
            <w:vAlign w:val="center"/>
          </w:tcPr>
          <w:p w14:paraId="5DC3BFA6" w14:textId="77777777" w:rsidR="00626D90" w:rsidRPr="008B5902" w:rsidRDefault="00626D90" w:rsidP="00EF0FC0">
            <w:pPr>
              <w:snapToGrid w:val="0"/>
              <w:spacing w:after="120"/>
              <w:jc w:val="center"/>
              <w:rPr>
                <w:sz w:val="20"/>
              </w:rPr>
            </w:pPr>
            <w:r w:rsidRPr="008B5902">
              <w:rPr>
                <w:color w:val="000000"/>
                <w:sz w:val="20"/>
              </w:rPr>
              <w:t>0%</w:t>
            </w:r>
          </w:p>
        </w:tc>
        <w:tc>
          <w:tcPr>
            <w:tcW w:w="875" w:type="dxa"/>
            <w:vAlign w:val="center"/>
          </w:tcPr>
          <w:p w14:paraId="399C2EE7" w14:textId="77777777" w:rsidR="00626D90" w:rsidRPr="008B5902" w:rsidRDefault="00626D90" w:rsidP="00EF0FC0">
            <w:pPr>
              <w:snapToGrid w:val="0"/>
              <w:spacing w:after="120"/>
              <w:jc w:val="center"/>
              <w:rPr>
                <w:sz w:val="20"/>
              </w:rPr>
            </w:pPr>
            <w:r w:rsidRPr="008B5902">
              <w:rPr>
                <w:color w:val="000000"/>
                <w:sz w:val="20"/>
              </w:rPr>
              <w:t>1,035</w:t>
            </w:r>
          </w:p>
        </w:tc>
        <w:tc>
          <w:tcPr>
            <w:tcW w:w="751" w:type="dxa"/>
            <w:vAlign w:val="center"/>
          </w:tcPr>
          <w:p w14:paraId="37C02777" w14:textId="77777777" w:rsidR="00626D90" w:rsidRPr="008B5902" w:rsidRDefault="00626D90" w:rsidP="00EF0FC0">
            <w:pPr>
              <w:snapToGrid w:val="0"/>
              <w:spacing w:after="120"/>
              <w:jc w:val="center"/>
              <w:rPr>
                <w:color w:val="000000"/>
                <w:sz w:val="20"/>
              </w:rPr>
            </w:pPr>
            <w:r w:rsidRPr="008B5902">
              <w:rPr>
                <w:color w:val="000000"/>
                <w:sz w:val="20"/>
              </w:rPr>
              <w:t>2.0%</w:t>
            </w:r>
          </w:p>
        </w:tc>
        <w:tc>
          <w:tcPr>
            <w:tcW w:w="864" w:type="dxa"/>
            <w:vAlign w:val="center"/>
          </w:tcPr>
          <w:p w14:paraId="61B6C803" w14:textId="77777777" w:rsidR="00626D90" w:rsidRPr="008B5902" w:rsidRDefault="00626D90" w:rsidP="00EF0FC0">
            <w:pPr>
              <w:snapToGrid w:val="0"/>
              <w:spacing w:after="120"/>
              <w:jc w:val="center"/>
              <w:rPr>
                <w:color w:val="000000"/>
                <w:sz w:val="20"/>
              </w:rPr>
            </w:pPr>
            <w:r w:rsidRPr="008B5902">
              <w:rPr>
                <w:color w:val="000000"/>
                <w:sz w:val="20"/>
              </w:rPr>
              <w:t>2,286</w:t>
            </w:r>
          </w:p>
        </w:tc>
        <w:tc>
          <w:tcPr>
            <w:tcW w:w="785" w:type="dxa"/>
            <w:vAlign w:val="center"/>
          </w:tcPr>
          <w:p w14:paraId="3C23F561" w14:textId="77777777" w:rsidR="00626D90" w:rsidRPr="008B5902" w:rsidRDefault="00626D90" w:rsidP="00EF0FC0">
            <w:pPr>
              <w:snapToGrid w:val="0"/>
              <w:spacing w:after="120"/>
              <w:jc w:val="center"/>
              <w:rPr>
                <w:color w:val="000000"/>
                <w:sz w:val="20"/>
              </w:rPr>
            </w:pPr>
            <w:r w:rsidRPr="008B5902">
              <w:rPr>
                <w:color w:val="000000"/>
                <w:sz w:val="20"/>
              </w:rPr>
              <w:t>4.3%</w:t>
            </w:r>
          </w:p>
        </w:tc>
        <w:tc>
          <w:tcPr>
            <w:tcW w:w="875" w:type="dxa"/>
            <w:vAlign w:val="center"/>
          </w:tcPr>
          <w:p w14:paraId="4A895F5B" w14:textId="77777777" w:rsidR="00626D90" w:rsidRPr="008B5902" w:rsidRDefault="00626D90" w:rsidP="00EF0FC0">
            <w:pPr>
              <w:snapToGrid w:val="0"/>
              <w:spacing w:after="120"/>
              <w:jc w:val="center"/>
              <w:rPr>
                <w:color w:val="000000"/>
                <w:sz w:val="20"/>
              </w:rPr>
            </w:pPr>
            <w:r w:rsidRPr="008B5902">
              <w:rPr>
                <w:color w:val="000000"/>
                <w:sz w:val="20"/>
              </w:rPr>
              <w:t>3,245</w:t>
            </w:r>
          </w:p>
        </w:tc>
        <w:tc>
          <w:tcPr>
            <w:tcW w:w="802" w:type="dxa"/>
            <w:vAlign w:val="center"/>
          </w:tcPr>
          <w:p w14:paraId="131C0D17" w14:textId="77777777" w:rsidR="00626D90" w:rsidRPr="008B5902" w:rsidRDefault="00626D90" w:rsidP="00EF0FC0">
            <w:pPr>
              <w:snapToGrid w:val="0"/>
              <w:spacing w:after="120"/>
              <w:jc w:val="center"/>
              <w:rPr>
                <w:color w:val="000000"/>
                <w:sz w:val="20"/>
              </w:rPr>
            </w:pPr>
            <w:r w:rsidRPr="008B5902">
              <w:rPr>
                <w:color w:val="000000"/>
                <w:sz w:val="20"/>
              </w:rPr>
              <w:t>6.1%</w:t>
            </w:r>
          </w:p>
        </w:tc>
      </w:tr>
      <w:tr w:rsidR="00626D90" w14:paraId="2478DE94" w14:textId="77777777" w:rsidTr="00EF0FC0">
        <w:tc>
          <w:tcPr>
            <w:tcW w:w="1292" w:type="dxa"/>
            <w:vAlign w:val="center"/>
          </w:tcPr>
          <w:p w14:paraId="3DC01338" w14:textId="77777777" w:rsidR="00626D90" w:rsidRPr="008B5902" w:rsidRDefault="00626D90" w:rsidP="00EF0FC0">
            <w:pPr>
              <w:snapToGrid w:val="0"/>
              <w:spacing w:after="120"/>
              <w:jc w:val="left"/>
              <w:rPr>
                <w:sz w:val="20"/>
              </w:rPr>
            </w:pPr>
            <w:r w:rsidRPr="008B5902">
              <w:rPr>
                <w:color w:val="000000"/>
                <w:sz w:val="20"/>
                <w:lang w:val="en-AU"/>
              </w:rPr>
              <w:t>GWP&lt;2150</w:t>
            </w:r>
          </w:p>
        </w:tc>
        <w:tc>
          <w:tcPr>
            <w:tcW w:w="865" w:type="dxa"/>
            <w:vAlign w:val="center"/>
          </w:tcPr>
          <w:p w14:paraId="0CAE0EC8" w14:textId="77777777" w:rsidR="00626D90" w:rsidRPr="008B5902" w:rsidRDefault="00626D90" w:rsidP="00EF0FC0">
            <w:pPr>
              <w:snapToGrid w:val="0"/>
              <w:spacing w:after="120"/>
              <w:jc w:val="center"/>
              <w:rPr>
                <w:sz w:val="20"/>
              </w:rPr>
            </w:pPr>
            <w:r w:rsidRPr="008B5902">
              <w:rPr>
                <w:color w:val="000000"/>
                <w:sz w:val="20"/>
              </w:rPr>
              <w:t>0</w:t>
            </w:r>
          </w:p>
        </w:tc>
        <w:tc>
          <w:tcPr>
            <w:tcW w:w="752" w:type="dxa"/>
            <w:vAlign w:val="center"/>
          </w:tcPr>
          <w:p w14:paraId="0C79D46B" w14:textId="77777777" w:rsidR="00626D90" w:rsidRPr="008B5902" w:rsidRDefault="00626D90" w:rsidP="00EF0FC0">
            <w:pPr>
              <w:snapToGrid w:val="0"/>
              <w:spacing w:after="120"/>
              <w:jc w:val="center"/>
              <w:rPr>
                <w:sz w:val="20"/>
              </w:rPr>
            </w:pPr>
            <w:r w:rsidRPr="008B5902">
              <w:rPr>
                <w:color w:val="000000"/>
                <w:sz w:val="20"/>
              </w:rPr>
              <w:t>0%</w:t>
            </w:r>
          </w:p>
        </w:tc>
        <w:tc>
          <w:tcPr>
            <w:tcW w:w="875" w:type="dxa"/>
            <w:vAlign w:val="center"/>
          </w:tcPr>
          <w:p w14:paraId="38D6C478" w14:textId="77777777" w:rsidR="00626D90" w:rsidRPr="008B5902" w:rsidRDefault="00626D90" w:rsidP="00EF0FC0">
            <w:pPr>
              <w:snapToGrid w:val="0"/>
              <w:spacing w:after="120"/>
              <w:jc w:val="center"/>
              <w:rPr>
                <w:sz w:val="20"/>
              </w:rPr>
            </w:pPr>
            <w:r w:rsidRPr="008B5902">
              <w:rPr>
                <w:color w:val="000000"/>
                <w:sz w:val="20"/>
              </w:rPr>
              <w:t>0</w:t>
            </w:r>
          </w:p>
        </w:tc>
        <w:tc>
          <w:tcPr>
            <w:tcW w:w="751" w:type="dxa"/>
            <w:vAlign w:val="center"/>
          </w:tcPr>
          <w:p w14:paraId="223C00E5" w14:textId="77777777" w:rsidR="00626D90" w:rsidRPr="008B5902" w:rsidRDefault="00626D90" w:rsidP="00EF0FC0">
            <w:pPr>
              <w:snapToGrid w:val="0"/>
              <w:spacing w:after="120"/>
              <w:jc w:val="center"/>
              <w:rPr>
                <w:sz w:val="20"/>
              </w:rPr>
            </w:pPr>
            <w:r w:rsidRPr="008B5902">
              <w:rPr>
                <w:color w:val="000000"/>
                <w:sz w:val="20"/>
              </w:rPr>
              <w:t>0%</w:t>
            </w:r>
          </w:p>
        </w:tc>
        <w:tc>
          <w:tcPr>
            <w:tcW w:w="875" w:type="dxa"/>
            <w:vAlign w:val="center"/>
          </w:tcPr>
          <w:p w14:paraId="72FB07BD" w14:textId="77777777" w:rsidR="00626D90" w:rsidRPr="008B5902" w:rsidRDefault="00626D90" w:rsidP="00EF0FC0">
            <w:pPr>
              <w:snapToGrid w:val="0"/>
              <w:spacing w:after="120"/>
              <w:jc w:val="center"/>
              <w:rPr>
                <w:sz w:val="20"/>
              </w:rPr>
            </w:pPr>
            <w:r w:rsidRPr="008B5902">
              <w:rPr>
                <w:color w:val="000000"/>
                <w:sz w:val="20"/>
              </w:rPr>
              <w:t>336</w:t>
            </w:r>
          </w:p>
        </w:tc>
        <w:tc>
          <w:tcPr>
            <w:tcW w:w="751" w:type="dxa"/>
            <w:vAlign w:val="center"/>
          </w:tcPr>
          <w:p w14:paraId="2364C07E" w14:textId="77777777" w:rsidR="00626D90" w:rsidRPr="008B5902" w:rsidRDefault="00626D90" w:rsidP="00EF0FC0">
            <w:pPr>
              <w:snapToGrid w:val="0"/>
              <w:spacing w:after="120"/>
              <w:jc w:val="center"/>
              <w:rPr>
                <w:color w:val="000000"/>
                <w:sz w:val="20"/>
              </w:rPr>
            </w:pPr>
            <w:r w:rsidRPr="008B5902">
              <w:rPr>
                <w:color w:val="000000"/>
                <w:sz w:val="20"/>
              </w:rPr>
              <w:t>0.7%</w:t>
            </w:r>
          </w:p>
        </w:tc>
        <w:tc>
          <w:tcPr>
            <w:tcW w:w="864" w:type="dxa"/>
            <w:vAlign w:val="center"/>
          </w:tcPr>
          <w:p w14:paraId="6B396BBA" w14:textId="77777777" w:rsidR="00626D90" w:rsidRPr="008B5902" w:rsidRDefault="00626D90" w:rsidP="00EF0FC0">
            <w:pPr>
              <w:snapToGrid w:val="0"/>
              <w:spacing w:after="120"/>
              <w:jc w:val="center"/>
              <w:rPr>
                <w:color w:val="000000"/>
                <w:sz w:val="20"/>
              </w:rPr>
            </w:pPr>
            <w:r w:rsidRPr="008B5902">
              <w:rPr>
                <w:color w:val="000000"/>
                <w:sz w:val="20"/>
              </w:rPr>
              <w:t>432</w:t>
            </w:r>
          </w:p>
        </w:tc>
        <w:tc>
          <w:tcPr>
            <w:tcW w:w="785" w:type="dxa"/>
            <w:vAlign w:val="center"/>
          </w:tcPr>
          <w:p w14:paraId="14E6A321" w14:textId="77777777" w:rsidR="00626D90" w:rsidRPr="008B5902" w:rsidRDefault="00626D90" w:rsidP="00EF0FC0">
            <w:pPr>
              <w:snapToGrid w:val="0"/>
              <w:spacing w:after="120"/>
              <w:jc w:val="center"/>
              <w:rPr>
                <w:color w:val="000000"/>
                <w:sz w:val="20"/>
              </w:rPr>
            </w:pPr>
            <w:r w:rsidRPr="008B5902">
              <w:rPr>
                <w:color w:val="000000"/>
                <w:sz w:val="20"/>
              </w:rPr>
              <w:t>0.8%</w:t>
            </w:r>
          </w:p>
        </w:tc>
        <w:tc>
          <w:tcPr>
            <w:tcW w:w="875" w:type="dxa"/>
            <w:vAlign w:val="center"/>
          </w:tcPr>
          <w:p w14:paraId="6F0CD378" w14:textId="77777777" w:rsidR="00626D90" w:rsidRPr="008B5902" w:rsidRDefault="00626D90" w:rsidP="00EF0FC0">
            <w:pPr>
              <w:snapToGrid w:val="0"/>
              <w:spacing w:after="120"/>
              <w:jc w:val="center"/>
              <w:rPr>
                <w:color w:val="000000"/>
                <w:sz w:val="20"/>
              </w:rPr>
            </w:pPr>
            <w:r w:rsidRPr="008B5902">
              <w:rPr>
                <w:color w:val="000000"/>
                <w:sz w:val="20"/>
              </w:rPr>
              <w:t>418</w:t>
            </w:r>
          </w:p>
        </w:tc>
        <w:tc>
          <w:tcPr>
            <w:tcW w:w="802" w:type="dxa"/>
            <w:vAlign w:val="center"/>
          </w:tcPr>
          <w:p w14:paraId="5A19A26C" w14:textId="77777777" w:rsidR="00626D90" w:rsidRPr="008B5902" w:rsidRDefault="00626D90" w:rsidP="00EF0FC0">
            <w:pPr>
              <w:snapToGrid w:val="0"/>
              <w:spacing w:after="120"/>
              <w:jc w:val="center"/>
              <w:rPr>
                <w:color w:val="000000"/>
                <w:sz w:val="20"/>
              </w:rPr>
            </w:pPr>
            <w:r w:rsidRPr="008B5902">
              <w:rPr>
                <w:color w:val="000000"/>
                <w:sz w:val="20"/>
              </w:rPr>
              <w:t>0.8%</w:t>
            </w:r>
          </w:p>
        </w:tc>
      </w:tr>
      <w:tr w:rsidR="00626D90" w14:paraId="44E860AB" w14:textId="77777777" w:rsidTr="00EF0FC0">
        <w:tc>
          <w:tcPr>
            <w:tcW w:w="1292" w:type="dxa"/>
            <w:vAlign w:val="center"/>
          </w:tcPr>
          <w:p w14:paraId="4BFFA955" w14:textId="77777777" w:rsidR="00626D90" w:rsidRPr="008B5902" w:rsidRDefault="00626D90" w:rsidP="00EF0FC0">
            <w:pPr>
              <w:snapToGrid w:val="0"/>
              <w:spacing w:after="120"/>
              <w:jc w:val="left"/>
              <w:rPr>
                <w:color w:val="000000"/>
                <w:sz w:val="20"/>
                <w:lang w:val="en-AU"/>
              </w:rPr>
            </w:pPr>
            <w:r w:rsidRPr="008B5902">
              <w:rPr>
                <w:color w:val="000000"/>
                <w:sz w:val="20"/>
              </w:rPr>
              <w:t>GWP &lt;1000</w:t>
            </w:r>
          </w:p>
        </w:tc>
        <w:tc>
          <w:tcPr>
            <w:tcW w:w="865" w:type="dxa"/>
            <w:vAlign w:val="center"/>
          </w:tcPr>
          <w:p w14:paraId="2A100C5B" w14:textId="77777777" w:rsidR="00626D90" w:rsidRPr="008B5902" w:rsidRDefault="00626D90" w:rsidP="00EF0FC0">
            <w:pPr>
              <w:snapToGrid w:val="0"/>
              <w:spacing w:after="120"/>
              <w:jc w:val="center"/>
              <w:rPr>
                <w:color w:val="000000"/>
                <w:sz w:val="20"/>
                <w:lang w:val="en-AU"/>
              </w:rPr>
            </w:pPr>
            <w:r w:rsidRPr="008B5902">
              <w:rPr>
                <w:color w:val="000000"/>
                <w:sz w:val="20"/>
              </w:rPr>
              <w:t>0</w:t>
            </w:r>
          </w:p>
        </w:tc>
        <w:tc>
          <w:tcPr>
            <w:tcW w:w="752" w:type="dxa"/>
            <w:vAlign w:val="center"/>
          </w:tcPr>
          <w:p w14:paraId="44B6B6CE" w14:textId="77777777" w:rsidR="00626D90" w:rsidRPr="008B5902" w:rsidRDefault="00626D90" w:rsidP="00EF0FC0">
            <w:pPr>
              <w:snapToGrid w:val="0"/>
              <w:spacing w:after="120"/>
              <w:jc w:val="center"/>
              <w:rPr>
                <w:color w:val="000000"/>
                <w:sz w:val="20"/>
                <w:lang w:val="en-AU"/>
              </w:rPr>
            </w:pPr>
            <w:r w:rsidRPr="008B5902">
              <w:rPr>
                <w:color w:val="000000"/>
                <w:sz w:val="20"/>
              </w:rPr>
              <w:t>0%</w:t>
            </w:r>
          </w:p>
        </w:tc>
        <w:tc>
          <w:tcPr>
            <w:tcW w:w="875" w:type="dxa"/>
            <w:vAlign w:val="center"/>
          </w:tcPr>
          <w:p w14:paraId="308FDC12" w14:textId="77777777" w:rsidR="00626D90" w:rsidRPr="008B5902" w:rsidRDefault="00626D90" w:rsidP="00EF0FC0">
            <w:pPr>
              <w:snapToGrid w:val="0"/>
              <w:spacing w:after="120"/>
              <w:jc w:val="center"/>
              <w:rPr>
                <w:color w:val="000000"/>
                <w:sz w:val="20"/>
                <w:lang w:val="en-AU"/>
              </w:rPr>
            </w:pPr>
            <w:r w:rsidRPr="008B5902">
              <w:rPr>
                <w:color w:val="000000"/>
                <w:sz w:val="20"/>
              </w:rPr>
              <w:t>0</w:t>
            </w:r>
          </w:p>
        </w:tc>
        <w:tc>
          <w:tcPr>
            <w:tcW w:w="751" w:type="dxa"/>
            <w:vAlign w:val="center"/>
          </w:tcPr>
          <w:p w14:paraId="19FA7336" w14:textId="77777777" w:rsidR="00626D90" w:rsidRPr="008B5902" w:rsidRDefault="00626D90" w:rsidP="00EF0FC0">
            <w:pPr>
              <w:snapToGrid w:val="0"/>
              <w:spacing w:after="120"/>
              <w:jc w:val="center"/>
              <w:rPr>
                <w:color w:val="000000"/>
                <w:sz w:val="20"/>
                <w:lang w:val="en-AU"/>
              </w:rPr>
            </w:pPr>
            <w:r w:rsidRPr="008B5902">
              <w:rPr>
                <w:color w:val="000000"/>
                <w:sz w:val="20"/>
              </w:rPr>
              <w:t>0%</w:t>
            </w:r>
          </w:p>
        </w:tc>
        <w:tc>
          <w:tcPr>
            <w:tcW w:w="875" w:type="dxa"/>
            <w:vAlign w:val="center"/>
          </w:tcPr>
          <w:p w14:paraId="38229BD6" w14:textId="77777777" w:rsidR="00626D90" w:rsidRPr="008B5902" w:rsidRDefault="00626D90" w:rsidP="00EF0FC0">
            <w:pPr>
              <w:snapToGrid w:val="0"/>
              <w:spacing w:after="120"/>
              <w:jc w:val="center"/>
              <w:rPr>
                <w:color w:val="000000"/>
                <w:sz w:val="20"/>
              </w:rPr>
            </w:pPr>
            <w:r w:rsidRPr="008B5902">
              <w:rPr>
                <w:color w:val="000000"/>
                <w:sz w:val="20"/>
              </w:rPr>
              <w:t>0</w:t>
            </w:r>
          </w:p>
        </w:tc>
        <w:tc>
          <w:tcPr>
            <w:tcW w:w="751" w:type="dxa"/>
            <w:vAlign w:val="center"/>
          </w:tcPr>
          <w:p w14:paraId="22C12395" w14:textId="77777777" w:rsidR="00626D90" w:rsidRPr="008B5902" w:rsidRDefault="00626D90" w:rsidP="00EF0FC0">
            <w:pPr>
              <w:snapToGrid w:val="0"/>
              <w:spacing w:after="120"/>
              <w:jc w:val="center"/>
              <w:rPr>
                <w:color w:val="000000"/>
                <w:sz w:val="20"/>
              </w:rPr>
            </w:pPr>
            <w:r w:rsidRPr="008B5902">
              <w:rPr>
                <w:color w:val="000000"/>
                <w:sz w:val="20"/>
              </w:rPr>
              <w:t>0%</w:t>
            </w:r>
          </w:p>
        </w:tc>
        <w:tc>
          <w:tcPr>
            <w:tcW w:w="864" w:type="dxa"/>
            <w:vAlign w:val="center"/>
          </w:tcPr>
          <w:p w14:paraId="667EBF80" w14:textId="77777777" w:rsidR="00626D90" w:rsidRPr="008B5902" w:rsidRDefault="00626D90" w:rsidP="00EF0FC0">
            <w:pPr>
              <w:snapToGrid w:val="0"/>
              <w:spacing w:after="120"/>
              <w:jc w:val="center"/>
              <w:rPr>
                <w:color w:val="000000"/>
                <w:sz w:val="20"/>
              </w:rPr>
            </w:pPr>
            <w:r w:rsidRPr="008B5902">
              <w:rPr>
                <w:color w:val="000000"/>
                <w:sz w:val="20"/>
              </w:rPr>
              <w:t>31</w:t>
            </w:r>
          </w:p>
        </w:tc>
        <w:tc>
          <w:tcPr>
            <w:tcW w:w="785" w:type="dxa"/>
            <w:vAlign w:val="center"/>
          </w:tcPr>
          <w:p w14:paraId="2785906E" w14:textId="77777777" w:rsidR="00626D90" w:rsidRPr="008B5902" w:rsidRDefault="00626D90" w:rsidP="00EF0FC0">
            <w:pPr>
              <w:snapToGrid w:val="0"/>
              <w:spacing w:after="120"/>
              <w:jc w:val="center"/>
              <w:rPr>
                <w:color w:val="000000"/>
                <w:sz w:val="20"/>
              </w:rPr>
            </w:pPr>
            <w:r w:rsidRPr="008B5902">
              <w:rPr>
                <w:color w:val="000000"/>
                <w:sz w:val="20"/>
              </w:rPr>
              <w:t>0.1%</w:t>
            </w:r>
          </w:p>
        </w:tc>
        <w:tc>
          <w:tcPr>
            <w:tcW w:w="875" w:type="dxa"/>
            <w:vAlign w:val="center"/>
          </w:tcPr>
          <w:p w14:paraId="4A029A43" w14:textId="77777777" w:rsidR="00626D90" w:rsidRPr="008B5902" w:rsidRDefault="00626D90" w:rsidP="00EF0FC0">
            <w:pPr>
              <w:snapToGrid w:val="0"/>
              <w:spacing w:after="120"/>
              <w:jc w:val="center"/>
              <w:rPr>
                <w:color w:val="000000"/>
                <w:sz w:val="20"/>
              </w:rPr>
            </w:pPr>
            <w:r w:rsidRPr="008B5902">
              <w:rPr>
                <w:color w:val="000000"/>
                <w:sz w:val="20"/>
              </w:rPr>
              <w:t>37</w:t>
            </w:r>
          </w:p>
        </w:tc>
        <w:tc>
          <w:tcPr>
            <w:tcW w:w="802" w:type="dxa"/>
            <w:vAlign w:val="center"/>
          </w:tcPr>
          <w:p w14:paraId="60E4CF0F" w14:textId="77777777" w:rsidR="00626D90" w:rsidRPr="008B5902" w:rsidRDefault="00626D90" w:rsidP="00EF0FC0">
            <w:pPr>
              <w:snapToGrid w:val="0"/>
              <w:spacing w:after="120"/>
              <w:jc w:val="center"/>
              <w:rPr>
                <w:color w:val="000000"/>
                <w:sz w:val="20"/>
              </w:rPr>
            </w:pPr>
            <w:r w:rsidRPr="008B5902">
              <w:rPr>
                <w:color w:val="000000"/>
                <w:sz w:val="20"/>
              </w:rPr>
              <w:t>0.1%</w:t>
            </w:r>
          </w:p>
        </w:tc>
      </w:tr>
      <w:tr w:rsidR="00626D90" w14:paraId="2AC0C513" w14:textId="77777777" w:rsidTr="00EF0FC0">
        <w:tc>
          <w:tcPr>
            <w:tcW w:w="1292" w:type="dxa"/>
            <w:vAlign w:val="center"/>
          </w:tcPr>
          <w:p w14:paraId="21D16161" w14:textId="77777777" w:rsidR="00626D90" w:rsidRPr="008B5902" w:rsidRDefault="00626D90" w:rsidP="00EF0FC0">
            <w:pPr>
              <w:snapToGrid w:val="0"/>
              <w:spacing w:after="120"/>
              <w:jc w:val="left"/>
              <w:rPr>
                <w:color w:val="000000"/>
                <w:sz w:val="20"/>
                <w:lang w:val="en-AU"/>
              </w:rPr>
            </w:pPr>
            <w:r w:rsidRPr="008B5902">
              <w:rPr>
                <w:color w:val="000000"/>
                <w:sz w:val="20"/>
                <w:lang w:val="en-AU"/>
              </w:rPr>
              <w:t>Total HCFCs and HFCs</w:t>
            </w:r>
          </w:p>
        </w:tc>
        <w:tc>
          <w:tcPr>
            <w:tcW w:w="865" w:type="dxa"/>
            <w:vAlign w:val="center"/>
          </w:tcPr>
          <w:p w14:paraId="7891973C" w14:textId="77777777" w:rsidR="00626D90" w:rsidRPr="008B5902" w:rsidRDefault="00626D90" w:rsidP="00EF0FC0">
            <w:pPr>
              <w:snapToGrid w:val="0"/>
              <w:spacing w:after="120"/>
              <w:jc w:val="center"/>
              <w:rPr>
                <w:color w:val="000000"/>
                <w:sz w:val="20"/>
              </w:rPr>
            </w:pPr>
            <w:r w:rsidRPr="008B5902">
              <w:rPr>
                <w:color w:val="000000"/>
                <w:sz w:val="20"/>
              </w:rPr>
              <w:t>30,575</w:t>
            </w:r>
          </w:p>
        </w:tc>
        <w:tc>
          <w:tcPr>
            <w:tcW w:w="752" w:type="dxa"/>
            <w:vAlign w:val="center"/>
          </w:tcPr>
          <w:p w14:paraId="0463C034" w14:textId="77777777" w:rsidR="00626D90" w:rsidRPr="008B5902" w:rsidRDefault="00626D90" w:rsidP="00EF0FC0">
            <w:pPr>
              <w:snapToGrid w:val="0"/>
              <w:spacing w:after="120"/>
              <w:jc w:val="center"/>
              <w:rPr>
                <w:color w:val="000000"/>
                <w:sz w:val="20"/>
              </w:rPr>
            </w:pPr>
            <w:r w:rsidRPr="008B5902">
              <w:rPr>
                <w:color w:val="000000"/>
                <w:sz w:val="20"/>
              </w:rPr>
              <w:t>100%</w:t>
            </w:r>
          </w:p>
        </w:tc>
        <w:tc>
          <w:tcPr>
            <w:tcW w:w="875" w:type="dxa"/>
            <w:vAlign w:val="center"/>
          </w:tcPr>
          <w:p w14:paraId="01D1317C" w14:textId="77777777" w:rsidR="00626D90" w:rsidRPr="008B5902" w:rsidRDefault="00626D90" w:rsidP="00EF0FC0">
            <w:pPr>
              <w:snapToGrid w:val="0"/>
              <w:spacing w:after="120"/>
              <w:jc w:val="center"/>
              <w:rPr>
                <w:color w:val="000000"/>
                <w:sz w:val="20"/>
              </w:rPr>
            </w:pPr>
            <w:r w:rsidRPr="008B5902">
              <w:rPr>
                <w:color w:val="000000"/>
                <w:sz w:val="20"/>
              </w:rPr>
              <w:t>43,524</w:t>
            </w:r>
          </w:p>
        </w:tc>
        <w:tc>
          <w:tcPr>
            <w:tcW w:w="751" w:type="dxa"/>
            <w:vAlign w:val="center"/>
          </w:tcPr>
          <w:p w14:paraId="51640410" w14:textId="77777777" w:rsidR="00626D90" w:rsidRPr="008B5902" w:rsidRDefault="00626D90" w:rsidP="00EF0FC0">
            <w:pPr>
              <w:snapToGrid w:val="0"/>
              <w:spacing w:after="120"/>
              <w:jc w:val="center"/>
              <w:rPr>
                <w:color w:val="000000"/>
                <w:sz w:val="20"/>
              </w:rPr>
            </w:pPr>
            <w:r w:rsidRPr="008B5902">
              <w:rPr>
                <w:color w:val="000000"/>
                <w:sz w:val="20"/>
              </w:rPr>
              <w:t>100%</w:t>
            </w:r>
          </w:p>
        </w:tc>
        <w:tc>
          <w:tcPr>
            <w:tcW w:w="875" w:type="dxa"/>
            <w:vAlign w:val="center"/>
          </w:tcPr>
          <w:p w14:paraId="04FCC57E" w14:textId="77777777" w:rsidR="00626D90" w:rsidRPr="008B5902" w:rsidRDefault="00626D90" w:rsidP="00EF0FC0">
            <w:pPr>
              <w:snapToGrid w:val="0"/>
              <w:spacing w:after="120"/>
              <w:jc w:val="center"/>
              <w:rPr>
                <w:color w:val="000000"/>
                <w:sz w:val="20"/>
              </w:rPr>
            </w:pPr>
            <w:r w:rsidRPr="008B5902">
              <w:rPr>
                <w:color w:val="000000"/>
                <w:sz w:val="20"/>
              </w:rPr>
              <w:t>50,756</w:t>
            </w:r>
          </w:p>
        </w:tc>
        <w:tc>
          <w:tcPr>
            <w:tcW w:w="751" w:type="dxa"/>
            <w:vAlign w:val="center"/>
          </w:tcPr>
          <w:p w14:paraId="70311790" w14:textId="77777777" w:rsidR="00626D90" w:rsidRPr="008B5902" w:rsidRDefault="00626D90" w:rsidP="00EF0FC0">
            <w:pPr>
              <w:snapToGrid w:val="0"/>
              <w:spacing w:after="120"/>
              <w:jc w:val="center"/>
              <w:rPr>
                <w:color w:val="000000"/>
                <w:sz w:val="20"/>
              </w:rPr>
            </w:pPr>
            <w:r w:rsidRPr="008B5902">
              <w:rPr>
                <w:color w:val="000000"/>
                <w:sz w:val="20"/>
              </w:rPr>
              <w:t>100%</w:t>
            </w:r>
          </w:p>
        </w:tc>
        <w:tc>
          <w:tcPr>
            <w:tcW w:w="864" w:type="dxa"/>
            <w:vAlign w:val="center"/>
          </w:tcPr>
          <w:p w14:paraId="2661D046" w14:textId="77777777" w:rsidR="00626D90" w:rsidRPr="008B5902" w:rsidRDefault="00626D90" w:rsidP="00EF0FC0">
            <w:pPr>
              <w:snapToGrid w:val="0"/>
              <w:spacing w:after="120"/>
              <w:jc w:val="center"/>
              <w:rPr>
                <w:color w:val="000000"/>
                <w:sz w:val="20"/>
              </w:rPr>
            </w:pPr>
            <w:r w:rsidRPr="008B5902">
              <w:rPr>
                <w:color w:val="000000"/>
                <w:sz w:val="20"/>
              </w:rPr>
              <w:t>53,301</w:t>
            </w:r>
          </w:p>
        </w:tc>
        <w:tc>
          <w:tcPr>
            <w:tcW w:w="785" w:type="dxa"/>
            <w:vAlign w:val="center"/>
          </w:tcPr>
          <w:p w14:paraId="117FC2B5" w14:textId="77777777" w:rsidR="00626D90" w:rsidRPr="008B5902" w:rsidRDefault="00626D90" w:rsidP="00EF0FC0">
            <w:pPr>
              <w:snapToGrid w:val="0"/>
              <w:spacing w:after="120"/>
              <w:jc w:val="center"/>
              <w:rPr>
                <w:color w:val="000000"/>
                <w:sz w:val="20"/>
              </w:rPr>
            </w:pPr>
            <w:r w:rsidRPr="008B5902">
              <w:rPr>
                <w:color w:val="000000"/>
                <w:sz w:val="20"/>
              </w:rPr>
              <w:t>100%</w:t>
            </w:r>
          </w:p>
        </w:tc>
        <w:tc>
          <w:tcPr>
            <w:tcW w:w="875" w:type="dxa"/>
            <w:vAlign w:val="center"/>
          </w:tcPr>
          <w:p w14:paraId="6D5D52D9" w14:textId="77777777" w:rsidR="00626D90" w:rsidRPr="008B5902" w:rsidRDefault="00626D90" w:rsidP="00EF0FC0">
            <w:pPr>
              <w:snapToGrid w:val="0"/>
              <w:spacing w:after="120"/>
              <w:jc w:val="center"/>
              <w:rPr>
                <w:color w:val="000000"/>
                <w:sz w:val="20"/>
              </w:rPr>
            </w:pPr>
            <w:r w:rsidRPr="008B5902">
              <w:rPr>
                <w:color w:val="000000"/>
                <w:sz w:val="20"/>
              </w:rPr>
              <w:t>53,582</w:t>
            </w:r>
          </w:p>
        </w:tc>
        <w:tc>
          <w:tcPr>
            <w:tcW w:w="802" w:type="dxa"/>
            <w:vAlign w:val="center"/>
          </w:tcPr>
          <w:p w14:paraId="30403868" w14:textId="77777777" w:rsidR="00626D90" w:rsidRPr="008B5902" w:rsidRDefault="00626D90" w:rsidP="00EF0FC0">
            <w:pPr>
              <w:snapToGrid w:val="0"/>
              <w:spacing w:after="120"/>
              <w:jc w:val="center"/>
              <w:rPr>
                <w:color w:val="000000"/>
                <w:sz w:val="20"/>
              </w:rPr>
            </w:pPr>
            <w:r w:rsidRPr="008B5902">
              <w:rPr>
                <w:color w:val="000000"/>
                <w:sz w:val="20"/>
              </w:rPr>
              <w:t>100%</w:t>
            </w:r>
          </w:p>
        </w:tc>
      </w:tr>
      <w:tr w:rsidR="00626D90" w14:paraId="31DF2495" w14:textId="77777777" w:rsidTr="00EF0FC0">
        <w:tc>
          <w:tcPr>
            <w:tcW w:w="1292" w:type="dxa"/>
            <w:vAlign w:val="center"/>
          </w:tcPr>
          <w:p w14:paraId="405534D5" w14:textId="77777777" w:rsidR="00626D90" w:rsidRPr="008B5902" w:rsidRDefault="00626D90" w:rsidP="00EF0FC0">
            <w:pPr>
              <w:snapToGrid w:val="0"/>
              <w:spacing w:after="120"/>
              <w:jc w:val="left"/>
              <w:rPr>
                <w:sz w:val="20"/>
              </w:rPr>
            </w:pPr>
            <w:r w:rsidRPr="008B5902">
              <w:rPr>
                <w:color w:val="000000"/>
                <w:sz w:val="20"/>
                <w:lang w:val="en-AU"/>
              </w:rPr>
              <w:t>GWP&lt;10</w:t>
            </w:r>
          </w:p>
        </w:tc>
        <w:tc>
          <w:tcPr>
            <w:tcW w:w="865" w:type="dxa"/>
            <w:vAlign w:val="center"/>
          </w:tcPr>
          <w:p w14:paraId="1FD89B6F" w14:textId="77777777" w:rsidR="00626D90" w:rsidRPr="008B5902" w:rsidRDefault="00626D90" w:rsidP="00EF0FC0">
            <w:pPr>
              <w:snapToGrid w:val="0"/>
              <w:spacing w:after="120"/>
              <w:jc w:val="center"/>
              <w:rPr>
                <w:sz w:val="20"/>
              </w:rPr>
            </w:pPr>
            <w:r w:rsidRPr="008B5902">
              <w:rPr>
                <w:color w:val="000000"/>
                <w:sz w:val="20"/>
              </w:rPr>
              <w:t>100</w:t>
            </w:r>
          </w:p>
        </w:tc>
        <w:tc>
          <w:tcPr>
            <w:tcW w:w="752" w:type="dxa"/>
            <w:vAlign w:val="center"/>
          </w:tcPr>
          <w:p w14:paraId="53CFB2D0" w14:textId="77777777" w:rsidR="00626D90" w:rsidRPr="008B5902" w:rsidRDefault="00626D90" w:rsidP="00EF0FC0">
            <w:pPr>
              <w:snapToGrid w:val="0"/>
              <w:spacing w:after="120"/>
              <w:jc w:val="center"/>
              <w:rPr>
                <w:sz w:val="20"/>
              </w:rPr>
            </w:pPr>
            <w:r w:rsidRPr="008B5902">
              <w:rPr>
                <w:sz w:val="20"/>
              </w:rPr>
              <w:t>-</w:t>
            </w:r>
          </w:p>
        </w:tc>
        <w:tc>
          <w:tcPr>
            <w:tcW w:w="875" w:type="dxa"/>
            <w:vAlign w:val="center"/>
          </w:tcPr>
          <w:p w14:paraId="620BA5F5" w14:textId="77777777" w:rsidR="00626D90" w:rsidRPr="008B5902" w:rsidRDefault="00626D90" w:rsidP="00EF0FC0">
            <w:pPr>
              <w:snapToGrid w:val="0"/>
              <w:spacing w:after="120"/>
              <w:jc w:val="center"/>
              <w:rPr>
                <w:sz w:val="20"/>
              </w:rPr>
            </w:pPr>
            <w:r w:rsidRPr="008B5902">
              <w:rPr>
                <w:color w:val="000000"/>
                <w:sz w:val="20"/>
              </w:rPr>
              <w:t>799</w:t>
            </w:r>
          </w:p>
        </w:tc>
        <w:tc>
          <w:tcPr>
            <w:tcW w:w="751" w:type="dxa"/>
            <w:vAlign w:val="center"/>
          </w:tcPr>
          <w:p w14:paraId="73EAA462" w14:textId="77777777" w:rsidR="00626D90" w:rsidRPr="008B5902" w:rsidRDefault="00626D90" w:rsidP="00EF0FC0">
            <w:pPr>
              <w:snapToGrid w:val="0"/>
              <w:spacing w:after="120"/>
              <w:jc w:val="center"/>
              <w:rPr>
                <w:sz w:val="20"/>
              </w:rPr>
            </w:pPr>
            <w:r w:rsidRPr="008B5902">
              <w:rPr>
                <w:sz w:val="20"/>
              </w:rPr>
              <w:t>-</w:t>
            </w:r>
          </w:p>
        </w:tc>
        <w:tc>
          <w:tcPr>
            <w:tcW w:w="875" w:type="dxa"/>
            <w:vAlign w:val="center"/>
          </w:tcPr>
          <w:p w14:paraId="0BB13186" w14:textId="77777777" w:rsidR="00626D90" w:rsidRPr="008B5902" w:rsidRDefault="00626D90" w:rsidP="00EF0FC0">
            <w:pPr>
              <w:snapToGrid w:val="0"/>
              <w:spacing w:after="120"/>
              <w:jc w:val="center"/>
              <w:rPr>
                <w:sz w:val="20"/>
              </w:rPr>
            </w:pPr>
            <w:r w:rsidRPr="008B5902">
              <w:rPr>
                <w:color w:val="000000"/>
                <w:sz w:val="20"/>
              </w:rPr>
              <w:t>737</w:t>
            </w:r>
          </w:p>
        </w:tc>
        <w:tc>
          <w:tcPr>
            <w:tcW w:w="751" w:type="dxa"/>
            <w:vAlign w:val="center"/>
          </w:tcPr>
          <w:p w14:paraId="27C5A724" w14:textId="77777777" w:rsidR="00626D90" w:rsidRPr="008B5902" w:rsidRDefault="00626D90" w:rsidP="00EF0FC0">
            <w:pPr>
              <w:snapToGrid w:val="0"/>
              <w:spacing w:after="120"/>
              <w:jc w:val="center"/>
              <w:rPr>
                <w:color w:val="000000"/>
                <w:sz w:val="20"/>
              </w:rPr>
            </w:pPr>
            <w:r w:rsidRPr="008B5902">
              <w:rPr>
                <w:color w:val="000000"/>
                <w:sz w:val="20"/>
              </w:rPr>
              <w:t>-</w:t>
            </w:r>
          </w:p>
        </w:tc>
        <w:tc>
          <w:tcPr>
            <w:tcW w:w="864" w:type="dxa"/>
            <w:vAlign w:val="center"/>
          </w:tcPr>
          <w:p w14:paraId="64A9D22A" w14:textId="77777777" w:rsidR="00626D90" w:rsidRPr="008B5902" w:rsidRDefault="00626D90" w:rsidP="00EF0FC0">
            <w:pPr>
              <w:snapToGrid w:val="0"/>
              <w:spacing w:after="120"/>
              <w:jc w:val="center"/>
              <w:rPr>
                <w:color w:val="000000"/>
                <w:sz w:val="20"/>
              </w:rPr>
            </w:pPr>
            <w:r w:rsidRPr="008B5902">
              <w:rPr>
                <w:color w:val="000000"/>
                <w:sz w:val="20"/>
              </w:rPr>
              <w:t>902</w:t>
            </w:r>
          </w:p>
        </w:tc>
        <w:tc>
          <w:tcPr>
            <w:tcW w:w="785" w:type="dxa"/>
            <w:vAlign w:val="center"/>
          </w:tcPr>
          <w:p w14:paraId="61F0770A" w14:textId="77777777" w:rsidR="00626D90" w:rsidRPr="008B5902" w:rsidRDefault="00626D90" w:rsidP="00EF0FC0">
            <w:pPr>
              <w:snapToGrid w:val="0"/>
              <w:spacing w:after="120"/>
              <w:jc w:val="center"/>
              <w:rPr>
                <w:color w:val="000000"/>
                <w:sz w:val="20"/>
              </w:rPr>
            </w:pPr>
            <w:r w:rsidRPr="008B5902">
              <w:rPr>
                <w:sz w:val="20"/>
              </w:rPr>
              <w:t>-</w:t>
            </w:r>
          </w:p>
        </w:tc>
        <w:tc>
          <w:tcPr>
            <w:tcW w:w="875" w:type="dxa"/>
            <w:vAlign w:val="center"/>
          </w:tcPr>
          <w:p w14:paraId="6113960B" w14:textId="77777777" w:rsidR="00626D90" w:rsidRPr="008B5902" w:rsidRDefault="00626D90" w:rsidP="00EF0FC0">
            <w:pPr>
              <w:snapToGrid w:val="0"/>
              <w:spacing w:after="120"/>
              <w:jc w:val="center"/>
              <w:rPr>
                <w:color w:val="000000"/>
                <w:sz w:val="20"/>
              </w:rPr>
            </w:pPr>
            <w:r w:rsidRPr="008B5902">
              <w:rPr>
                <w:color w:val="000000"/>
                <w:sz w:val="20"/>
              </w:rPr>
              <w:t>1,018</w:t>
            </w:r>
          </w:p>
        </w:tc>
        <w:tc>
          <w:tcPr>
            <w:tcW w:w="802" w:type="dxa"/>
            <w:vAlign w:val="center"/>
          </w:tcPr>
          <w:p w14:paraId="477014EA" w14:textId="77777777" w:rsidR="00626D90" w:rsidRPr="008B5902" w:rsidRDefault="00626D90" w:rsidP="00EF0FC0">
            <w:pPr>
              <w:snapToGrid w:val="0"/>
              <w:spacing w:after="120"/>
              <w:jc w:val="center"/>
              <w:rPr>
                <w:color w:val="000000"/>
                <w:sz w:val="20"/>
              </w:rPr>
            </w:pPr>
            <w:r w:rsidRPr="008B5902">
              <w:rPr>
                <w:color w:val="000000"/>
                <w:sz w:val="20"/>
              </w:rPr>
              <w:t>-</w:t>
            </w:r>
          </w:p>
        </w:tc>
      </w:tr>
    </w:tbl>
    <w:p w14:paraId="588B3E38" w14:textId="77777777" w:rsidR="00626D90" w:rsidRDefault="00626D90" w:rsidP="00626D90">
      <w:pPr>
        <w:spacing w:before="0"/>
        <w:rPr>
          <w:sz w:val="20"/>
          <w:szCs w:val="20"/>
        </w:rPr>
      </w:pPr>
      <w:r w:rsidRPr="00116557">
        <w:rPr>
          <w:sz w:val="20"/>
          <w:szCs w:val="20"/>
        </w:rPr>
        <w:t>(Sources:</w:t>
      </w:r>
      <w:r>
        <w:rPr>
          <w:sz w:val="20"/>
          <w:szCs w:val="20"/>
        </w:rPr>
        <w:t xml:space="preserve"> Expert Group Data and Analysis, CHF1, CHF2 and CHF3 RAC Stock Models) </w:t>
      </w:r>
    </w:p>
    <w:p w14:paraId="70DEDF3B" w14:textId="77777777" w:rsidR="00626D90" w:rsidRPr="00B01FD1" w:rsidRDefault="00626D90" w:rsidP="00626D90">
      <w:pPr>
        <w:spacing w:before="60"/>
        <w:rPr>
          <w:sz w:val="20"/>
          <w:szCs w:val="20"/>
        </w:rPr>
      </w:pPr>
      <w:r w:rsidRPr="001D4D37">
        <w:rPr>
          <w:sz w:val="20"/>
          <w:szCs w:val="20"/>
        </w:rPr>
        <w:t>Notes</w:t>
      </w:r>
      <w:r w:rsidRPr="0073696B">
        <w:rPr>
          <w:sz w:val="20"/>
          <w:szCs w:val="20"/>
        </w:rPr>
        <w:t xml:space="preserve">: </w:t>
      </w:r>
    </w:p>
    <w:p w14:paraId="3126C210" w14:textId="77777777" w:rsidR="00626D90" w:rsidRPr="001D4D37" w:rsidRDefault="00626D90" w:rsidP="00626D90">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The 2006 values in the table are estimates from </w:t>
      </w:r>
      <w:r w:rsidRPr="001D4D37">
        <w:rPr>
          <w:rFonts w:ascii="Times New Roman" w:hAnsi="Times New Roman"/>
          <w:i/>
          <w:sz w:val="20"/>
          <w:szCs w:val="20"/>
        </w:rPr>
        <w:t>“ODS and SGGs in Australia: A study of end uses, emissions and opportunities for reclamation”</w:t>
      </w:r>
      <w:r w:rsidRPr="001D4D37">
        <w:rPr>
          <w:rFonts w:ascii="Times New Roman" w:hAnsi="Times New Roman"/>
          <w:sz w:val="20"/>
          <w:szCs w:val="20"/>
        </w:rPr>
        <w:t xml:space="preserve">, prepared by </w:t>
      </w:r>
      <w:r>
        <w:rPr>
          <w:rFonts w:ascii="Times New Roman" w:hAnsi="Times New Roman"/>
          <w:sz w:val="20"/>
          <w:szCs w:val="20"/>
        </w:rPr>
        <w:t xml:space="preserve">Expert Group in </w:t>
      </w:r>
      <w:r w:rsidRPr="001D4D37">
        <w:rPr>
          <w:rFonts w:ascii="Times New Roman" w:hAnsi="Times New Roman"/>
          <w:sz w:val="20"/>
          <w:szCs w:val="20"/>
        </w:rPr>
        <w:t>2008.</w:t>
      </w:r>
    </w:p>
    <w:p w14:paraId="36EF9B62" w14:textId="77777777" w:rsidR="00626D90" w:rsidRPr="001D4D37" w:rsidRDefault="00626D90" w:rsidP="00626D90">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sidRPr="001D4D37">
        <w:rPr>
          <w:rFonts w:ascii="Times New Roman" w:hAnsi="Times New Roman"/>
          <w:sz w:val="20"/>
          <w:szCs w:val="20"/>
        </w:rPr>
        <w:t xml:space="preserve">Some CFCs are still present in the bank, </w:t>
      </w:r>
      <w:r>
        <w:rPr>
          <w:rFonts w:ascii="Times New Roman" w:hAnsi="Times New Roman"/>
          <w:sz w:val="20"/>
          <w:szCs w:val="20"/>
        </w:rPr>
        <w:t xml:space="preserve">for example </w:t>
      </w:r>
      <w:r w:rsidRPr="001D4D37">
        <w:rPr>
          <w:rFonts w:ascii="Times New Roman" w:hAnsi="Times New Roman"/>
          <w:sz w:val="20"/>
          <w:szCs w:val="20"/>
        </w:rPr>
        <w:t xml:space="preserve">in some very old domestic refrigerators, </w:t>
      </w:r>
      <w:proofErr w:type="gramStart"/>
      <w:r w:rsidRPr="001D4D37">
        <w:rPr>
          <w:rFonts w:ascii="Times New Roman" w:hAnsi="Times New Roman"/>
          <w:sz w:val="20"/>
          <w:szCs w:val="20"/>
        </w:rPr>
        <w:t>however</w:t>
      </w:r>
      <w:proofErr w:type="gramEnd"/>
      <w:r w:rsidRPr="001D4D37">
        <w:rPr>
          <w:rFonts w:ascii="Times New Roman" w:hAnsi="Times New Roman"/>
          <w:sz w:val="20"/>
          <w:szCs w:val="20"/>
        </w:rPr>
        <w:t xml:space="preserve"> are not included in the above table in their own right</w:t>
      </w:r>
      <w:r>
        <w:rPr>
          <w:rFonts w:ascii="Times New Roman" w:hAnsi="Times New Roman"/>
          <w:sz w:val="20"/>
          <w:szCs w:val="20"/>
        </w:rPr>
        <w:t xml:space="preserve"> and are included in the </w:t>
      </w:r>
      <w:r w:rsidRPr="001D4D37">
        <w:rPr>
          <w:rFonts w:ascii="Times New Roman" w:hAnsi="Times New Roman"/>
          <w:sz w:val="20"/>
          <w:szCs w:val="20"/>
        </w:rPr>
        <w:t>estimate of HCFC-22. Some relatively small quantities of HCFC blends used in air conditioning applications are also counted as HCFC-22.</w:t>
      </w:r>
    </w:p>
    <w:p w14:paraId="2128C197" w14:textId="77777777" w:rsidR="00626D90" w:rsidRDefault="00626D90" w:rsidP="00626D90">
      <w:pPr>
        <w:pStyle w:val="ListParagraph"/>
        <w:numPr>
          <w:ilvl w:val="0"/>
          <w:numId w:val="33"/>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The category ‘GWP&lt;2</w:t>
      </w:r>
      <w:r w:rsidRPr="001D4D37">
        <w:rPr>
          <w:rFonts w:ascii="Times New Roman" w:hAnsi="Times New Roman"/>
          <w:sz w:val="20"/>
          <w:szCs w:val="20"/>
        </w:rPr>
        <w:t>150</w:t>
      </w:r>
      <w:r>
        <w:rPr>
          <w:rFonts w:ascii="Times New Roman" w:hAnsi="Times New Roman"/>
          <w:sz w:val="20"/>
          <w:szCs w:val="20"/>
        </w:rPr>
        <w:t xml:space="preserve">’ comprises a variety of blends including HFC-407F, </w:t>
      </w:r>
      <w:r w:rsidRPr="00FF1430">
        <w:rPr>
          <w:rFonts w:ascii="Times New Roman" w:hAnsi="Times New Roman"/>
          <w:sz w:val="20"/>
          <w:szCs w:val="20"/>
        </w:rPr>
        <w:t xml:space="preserve">HCFC-22 </w:t>
      </w:r>
      <w:r>
        <w:rPr>
          <w:rFonts w:ascii="Times New Roman" w:hAnsi="Times New Roman"/>
          <w:sz w:val="20"/>
          <w:szCs w:val="20"/>
        </w:rPr>
        <w:t>r</w:t>
      </w:r>
      <w:r w:rsidRPr="00FF1430">
        <w:rPr>
          <w:rFonts w:ascii="Times New Roman" w:hAnsi="Times New Roman"/>
          <w:sz w:val="20"/>
          <w:szCs w:val="20"/>
        </w:rPr>
        <w:t>eplacement</w:t>
      </w:r>
      <w:r>
        <w:rPr>
          <w:rFonts w:ascii="Times New Roman" w:hAnsi="Times New Roman"/>
          <w:sz w:val="20"/>
          <w:szCs w:val="20"/>
        </w:rPr>
        <w:t xml:space="preserve"> refrigerants, and emerging HFO blends such as </w:t>
      </w:r>
      <w:r w:rsidRPr="001D4D37">
        <w:rPr>
          <w:rFonts w:ascii="Times New Roman" w:hAnsi="Times New Roman"/>
          <w:sz w:val="20"/>
          <w:szCs w:val="20"/>
        </w:rPr>
        <w:t xml:space="preserve">HFC-448a and HFC-449a which are starting to </w:t>
      </w:r>
      <w:r>
        <w:rPr>
          <w:rFonts w:ascii="Times New Roman" w:hAnsi="Times New Roman"/>
          <w:sz w:val="20"/>
          <w:szCs w:val="20"/>
        </w:rPr>
        <w:t>be used for low temperature commercial refrigeration applications</w:t>
      </w:r>
      <w:r w:rsidRPr="001D4D37">
        <w:rPr>
          <w:rFonts w:ascii="Times New Roman" w:hAnsi="Times New Roman"/>
          <w:sz w:val="20"/>
          <w:szCs w:val="20"/>
        </w:rPr>
        <w:t>.</w:t>
      </w:r>
    </w:p>
    <w:p w14:paraId="3397802B" w14:textId="77777777" w:rsidR="00626D90" w:rsidRPr="00B01FD1" w:rsidRDefault="00626D90" w:rsidP="00626D90">
      <w:pPr>
        <w:pStyle w:val="ListParagraph"/>
        <w:numPr>
          <w:ilvl w:val="0"/>
          <w:numId w:val="33"/>
        </w:numPr>
        <w:snapToGrid w:val="0"/>
        <w:spacing w:before="60" w:after="0" w:line="240" w:lineRule="auto"/>
        <w:contextualSpacing w:val="0"/>
        <w:jc w:val="both"/>
      </w:pPr>
      <w:r>
        <w:rPr>
          <w:rFonts w:ascii="Times New Roman" w:hAnsi="Times New Roman"/>
          <w:sz w:val="20"/>
          <w:szCs w:val="20"/>
          <w:lang w:val="en-AU"/>
        </w:rPr>
        <w:t>T</w:t>
      </w:r>
      <w:r w:rsidRPr="00472A27">
        <w:rPr>
          <w:rFonts w:ascii="Times New Roman" w:hAnsi="Times New Roman"/>
          <w:sz w:val="20"/>
          <w:szCs w:val="20"/>
          <w:lang w:val="en-AU"/>
        </w:rPr>
        <w:t>his value is the published CHF2 bank of HFC-404A</w:t>
      </w:r>
      <w:r>
        <w:rPr>
          <w:rFonts w:ascii="Times New Roman" w:hAnsi="Times New Roman"/>
          <w:sz w:val="20"/>
          <w:szCs w:val="20"/>
          <w:lang w:val="en-AU"/>
        </w:rPr>
        <w:t xml:space="preserve">. </w:t>
      </w:r>
      <w:r w:rsidRPr="00472A27">
        <w:rPr>
          <w:rFonts w:ascii="Times New Roman" w:hAnsi="Times New Roman"/>
          <w:sz w:val="20"/>
          <w:szCs w:val="20"/>
        </w:rPr>
        <w:t xml:space="preserve">Based on CHF3 methodology the bank of HFC-404A in 2012 would be higher. </w:t>
      </w:r>
      <w:r>
        <w:rPr>
          <w:rFonts w:ascii="Times New Roman" w:hAnsi="Times New Roman"/>
          <w:sz w:val="20"/>
          <w:szCs w:val="20"/>
        </w:rPr>
        <w:t>Since CHF2 t</w:t>
      </w:r>
      <w:r w:rsidRPr="00472A27">
        <w:rPr>
          <w:rFonts w:ascii="Times New Roman" w:hAnsi="Times New Roman"/>
          <w:sz w:val="20"/>
          <w:szCs w:val="20"/>
        </w:rPr>
        <w:t>he number of walk</w:t>
      </w:r>
      <w:r>
        <w:rPr>
          <w:rFonts w:ascii="Times New Roman" w:hAnsi="Times New Roman"/>
          <w:sz w:val="20"/>
          <w:szCs w:val="20"/>
        </w:rPr>
        <w:t>-</w:t>
      </w:r>
      <w:r w:rsidRPr="00472A27">
        <w:rPr>
          <w:rFonts w:ascii="Times New Roman" w:hAnsi="Times New Roman"/>
          <w:sz w:val="20"/>
          <w:szCs w:val="20"/>
        </w:rPr>
        <w:t>in col</w:t>
      </w:r>
      <w:r>
        <w:rPr>
          <w:rFonts w:ascii="Times New Roman" w:hAnsi="Times New Roman"/>
          <w:sz w:val="20"/>
          <w:szCs w:val="20"/>
        </w:rPr>
        <w:t>d</w:t>
      </w:r>
      <w:r w:rsidRPr="00472A27">
        <w:rPr>
          <w:rFonts w:ascii="Times New Roman" w:hAnsi="Times New Roman"/>
          <w:sz w:val="20"/>
          <w:szCs w:val="20"/>
        </w:rPr>
        <w:t xml:space="preserve"> rooms has been revised upward and</w:t>
      </w:r>
      <w:r w:rsidRPr="00472A27">
        <w:rPr>
          <w:rFonts w:ascii="Times New Roman" w:hAnsi="Times New Roman"/>
          <w:sz w:val="20"/>
          <w:szCs w:val="20"/>
          <w:lang w:val="en-AU"/>
        </w:rPr>
        <w:t xml:space="preserve"> </w:t>
      </w:r>
      <w:r>
        <w:rPr>
          <w:rFonts w:ascii="Times New Roman" w:hAnsi="Times New Roman"/>
          <w:sz w:val="20"/>
          <w:szCs w:val="20"/>
          <w:lang w:val="en-AU"/>
        </w:rPr>
        <w:t>t</w:t>
      </w:r>
      <w:r w:rsidRPr="00472A27">
        <w:rPr>
          <w:rFonts w:ascii="Times New Roman" w:hAnsi="Times New Roman"/>
          <w:sz w:val="20"/>
          <w:szCs w:val="20"/>
          <w:lang w:val="en-AU"/>
        </w:rPr>
        <w:t>he stock and bank value has been revised based on improved information. For example, the stock of self-contained refrigeration display cabinets and walk-in cool</w:t>
      </w:r>
      <w:r>
        <w:rPr>
          <w:rFonts w:ascii="Times New Roman" w:hAnsi="Times New Roman"/>
          <w:sz w:val="20"/>
          <w:szCs w:val="20"/>
          <w:lang w:val="en-AU"/>
        </w:rPr>
        <w:t xml:space="preserve"> </w:t>
      </w:r>
      <w:r w:rsidRPr="00472A27">
        <w:rPr>
          <w:rFonts w:ascii="Times New Roman" w:hAnsi="Times New Roman"/>
          <w:sz w:val="20"/>
          <w:szCs w:val="20"/>
          <w:lang w:val="en-AU"/>
        </w:rPr>
        <w:t>rooms were revised upward</w:t>
      </w:r>
      <w:r>
        <w:rPr>
          <w:rFonts w:ascii="Times New Roman" w:hAnsi="Times New Roman"/>
          <w:sz w:val="20"/>
          <w:szCs w:val="20"/>
          <w:lang w:val="en-AU"/>
        </w:rPr>
        <w:t>.</w:t>
      </w:r>
    </w:p>
    <w:p w14:paraId="561CC1F1" w14:textId="77777777" w:rsidR="00626D90" w:rsidRPr="00587E03" w:rsidRDefault="00626D90" w:rsidP="00626D90">
      <w:pPr>
        <w:pStyle w:val="ListParagraph"/>
        <w:numPr>
          <w:ilvl w:val="0"/>
          <w:numId w:val="33"/>
        </w:numPr>
        <w:snapToGrid w:val="0"/>
        <w:spacing w:before="60" w:after="0" w:line="240" w:lineRule="auto"/>
        <w:contextualSpacing w:val="0"/>
        <w:jc w:val="both"/>
        <w:rPr>
          <w:rFonts w:eastAsia="Times New Roman"/>
          <w:b/>
          <w:bCs/>
          <w:kern w:val="32"/>
          <w:sz w:val="32"/>
          <w:szCs w:val="32"/>
          <w:lang w:val="en-US"/>
        </w:rPr>
      </w:pPr>
      <w:r>
        <w:rPr>
          <w:rFonts w:ascii="Times New Roman" w:hAnsi="Times New Roman"/>
          <w:sz w:val="20"/>
          <w:szCs w:val="20"/>
          <w:lang w:val="en-AU"/>
        </w:rPr>
        <w:t>The GWP&lt;10 substances listed in the above table represents only the bank in those applications that have transitioned from prior generations of equipment employing HCFCs and HFCs and moved to l</w:t>
      </w:r>
      <w:r w:rsidRPr="00B01FD1">
        <w:rPr>
          <w:rFonts w:ascii="Times New Roman" w:hAnsi="Times New Roman"/>
          <w:sz w:val="20"/>
          <w:szCs w:val="20"/>
          <w:lang w:val="en-AU"/>
        </w:rPr>
        <w:t>ow or zero GWP refrigerants</w:t>
      </w:r>
      <w:r>
        <w:rPr>
          <w:rFonts w:ascii="Times New Roman" w:hAnsi="Times New Roman"/>
          <w:sz w:val="20"/>
          <w:szCs w:val="20"/>
          <w:lang w:val="en-AU"/>
        </w:rPr>
        <w:t xml:space="preserve"> and does not include ammonia systems.</w:t>
      </w:r>
    </w:p>
    <w:p w14:paraId="28492FF7" w14:textId="77777777" w:rsidR="00626D90" w:rsidRDefault="00626D90" w:rsidP="00626D90">
      <w:pPr>
        <w:snapToGrid w:val="0"/>
        <w:spacing w:before="60"/>
      </w:pPr>
    </w:p>
    <w:p w14:paraId="1AC1E269" w14:textId="77777777" w:rsidR="00626D90" w:rsidRPr="009F7CD1" w:rsidRDefault="00626D90" w:rsidP="00626D90">
      <w:pPr>
        <w:pStyle w:val="ListParagraph"/>
        <w:numPr>
          <w:ilvl w:val="1"/>
          <w:numId w:val="33"/>
        </w:numPr>
        <w:snapToGrid w:val="0"/>
        <w:spacing w:before="120" w:after="0" w:line="240" w:lineRule="auto"/>
        <w:contextualSpacing w:val="0"/>
        <w:rPr>
          <w:rFonts w:eastAsia="Times New Roman"/>
          <w:b/>
          <w:bCs/>
          <w:i/>
          <w:iCs/>
          <w:sz w:val="28"/>
          <w:szCs w:val="28"/>
          <w:lang w:val="en-US"/>
        </w:rPr>
      </w:pPr>
      <w:r w:rsidRPr="00587E03">
        <w:rPr>
          <w:rFonts w:eastAsia="Times New Roman"/>
          <w:b/>
          <w:bCs/>
          <w:i/>
          <w:iCs/>
          <w:sz w:val="28"/>
          <w:szCs w:val="28"/>
          <w:lang w:val="en-US"/>
        </w:rPr>
        <w:t>Retirement and recovery</w:t>
      </w:r>
    </w:p>
    <w:p w14:paraId="1B179B28" w14:textId="77777777" w:rsidR="00626D90" w:rsidRPr="007969E8" w:rsidRDefault="00626D90" w:rsidP="00626D90">
      <w:pPr>
        <w:snapToGrid w:val="0"/>
      </w:pPr>
      <w:r w:rsidRPr="00417EE1">
        <w:t>In 2</w:t>
      </w:r>
      <w:r w:rsidRPr="00FA2407">
        <w:t xml:space="preserve">019 RAC equipment containing an estimated 2,340 tonnes of residual refrigerant reached the end of its useful life. It should be noted that </w:t>
      </w:r>
      <w:proofErr w:type="gramStart"/>
      <w:r w:rsidRPr="00FA2407">
        <w:t>the majority of</w:t>
      </w:r>
      <w:proofErr w:type="gramEnd"/>
      <w:r w:rsidRPr="00FA2407">
        <w:t xml:space="preserve"> equipment that is retired would not be fully charged, and the Expert Group RAC stock mo</w:t>
      </w:r>
      <w:r w:rsidRPr="001A6EE0">
        <w:t>del calculates various rates of partial charge for retiring equipment. More than 80% of the refrigerant e</w:t>
      </w:r>
      <w:r w:rsidRPr="006F41ED">
        <w:t>stimated to have still been in end-of-life (EOL) equipment in 2019 would have been in stationary equipment types including domestic refrigerators and freezer</w:t>
      </w:r>
      <w:r w:rsidRPr="0047384F">
        <w:t xml:space="preserve">s, stationary air conditioners and self-contained equipment employed in the refrigerated cold food chain. An unknown portion of this </w:t>
      </w:r>
      <w:r w:rsidRPr="0047384F">
        <w:lastRenderedPageBreak/>
        <w:t xml:space="preserve">refrigerant is likely to have been recovered by contractors for reuse, particularly if it was HCFC-22 for which an active reclamation market is in place. </w:t>
      </w:r>
    </w:p>
    <w:p w14:paraId="73A80C2B" w14:textId="77777777" w:rsidR="00626D90" w:rsidRPr="00137905" w:rsidRDefault="00626D90" w:rsidP="00626D90">
      <w:r w:rsidRPr="008B15C4">
        <w:t xml:space="preserve">The RAC Stock Model assumes end-of-life residual factors for each product category, for example split ducted air conditioners are estimated to retain 80% of their original charge at retirement. Studies of EOL motor vehicles indicate that average charges of MAC at retirement are around 2/3rds of the original charge. The RAC Stock Model uses a residual charge of 66% for EOL MAC in vehicles. Refer to </w:t>
      </w:r>
      <w:r w:rsidRPr="00322C9F">
        <w:rPr>
          <w:i/>
          <w:iCs/>
        </w:rPr>
        <w:t>Appendix B Table 1: Technical characteristics by product category</w:t>
      </w:r>
      <w:r w:rsidRPr="00417EE1">
        <w:t xml:space="preserve">, for </w:t>
      </w:r>
      <w:proofErr w:type="gramStart"/>
      <w:r w:rsidRPr="00417EE1">
        <w:t>en</w:t>
      </w:r>
      <w:r w:rsidRPr="00FA2407">
        <w:t>d of life</w:t>
      </w:r>
      <w:proofErr w:type="gramEnd"/>
      <w:r w:rsidRPr="00FA2407">
        <w:t xml:space="preserve"> factors and assumptions. Fur</w:t>
      </w:r>
      <w:r w:rsidRPr="006961F7">
        <w:t>ther work in this area is required to improve confidence in calculations of refrigerant in EOL equipment.</w:t>
      </w:r>
    </w:p>
    <w:p w14:paraId="10E7C822" w14:textId="77777777" w:rsidR="00626D90" w:rsidRPr="002816D2" w:rsidRDefault="00626D90" w:rsidP="00626D90">
      <w:r w:rsidRPr="00137905">
        <w:t xml:space="preserve">Approximately 486 tonnes of refrigerant </w:t>
      </w:r>
      <w:proofErr w:type="gramStart"/>
      <w:r w:rsidRPr="00137905">
        <w:t>was</w:t>
      </w:r>
      <w:proofErr w:type="gramEnd"/>
      <w:r w:rsidRPr="00137905">
        <w:t xml:space="preserve"> recovered by Refrigerant Reclaim Australia (RRA) in 2019 comprising 3.1 tonnes of chlorofluorocarbons (CFCs), 27.6 tonnes of HCFCs, 381.9 tonnes of HFCs and 3.8 tonnes of other substances. Of this 69.6 tonnes </w:t>
      </w:r>
      <w:proofErr w:type="gramStart"/>
      <w:r w:rsidRPr="00137905">
        <w:t>was</w:t>
      </w:r>
      <w:proofErr w:type="gramEnd"/>
      <w:r w:rsidRPr="00137905">
        <w:t xml:space="preserve"> retained for reclamation while the rest was destroyed. </w:t>
      </w:r>
      <w:r w:rsidRPr="002816D2">
        <w:t xml:space="preserve">Refrigerant recovered by the RRA program is recovered from both </w:t>
      </w:r>
      <w:r>
        <w:t>EOL</w:t>
      </w:r>
      <w:r w:rsidRPr="002816D2">
        <w:t xml:space="preserve"> equipment and from equipment during service where refrigerant that is not suitable for reuse is removed and replaced with new refrigerant.</w:t>
      </w:r>
    </w:p>
    <w:p w14:paraId="26F5733B" w14:textId="77777777" w:rsidR="00626D90" w:rsidRDefault="00626D90" w:rsidP="00626D90">
      <w:pPr>
        <w:rPr>
          <w:rFonts w:cs="Times New Roman"/>
          <w:lang w:val="en-US"/>
        </w:rPr>
      </w:pPr>
      <w:r w:rsidRPr="00137905">
        <w:rPr>
          <w:rFonts w:cs="Times New Roman"/>
          <w:lang w:val="en-US"/>
        </w:rPr>
        <w:t xml:space="preserve">Maximum imports of HCFCs for 2016 to 2019 are capped at 2.5 ODP </w:t>
      </w:r>
      <w:proofErr w:type="spellStart"/>
      <w:r w:rsidRPr="00137905">
        <w:rPr>
          <w:rFonts w:cs="Times New Roman"/>
          <w:lang w:val="en-US"/>
        </w:rPr>
        <w:t>tonnes</w:t>
      </w:r>
      <w:proofErr w:type="spellEnd"/>
      <w:r w:rsidRPr="00137905">
        <w:rPr>
          <w:rFonts w:cs="Times New Roman"/>
          <w:lang w:val="en-US"/>
        </w:rPr>
        <w:t xml:space="preserve"> per annum, which equates to 45.5 metric </w:t>
      </w:r>
      <w:proofErr w:type="spellStart"/>
      <w:r w:rsidRPr="00137905">
        <w:rPr>
          <w:rFonts w:cs="Times New Roman"/>
          <w:lang w:val="en-US"/>
        </w:rPr>
        <w:t>tonnes</w:t>
      </w:r>
      <w:proofErr w:type="spellEnd"/>
      <w:r w:rsidRPr="00137905">
        <w:rPr>
          <w:rFonts w:cs="Times New Roman"/>
          <w:lang w:val="en-US"/>
        </w:rPr>
        <w:t xml:space="preserve"> of HCFC-22. The additional usage of HCFCs reported in those years of 210, 179, 117 and 93 </w:t>
      </w:r>
      <w:proofErr w:type="spellStart"/>
      <w:r w:rsidRPr="00137905">
        <w:rPr>
          <w:rFonts w:cs="Times New Roman"/>
          <w:lang w:val="en-US"/>
        </w:rPr>
        <w:t>tonnes</w:t>
      </w:r>
      <w:proofErr w:type="spellEnd"/>
      <w:r w:rsidRPr="00137905">
        <w:rPr>
          <w:rFonts w:cs="Times New Roman"/>
          <w:lang w:val="en-US"/>
        </w:rPr>
        <w:t xml:space="preserve"> of HCFC refrigerants is possible because the material employed above the import cap has been reclaimed and reconditioned to AHRI 700 standard so that it can be resold. There would be an additional but at present unknown amount of HCFC-22 recovered by contractors and re-used ‘in the field’.</w:t>
      </w:r>
      <w:r>
        <w:rPr>
          <w:rFonts w:cs="Times New Roman"/>
          <w:lang w:val="en-US"/>
        </w:rPr>
        <w:t xml:space="preserve"> </w:t>
      </w:r>
    </w:p>
    <w:p w14:paraId="31525EB9" w14:textId="77777777" w:rsidR="00626D90" w:rsidRPr="009019E7" w:rsidRDefault="00626D90" w:rsidP="00626D90">
      <w:pPr>
        <w:rPr>
          <w:lang w:val="en-US"/>
        </w:rPr>
      </w:pPr>
      <w:proofErr w:type="gramStart"/>
      <w:r>
        <w:rPr>
          <w:rFonts w:cs="Times New Roman"/>
          <w:lang w:val="en-US"/>
        </w:rPr>
        <w:t>Overall</w:t>
      </w:r>
      <w:proofErr w:type="gramEnd"/>
      <w:r>
        <w:rPr>
          <w:rFonts w:cs="Times New Roman"/>
          <w:lang w:val="en-US"/>
        </w:rPr>
        <w:t xml:space="preserve"> however the noticeable decline in total </w:t>
      </w:r>
      <w:proofErr w:type="spellStart"/>
      <w:r>
        <w:rPr>
          <w:rFonts w:cs="Times New Roman"/>
          <w:lang w:val="en-US"/>
        </w:rPr>
        <w:t>tonnes</w:t>
      </w:r>
      <w:proofErr w:type="spellEnd"/>
      <w:r>
        <w:rPr>
          <w:rFonts w:cs="Times New Roman"/>
          <w:lang w:val="en-US"/>
        </w:rPr>
        <w:t xml:space="preserve"> of HCFC-22 reported as sold between 2016 and 2019 indicates a market in general decline, a trend that will be watched closely in subsequent years</w:t>
      </w:r>
      <w:r w:rsidRPr="009019E7">
        <w:rPr>
          <w:rFonts w:cs="Times New Roman"/>
          <w:lang w:val="en-US"/>
        </w:rPr>
        <w:t>.</w:t>
      </w:r>
    </w:p>
    <w:p w14:paraId="4008B334" w14:textId="77777777" w:rsidR="00626D90" w:rsidRPr="009019E7" w:rsidRDefault="00626D90" w:rsidP="00626D90">
      <w:pPr>
        <w:snapToGrid w:val="0"/>
        <w:spacing w:before="60"/>
        <w:rPr>
          <w:lang w:val="en-US"/>
        </w:rPr>
      </w:pPr>
    </w:p>
    <w:p w14:paraId="28CF9D1F" w14:textId="77777777" w:rsidR="00626D90" w:rsidRDefault="00626D90" w:rsidP="00626D90">
      <w:pPr>
        <w:pStyle w:val="Heading1"/>
        <w:jc w:val="both"/>
      </w:pPr>
      <w:bookmarkStart w:id="28" w:name="_Toc46923724"/>
      <w:r>
        <w:t>Refrigerant i</w:t>
      </w:r>
      <w:r w:rsidRPr="0044013B">
        <w:t>mports and usage</w:t>
      </w:r>
      <w:bookmarkEnd w:id="28"/>
    </w:p>
    <w:p w14:paraId="3FCB6FD3" w14:textId="77777777" w:rsidR="00626D90" w:rsidRPr="004B0F56" w:rsidRDefault="00626D90" w:rsidP="00626D90">
      <w:pPr>
        <w:rPr>
          <w:rFonts w:cs="Times New Roman"/>
          <w:lang w:val="en-US"/>
        </w:rPr>
      </w:pPr>
      <w:r w:rsidRPr="004B0F56">
        <w:rPr>
          <w:rFonts w:cs="Times New Roman"/>
          <w:lang w:val="en-US"/>
        </w:rPr>
        <w:t xml:space="preserve">There are two means by which the bank of working gas in Australia grows: </w:t>
      </w:r>
    </w:p>
    <w:p w14:paraId="7A8DC904" w14:textId="77777777" w:rsidR="00626D90" w:rsidRPr="004B0F56" w:rsidRDefault="00626D90" w:rsidP="00626D90">
      <w:pPr>
        <w:pStyle w:val="ListParagraph"/>
        <w:numPr>
          <w:ilvl w:val="0"/>
          <w:numId w:val="20"/>
        </w:numPr>
        <w:spacing w:before="120" w:after="0" w:line="240" w:lineRule="auto"/>
        <w:contextualSpacing w:val="0"/>
        <w:jc w:val="both"/>
        <w:rPr>
          <w:rFonts w:ascii="Times New Roman" w:hAnsi="Times New Roman"/>
          <w:lang w:val="en-US"/>
        </w:rPr>
      </w:pPr>
      <w:r>
        <w:rPr>
          <w:rFonts w:ascii="Times New Roman" w:hAnsi="Times New Roman"/>
          <w:lang w:val="en-US"/>
        </w:rPr>
        <w:t>v</w:t>
      </w:r>
      <w:r w:rsidRPr="004B0F56">
        <w:rPr>
          <w:rFonts w:ascii="Times New Roman" w:hAnsi="Times New Roman"/>
          <w:lang w:val="en-US"/>
        </w:rPr>
        <w:t xml:space="preserve">ia </w:t>
      </w:r>
      <w:r>
        <w:rPr>
          <w:rFonts w:ascii="Times New Roman" w:hAnsi="Times New Roman"/>
          <w:lang w:val="en-US"/>
        </w:rPr>
        <w:t xml:space="preserve">imports of </w:t>
      </w:r>
      <w:r w:rsidRPr="004B0F56">
        <w:rPr>
          <w:rFonts w:ascii="Times New Roman" w:hAnsi="Times New Roman"/>
          <w:lang w:val="en-US"/>
        </w:rPr>
        <w:t xml:space="preserve">equipment pre-charged with a refrigerant gas, referred to as </w:t>
      </w:r>
      <w:r>
        <w:rPr>
          <w:rFonts w:ascii="Times New Roman" w:hAnsi="Times New Roman"/>
          <w:lang w:val="en-US"/>
        </w:rPr>
        <w:t>pre-charged equipment (</w:t>
      </w:r>
      <w:r w:rsidRPr="004B0F56">
        <w:rPr>
          <w:rFonts w:ascii="Times New Roman" w:hAnsi="Times New Roman"/>
          <w:lang w:val="en-US"/>
        </w:rPr>
        <w:t>PCE</w:t>
      </w:r>
      <w:r>
        <w:rPr>
          <w:rFonts w:ascii="Times New Roman" w:hAnsi="Times New Roman"/>
          <w:lang w:val="en-US"/>
        </w:rPr>
        <w:t>)</w:t>
      </w:r>
      <w:r w:rsidRPr="004B0F56">
        <w:rPr>
          <w:rFonts w:ascii="Times New Roman" w:hAnsi="Times New Roman"/>
          <w:lang w:val="en-US"/>
        </w:rPr>
        <w:t xml:space="preserve"> imports;</w:t>
      </w:r>
      <w:r>
        <w:rPr>
          <w:rFonts w:ascii="Times New Roman" w:hAnsi="Times New Roman"/>
          <w:lang w:val="en-US"/>
        </w:rPr>
        <w:t xml:space="preserve"> and,</w:t>
      </w:r>
    </w:p>
    <w:p w14:paraId="2C6596B7" w14:textId="77777777" w:rsidR="00626D90" w:rsidRPr="004B0F56" w:rsidRDefault="00626D90" w:rsidP="00626D90">
      <w:pPr>
        <w:pStyle w:val="ListParagraph"/>
        <w:numPr>
          <w:ilvl w:val="0"/>
          <w:numId w:val="20"/>
        </w:numPr>
        <w:spacing w:before="120" w:after="0" w:line="240" w:lineRule="auto"/>
        <w:contextualSpacing w:val="0"/>
        <w:jc w:val="both"/>
        <w:rPr>
          <w:rFonts w:ascii="Times New Roman" w:hAnsi="Times New Roman"/>
          <w:lang w:val="en-US"/>
        </w:rPr>
      </w:pPr>
      <w:r>
        <w:rPr>
          <w:rFonts w:ascii="Times New Roman" w:hAnsi="Times New Roman"/>
          <w:lang w:val="en-US"/>
        </w:rPr>
        <w:t>v</w:t>
      </w:r>
      <w:r w:rsidRPr="004B0F56">
        <w:rPr>
          <w:rFonts w:ascii="Times New Roman" w:hAnsi="Times New Roman"/>
          <w:lang w:val="en-US"/>
        </w:rPr>
        <w:t xml:space="preserve">ia imports of bulk gas, where the bulk gas is </w:t>
      </w:r>
      <w:r>
        <w:rPr>
          <w:rFonts w:ascii="Times New Roman" w:hAnsi="Times New Roman"/>
          <w:lang w:val="en-US"/>
        </w:rPr>
        <w:t>used</w:t>
      </w:r>
      <w:r w:rsidRPr="004B0F56">
        <w:rPr>
          <w:rFonts w:ascii="Times New Roman" w:hAnsi="Times New Roman"/>
          <w:lang w:val="en-US"/>
        </w:rPr>
        <w:t xml:space="preserve"> </w:t>
      </w:r>
      <w:r>
        <w:rPr>
          <w:rFonts w:ascii="Times New Roman" w:hAnsi="Times New Roman"/>
          <w:lang w:val="en-US"/>
        </w:rPr>
        <w:t xml:space="preserve">for </w:t>
      </w:r>
      <w:r w:rsidRPr="004B0F56">
        <w:rPr>
          <w:rFonts w:ascii="Times New Roman" w:hAnsi="Times New Roman"/>
          <w:lang w:val="en-US"/>
        </w:rPr>
        <w:t xml:space="preserve">charging </w:t>
      </w:r>
      <w:r>
        <w:rPr>
          <w:rFonts w:ascii="Times New Roman" w:hAnsi="Times New Roman"/>
          <w:lang w:val="en-US"/>
        </w:rPr>
        <w:t xml:space="preserve">new </w:t>
      </w:r>
      <w:r w:rsidRPr="004B0F56">
        <w:rPr>
          <w:rFonts w:ascii="Times New Roman" w:hAnsi="Times New Roman"/>
          <w:lang w:val="en-US"/>
        </w:rPr>
        <w:t>equipment</w:t>
      </w:r>
      <w:r>
        <w:rPr>
          <w:rFonts w:ascii="Times New Roman" w:hAnsi="Times New Roman"/>
          <w:lang w:val="en-US"/>
        </w:rPr>
        <w:t xml:space="preserve"> that has been</w:t>
      </w:r>
      <w:r w:rsidRPr="004B0F56">
        <w:rPr>
          <w:rFonts w:ascii="Times New Roman" w:hAnsi="Times New Roman"/>
          <w:lang w:val="en-US"/>
        </w:rPr>
        <w:t xml:space="preserve"> manufactured in Australia</w:t>
      </w:r>
      <w:r>
        <w:rPr>
          <w:rFonts w:ascii="Times New Roman" w:hAnsi="Times New Roman"/>
          <w:lang w:val="en-US"/>
        </w:rPr>
        <w:t>, or it is used for charging equipment that has been imported without a refrigerant charge, or applications with longer than usual pipe runs requiring additional charge</w:t>
      </w:r>
      <w:r w:rsidRPr="004B0F56">
        <w:rPr>
          <w:rFonts w:ascii="Times New Roman" w:hAnsi="Times New Roman"/>
          <w:lang w:val="en-US"/>
        </w:rPr>
        <w:t>.</w:t>
      </w:r>
    </w:p>
    <w:p w14:paraId="5053B27C" w14:textId="77777777" w:rsidR="00626D90" w:rsidRDefault="00626D90" w:rsidP="00626D90">
      <w:pPr>
        <w:rPr>
          <w:rFonts w:cs="Times New Roman"/>
          <w:lang w:val="en-US"/>
        </w:rPr>
      </w:pPr>
      <w:r w:rsidRPr="004B0F56">
        <w:rPr>
          <w:rFonts w:cs="Times New Roman"/>
          <w:lang w:val="en-US"/>
        </w:rPr>
        <w:t>This section analys</w:t>
      </w:r>
      <w:r>
        <w:rPr>
          <w:rFonts w:cs="Times New Roman"/>
          <w:lang w:val="en-US"/>
        </w:rPr>
        <w:t>es</w:t>
      </w:r>
      <w:r w:rsidRPr="004B0F56">
        <w:rPr>
          <w:rFonts w:cs="Times New Roman"/>
          <w:lang w:val="en-US"/>
        </w:rPr>
        <w:t xml:space="preserve"> PCE and bulk gas imports, and then </w:t>
      </w:r>
      <w:r>
        <w:rPr>
          <w:rFonts w:cs="Times New Roman"/>
          <w:lang w:val="en-US"/>
        </w:rPr>
        <w:t>examines t</w:t>
      </w:r>
      <w:r w:rsidRPr="004B0F56">
        <w:rPr>
          <w:rFonts w:cs="Times New Roman"/>
          <w:lang w:val="en-US"/>
        </w:rPr>
        <w:t xml:space="preserve">he market dynamics for bulk gas as it is broken down into smaller lots and distributed (sold) into the supply lines for servicing the stock of </w:t>
      </w:r>
      <w:r>
        <w:rPr>
          <w:rFonts w:cs="Times New Roman"/>
          <w:lang w:val="en-US"/>
        </w:rPr>
        <w:t xml:space="preserve">existing </w:t>
      </w:r>
      <w:r w:rsidRPr="004B0F56">
        <w:rPr>
          <w:rFonts w:cs="Times New Roman"/>
          <w:lang w:val="en-US"/>
        </w:rPr>
        <w:t xml:space="preserve">equipment and </w:t>
      </w:r>
      <w:r>
        <w:rPr>
          <w:rFonts w:cs="Times New Roman"/>
          <w:lang w:val="en-US"/>
        </w:rPr>
        <w:t xml:space="preserve">charging </w:t>
      </w:r>
      <w:r w:rsidRPr="004B0F56">
        <w:rPr>
          <w:rFonts w:cs="Times New Roman"/>
          <w:lang w:val="en-US"/>
        </w:rPr>
        <w:t>new equipment.</w:t>
      </w:r>
    </w:p>
    <w:p w14:paraId="35F32E3E" w14:textId="77777777" w:rsidR="00626D90" w:rsidRDefault="00626D90" w:rsidP="00626D90">
      <w:pPr>
        <w:rPr>
          <w:rFonts w:cs="Times New Roman"/>
          <w:lang w:val="en-US"/>
        </w:rPr>
      </w:pPr>
      <w:r>
        <w:rPr>
          <w:rFonts w:cs="Times New Roman"/>
          <w:lang w:val="en-US"/>
        </w:rPr>
        <w:t>Natural refrigerants, ammonia, CO</w:t>
      </w:r>
      <w:r w:rsidRPr="00B55C99">
        <w:rPr>
          <w:rFonts w:cs="Times New Roman"/>
          <w:vertAlign w:val="subscript"/>
          <w:lang w:val="en-US"/>
        </w:rPr>
        <w:t>2</w:t>
      </w:r>
      <w:r>
        <w:rPr>
          <w:rFonts w:cs="Times New Roman"/>
          <w:lang w:val="en-US"/>
        </w:rPr>
        <w:t xml:space="preserve"> and hydrocarbons are not scheduled substances under the </w:t>
      </w:r>
      <w:r w:rsidRPr="00CF12C4">
        <w:rPr>
          <w:rFonts w:cs="Times New Roman"/>
          <w:i/>
          <w:iCs/>
          <w:lang w:val="en-US"/>
        </w:rPr>
        <w:t>Ozone Protection and Synthetic Greenhouse Gas Management Act 1989</w:t>
      </w:r>
      <w:r>
        <w:rPr>
          <w:rFonts w:cs="Times New Roman"/>
          <w:lang w:val="en-US"/>
        </w:rPr>
        <w:t xml:space="preserve"> </w:t>
      </w:r>
      <w:r w:rsidRPr="00700A74">
        <w:rPr>
          <w:rFonts w:cs="Times New Roman"/>
          <w:lang w:val="en-US"/>
        </w:rPr>
        <w:t xml:space="preserve">and are discussed separately in </w:t>
      </w:r>
      <w:r w:rsidRPr="00CF12C4">
        <w:rPr>
          <w:rFonts w:cs="Times New Roman"/>
          <w:i/>
          <w:lang w:val="en-US"/>
        </w:rPr>
        <w:t>Section 8</w:t>
      </w:r>
      <w:r w:rsidRPr="00CF12C4">
        <w:rPr>
          <w:rFonts w:cs="Times New Roman"/>
          <w:lang w:val="en-US"/>
        </w:rPr>
        <w:t xml:space="preserve">. </w:t>
      </w:r>
      <w:proofErr w:type="spellStart"/>
      <w:r w:rsidRPr="00CF12C4">
        <w:rPr>
          <w:rFonts w:cs="Times New Roman"/>
          <w:lang w:val="en-US"/>
        </w:rPr>
        <w:t>Hydrofluoro</w:t>
      </w:r>
      <w:proofErr w:type="spellEnd"/>
      <w:r w:rsidRPr="00700A74">
        <w:rPr>
          <w:rFonts w:cs="Times New Roman"/>
          <w:lang w:val="en-US"/>
        </w:rPr>
        <w:t>-olefin refrigerants are not classified as scheduled substances</w:t>
      </w:r>
      <w:r>
        <w:rPr>
          <w:rFonts w:cs="Times New Roman"/>
          <w:lang w:val="en-US"/>
        </w:rPr>
        <w:t xml:space="preserve"> which are also</w:t>
      </w:r>
      <w:r w:rsidRPr="00700A74">
        <w:rPr>
          <w:rFonts w:cs="Times New Roman"/>
          <w:lang w:val="en-US"/>
        </w:rPr>
        <w:t xml:space="preserve"> ingredients used in HFO</w:t>
      </w:r>
      <w:r>
        <w:rPr>
          <w:rFonts w:cs="Times New Roman"/>
          <w:lang w:val="en-US"/>
        </w:rPr>
        <w:t>/HFC</w:t>
      </w:r>
      <w:r w:rsidRPr="00700A74">
        <w:rPr>
          <w:rFonts w:cs="Times New Roman"/>
          <w:lang w:val="en-US"/>
        </w:rPr>
        <w:t xml:space="preserve"> blends are briefly discussed at the end of this section (</w:t>
      </w:r>
      <w:r w:rsidRPr="00700A74">
        <w:rPr>
          <w:rFonts w:cs="Times New Roman"/>
          <w:i/>
          <w:lang w:val="en-US"/>
        </w:rPr>
        <w:t xml:space="preserve">Section </w:t>
      </w:r>
      <w:r>
        <w:rPr>
          <w:rFonts w:cs="Times New Roman"/>
          <w:i/>
          <w:lang w:val="en-US"/>
        </w:rPr>
        <w:t>6.4</w:t>
      </w:r>
      <w:r w:rsidRPr="00700A74">
        <w:rPr>
          <w:rFonts w:cs="Times New Roman"/>
          <w:i/>
          <w:lang w:val="en-US"/>
        </w:rPr>
        <w:t xml:space="preserve"> </w:t>
      </w:r>
      <w:proofErr w:type="spellStart"/>
      <w:r w:rsidRPr="00700A74">
        <w:rPr>
          <w:rFonts w:cs="Times New Roman"/>
          <w:i/>
          <w:lang w:val="en-US"/>
        </w:rPr>
        <w:t>Hydrofluoro</w:t>
      </w:r>
      <w:proofErr w:type="spellEnd"/>
      <w:r w:rsidRPr="00700A74">
        <w:rPr>
          <w:rFonts w:cs="Times New Roman"/>
          <w:i/>
          <w:lang w:val="en-US"/>
        </w:rPr>
        <w:t>-olefin refrigerants</w:t>
      </w:r>
      <w:r w:rsidRPr="00700A74">
        <w:rPr>
          <w:rFonts w:cs="Times New Roman"/>
          <w:lang w:val="en-US"/>
        </w:rPr>
        <w:t>).</w:t>
      </w:r>
    </w:p>
    <w:p w14:paraId="4D41C947" w14:textId="77777777" w:rsidR="00626D90" w:rsidRPr="004B0F56" w:rsidRDefault="00626D90" w:rsidP="00626D90">
      <w:pPr>
        <w:rPr>
          <w:rFonts w:cs="Times New Roman"/>
          <w:lang w:val="en-US"/>
        </w:rPr>
      </w:pPr>
    </w:p>
    <w:p w14:paraId="6FD390F1" w14:textId="77777777" w:rsidR="00626D90" w:rsidRDefault="00626D90" w:rsidP="00626D90">
      <w:pPr>
        <w:spacing w:before="0"/>
        <w:jc w:val="left"/>
        <w:rPr>
          <w:rFonts w:ascii="Calibri" w:eastAsia="Times New Roman" w:hAnsi="Calibri" w:cs="Times New Roman"/>
          <w:b/>
          <w:bCs/>
          <w:i/>
          <w:iCs/>
          <w:sz w:val="28"/>
          <w:szCs w:val="28"/>
          <w:lang w:val="en-US"/>
        </w:rPr>
      </w:pPr>
      <w:bookmarkStart w:id="29" w:name="_Toc525141275"/>
      <w:r>
        <w:br w:type="page"/>
      </w:r>
    </w:p>
    <w:p w14:paraId="226C59D3" w14:textId="77777777" w:rsidR="00626D90" w:rsidRPr="00865893" w:rsidRDefault="00626D90" w:rsidP="00626D90">
      <w:pPr>
        <w:pStyle w:val="Heading2"/>
        <w:jc w:val="both"/>
        <w:rPr>
          <w:rFonts w:eastAsiaTheme="minorEastAsia"/>
        </w:rPr>
      </w:pPr>
      <w:bookmarkStart w:id="30" w:name="_Toc46923725"/>
      <w:r>
        <w:lastRenderedPageBreak/>
        <w:t>Pre-charged equipment imports</w:t>
      </w:r>
      <w:bookmarkEnd w:id="29"/>
      <w:bookmarkEnd w:id="30"/>
      <w:r>
        <w:t xml:space="preserve"> </w:t>
      </w:r>
    </w:p>
    <w:p w14:paraId="31BEB943" w14:textId="77777777" w:rsidR="00626D90" w:rsidRDefault="00626D90" w:rsidP="00626D90">
      <w:pPr>
        <w:rPr>
          <w:szCs w:val="22"/>
        </w:rPr>
      </w:pPr>
      <w:r>
        <w:rPr>
          <w:szCs w:val="22"/>
        </w:rPr>
        <w:t>By volume of gas imported in pre-charged equipment, a</w:t>
      </w:r>
      <w:r w:rsidRPr="001F49B3">
        <w:rPr>
          <w:szCs w:val="22"/>
        </w:rPr>
        <w:t xml:space="preserve">ll major </w:t>
      </w:r>
      <w:r>
        <w:rPr>
          <w:szCs w:val="22"/>
        </w:rPr>
        <w:t xml:space="preserve">equipment </w:t>
      </w:r>
      <w:r w:rsidRPr="001F49B3">
        <w:rPr>
          <w:szCs w:val="22"/>
        </w:rPr>
        <w:t>se</w:t>
      </w:r>
      <w:r>
        <w:rPr>
          <w:szCs w:val="22"/>
        </w:rPr>
        <w:t>gments were lower</w:t>
      </w:r>
      <w:r w:rsidRPr="001F49B3">
        <w:rPr>
          <w:szCs w:val="22"/>
        </w:rPr>
        <w:t xml:space="preserve"> in 2019 compared to 2018</w:t>
      </w:r>
      <w:r>
        <w:rPr>
          <w:szCs w:val="22"/>
        </w:rPr>
        <w:t>.</w:t>
      </w:r>
      <w:r w:rsidRPr="001F49B3">
        <w:rPr>
          <w:szCs w:val="22"/>
        </w:rPr>
        <w:t xml:space="preserve"> </w:t>
      </w:r>
      <w:r>
        <w:rPr>
          <w:szCs w:val="22"/>
        </w:rPr>
        <w:t>Approximately 3,230 tonnes of HFCs were imported in more than 2.6 million pieces of pre-charged equipment in 2019.</w:t>
      </w:r>
    </w:p>
    <w:p w14:paraId="7CD60F5C" w14:textId="77777777" w:rsidR="00626D90" w:rsidRDefault="00626D90" w:rsidP="00626D90">
      <w:pPr>
        <w:rPr>
          <w:szCs w:val="22"/>
        </w:rPr>
      </w:pPr>
      <w:r>
        <w:rPr>
          <w:szCs w:val="22"/>
        </w:rPr>
        <w:t xml:space="preserve">Import volumes of HFCs were down more than 12.5% compared to 2018, and more than 13.2% compared to the all-time high of 3,720 tonnes in 2017. In terms of equipment stocks, 2019 imports at 2,671,541 pieces </w:t>
      </w:r>
      <w:proofErr w:type="gramStart"/>
      <w:r>
        <w:rPr>
          <w:szCs w:val="22"/>
        </w:rPr>
        <w:t>was</w:t>
      </w:r>
      <w:proofErr w:type="gramEnd"/>
      <w:r>
        <w:rPr>
          <w:szCs w:val="22"/>
        </w:rPr>
        <w:t xml:space="preserve"> down 11.9% on 2018 and more than 15.5% on 2017 imports.</w:t>
      </w:r>
    </w:p>
    <w:p w14:paraId="3B183C53" w14:textId="77777777" w:rsidR="00626D90" w:rsidRDefault="00626D90" w:rsidP="00626D90">
      <w:pPr>
        <w:rPr>
          <w:szCs w:val="22"/>
        </w:rPr>
      </w:pPr>
      <w:r>
        <w:rPr>
          <w:szCs w:val="22"/>
        </w:rPr>
        <w:t xml:space="preserve">Volumes of HFCs imported in </w:t>
      </w:r>
      <w:r w:rsidRPr="001F49B3">
        <w:rPr>
          <w:szCs w:val="22"/>
        </w:rPr>
        <w:t>Stationary AC</w:t>
      </w:r>
      <w:r>
        <w:rPr>
          <w:szCs w:val="22"/>
        </w:rPr>
        <w:t>, the most populous equipment segment,</w:t>
      </w:r>
      <w:r w:rsidRPr="001F49B3">
        <w:rPr>
          <w:szCs w:val="22"/>
        </w:rPr>
        <w:t xml:space="preserve"> </w:t>
      </w:r>
      <w:r>
        <w:rPr>
          <w:szCs w:val="22"/>
        </w:rPr>
        <w:t xml:space="preserve">were </w:t>
      </w:r>
      <w:r w:rsidRPr="001F49B3">
        <w:rPr>
          <w:szCs w:val="22"/>
        </w:rPr>
        <w:t xml:space="preserve">down by </w:t>
      </w:r>
      <w:r>
        <w:rPr>
          <w:szCs w:val="22"/>
        </w:rPr>
        <w:t>nearly 20</w:t>
      </w:r>
      <w:r w:rsidRPr="001F49B3">
        <w:rPr>
          <w:szCs w:val="22"/>
        </w:rPr>
        <w:t xml:space="preserve">% </w:t>
      </w:r>
      <w:r>
        <w:rPr>
          <w:szCs w:val="22"/>
        </w:rPr>
        <w:t>on the prior year</w:t>
      </w:r>
      <w:r w:rsidRPr="001F49B3">
        <w:rPr>
          <w:szCs w:val="22"/>
        </w:rPr>
        <w:t xml:space="preserve"> in </w:t>
      </w:r>
      <w:r>
        <w:rPr>
          <w:szCs w:val="22"/>
        </w:rPr>
        <w:t>2019. This was driven by the decline in the number of sales of small split systems and because HFC-32 charged split systems have a</w:t>
      </w:r>
      <w:r w:rsidRPr="001F49B3">
        <w:rPr>
          <w:szCs w:val="22"/>
        </w:rPr>
        <w:t xml:space="preserve"> smaller </w:t>
      </w:r>
      <w:r>
        <w:rPr>
          <w:szCs w:val="22"/>
        </w:rPr>
        <w:t>refrigerant charge compared to earlier models employing HFC-410A.</w:t>
      </w:r>
      <w:r w:rsidRPr="001F49B3">
        <w:rPr>
          <w:szCs w:val="22"/>
        </w:rPr>
        <w:t xml:space="preserve"> </w:t>
      </w:r>
      <w:r>
        <w:rPr>
          <w:szCs w:val="22"/>
        </w:rPr>
        <w:t>Notably in this overall decline in the total volume of HFCs the volume of HFC-410A declined by more than 35% year-on-year from 2,079 tonnes to 1,371 tonnes, while the volumes of HFC-32 increased by 35% from 654 tonnes to more than 886 tonnes.</w:t>
      </w:r>
    </w:p>
    <w:p w14:paraId="2BCF1864" w14:textId="77777777" w:rsidR="00626D90" w:rsidRDefault="00626D90" w:rsidP="00626D90">
      <w:pPr>
        <w:rPr>
          <w:szCs w:val="22"/>
        </w:rPr>
      </w:pPr>
      <w:r w:rsidRPr="000B1D73">
        <w:rPr>
          <w:szCs w:val="22"/>
        </w:rPr>
        <w:t>Similarly, the volume of HFCs imported in Mobile AC was down by 14% in 2019 as compared to 2018 on the back of lower volumes of vehicle imports.</w:t>
      </w:r>
      <w:r>
        <w:rPr>
          <w:szCs w:val="22"/>
        </w:rPr>
        <w:t xml:space="preserve"> The Federal Chamber of Automotive Industries reported 2019 sales of new vehicles at 1,062,867, a 7.8% decrease on the prior year, and the lowest number of new car sales recorded since 2011.</w:t>
      </w:r>
      <w:r>
        <w:rPr>
          <w:rStyle w:val="FootnoteReference"/>
          <w:szCs w:val="22"/>
        </w:rPr>
        <w:footnoteReference w:id="13"/>
      </w:r>
      <w:r>
        <w:rPr>
          <w:szCs w:val="22"/>
        </w:rPr>
        <w:t xml:space="preserve"> A small part of the decrease in imported gas volumes in MAC could be the first signs of the adoption of HFOs in MAC, however because HFOs are not reportable, there is only circumstantial evidence available pointing to this conclusion at this point. If HFO replacement of HFCs in MAC is the cause of some of the decline in MAC volumes, this trend should be able to be confirmed in the coming years.</w:t>
      </w:r>
    </w:p>
    <w:p w14:paraId="42E77ECF" w14:textId="77777777" w:rsidR="00626D90" w:rsidRDefault="00626D90" w:rsidP="00626D90">
      <w:pPr>
        <w:rPr>
          <w:szCs w:val="22"/>
        </w:rPr>
      </w:pPr>
      <w:r>
        <w:rPr>
          <w:szCs w:val="22"/>
        </w:rPr>
        <w:t>Refrigerant volumes imported in pre-charged commercial r</w:t>
      </w:r>
      <w:r w:rsidRPr="001F49B3">
        <w:rPr>
          <w:szCs w:val="22"/>
        </w:rPr>
        <w:t>efrigeration</w:t>
      </w:r>
      <w:r>
        <w:rPr>
          <w:szCs w:val="22"/>
        </w:rPr>
        <w:t xml:space="preserve"> equipment were</w:t>
      </w:r>
      <w:r w:rsidRPr="001F49B3">
        <w:rPr>
          <w:szCs w:val="22"/>
        </w:rPr>
        <w:t xml:space="preserve"> down by 9%</w:t>
      </w:r>
      <w:r>
        <w:rPr>
          <w:szCs w:val="22"/>
        </w:rPr>
        <w:t xml:space="preserve"> with the number of pre-charged commercial refrigeration equipment imported containing HFCs down by more than 34% year-on-year to 71,386 units in 2019. In this segment at least part of that decline could be attributed to the continuing trend of self-contained commercial refrigeration to employ natural refrigerants, specifically HC.</w:t>
      </w:r>
    </w:p>
    <w:p w14:paraId="45F893CE" w14:textId="77777777" w:rsidR="00626D90" w:rsidRDefault="00626D90" w:rsidP="00626D90">
      <w:pPr>
        <w:rPr>
          <w:szCs w:val="22"/>
        </w:rPr>
      </w:pPr>
      <w:r>
        <w:rPr>
          <w:szCs w:val="22"/>
        </w:rPr>
        <w:t>These consistent declines across all the major equipment segments could potentially be, at least in part, attributed to a softer economy in 2019, and lower consumer and business confidence. At the same time, at least in the case of some commercial refrigeration segments and in medium and large chillers, where Australia still has a viable and competitive manufacturing sector, some of the import declines may be due to more domestic manufacturing.</w:t>
      </w:r>
    </w:p>
    <w:p w14:paraId="6C4B200C" w14:textId="77777777" w:rsidR="00626D90" w:rsidRDefault="00626D90" w:rsidP="00626D90">
      <w:pPr>
        <w:rPr>
          <w:szCs w:val="22"/>
        </w:rPr>
      </w:pPr>
      <w:r>
        <w:rPr>
          <w:szCs w:val="22"/>
        </w:rPr>
        <w:t xml:space="preserve">While a relatively small category in terms of equipment numbers at 67,524 pieces imported in 2019, heat pumps across all applications, space and water heating and clothes drying, bucked the trend, growing 5.8% year-on-year to maintain a </w:t>
      </w:r>
      <w:proofErr w:type="gramStart"/>
      <w:r>
        <w:rPr>
          <w:szCs w:val="22"/>
        </w:rPr>
        <w:t>long term</w:t>
      </w:r>
      <w:proofErr w:type="gramEnd"/>
      <w:r>
        <w:rPr>
          <w:szCs w:val="22"/>
        </w:rPr>
        <w:t xml:space="preserve"> trend that have seen annual imports grow by more than 200% since 2015.</w:t>
      </w:r>
    </w:p>
    <w:p w14:paraId="191960E0" w14:textId="77777777" w:rsidR="00626D90" w:rsidRDefault="00626D90" w:rsidP="00626D90">
      <w:pPr>
        <w:spacing w:before="0"/>
        <w:rPr>
          <w:szCs w:val="22"/>
          <w:highlight w:val="yellow"/>
        </w:rPr>
      </w:pPr>
    </w:p>
    <w:p w14:paraId="7DA6363B" w14:textId="77777777" w:rsidR="00626D90" w:rsidRDefault="00626D90" w:rsidP="00626D90">
      <w:pPr>
        <w:spacing w:before="0"/>
        <w:rPr>
          <w:szCs w:val="22"/>
          <w:highlight w:val="yellow"/>
        </w:rPr>
      </w:pPr>
    </w:p>
    <w:p w14:paraId="6C7B72DC" w14:textId="77777777" w:rsidR="00626D90" w:rsidRDefault="00626D90" w:rsidP="00626D90">
      <w:bookmarkStart w:id="31" w:name="OLE_LINK1"/>
      <w:r>
        <w:br w:type="page"/>
      </w: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613398" w14:paraId="2C12B2B8" w14:textId="77777777" w:rsidTr="00EF0FC0">
        <w:tc>
          <w:tcPr>
            <w:tcW w:w="9492" w:type="dxa"/>
            <w:vAlign w:val="center"/>
          </w:tcPr>
          <w:p w14:paraId="56F264D2" w14:textId="77777777" w:rsidR="00626D90" w:rsidRPr="00613398" w:rsidRDefault="00626D90" w:rsidP="00EF0FC0">
            <w:pPr>
              <w:spacing w:after="120"/>
              <w:jc w:val="center"/>
              <w:rPr>
                <w:rFonts w:cs="Times New Roman"/>
                <w:b/>
              </w:rPr>
            </w:pPr>
            <w:r w:rsidRPr="00613398">
              <w:rPr>
                <w:rFonts w:cs="Times New Roman"/>
                <w:b/>
              </w:rPr>
              <w:lastRenderedPageBreak/>
              <w:br w:type="page"/>
            </w:r>
            <w:r>
              <w:rPr>
                <w:rFonts w:cs="Times New Roman"/>
                <w:b/>
              </w:rPr>
              <w:t>PCE imports by application in 2019 (tonnes and %)</w:t>
            </w:r>
          </w:p>
        </w:tc>
      </w:tr>
      <w:tr w:rsidR="00626D90" w:rsidRPr="000F7FAE" w14:paraId="62928CA1" w14:textId="77777777" w:rsidTr="00EF0FC0">
        <w:tc>
          <w:tcPr>
            <w:tcW w:w="9492" w:type="dxa"/>
            <w:vAlign w:val="center"/>
          </w:tcPr>
          <w:p w14:paraId="645EFBEE" w14:textId="77777777" w:rsidR="00626D90" w:rsidRPr="000F7FAE" w:rsidRDefault="00626D90" w:rsidP="00EF0FC0">
            <w:pPr>
              <w:spacing w:before="60" w:after="60"/>
              <w:jc w:val="center"/>
              <w:rPr>
                <w:sz w:val="16"/>
                <w:szCs w:val="16"/>
              </w:rPr>
            </w:pPr>
          </w:p>
          <w:p w14:paraId="2AF3D76B" w14:textId="77777777" w:rsidR="00626D90" w:rsidRPr="000F7FAE" w:rsidRDefault="00626D90" w:rsidP="00EF0FC0">
            <w:pPr>
              <w:spacing w:before="60" w:after="60"/>
              <w:jc w:val="center"/>
              <w:rPr>
                <w:sz w:val="16"/>
                <w:szCs w:val="16"/>
              </w:rPr>
            </w:pPr>
            <w:r>
              <w:rPr>
                <w:noProof/>
              </w:rPr>
              <w:drawing>
                <wp:inline distT="0" distB="0" distL="0" distR="0" wp14:anchorId="547D224C" wp14:editId="5F99A529">
                  <wp:extent cx="5224076" cy="3960000"/>
                  <wp:effectExtent l="0" t="0" r="0" b="2540"/>
                  <wp:docPr id="4" name="Picture 4" descr="Shows the proportion of pre-charged equipment imports for 2019 by equipment categories. Stationary air conditioning (AC) is 70%, mobile AC is 18%, refrigeration and heat pumps 2% each, and 8%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4076" cy="3960000"/>
                          </a:xfrm>
                          <a:prstGeom prst="rect">
                            <a:avLst/>
                          </a:prstGeom>
                        </pic:spPr>
                      </pic:pic>
                    </a:graphicData>
                  </a:graphic>
                </wp:inline>
              </w:drawing>
            </w:r>
          </w:p>
          <w:p w14:paraId="679BE44F" w14:textId="77777777" w:rsidR="00626D90" w:rsidRPr="000F7FAE" w:rsidRDefault="00626D90" w:rsidP="00EF0FC0">
            <w:pPr>
              <w:spacing w:before="60" w:after="60"/>
              <w:jc w:val="center"/>
              <w:rPr>
                <w:sz w:val="16"/>
                <w:szCs w:val="16"/>
              </w:rPr>
            </w:pPr>
          </w:p>
        </w:tc>
      </w:tr>
      <w:tr w:rsidR="00626D90" w:rsidRPr="00923150" w14:paraId="01632B6C" w14:textId="77777777" w:rsidTr="00EF0FC0">
        <w:tc>
          <w:tcPr>
            <w:tcW w:w="9492" w:type="dxa"/>
            <w:vAlign w:val="center"/>
          </w:tcPr>
          <w:p w14:paraId="2B29E5D7" w14:textId="77777777" w:rsidR="00626D90" w:rsidRPr="00BB16C6" w:rsidRDefault="00626D90" w:rsidP="00EF0FC0">
            <w:pPr>
              <w:pStyle w:val="Caption"/>
            </w:pPr>
            <w:bookmarkStart w:id="32" w:name="_Toc525141341"/>
            <w:bookmarkStart w:id="33" w:name="_Toc46846958"/>
            <w:r w:rsidRPr="00BB16C6">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BB16C6">
              <w:rPr>
                <w:bCs w:val="0"/>
              </w:rPr>
              <w:t xml:space="preserve">: </w:t>
            </w:r>
            <w:r>
              <w:rPr>
                <w:bCs w:val="0"/>
              </w:rPr>
              <w:t>R</w:t>
            </w:r>
            <w:r w:rsidRPr="00BB16C6">
              <w:rPr>
                <w:bCs w:val="0"/>
              </w:rPr>
              <w:t>efrigerant in pre-charged equipment imports in 201</w:t>
            </w:r>
            <w:r>
              <w:rPr>
                <w:bCs w:val="0"/>
              </w:rPr>
              <w:t>9</w:t>
            </w:r>
            <w:r w:rsidRPr="00BB16C6">
              <w:rPr>
                <w:bCs w:val="0"/>
              </w:rPr>
              <w:t xml:space="preserve"> dissected by application</w:t>
            </w:r>
            <w:r>
              <w:rPr>
                <w:bCs w:val="0"/>
              </w:rPr>
              <w:t xml:space="preserve">, reported in metric </w:t>
            </w:r>
            <w:proofErr w:type="spellStart"/>
            <w:r>
              <w:rPr>
                <w:bCs w:val="0"/>
              </w:rPr>
              <w:t>tonnes</w:t>
            </w:r>
            <w:proofErr w:type="spellEnd"/>
            <w:r w:rsidRPr="00BB16C6">
              <w:rPr>
                <w:bCs w:val="0"/>
              </w:rPr>
              <w:t xml:space="preserve"> and per cent of annual imports.</w:t>
            </w:r>
            <w:bookmarkEnd w:id="32"/>
            <w:bookmarkEnd w:id="33"/>
          </w:p>
        </w:tc>
      </w:tr>
    </w:tbl>
    <w:p w14:paraId="54857831" w14:textId="77777777" w:rsidR="00626D90" w:rsidRPr="008B5902" w:rsidRDefault="00626D90" w:rsidP="00626D90">
      <w:pPr>
        <w:spacing w:before="0"/>
        <w:rPr>
          <w:sz w:val="20"/>
          <w:szCs w:val="20"/>
        </w:rPr>
      </w:pPr>
      <w:r w:rsidRPr="008B5902">
        <w:rPr>
          <w:sz w:val="20"/>
          <w:szCs w:val="20"/>
        </w:rPr>
        <w:t>(Source: D</w:t>
      </w:r>
      <w:r>
        <w:rPr>
          <w:sz w:val="20"/>
          <w:szCs w:val="20"/>
        </w:rPr>
        <w:t>AWE</w:t>
      </w:r>
      <w:r w:rsidRPr="008B5902">
        <w:rPr>
          <w:sz w:val="20"/>
          <w:szCs w:val="20"/>
        </w:rPr>
        <w:t xml:space="preserve"> 2020)</w:t>
      </w:r>
    </w:p>
    <w:p w14:paraId="1F60E538" w14:textId="77777777" w:rsidR="00626D90" w:rsidRPr="00002102" w:rsidRDefault="00626D90" w:rsidP="00626D90">
      <w:pPr>
        <w:spacing w:before="60"/>
        <w:rPr>
          <w:sz w:val="20"/>
          <w:szCs w:val="20"/>
        </w:rPr>
      </w:pPr>
      <w:r w:rsidRPr="00002102">
        <w:rPr>
          <w:sz w:val="20"/>
          <w:szCs w:val="20"/>
        </w:rPr>
        <w:t>Notes:</w:t>
      </w:r>
    </w:p>
    <w:p w14:paraId="6346461F" w14:textId="77777777" w:rsidR="00626D90" w:rsidRDefault="00626D90" w:rsidP="00626D90">
      <w:pPr>
        <w:pStyle w:val="ListParagraph"/>
        <w:numPr>
          <w:ilvl w:val="0"/>
          <w:numId w:val="40"/>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Stationary AC includes domestic and commercial categories.</w:t>
      </w:r>
    </w:p>
    <w:p w14:paraId="19FCF69F" w14:textId="77777777" w:rsidR="00626D90" w:rsidRPr="00002102" w:rsidRDefault="00626D90" w:rsidP="00626D90">
      <w:pPr>
        <w:pStyle w:val="ListParagraph"/>
        <w:numPr>
          <w:ilvl w:val="0"/>
          <w:numId w:val="40"/>
        </w:numPr>
        <w:spacing w:before="60" w:after="0" w:line="240" w:lineRule="auto"/>
        <w:ind w:left="357" w:hanging="357"/>
        <w:contextualSpacing w:val="0"/>
        <w:jc w:val="both"/>
        <w:rPr>
          <w:rFonts w:ascii="Times New Roman" w:hAnsi="Times New Roman"/>
          <w:sz w:val="20"/>
          <w:szCs w:val="20"/>
        </w:rPr>
      </w:pPr>
      <w:r w:rsidRPr="00002102">
        <w:rPr>
          <w:rFonts w:ascii="Times New Roman" w:hAnsi="Times New Roman"/>
          <w:sz w:val="20"/>
          <w:szCs w:val="20"/>
        </w:rPr>
        <w:t>Mobile AC includes PCE category motor vehicle, watercraft or aircraft air-conditioning and refrigeration.</w:t>
      </w:r>
    </w:p>
    <w:p w14:paraId="188DDFB2" w14:textId="77777777" w:rsidR="00626D90" w:rsidRDefault="00626D90" w:rsidP="00626D90">
      <w:pPr>
        <w:pStyle w:val="ListParagraph"/>
        <w:numPr>
          <w:ilvl w:val="0"/>
          <w:numId w:val="40"/>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Refrigeration includes domestic and commercial refrigeration categories.</w:t>
      </w:r>
    </w:p>
    <w:p w14:paraId="15CB7068" w14:textId="77777777" w:rsidR="00626D90" w:rsidRPr="00002102" w:rsidRDefault="00626D90" w:rsidP="00626D90">
      <w:pPr>
        <w:pStyle w:val="ListParagraph"/>
        <w:numPr>
          <w:ilvl w:val="0"/>
          <w:numId w:val="40"/>
        </w:numPr>
        <w:spacing w:before="60" w:after="0" w:line="240" w:lineRule="auto"/>
        <w:ind w:left="357" w:hanging="357"/>
        <w:contextualSpacing w:val="0"/>
        <w:jc w:val="both"/>
        <w:rPr>
          <w:rFonts w:ascii="Times New Roman" w:hAnsi="Times New Roman"/>
          <w:sz w:val="20"/>
          <w:szCs w:val="20"/>
        </w:rPr>
      </w:pPr>
      <w:r w:rsidRPr="00002102">
        <w:rPr>
          <w:rFonts w:ascii="Times New Roman" w:hAnsi="Times New Roman"/>
          <w:sz w:val="20"/>
          <w:szCs w:val="20"/>
        </w:rPr>
        <w:t>Other includes aerosols, components, consumer goods, fire protection and scientific or electrical equipment and switchgear.</w:t>
      </w:r>
    </w:p>
    <w:p w14:paraId="38A3F6DC" w14:textId="77777777" w:rsidR="00626D90" w:rsidRDefault="00626D90" w:rsidP="00626D90">
      <w:pPr>
        <w:spacing w:before="0"/>
        <w:rPr>
          <w:szCs w:val="22"/>
          <w:highlight w:val="yellow"/>
        </w:rPr>
      </w:pPr>
    </w:p>
    <w:bookmarkEnd w:id="31"/>
    <w:p w14:paraId="05422ECA" w14:textId="77777777" w:rsidR="00626D90" w:rsidRPr="00890DF6" w:rsidRDefault="00626D90" w:rsidP="00626D90">
      <w:pPr>
        <w:rPr>
          <w:color w:val="000000" w:themeColor="text1"/>
          <w:szCs w:val="22"/>
        </w:rPr>
      </w:pPr>
      <w:r w:rsidRPr="00013304">
        <w:rPr>
          <w:color w:val="000000" w:themeColor="text1"/>
          <w:szCs w:val="22"/>
        </w:rPr>
        <w:t xml:space="preserve">While MAC equipment imports are approaching </w:t>
      </w:r>
      <w:r>
        <w:rPr>
          <w:color w:val="000000" w:themeColor="text1"/>
          <w:szCs w:val="22"/>
        </w:rPr>
        <w:t>s</w:t>
      </w:r>
      <w:r w:rsidRPr="00013304">
        <w:rPr>
          <w:color w:val="000000" w:themeColor="text1"/>
          <w:szCs w:val="22"/>
        </w:rPr>
        <w:t>tationary AC import numbers, the much greater contribution to imported HFCs of pre-charged stationary AC is a result of the larger average charge sizes in stationary AC systems, which range from an average charge of 1.6 kg (</w:t>
      </w:r>
      <w:r w:rsidRPr="00013304">
        <w:rPr>
          <w:i/>
          <w:color w:val="000000" w:themeColor="text1"/>
          <w:szCs w:val="22"/>
        </w:rPr>
        <w:t>CHF2 1.7 kg</w:t>
      </w:r>
      <w:r w:rsidRPr="00013304">
        <w:rPr>
          <w:color w:val="000000" w:themeColor="text1"/>
          <w:szCs w:val="22"/>
        </w:rPr>
        <w:t>) in residential systems to average charges of greater than 5 kg in small commercial systems. By comparison the average charge in all MAC imported in 2019 was 570 grams (</w:t>
      </w:r>
      <w:r w:rsidRPr="00013304">
        <w:rPr>
          <w:i/>
          <w:color w:val="000000" w:themeColor="text1"/>
          <w:szCs w:val="22"/>
        </w:rPr>
        <w:t xml:space="preserve">CHF3 2016, </w:t>
      </w:r>
      <w:r>
        <w:rPr>
          <w:i/>
          <w:color w:val="000000" w:themeColor="text1"/>
          <w:szCs w:val="22"/>
        </w:rPr>
        <w:t>S</w:t>
      </w:r>
      <w:r w:rsidRPr="00013304">
        <w:rPr>
          <w:i/>
          <w:color w:val="000000" w:themeColor="text1"/>
          <w:szCs w:val="22"/>
        </w:rPr>
        <w:t xml:space="preserve">tock </w:t>
      </w:r>
      <w:r>
        <w:rPr>
          <w:i/>
          <w:color w:val="000000" w:themeColor="text1"/>
          <w:szCs w:val="22"/>
        </w:rPr>
        <w:t>M</w:t>
      </w:r>
      <w:r w:rsidRPr="00013304">
        <w:rPr>
          <w:i/>
          <w:color w:val="000000" w:themeColor="text1"/>
          <w:szCs w:val="22"/>
        </w:rPr>
        <w:t>odel 620 grams</w:t>
      </w:r>
      <w:r w:rsidRPr="00013304">
        <w:rPr>
          <w:color w:val="000000" w:themeColor="text1"/>
          <w:szCs w:val="22"/>
        </w:rPr>
        <w:t>).</w:t>
      </w:r>
    </w:p>
    <w:p w14:paraId="5709BF31" w14:textId="77777777" w:rsidR="00626D90" w:rsidRDefault="00626D90" w:rsidP="00626D90">
      <w:pPr>
        <w:rPr>
          <w:color w:val="000000" w:themeColor="text1"/>
          <w:szCs w:val="22"/>
        </w:rPr>
      </w:pPr>
      <w:r w:rsidRPr="00890DF6">
        <w:rPr>
          <w:color w:val="000000" w:themeColor="text1"/>
          <w:szCs w:val="22"/>
        </w:rPr>
        <w:t xml:space="preserve">The dominance of stationary AC in PCE imports is reflected in the mix of refrigerant contained in those imports in </w:t>
      </w:r>
      <w:r w:rsidRPr="00570389">
        <w:rPr>
          <w:color w:val="000000" w:themeColor="text1"/>
          <w:szCs w:val="22"/>
        </w:rPr>
        <w:t>201</w:t>
      </w:r>
      <w:r>
        <w:rPr>
          <w:color w:val="000000" w:themeColor="text1"/>
          <w:szCs w:val="22"/>
        </w:rPr>
        <w:t>9</w:t>
      </w:r>
      <w:r w:rsidRPr="00570389">
        <w:rPr>
          <w:color w:val="000000" w:themeColor="text1"/>
          <w:szCs w:val="22"/>
        </w:rPr>
        <w:t>,</w:t>
      </w:r>
      <w:r w:rsidRPr="00890DF6">
        <w:rPr>
          <w:color w:val="000000" w:themeColor="text1"/>
          <w:szCs w:val="22"/>
        </w:rPr>
        <w:t xml:space="preserve"> with the </w:t>
      </w:r>
      <w:r>
        <w:rPr>
          <w:color w:val="000000" w:themeColor="text1"/>
          <w:szCs w:val="22"/>
        </w:rPr>
        <w:t xml:space="preserve">high GWP </w:t>
      </w:r>
      <w:r w:rsidRPr="00890DF6">
        <w:rPr>
          <w:color w:val="000000" w:themeColor="text1"/>
          <w:szCs w:val="22"/>
        </w:rPr>
        <w:t xml:space="preserve">refrigerant of choice for stationary AC for the last decade, HFC-410A, </w:t>
      </w:r>
      <w:r>
        <w:rPr>
          <w:color w:val="000000" w:themeColor="text1"/>
          <w:szCs w:val="22"/>
        </w:rPr>
        <w:t xml:space="preserve">still </w:t>
      </w:r>
      <w:r w:rsidRPr="00890DF6">
        <w:rPr>
          <w:color w:val="000000" w:themeColor="text1"/>
          <w:szCs w:val="22"/>
        </w:rPr>
        <w:t>dominating the mix</w:t>
      </w:r>
      <w:r>
        <w:rPr>
          <w:color w:val="000000" w:themeColor="text1"/>
          <w:szCs w:val="22"/>
        </w:rPr>
        <w:t xml:space="preserve"> with 1,371 tonnes in PCE making up 42% of PCE refrigerants in 2019</w:t>
      </w:r>
      <w:r w:rsidRPr="00890DF6">
        <w:rPr>
          <w:color w:val="000000" w:themeColor="text1"/>
          <w:szCs w:val="22"/>
        </w:rPr>
        <w:t xml:space="preserve">. </w:t>
      </w:r>
    </w:p>
    <w:p w14:paraId="2BF8A367" w14:textId="77777777" w:rsidR="00626D90" w:rsidRDefault="00626D90" w:rsidP="00626D90">
      <w:pPr>
        <w:rPr>
          <w:color w:val="000000" w:themeColor="text1"/>
          <w:szCs w:val="22"/>
        </w:rPr>
      </w:pPr>
      <w:r w:rsidRPr="00C64C56">
        <w:rPr>
          <w:color w:val="000000" w:themeColor="text1"/>
          <w:szCs w:val="22"/>
        </w:rPr>
        <w:t xml:space="preserve">At the same time HFC-32 pre-charged equipment made up </w:t>
      </w:r>
      <w:r>
        <w:rPr>
          <w:color w:val="000000" w:themeColor="text1"/>
          <w:szCs w:val="22"/>
        </w:rPr>
        <w:t>27</w:t>
      </w:r>
      <w:r w:rsidRPr="00C64C56">
        <w:rPr>
          <w:color w:val="000000" w:themeColor="text1"/>
          <w:szCs w:val="22"/>
        </w:rPr>
        <w:t xml:space="preserve">% of imports by refrigerant </w:t>
      </w:r>
      <w:r>
        <w:rPr>
          <w:color w:val="000000" w:themeColor="text1"/>
          <w:szCs w:val="22"/>
        </w:rPr>
        <w:t>mass (</w:t>
      </w:r>
      <w:r w:rsidRPr="00872A1C">
        <w:rPr>
          <w:i/>
          <w:iCs/>
          <w:color w:val="000000" w:themeColor="text1"/>
          <w:szCs w:val="22"/>
        </w:rPr>
        <w:t>2018, 19%</w:t>
      </w:r>
      <w:r>
        <w:rPr>
          <w:color w:val="000000" w:themeColor="text1"/>
          <w:szCs w:val="22"/>
        </w:rPr>
        <w:t>), the very large majority of which was imported in small split AC systems</w:t>
      </w:r>
      <w:r w:rsidRPr="00C64C56">
        <w:rPr>
          <w:color w:val="000000" w:themeColor="text1"/>
          <w:szCs w:val="22"/>
        </w:rPr>
        <w:t xml:space="preserve">. </w:t>
      </w:r>
    </w:p>
    <w:p w14:paraId="7CA16FC5" w14:textId="77777777" w:rsidR="00626D90" w:rsidRPr="00C64C56" w:rsidRDefault="00626D90" w:rsidP="00626D90">
      <w:pPr>
        <w:rPr>
          <w:color w:val="000000" w:themeColor="text1"/>
          <w:szCs w:val="22"/>
        </w:rPr>
      </w:pPr>
      <w:r w:rsidRPr="00013304">
        <w:rPr>
          <w:color w:val="000000" w:themeColor="text1"/>
          <w:szCs w:val="22"/>
        </w:rPr>
        <w:lastRenderedPageBreak/>
        <w:t>HFC-32 charged stationary AC devices in the stock of equipment now number more than 2</w:t>
      </w:r>
      <w:r>
        <w:rPr>
          <w:color w:val="000000" w:themeColor="text1"/>
          <w:szCs w:val="22"/>
        </w:rPr>
        <w:t xml:space="preserve">.8 million </w:t>
      </w:r>
      <w:r w:rsidRPr="00013304">
        <w:rPr>
          <w:color w:val="000000" w:themeColor="text1"/>
          <w:szCs w:val="22"/>
        </w:rPr>
        <w:t>containing more than 3,250 tonnes of HFC-32</w:t>
      </w:r>
      <w:r w:rsidRPr="00D77945">
        <w:rPr>
          <w:rStyle w:val="FootnoteReference"/>
          <w:color w:val="000000" w:themeColor="text1"/>
          <w:szCs w:val="22"/>
        </w:rPr>
        <w:footnoteReference w:id="14"/>
      </w:r>
      <w:r>
        <w:rPr>
          <w:color w:val="000000" w:themeColor="text1"/>
          <w:szCs w:val="22"/>
        </w:rPr>
        <w:t xml:space="preserve"> with more than 886 tonnes being added to the HFC-32 bank in 2019.</w:t>
      </w:r>
    </w:p>
    <w:p w14:paraId="5849D219" w14:textId="77777777" w:rsidR="00626D90" w:rsidRDefault="00626D90" w:rsidP="00626D90">
      <w:pPr>
        <w:spacing w:before="0"/>
        <w:jc w:val="left"/>
        <w:rPr>
          <w:rFonts w:cs="Times New Roman"/>
          <w:szCs w:val="22"/>
          <w:lang w:val="en-US"/>
        </w:rPr>
      </w:pP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613398" w14:paraId="6A5F2005" w14:textId="77777777" w:rsidTr="00EF0FC0">
        <w:tc>
          <w:tcPr>
            <w:tcW w:w="9492" w:type="dxa"/>
            <w:vAlign w:val="center"/>
          </w:tcPr>
          <w:p w14:paraId="230DFAE6" w14:textId="77777777" w:rsidR="00626D90" w:rsidRPr="00613398" w:rsidRDefault="00626D90" w:rsidP="00EF0FC0">
            <w:pPr>
              <w:spacing w:after="120"/>
              <w:jc w:val="center"/>
              <w:rPr>
                <w:rFonts w:cs="Times New Roman"/>
                <w:b/>
              </w:rPr>
            </w:pPr>
            <w:r w:rsidRPr="00613398">
              <w:rPr>
                <w:rFonts w:cs="Times New Roman"/>
                <w:b/>
              </w:rPr>
              <w:br w:type="page"/>
            </w:r>
            <w:r>
              <w:rPr>
                <w:rFonts w:cs="Times New Roman"/>
                <w:b/>
              </w:rPr>
              <w:t>PCE imports by major species in 2019 (tonnes)</w:t>
            </w:r>
          </w:p>
        </w:tc>
      </w:tr>
      <w:tr w:rsidR="00626D90" w:rsidRPr="000F7FAE" w14:paraId="2C17FB8D" w14:textId="77777777" w:rsidTr="00EF0FC0">
        <w:tc>
          <w:tcPr>
            <w:tcW w:w="9492" w:type="dxa"/>
            <w:vAlign w:val="center"/>
          </w:tcPr>
          <w:p w14:paraId="5E5C512E" w14:textId="77777777" w:rsidR="00626D90" w:rsidRPr="000F7FAE" w:rsidRDefault="00626D90" w:rsidP="00EF0FC0">
            <w:pPr>
              <w:spacing w:before="60" w:after="60"/>
              <w:jc w:val="center"/>
              <w:rPr>
                <w:sz w:val="16"/>
                <w:szCs w:val="16"/>
              </w:rPr>
            </w:pPr>
          </w:p>
          <w:p w14:paraId="16A34B19" w14:textId="77777777" w:rsidR="00626D90" w:rsidRPr="000F7FAE" w:rsidRDefault="00626D90" w:rsidP="00EF0FC0">
            <w:pPr>
              <w:spacing w:before="60" w:after="60"/>
              <w:jc w:val="center"/>
              <w:rPr>
                <w:sz w:val="16"/>
                <w:szCs w:val="16"/>
              </w:rPr>
            </w:pPr>
            <w:r>
              <w:rPr>
                <w:noProof/>
              </w:rPr>
              <w:drawing>
                <wp:inline distT="0" distB="0" distL="0" distR="0" wp14:anchorId="2461F0C9" wp14:editId="5C5F0F28">
                  <wp:extent cx="5518433" cy="3960000"/>
                  <wp:effectExtent l="0" t="0" r="6350" b="2540"/>
                  <wp:docPr id="11" name="Picture 11" descr="Shows pre-charged equipment import percentages  in metric tonnes for 2019 by major refrigerant species. The three most significant are HFC-410A at 42%, HFC-32 at 27%, and HFC-134A at 27%, with several others 1% or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8433" cy="3960000"/>
                          </a:xfrm>
                          <a:prstGeom prst="rect">
                            <a:avLst/>
                          </a:prstGeom>
                        </pic:spPr>
                      </pic:pic>
                    </a:graphicData>
                  </a:graphic>
                </wp:inline>
              </w:drawing>
            </w:r>
          </w:p>
          <w:p w14:paraId="1184BB74" w14:textId="77777777" w:rsidR="00626D90" w:rsidRPr="000F7FAE" w:rsidRDefault="00626D90" w:rsidP="00EF0FC0">
            <w:pPr>
              <w:spacing w:before="60" w:after="60"/>
              <w:jc w:val="center"/>
              <w:rPr>
                <w:sz w:val="16"/>
                <w:szCs w:val="16"/>
              </w:rPr>
            </w:pPr>
          </w:p>
        </w:tc>
      </w:tr>
      <w:tr w:rsidR="00626D90" w:rsidRPr="00923150" w14:paraId="18B2C629" w14:textId="77777777" w:rsidTr="00EF0FC0">
        <w:tc>
          <w:tcPr>
            <w:tcW w:w="9492" w:type="dxa"/>
            <w:vAlign w:val="center"/>
          </w:tcPr>
          <w:p w14:paraId="2F1A22B8" w14:textId="77777777" w:rsidR="00626D90" w:rsidRPr="00BB16C6" w:rsidRDefault="00626D90" w:rsidP="00EF0FC0">
            <w:pPr>
              <w:pStyle w:val="Caption"/>
            </w:pPr>
            <w:bookmarkStart w:id="34" w:name="_Toc525141342"/>
            <w:bookmarkStart w:id="35" w:name="_Toc46846959"/>
            <w:r w:rsidRPr="00BB16C6">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Pr="00BB16C6">
              <w:rPr>
                <w:bCs w:val="0"/>
              </w:rPr>
              <w:t>: Pre-charged equipment imports in 201</w:t>
            </w:r>
            <w:r>
              <w:rPr>
                <w:bCs w:val="0"/>
              </w:rPr>
              <w:t>9</w:t>
            </w:r>
            <w:r w:rsidRPr="00BB16C6">
              <w:rPr>
                <w:bCs w:val="0"/>
              </w:rPr>
              <w:t xml:space="preserve"> dissected by major species in </w:t>
            </w:r>
            <w:proofErr w:type="spellStart"/>
            <w:r w:rsidRPr="00BB16C6">
              <w:rPr>
                <w:bCs w:val="0"/>
              </w:rPr>
              <w:t>tonne</w:t>
            </w:r>
            <w:bookmarkEnd w:id="34"/>
            <w:r>
              <w:rPr>
                <w:bCs w:val="0"/>
              </w:rPr>
              <w:t>s</w:t>
            </w:r>
            <w:proofErr w:type="spellEnd"/>
            <w:r>
              <w:rPr>
                <w:bCs w:val="0"/>
              </w:rPr>
              <w:t xml:space="preserve"> and as per cent of total imports.</w:t>
            </w:r>
            <w:bookmarkEnd w:id="35"/>
          </w:p>
        </w:tc>
      </w:tr>
    </w:tbl>
    <w:p w14:paraId="1D68DA27" w14:textId="77777777" w:rsidR="00626D90" w:rsidRDefault="00626D90" w:rsidP="00626D90">
      <w:pPr>
        <w:spacing w:before="0"/>
        <w:rPr>
          <w:sz w:val="20"/>
          <w:szCs w:val="20"/>
        </w:rPr>
      </w:pPr>
      <w:r w:rsidRPr="00116557">
        <w:rPr>
          <w:sz w:val="20"/>
          <w:szCs w:val="20"/>
        </w:rPr>
        <w:t xml:space="preserve">(Sources: </w:t>
      </w:r>
      <w:r>
        <w:rPr>
          <w:sz w:val="20"/>
          <w:szCs w:val="20"/>
        </w:rPr>
        <w:t>DAWE 2020)</w:t>
      </w:r>
    </w:p>
    <w:p w14:paraId="5A85DA0A" w14:textId="77777777" w:rsidR="00626D90" w:rsidRDefault="00626D90" w:rsidP="00626D90">
      <w:pPr>
        <w:spacing w:before="0"/>
        <w:rPr>
          <w:szCs w:val="22"/>
        </w:rPr>
      </w:pPr>
    </w:p>
    <w:p w14:paraId="5C0AA399" w14:textId="77777777" w:rsidR="00626D90" w:rsidRPr="00872A1C" w:rsidRDefault="00626D90" w:rsidP="00626D90">
      <w:pPr>
        <w:rPr>
          <w:color w:val="000000" w:themeColor="text1"/>
          <w:szCs w:val="22"/>
        </w:rPr>
      </w:pPr>
      <w:r w:rsidRPr="00C64C56">
        <w:rPr>
          <w:color w:val="000000" w:themeColor="text1"/>
          <w:szCs w:val="22"/>
        </w:rPr>
        <w:t xml:space="preserve">The growth of the HFC-32 </w:t>
      </w:r>
      <w:proofErr w:type="gramStart"/>
      <w:r w:rsidRPr="00C64C56">
        <w:rPr>
          <w:color w:val="000000" w:themeColor="text1"/>
          <w:szCs w:val="22"/>
        </w:rPr>
        <w:t>share</w:t>
      </w:r>
      <w:proofErr w:type="gramEnd"/>
      <w:r w:rsidRPr="00C64C56">
        <w:rPr>
          <w:color w:val="000000" w:themeColor="text1"/>
          <w:szCs w:val="22"/>
        </w:rPr>
        <w:t xml:space="preserve"> of PCE imports</w:t>
      </w:r>
      <w:r>
        <w:rPr>
          <w:color w:val="000000" w:themeColor="text1"/>
          <w:szCs w:val="22"/>
        </w:rPr>
        <w:t xml:space="preserve"> (from nearly zero in 2012)</w:t>
      </w:r>
      <w:r w:rsidRPr="00C64C56">
        <w:rPr>
          <w:color w:val="000000" w:themeColor="text1"/>
          <w:szCs w:val="22"/>
        </w:rPr>
        <w:t xml:space="preserve"> can be seen in </w:t>
      </w:r>
      <w:r w:rsidRPr="00707E36">
        <w:rPr>
          <w:i/>
          <w:iCs/>
          <w:szCs w:val="22"/>
        </w:rPr>
        <w:t>Figure 5</w:t>
      </w:r>
      <w:r>
        <w:rPr>
          <w:color w:val="000000" w:themeColor="text1"/>
          <w:szCs w:val="22"/>
        </w:rPr>
        <w:t xml:space="preserve">. </w:t>
      </w:r>
      <w:r w:rsidRPr="00C64C56">
        <w:rPr>
          <w:color w:val="000000" w:themeColor="text1"/>
          <w:szCs w:val="22"/>
        </w:rPr>
        <w:t xml:space="preserve"> </w:t>
      </w:r>
      <w:r>
        <w:rPr>
          <w:color w:val="000000" w:themeColor="text1"/>
          <w:szCs w:val="22"/>
        </w:rPr>
        <w:t xml:space="preserve">HFC-32 </w:t>
      </w:r>
      <w:r w:rsidRPr="00C64C56">
        <w:rPr>
          <w:color w:val="000000" w:themeColor="text1"/>
          <w:szCs w:val="22"/>
        </w:rPr>
        <w:t xml:space="preserve">is </w:t>
      </w:r>
      <w:r>
        <w:rPr>
          <w:color w:val="000000" w:themeColor="text1"/>
          <w:szCs w:val="22"/>
        </w:rPr>
        <w:t>expected to aggressively</w:t>
      </w:r>
      <w:r w:rsidRPr="00C64C56">
        <w:rPr>
          <w:color w:val="000000" w:themeColor="text1"/>
          <w:szCs w:val="22"/>
        </w:rPr>
        <w:t xml:space="preserve"> </w:t>
      </w:r>
      <w:r>
        <w:rPr>
          <w:color w:val="000000" w:themeColor="text1"/>
          <w:szCs w:val="22"/>
        </w:rPr>
        <w:t xml:space="preserve">take </w:t>
      </w:r>
      <w:r w:rsidRPr="00C64C56">
        <w:rPr>
          <w:color w:val="000000" w:themeColor="text1"/>
          <w:szCs w:val="22"/>
        </w:rPr>
        <w:t>market share</w:t>
      </w:r>
      <w:r>
        <w:rPr>
          <w:color w:val="000000" w:themeColor="text1"/>
          <w:szCs w:val="22"/>
        </w:rPr>
        <w:t xml:space="preserve"> from HFC-410A charged equipment </w:t>
      </w:r>
      <w:r w:rsidRPr="00C64C56">
        <w:rPr>
          <w:color w:val="000000" w:themeColor="text1"/>
          <w:szCs w:val="22"/>
        </w:rPr>
        <w:t>until HFC-32</w:t>
      </w:r>
      <w:r>
        <w:rPr>
          <w:color w:val="000000" w:themeColor="text1"/>
          <w:szCs w:val="22"/>
        </w:rPr>
        <w:t xml:space="preserve"> </w:t>
      </w:r>
      <w:r w:rsidRPr="00C64C56">
        <w:rPr>
          <w:color w:val="000000" w:themeColor="text1"/>
          <w:szCs w:val="22"/>
        </w:rPr>
        <w:t>become</w:t>
      </w:r>
      <w:r>
        <w:rPr>
          <w:color w:val="000000" w:themeColor="text1"/>
          <w:szCs w:val="22"/>
        </w:rPr>
        <w:t>s</w:t>
      </w:r>
      <w:r w:rsidRPr="00C64C56">
        <w:rPr>
          <w:color w:val="000000" w:themeColor="text1"/>
          <w:szCs w:val="22"/>
        </w:rPr>
        <w:t xml:space="preserve"> the dominant refrigerant </w:t>
      </w:r>
      <w:r>
        <w:rPr>
          <w:color w:val="000000" w:themeColor="text1"/>
          <w:szCs w:val="22"/>
        </w:rPr>
        <w:t xml:space="preserve">imported </w:t>
      </w:r>
      <w:r w:rsidRPr="00C64C56">
        <w:rPr>
          <w:color w:val="000000" w:themeColor="text1"/>
          <w:szCs w:val="22"/>
        </w:rPr>
        <w:t xml:space="preserve">in </w:t>
      </w:r>
      <w:r>
        <w:rPr>
          <w:color w:val="000000" w:themeColor="text1"/>
          <w:szCs w:val="22"/>
        </w:rPr>
        <w:t>the stationary AC</w:t>
      </w:r>
      <w:r w:rsidRPr="00C64C56">
        <w:rPr>
          <w:color w:val="000000" w:themeColor="text1"/>
          <w:szCs w:val="22"/>
        </w:rPr>
        <w:t xml:space="preserve"> segment </w:t>
      </w:r>
      <w:r>
        <w:rPr>
          <w:color w:val="000000" w:themeColor="text1"/>
          <w:szCs w:val="22"/>
        </w:rPr>
        <w:t>during</w:t>
      </w:r>
      <w:r w:rsidRPr="00C64C56">
        <w:rPr>
          <w:color w:val="000000" w:themeColor="text1"/>
          <w:szCs w:val="22"/>
        </w:rPr>
        <w:t xml:space="preserve"> 2022</w:t>
      </w:r>
      <w:r>
        <w:rPr>
          <w:color w:val="000000" w:themeColor="text1"/>
          <w:szCs w:val="22"/>
        </w:rPr>
        <w:t>-23</w:t>
      </w:r>
      <w:r w:rsidRPr="00C64C56">
        <w:rPr>
          <w:color w:val="000000" w:themeColor="text1"/>
          <w:szCs w:val="22"/>
        </w:rPr>
        <w:t>.</w:t>
      </w:r>
      <w:r>
        <w:rPr>
          <w:color w:val="000000" w:themeColor="text1"/>
          <w:szCs w:val="22"/>
        </w:rPr>
        <w:t xml:space="preserve"> </w:t>
      </w:r>
      <w:r>
        <w:t>The use of HFC</w:t>
      </w:r>
      <w:r>
        <w:noBreakHyphen/>
        <w:t>32 in</w:t>
      </w:r>
      <w:r w:rsidRPr="00570389">
        <w:t xml:space="preserve"> medium AC </w:t>
      </w:r>
      <w:r>
        <w:t xml:space="preserve">applications, a trend that commenced in the last two years, is expected to grow strongly </w:t>
      </w:r>
      <w:r w:rsidRPr="00570389">
        <w:t xml:space="preserve">over the next five years. </w:t>
      </w:r>
    </w:p>
    <w:p w14:paraId="1F3308FD" w14:textId="77777777" w:rsidR="00626D90" w:rsidRPr="008229CB" w:rsidRDefault="00626D90" w:rsidP="00626D90">
      <w:r w:rsidRPr="00570389">
        <w:t xml:space="preserve">A portion of </w:t>
      </w:r>
      <w:r w:rsidRPr="00316666">
        <w:t>the 32 tonnes of HFC-410A and HFC-407C imported in 2019 that</w:t>
      </w:r>
      <w:r>
        <w:t xml:space="preserve"> was </w:t>
      </w:r>
      <w:r w:rsidRPr="00570389">
        <w:t xml:space="preserve">contained in chillers with a charge greater than 12 kg </w:t>
      </w:r>
      <w:r>
        <w:t>is</w:t>
      </w:r>
      <w:r w:rsidRPr="00570389">
        <w:t xml:space="preserve"> expected to migrate to HFC-32 and </w:t>
      </w:r>
      <w:r>
        <w:t>to</w:t>
      </w:r>
      <w:r w:rsidRPr="00570389">
        <w:t xml:space="preserve"> HFO blends</w:t>
      </w:r>
      <w:r>
        <w:t xml:space="preserve"> in the years ahead</w:t>
      </w:r>
      <w:r w:rsidRPr="00570389">
        <w:t xml:space="preserve">.  </w:t>
      </w:r>
    </w:p>
    <w:p w14:paraId="03EC94AD" w14:textId="77777777" w:rsidR="00626D90" w:rsidRDefault="00626D90" w:rsidP="00626D90">
      <w:pPr>
        <w:rPr>
          <w:szCs w:val="22"/>
        </w:rPr>
      </w:pPr>
      <w:r>
        <w:rPr>
          <w:szCs w:val="22"/>
        </w:rPr>
        <w:t xml:space="preserve">HFC-134a has maintained a relatively steady share of import volumes in PCE during the last decade, as can be seen in </w:t>
      </w:r>
      <w:r w:rsidRPr="00E837A5">
        <w:rPr>
          <w:i/>
          <w:iCs/>
          <w:szCs w:val="22"/>
        </w:rPr>
        <w:t>Figure 5</w:t>
      </w:r>
      <w:r>
        <w:rPr>
          <w:szCs w:val="22"/>
        </w:rPr>
        <w:t>. A rise in HFC-134a pre-charged imports was discernible in 2017 and 2018 as vehicle manufacturing in Australia declined to zero and all new vehicles sold were imported. However, the rising PCE imports were only replacing what was previously imported as bulk gas for use by domestic vehicle manufacturers.</w:t>
      </w:r>
    </w:p>
    <w:p w14:paraId="26105E42" w14:textId="77777777" w:rsidR="00626D90" w:rsidRPr="00F70B93" w:rsidRDefault="00626D90" w:rsidP="00626D90">
      <w:pPr>
        <w:rPr>
          <w:szCs w:val="22"/>
        </w:rPr>
      </w:pPr>
      <w:r w:rsidRPr="00F70B93">
        <w:rPr>
          <w:szCs w:val="22"/>
        </w:rPr>
        <w:lastRenderedPageBreak/>
        <w:t xml:space="preserve">PCE imports </w:t>
      </w:r>
      <w:r>
        <w:rPr>
          <w:szCs w:val="22"/>
        </w:rPr>
        <w:t>containing</w:t>
      </w:r>
      <w:r w:rsidRPr="00F70B93">
        <w:rPr>
          <w:szCs w:val="22"/>
        </w:rPr>
        <w:t xml:space="preserve"> HFC-134a are expected to </w:t>
      </w:r>
      <w:r>
        <w:rPr>
          <w:szCs w:val="22"/>
        </w:rPr>
        <w:t xml:space="preserve">show steady </w:t>
      </w:r>
      <w:r w:rsidRPr="00F70B93">
        <w:rPr>
          <w:szCs w:val="22"/>
        </w:rPr>
        <w:t>decline</w:t>
      </w:r>
      <w:r>
        <w:rPr>
          <w:szCs w:val="22"/>
        </w:rPr>
        <w:t xml:space="preserve">s </w:t>
      </w:r>
      <w:r w:rsidRPr="00F70B93">
        <w:rPr>
          <w:szCs w:val="22"/>
        </w:rPr>
        <w:t>by</w:t>
      </w:r>
      <w:r>
        <w:rPr>
          <w:szCs w:val="22"/>
        </w:rPr>
        <w:t xml:space="preserve"> the</w:t>
      </w:r>
      <w:r w:rsidRPr="00F70B93">
        <w:rPr>
          <w:szCs w:val="22"/>
        </w:rPr>
        <w:t xml:space="preserve"> mid</w:t>
      </w:r>
      <w:r>
        <w:rPr>
          <w:szCs w:val="22"/>
        </w:rPr>
        <w:t>-</w:t>
      </w:r>
      <w:r w:rsidRPr="00F70B93">
        <w:rPr>
          <w:szCs w:val="22"/>
        </w:rPr>
        <w:t>2020s:</w:t>
      </w:r>
    </w:p>
    <w:p w14:paraId="5CFCC04C" w14:textId="77777777" w:rsidR="00626D90" w:rsidRPr="00F70B93" w:rsidRDefault="00626D90" w:rsidP="00626D90">
      <w:pPr>
        <w:pStyle w:val="ListParagraph"/>
        <w:numPr>
          <w:ilvl w:val="0"/>
          <w:numId w:val="19"/>
        </w:numPr>
        <w:spacing w:before="120" w:after="0" w:line="240" w:lineRule="auto"/>
        <w:ind w:left="357" w:hanging="357"/>
        <w:contextualSpacing w:val="0"/>
        <w:jc w:val="both"/>
        <w:rPr>
          <w:rFonts w:ascii="Times New Roman" w:hAnsi="Times New Roman"/>
        </w:rPr>
      </w:pPr>
      <w:r>
        <w:rPr>
          <w:rFonts w:ascii="Times New Roman" w:hAnsi="Times New Roman"/>
        </w:rPr>
        <w:t xml:space="preserve">A </w:t>
      </w:r>
      <w:r w:rsidRPr="00F70B93">
        <w:rPr>
          <w:rFonts w:ascii="Times New Roman" w:hAnsi="Times New Roman"/>
        </w:rPr>
        <w:t xml:space="preserve">portion </w:t>
      </w:r>
      <w:r>
        <w:rPr>
          <w:rFonts w:ascii="Times New Roman" w:hAnsi="Times New Roman"/>
        </w:rPr>
        <w:t>of vehicle imports are</w:t>
      </w:r>
      <w:r w:rsidRPr="00F70B93">
        <w:rPr>
          <w:rFonts w:ascii="Times New Roman" w:hAnsi="Times New Roman"/>
        </w:rPr>
        <w:t xml:space="preserve"> predicted to migrate to HFO-1234yf and </w:t>
      </w:r>
      <w:r>
        <w:rPr>
          <w:rFonts w:ascii="Times New Roman" w:hAnsi="Times New Roman"/>
        </w:rPr>
        <w:t xml:space="preserve">insignificant </w:t>
      </w:r>
      <w:r w:rsidRPr="00F70B93">
        <w:rPr>
          <w:rFonts w:ascii="Times New Roman" w:hAnsi="Times New Roman"/>
        </w:rPr>
        <w:t>volumes of CO</w:t>
      </w:r>
      <w:r w:rsidRPr="00F70B93">
        <w:rPr>
          <w:rFonts w:ascii="Times New Roman" w:hAnsi="Times New Roman"/>
          <w:vertAlign w:val="subscript"/>
        </w:rPr>
        <w:t>2</w:t>
      </w:r>
      <w:r w:rsidRPr="00F70B93">
        <w:rPr>
          <w:rFonts w:ascii="Times New Roman" w:hAnsi="Times New Roman"/>
        </w:rPr>
        <w:t xml:space="preserve"> </w:t>
      </w:r>
      <w:proofErr w:type="gramStart"/>
      <w:r w:rsidRPr="00F70B93">
        <w:rPr>
          <w:rFonts w:ascii="Times New Roman" w:hAnsi="Times New Roman"/>
        </w:rPr>
        <w:t>refrigerant</w:t>
      </w:r>
      <w:r>
        <w:rPr>
          <w:rFonts w:ascii="Times New Roman" w:hAnsi="Times New Roman"/>
        </w:rPr>
        <w:t>;</w:t>
      </w:r>
      <w:proofErr w:type="gramEnd"/>
    </w:p>
    <w:p w14:paraId="676A17E5" w14:textId="77777777" w:rsidR="00626D90" w:rsidRPr="00F70B93" w:rsidRDefault="00626D90" w:rsidP="00626D90">
      <w:pPr>
        <w:pStyle w:val="ListParagraph"/>
        <w:numPr>
          <w:ilvl w:val="0"/>
          <w:numId w:val="19"/>
        </w:numPr>
        <w:spacing w:before="120" w:after="0" w:line="240" w:lineRule="auto"/>
        <w:ind w:left="357" w:hanging="357"/>
        <w:contextualSpacing w:val="0"/>
        <w:jc w:val="both"/>
        <w:rPr>
          <w:rFonts w:ascii="Times New Roman" w:hAnsi="Times New Roman"/>
        </w:rPr>
      </w:pPr>
      <w:r w:rsidRPr="00F70B93">
        <w:rPr>
          <w:rFonts w:ascii="Times New Roman" w:hAnsi="Times New Roman"/>
        </w:rPr>
        <w:t>A portion of the 60 tonnes of HFC-134a c</w:t>
      </w:r>
      <w:r>
        <w:rPr>
          <w:rFonts w:ascii="Times New Roman" w:hAnsi="Times New Roman"/>
        </w:rPr>
        <w:t>urrently</w:t>
      </w:r>
      <w:r w:rsidRPr="00F70B93">
        <w:rPr>
          <w:rFonts w:ascii="Times New Roman" w:hAnsi="Times New Roman"/>
        </w:rPr>
        <w:t xml:space="preserve"> </w:t>
      </w:r>
      <w:r>
        <w:rPr>
          <w:rFonts w:ascii="Times New Roman" w:hAnsi="Times New Roman"/>
        </w:rPr>
        <w:t xml:space="preserve">imported in </w:t>
      </w:r>
      <w:r w:rsidRPr="00F70B93">
        <w:rPr>
          <w:rFonts w:ascii="Times New Roman" w:hAnsi="Times New Roman"/>
        </w:rPr>
        <w:t>chillers will migrate to HFO-1234ze</w:t>
      </w:r>
      <w:r>
        <w:rPr>
          <w:rFonts w:ascii="Times New Roman" w:hAnsi="Times New Roman"/>
        </w:rPr>
        <w:t xml:space="preserve">, </w:t>
      </w:r>
      <w:r w:rsidRPr="00F70B93">
        <w:rPr>
          <w:rFonts w:ascii="Times New Roman" w:hAnsi="Times New Roman"/>
        </w:rPr>
        <w:t>HFO-1233zd</w:t>
      </w:r>
      <w:r>
        <w:rPr>
          <w:rFonts w:ascii="Times New Roman" w:hAnsi="Times New Roman"/>
        </w:rPr>
        <w:t xml:space="preserve">, </w:t>
      </w:r>
      <w:r w:rsidRPr="00072D9D">
        <w:rPr>
          <w:rFonts w:ascii="Times New Roman" w:hAnsi="Times New Roman"/>
        </w:rPr>
        <w:t>HFO-1336mzz</w:t>
      </w:r>
      <w:r>
        <w:rPr>
          <w:rFonts w:ascii="Times New Roman" w:hAnsi="Times New Roman"/>
        </w:rPr>
        <w:t>, HFO/HFC blends such as R</w:t>
      </w:r>
      <w:r w:rsidRPr="00F70B93">
        <w:rPr>
          <w:rFonts w:ascii="Times New Roman" w:hAnsi="Times New Roman"/>
        </w:rPr>
        <w:t>513A</w:t>
      </w:r>
      <w:r>
        <w:rPr>
          <w:rFonts w:ascii="Times New Roman" w:hAnsi="Times New Roman"/>
        </w:rPr>
        <w:t xml:space="preserve"> </w:t>
      </w:r>
      <w:r w:rsidRPr="00935684">
        <w:rPr>
          <w:rFonts w:ascii="Times New Roman" w:hAnsi="Times New Roman"/>
        </w:rPr>
        <w:t>and R515A</w:t>
      </w:r>
      <w:r>
        <w:rPr>
          <w:rFonts w:ascii="Times New Roman" w:hAnsi="Times New Roman"/>
        </w:rPr>
        <w:t>, and HFO blend R514A</w:t>
      </w:r>
      <w:r>
        <w:rPr>
          <w:rStyle w:val="FootnoteReference"/>
        </w:rPr>
        <w:footnoteReference w:id="15"/>
      </w:r>
      <w:r>
        <w:rPr>
          <w:rFonts w:ascii="Times New Roman" w:hAnsi="Times New Roman"/>
        </w:rPr>
        <w:t>;</w:t>
      </w:r>
    </w:p>
    <w:p w14:paraId="6C23A8CB" w14:textId="77777777" w:rsidR="00626D90" w:rsidRPr="00F70B93" w:rsidRDefault="00626D90" w:rsidP="00626D90">
      <w:pPr>
        <w:pStyle w:val="ListParagraph"/>
        <w:numPr>
          <w:ilvl w:val="0"/>
          <w:numId w:val="19"/>
        </w:numPr>
        <w:spacing w:before="120" w:after="0" w:line="240" w:lineRule="auto"/>
        <w:ind w:left="357" w:hanging="357"/>
        <w:contextualSpacing w:val="0"/>
        <w:jc w:val="both"/>
        <w:rPr>
          <w:rFonts w:ascii="Times New Roman" w:hAnsi="Times New Roman"/>
        </w:rPr>
      </w:pPr>
      <w:r w:rsidRPr="00F70B93">
        <w:rPr>
          <w:rFonts w:ascii="Times New Roman" w:hAnsi="Times New Roman"/>
        </w:rPr>
        <w:t xml:space="preserve">Small and medium commercial refrigeration will continue </w:t>
      </w:r>
      <w:r>
        <w:rPr>
          <w:rFonts w:ascii="Times New Roman" w:hAnsi="Times New Roman"/>
        </w:rPr>
        <w:t>the strong trend of</w:t>
      </w:r>
      <w:r w:rsidRPr="00F70B93">
        <w:rPr>
          <w:rFonts w:ascii="Times New Roman" w:hAnsi="Times New Roman"/>
        </w:rPr>
        <w:t xml:space="preserve"> migrat</w:t>
      </w:r>
      <w:r>
        <w:rPr>
          <w:rFonts w:ascii="Times New Roman" w:hAnsi="Times New Roman"/>
        </w:rPr>
        <w:t>ion</w:t>
      </w:r>
      <w:r w:rsidRPr="00F70B93">
        <w:rPr>
          <w:rFonts w:ascii="Times New Roman" w:hAnsi="Times New Roman"/>
        </w:rPr>
        <w:t xml:space="preserve"> to hydrocarbon and HFO</w:t>
      </w:r>
      <w:r>
        <w:rPr>
          <w:rFonts w:ascii="Times New Roman" w:hAnsi="Times New Roman"/>
        </w:rPr>
        <w:t>/HFC</w:t>
      </w:r>
      <w:r w:rsidRPr="00F70B93">
        <w:rPr>
          <w:rFonts w:ascii="Times New Roman" w:hAnsi="Times New Roman"/>
        </w:rPr>
        <w:t xml:space="preserve"> blends including </w:t>
      </w:r>
      <w:r>
        <w:rPr>
          <w:rFonts w:ascii="Times New Roman" w:hAnsi="Times New Roman"/>
        </w:rPr>
        <w:t>R</w:t>
      </w:r>
      <w:r w:rsidRPr="00F70B93">
        <w:rPr>
          <w:rFonts w:ascii="Times New Roman" w:hAnsi="Times New Roman"/>
        </w:rPr>
        <w:t>448</w:t>
      </w:r>
      <w:r>
        <w:rPr>
          <w:rFonts w:ascii="Times New Roman" w:hAnsi="Times New Roman"/>
        </w:rPr>
        <w:t>A</w:t>
      </w:r>
      <w:r w:rsidRPr="00F70B93">
        <w:rPr>
          <w:rFonts w:ascii="Times New Roman" w:hAnsi="Times New Roman"/>
        </w:rPr>
        <w:t xml:space="preserve">, </w:t>
      </w:r>
      <w:r>
        <w:rPr>
          <w:rFonts w:ascii="Times New Roman" w:hAnsi="Times New Roman"/>
        </w:rPr>
        <w:t>R</w:t>
      </w:r>
      <w:r w:rsidRPr="00F70B93">
        <w:rPr>
          <w:rFonts w:ascii="Times New Roman" w:hAnsi="Times New Roman"/>
        </w:rPr>
        <w:t>449</w:t>
      </w:r>
      <w:r>
        <w:rPr>
          <w:rFonts w:ascii="Times New Roman" w:hAnsi="Times New Roman"/>
        </w:rPr>
        <w:t>A, R450A, R452A, R455A</w:t>
      </w:r>
      <w:r w:rsidRPr="00F70B93">
        <w:rPr>
          <w:rFonts w:ascii="Times New Roman" w:hAnsi="Times New Roman"/>
        </w:rPr>
        <w:t xml:space="preserve"> and others.</w:t>
      </w:r>
    </w:p>
    <w:p w14:paraId="2F0F7692" w14:textId="77777777" w:rsidR="00626D90" w:rsidRDefault="00626D90" w:rsidP="00626D90">
      <w:pPr>
        <w:spacing w:before="0"/>
        <w:rPr>
          <w:szCs w:val="22"/>
        </w:rPr>
      </w:pPr>
    </w:p>
    <w:p w14:paraId="7F449E92" w14:textId="77777777" w:rsidR="00626D90" w:rsidRDefault="00626D90" w:rsidP="00626D90">
      <w:pPr>
        <w:spacing w:before="0"/>
        <w:rPr>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5D159D" w14:paraId="19552260" w14:textId="77777777" w:rsidTr="00EF0FC0">
        <w:tc>
          <w:tcPr>
            <w:tcW w:w="9492" w:type="dxa"/>
            <w:vAlign w:val="center"/>
          </w:tcPr>
          <w:p w14:paraId="06843796" w14:textId="77777777" w:rsidR="00626D90" w:rsidRPr="005D159D" w:rsidRDefault="00626D90" w:rsidP="00EF0FC0">
            <w:pPr>
              <w:spacing w:after="120"/>
              <w:jc w:val="center"/>
              <w:rPr>
                <w:b/>
                <w:sz w:val="24"/>
              </w:rPr>
            </w:pPr>
            <w:r w:rsidRPr="005D159D">
              <w:rPr>
                <w:b/>
                <w:sz w:val="24"/>
              </w:rPr>
              <w:br w:type="page"/>
            </w:r>
            <w:r>
              <w:rPr>
                <w:b/>
                <w:sz w:val="24"/>
              </w:rPr>
              <w:t xml:space="preserve">PCE imports by major species from 2012 to 2019 (tonnes) </w:t>
            </w:r>
            <w:r w:rsidRPr="00A33C35">
              <w:rPr>
                <w:b/>
                <w:sz w:val="24"/>
                <w:vertAlign w:val="superscript"/>
              </w:rPr>
              <w:t>(1)</w:t>
            </w:r>
          </w:p>
        </w:tc>
      </w:tr>
      <w:tr w:rsidR="00626D90" w:rsidRPr="00BD20BC" w14:paraId="260F6091" w14:textId="77777777" w:rsidTr="00EF0FC0">
        <w:tc>
          <w:tcPr>
            <w:tcW w:w="9492" w:type="dxa"/>
            <w:vAlign w:val="center"/>
          </w:tcPr>
          <w:p w14:paraId="72148F25" w14:textId="77777777" w:rsidR="00626D90" w:rsidRDefault="00626D90" w:rsidP="00EF0FC0">
            <w:pPr>
              <w:spacing w:before="60" w:after="60"/>
              <w:jc w:val="center"/>
              <w:rPr>
                <w:sz w:val="16"/>
                <w:szCs w:val="16"/>
              </w:rPr>
            </w:pPr>
          </w:p>
          <w:p w14:paraId="19C46938" w14:textId="77777777" w:rsidR="00626D90" w:rsidRDefault="00626D90" w:rsidP="00EF0FC0">
            <w:pPr>
              <w:spacing w:before="60" w:after="60"/>
              <w:jc w:val="center"/>
              <w:rPr>
                <w:sz w:val="16"/>
                <w:szCs w:val="16"/>
              </w:rPr>
            </w:pPr>
            <w:r>
              <w:rPr>
                <w:noProof/>
              </w:rPr>
              <w:drawing>
                <wp:inline distT="0" distB="0" distL="0" distR="0" wp14:anchorId="45D55DF4" wp14:editId="25822D1D">
                  <wp:extent cx="6030595" cy="2022475"/>
                  <wp:effectExtent l="0" t="0" r="1905" b="0"/>
                  <wp:docPr id="6" name="Picture 6" descr="Shows pre-charged equipment imports by major refrigerant species, in metric tonnes, from 2012 to 2019. HFC-410A is the largest portion each year and HFC-134A the second largest each year except for 2019, when it is overtaken by HFC-32. Both HFC-410A and HFC-134A grow until 2017 then shrink slightly, with HFC-32 growing year on year fro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0595" cy="2022475"/>
                          </a:xfrm>
                          <a:prstGeom prst="rect">
                            <a:avLst/>
                          </a:prstGeom>
                        </pic:spPr>
                      </pic:pic>
                    </a:graphicData>
                  </a:graphic>
                </wp:inline>
              </w:drawing>
            </w:r>
          </w:p>
          <w:p w14:paraId="1F0536AD" w14:textId="77777777" w:rsidR="00626D90" w:rsidRPr="00BD20BC" w:rsidRDefault="00626D90" w:rsidP="00EF0FC0">
            <w:pPr>
              <w:spacing w:before="60" w:after="60"/>
              <w:jc w:val="center"/>
              <w:rPr>
                <w:sz w:val="16"/>
                <w:szCs w:val="16"/>
              </w:rPr>
            </w:pPr>
          </w:p>
        </w:tc>
      </w:tr>
      <w:tr w:rsidR="00626D90" w:rsidRPr="00E837A5" w14:paraId="736FCB12" w14:textId="77777777" w:rsidTr="00EF0FC0">
        <w:tc>
          <w:tcPr>
            <w:tcW w:w="9492" w:type="dxa"/>
            <w:vAlign w:val="center"/>
          </w:tcPr>
          <w:p w14:paraId="36F86CB9" w14:textId="77777777" w:rsidR="00626D90" w:rsidRPr="00E837A5" w:rsidRDefault="00626D90" w:rsidP="00EF0FC0">
            <w:pPr>
              <w:pStyle w:val="Caption"/>
              <w:rPr>
                <w:szCs w:val="22"/>
              </w:rPr>
            </w:pPr>
            <w:bookmarkStart w:id="36" w:name="_Toc494118060"/>
            <w:bookmarkStart w:id="37" w:name="_Toc525141343"/>
            <w:bookmarkStart w:id="38" w:name="_Toc46846960"/>
            <w:r w:rsidRPr="00E837A5">
              <w:rPr>
                <w:szCs w:val="22"/>
              </w:rPr>
              <w:t xml:space="preserve">Figure </w:t>
            </w:r>
            <w:r w:rsidRPr="00E837A5">
              <w:rPr>
                <w:szCs w:val="22"/>
              </w:rPr>
              <w:fldChar w:fldCharType="begin"/>
            </w:r>
            <w:r w:rsidRPr="00E837A5">
              <w:rPr>
                <w:szCs w:val="22"/>
              </w:rPr>
              <w:instrText xml:space="preserve"> SEQ Figure \* ARABIC </w:instrText>
            </w:r>
            <w:r w:rsidRPr="00E837A5">
              <w:rPr>
                <w:szCs w:val="22"/>
              </w:rPr>
              <w:fldChar w:fldCharType="separate"/>
            </w:r>
            <w:r>
              <w:rPr>
                <w:noProof/>
                <w:szCs w:val="22"/>
              </w:rPr>
              <w:t>5</w:t>
            </w:r>
            <w:r w:rsidRPr="00E837A5">
              <w:rPr>
                <w:szCs w:val="22"/>
              </w:rPr>
              <w:fldChar w:fldCharType="end"/>
            </w:r>
            <w:r w:rsidRPr="00E837A5">
              <w:rPr>
                <w:szCs w:val="22"/>
              </w:rPr>
              <w:t xml:space="preserve">: HCFCs and HFCs in pre-charged equipment from 2012 to 2019 by species in </w:t>
            </w:r>
            <w:proofErr w:type="spellStart"/>
            <w:r w:rsidRPr="00E837A5">
              <w:rPr>
                <w:szCs w:val="22"/>
              </w:rPr>
              <w:t>tonnes</w:t>
            </w:r>
            <w:bookmarkEnd w:id="36"/>
            <w:proofErr w:type="spellEnd"/>
            <w:r w:rsidRPr="00E837A5">
              <w:rPr>
                <w:szCs w:val="22"/>
              </w:rPr>
              <w:t>.</w:t>
            </w:r>
            <w:bookmarkEnd w:id="37"/>
            <w:bookmarkEnd w:id="38"/>
          </w:p>
        </w:tc>
      </w:tr>
    </w:tbl>
    <w:p w14:paraId="22CE77E3" w14:textId="77777777" w:rsidR="00626D90" w:rsidRDefault="00626D90" w:rsidP="00626D90">
      <w:pPr>
        <w:spacing w:before="0"/>
        <w:rPr>
          <w:sz w:val="20"/>
          <w:szCs w:val="20"/>
        </w:rPr>
      </w:pPr>
      <w:r w:rsidRPr="00116557">
        <w:rPr>
          <w:sz w:val="20"/>
          <w:szCs w:val="20"/>
        </w:rPr>
        <w:t xml:space="preserve">(Sources: </w:t>
      </w:r>
      <w:r>
        <w:rPr>
          <w:sz w:val="20"/>
          <w:szCs w:val="20"/>
        </w:rPr>
        <w:t>DAWE 2020)</w:t>
      </w:r>
    </w:p>
    <w:p w14:paraId="65DA0D2A" w14:textId="77777777" w:rsidR="00626D90" w:rsidRPr="00492E6B" w:rsidRDefault="00626D90" w:rsidP="00626D90">
      <w:pPr>
        <w:pStyle w:val="ListParagraph"/>
        <w:numPr>
          <w:ilvl w:val="0"/>
          <w:numId w:val="10"/>
        </w:numPr>
        <w:spacing w:before="60" w:after="0" w:line="240" w:lineRule="auto"/>
        <w:ind w:left="357" w:hanging="357"/>
        <w:contextualSpacing w:val="0"/>
        <w:jc w:val="both"/>
        <w:rPr>
          <w:rFonts w:ascii="Times New Roman" w:hAnsi="Times New Roman"/>
        </w:rPr>
      </w:pPr>
      <w:r w:rsidRPr="00A33C35">
        <w:rPr>
          <w:rFonts w:ascii="Times New Roman" w:hAnsi="Times New Roman"/>
          <w:sz w:val="20"/>
          <w:szCs w:val="20"/>
        </w:rPr>
        <w:t xml:space="preserve">Refer to </w:t>
      </w:r>
      <w:r>
        <w:rPr>
          <w:rFonts w:ascii="Times New Roman" w:hAnsi="Times New Roman"/>
          <w:i/>
          <w:sz w:val="20"/>
          <w:szCs w:val="20"/>
        </w:rPr>
        <w:t>Appendix B Tab 3</w:t>
      </w:r>
      <w:r w:rsidRPr="00912F5A">
        <w:rPr>
          <w:rFonts w:ascii="Times New Roman" w:hAnsi="Times New Roman"/>
          <w:i/>
          <w:sz w:val="20"/>
          <w:szCs w:val="20"/>
        </w:rPr>
        <w:t xml:space="preserve">: </w:t>
      </w:r>
      <w:r w:rsidRPr="00C1021A">
        <w:rPr>
          <w:rFonts w:ascii="Times New Roman" w:hAnsi="Times New Roman"/>
          <w:i/>
          <w:sz w:val="20"/>
          <w:szCs w:val="20"/>
        </w:rPr>
        <w:t>Bulk imports and pre-charged equipment imports</w:t>
      </w:r>
      <w:r>
        <w:rPr>
          <w:rFonts w:ascii="Times New Roman" w:hAnsi="Times New Roman"/>
          <w:i/>
          <w:sz w:val="20"/>
          <w:szCs w:val="20"/>
        </w:rPr>
        <w:t xml:space="preserve"> from 2006 to 2019</w:t>
      </w:r>
      <w:r>
        <w:rPr>
          <w:rFonts w:ascii="Times New Roman" w:hAnsi="Times New Roman"/>
          <w:sz w:val="20"/>
          <w:szCs w:val="20"/>
        </w:rPr>
        <w:t>,</w:t>
      </w:r>
      <w:r w:rsidRPr="00A33C35">
        <w:rPr>
          <w:rFonts w:ascii="Times New Roman" w:hAnsi="Times New Roman"/>
          <w:sz w:val="20"/>
          <w:szCs w:val="20"/>
        </w:rPr>
        <w:t xml:space="preserve"> for tabulated data.</w:t>
      </w:r>
    </w:p>
    <w:p w14:paraId="7937EBF5" w14:textId="77777777" w:rsidR="00626D90" w:rsidRDefault="00626D90" w:rsidP="00626D90">
      <w:pPr>
        <w:rPr>
          <w:szCs w:val="22"/>
        </w:rPr>
      </w:pPr>
    </w:p>
    <w:p w14:paraId="7163FED3" w14:textId="77777777" w:rsidR="00626D90" w:rsidRDefault="00626D90" w:rsidP="00626D90">
      <w:pPr>
        <w:rPr>
          <w:szCs w:val="22"/>
        </w:rPr>
      </w:pPr>
      <w:r w:rsidRPr="00626D3F">
        <w:rPr>
          <w:szCs w:val="22"/>
        </w:rPr>
        <w:t xml:space="preserve">A comparison of </w:t>
      </w:r>
      <w:r w:rsidRPr="00626D3F">
        <w:rPr>
          <w:i/>
          <w:szCs w:val="22"/>
        </w:rPr>
        <w:t>Figure 5</w:t>
      </w:r>
      <w:r w:rsidRPr="00626D3F">
        <w:rPr>
          <w:szCs w:val="22"/>
        </w:rPr>
        <w:t xml:space="preserve"> above and </w:t>
      </w:r>
      <w:r w:rsidRPr="00626D3F">
        <w:rPr>
          <w:i/>
          <w:szCs w:val="22"/>
        </w:rPr>
        <w:t>Figure 6</w:t>
      </w:r>
      <w:r w:rsidRPr="00626D3F">
        <w:rPr>
          <w:szCs w:val="22"/>
        </w:rPr>
        <w:t xml:space="preserve"> below demonstrates the effect of the higher GWP gases in dominating a bank when illustrated by its CO</w:t>
      </w:r>
      <w:r w:rsidRPr="00626D3F">
        <w:rPr>
          <w:szCs w:val="22"/>
          <w:vertAlign w:val="subscript"/>
        </w:rPr>
        <w:t>2</w:t>
      </w:r>
      <w:r w:rsidRPr="00626D3F">
        <w:rPr>
          <w:szCs w:val="22"/>
        </w:rPr>
        <w:t xml:space="preserve">e value. While it can be seen from </w:t>
      </w:r>
      <w:r w:rsidRPr="00626D3F">
        <w:rPr>
          <w:i/>
          <w:szCs w:val="22"/>
        </w:rPr>
        <w:t>Figure 5</w:t>
      </w:r>
      <w:r w:rsidRPr="00626D3F">
        <w:rPr>
          <w:szCs w:val="22"/>
        </w:rPr>
        <w:t xml:space="preserve"> that HFC-32 has capped the equipment imports of PCE charged with HFC-410A, the higher GWP value of HFC</w:t>
      </w:r>
      <w:r w:rsidRPr="00626D3F">
        <w:rPr>
          <w:szCs w:val="22"/>
        </w:rPr>
        <w:noBreakHyphen/>
        <w:t xml:space="preserve">410A </w:t>
      </w:r>
      <w:r>
        <w:rPr>
          <w:szCs w:val="22"/>
        </w:rPr>
        <w:t>(for</w:t>
      </w:r>
      <w:r w:rsidRPr="00626D3F">
        <w:rPr>
          <w:szCs w:val="22"/>
        </w:rPr>
        <w:t xml:space="preserve"> some 16 years </w:t>
      </w:r>
      <w:r>
        <w:rPr>
          <w:szCs w:val="22"/>
        </w:rPr>
        <w:t xml:space="preserve">as </w:t>
      </w:r>
      <w:r w:rsidRPr="00626D3F">
        <w:rPr>
          <w:szCs w:val="22"/>
        </w:rPr>
        <w:t>the refrigerant of choice in small split AC imports</w:t>
      </w:r>
      <w:r>
        <w:rPr>
          <w:szCs w:val="22"/>
        </w:rPr>
        <w:t>)</w:t>
      </w:r>
      <w:r w:rsidRPr="00626D3F">
        <w:rPr>
          <w:szCs w:val="22"/>
        </w:rPr>
        <w:t xml:space="preserve"> ensures </w:t>
      </w:r>
      <w:r>
        <w:rPr>
          <w:szCs w:val="22"/>
        </w:rPr>
        <w:t xml:space="preserve">it </w:t>
      </w:r>
      <w:r w:rsidRPr="00626D3F">
        <w:rPr>
          <w:szCs w:val="22"/>
        </w:rPr>
        <w:t>will dominate the GWP of the refrigerant bank for many years to come.</w:t>
      </w:r>
    </w:p>
    <w:p w14:paraId="2433E95A" w14:textId="77777777" w:rsidR="00626D90" w:rsidRDefault="00626D90" w:rsidP="00626D90">
      <w:pPr>
        <w:spacing w:before="0"/>
        <w:jc w:val="left"/>
        <w:rPr>
          <w:szCs w:val="22"/>
        </w:rPr>
      </w:pPr>
      <w:r>
        <w:rPr>
          <w:szCs w:val="22"/>
        </w:rP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626D90" w:rsidRPr="005D159D" w14:paraId="71719D21" w14:textId="77777777" w:rsidTr="00EF0FC0">
        <w:tc>
          <w:tcPr>
            <w:tcW w:w="9492" w:type="dxa"/>
            <w:vAlign w:val="center"/>
          </w:tcPr>
          <w:p w14:paraId="768BEF8B" w14:textId="77777777" w:rsidR="00626D90" w:rsidRPr="005D159D" w:rsidRDefault="00626D90" w:rsidP="00EF0FC0">
            <w:pPr>
              <w:spacing w:after="120"/>
              <w:jc w:val="center"/>
              <w:rPr>
                <w:b/>
                <w:sz w:val="24"/>
              </w:rPr>
            </w:pPr>
            <w:r w:rsidRPr="005D159D">
              <w:rPr>
                <w:b/>
                <w:sz w:val="24"/>
              </w:rPr>
              <w:lastRenderedPageBreak/>
              <w:br w:type="page"/>
            </w:r>
            <w:r>
              <w:rPr>
                <w:b/>
                <w:sz w:val="24"/>
              </w:rPr>
              <w:t>PCE imports by major species from 2012 to 2019 (Mt CO</w:t>
            </w:r>
            <w:r w:rsidRPr="00BF011C">
              <w:rPr>
                <w:b/>
                <w:sz w:val="24"/>
                <w:vertAlign w:val="subscript"/>
              </w:rPr>
              <w:t>2</w:t>
            </w:r>
            <w:r>
              <w:rPr>
                <w:b/>
                <w:sz w:val="24"/>
              </w:rPr>
              <w:t>e)</w:t>
            </w:r>
          </w:p>
        </w:tc>
      </w:tr>
      <w:tr w:rsidR="00626D90" w:rsidRPr="00BD20BC" w14:paraId="5EBFA81A" w14:textId="77777777" w:rsidTr="00EF0FC0">
        <w:tc>
          <w:tcPr>
            <w:tcW w:w="9492" w:type="dxa"/>
            <w:vAlign w:val="center"/>
          </w:tcPr>
          <w:p w14:paraId="2EA60216" w14:textId="77777777" w:rsidR="00626D90" w:rsidRDefault="00626D90" w:rsidP="00EF0FC0">
            <w:pPr>
              <w:spacing w:before="60" w:after="60"/>
              <w:jc w:val="center"/>
              <w:rPr>
                <w:sz w:val="16"/>
                <w:szCs w:val="16"/>
              </w:rPr>
            </w:pPr>
          </w:p>
          <w:p w14:paraId="31AACCA7" w14:textId="6EECA84F" w:rsidR="00626D90" w:rsidRDefault="00FD78F1" w:rsidP="00EF0FC0">
            <w:pPr>
              <w:spacing w:before="60" w:after="60"/>
              <w:jc w:val="center"/>
              <w:rPr>
                <w:sz w:val="16"/>
                <w:szCs w:val="16"/>
              </w:rPr>
            </w:pPr>
            <w:r w:rsidRPr="00FD78F1">
              <w:rPr>
                <w:noProof/>
                <w:sz w:val="16"/>
                <w:szCs w:val="16"/>
              </w:rPr>
              <w:drawing>
                <wp:inline distT="0" distB="0" distL="0" distR="0" wp14:anchorId="0801DF34" wp14:editId="4ADC9526">
                  <wp:extent cx="6030595" cy="23672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595" cy="2367280"/>
                          </a:xfrm>
                          <a:prstGeom prst="rect">
                            <a:avLst/>
                          </a:prstGeom>
                        </pic:spPr>
                      </pic:pic>
                    </a:graphicData>
                  </a:graphic>
                </wp:inline>
              </w:drawing>
            </w:r>
          </w:p>
          <w:p w14:paraId="0079E12A" w14:textId="77777777" w:rsidR="00626D90" w:rsidRPr="00BD20BC" w:rsidRDefault="00626D90" w:rsidP="00EF0FC0">
            <w:pPr>
              <w:spacing w:before="60" w:after="60"/>
              <w:jc w:val="center"/>
              <w:rPr>
                <w:sz w:val="16"/>
                <w:szCs w:val="16"/>
              </w:rPr>
            </w:pPr>
          </w:p>
        </w:tc>
      </w:tr>
      <w:tr w:rsidR="00626D90" w:rsidRPr="00042727" w14:paraId="292C6B98" w14:textId="77777777" w:rsidTr="00EF0FC0">
        <w:tc>
          <w:tcPr>
            <w:tcW w:w="9492" w:type="dxa"/>
            <w:vAlign w:val="center"/>
          </w:tcPr>
          <w:p w14:paraId="79A0CEDA" w14:textId="4CFEC044" w:rsidR="00626D90" w:rsidRPr="00BB16C6" w:rsidRDefault="00626D90" w:rsidP="00EF0FC0">
            <w:pPr>
              <w:pStyle w:val="Caption"/>
              <w:rPr>
                <w:szCs w:val="22"/>
              </w:rPr>
            </w:pPr>
            <w:bookmarkStart w:id="39" w:name="_Toc46846961"/>
            <w:r w:rsidRPr="00626D3F">
              <w:rPr>
                <w:szCs w:val="22"/>
              </w:rPr>
              <w:t xml:space="preserve">Figure </w:t>
            </w:r>
            <w:r w:rsidRPr="00626D3F">
              <w:rPr>
                <w:szCs w:val="22"/>
              </w:rPr>
              <w:fldChar w:fldCharType="begin"/>
            </w:r>
            <w:r w:rsidRPr="00626D3F">
              <w:rPr>
                <w:szCs w:val="22"/>
              </w:rPr>
              <w:instrText xml:space="preserve"> SEQ Figure \* ARABIC </w:instrText>
            </w:r>
            <w:r w:rsidRPr="00626D3F">
              <w:rPr>
                <w:szCs w:val="22"/>
              </w:rPr>
              <w:fldChar w:fldCharType="separate"/>
            </w:r>
            <w:r>
              <w:rPr>
                <w:noProof/>
                <w:szCs w:val="22"/>
              </w:rPr>
              <w:t>6</w:t>
            </w:r>
            <w:r w:rsidRPr="00626D3F">
              <w:rPr>
                <w:szCs w:val="22"/>
              </w:rPr>
              <w:fldChar w:fldCharType="end"/>
            </w:r>
            <w:r w:rsidRPr="00626D3F">
              <w:rPr>
                <w:szCs w:val="22"/>
              </w:rPr>
              <w:t>: HFCs in</w:t>
            </w:r>
            <w:r w:rsidRPr="00BB16C6">
              <w:rPr>
                <w:szCs w:val="22"/>
              </w:rPr>
              <w:t xml:space="preserve"> pre-charged equipment from 20</w:t>
            </w:r>
            <w:r>
              <w:rPr>
                <w:szCs w:val="22"/>
              </w:rPr>
              <w:t>12</w:t>
            </w:r>
            <w:r w:rsidRPr="00BB16C6">
              <w:rPr>
                <w:szCs w:val="22"/>
              </w:rPr>
              <w:t xml:space="preserve"> to 201</w:t>
            </w:r>
            <w:r>
              <w:rPr>
                <w:szCs w:val="22"/>
              </w:rPr>
              <w:t>9</w:t>
            </w:r>
            <w:r w:rsidRPr="00BB16C6">
              <w:rPr>
                <w:szCs w:val="22"/>
              </w:rPr>
              <w:t xml:space="preserve"> by species in </w:t>
            </w:r>
            <w:r>
              <w:rPr>
                <w:szCs w:val="22"/>
              </w:rPr>
              <w:t>Mt CO</w:t>
            </w:r>
            <w:r w:rsidRPr="00BF011C">
              <w:rPr>
                <w:szCs w:val="22"/>
                <w:vertAlign w:val="subscript"/>
              </w:rPr>
              <w:t>2</w:t>
            </w:r>
            <w:r>
              <w:rPr>
                <w:szCs w:val="22"/>
              </w:rPr>
              <w:t>e (AR4)</w:t>
            </w:r>
            <w:r w:rsidRPr="00BB16C6">
              <w:rPr>
                <w:szCs w:val="22"/>
              </w:rPr>
              <w:t>.</w:t>
            </w:r>
            <w:bookmarkEnd w:id="39"/>
          </w:p>
        </w:tc>
      </w:tr>
    </w:tbl>
    <w:p w14:paraId="28287D5D" w14:textId="77777777" w:rsidR="00626D90" w:rsidRPr="00570389" w:rsidRDefault="00626D90" w:rsidP="00626D90">
      <w:pPr>
        <w:spacing w:before="0"/>
        <w:rPr>
          <w:sz w:val="20"/>
          <w:szCs w:val="20"/>
        </w:rPr>
      </w:pPr>
      <w:r w:rsidRPr="00116557">
        <w:rPr>
          <w:sz w:val="20"/>
          <w:szCs w:val="20"/>
        </w:rPr>
        <w:t xml:space="preserve">(Source: </w:t>
      </w:r>
      <w:r>
        <w:rPr>
          <w:sz w:val="20"/>
          <w:szCs w:val="20"/>
        </w:rPr>
        <w:t>DAWE 2020)</w:t>
      </w:r>
    </w:p>
    <w:p w14:paraId="345E15C7" w14:textId="77777777" w:rsidR="00626D90" w:rsidRDefault="00626D90" w:rsidP="00626D90">
      <w:pPr>
        <w:rPr>
          <w:szCs w:val="22"/>
        </w:rPr>
      </w:pPr>
      <w:bookmarkStart w:id="40" w:name="_Toc500750607"/>
      <w:bookmarkStart w:id="41" w:name="_Toc525141276"/>
    </w:p>
    <w:p w14:paraId="18764797" w14:textId="77777777" w:rsidR="00626D90" w:rsidRPr="00BA1087" w:rsidRDefault="00626D90" w:rsidP="00626D90">
      <w:pPr>
        <w:pStyle w:val="Heading3"/>
        <w:jc w:val="both"/>
      </w:pPr>
      <w:bookmarkStart w:id="42" w:name="_Toc46923726"/>
      <w:r w:rsidRPr="00BA1087">
        <w:t xml:space="preserve">Analysis of </w:t>
      </w:r>
      <w:r>
        <w:t>p</w:t>
      </w:r>
      <w:r w:rsidRPr="00BA1087">
        <w:t>re-</w:t>
      </w:r>
      <w:r>
        <w:t>c</w:t>
      </w:r>
      <w:r w:rsidRPr="00BA1087">
        <w:t xml:space="preserve">harged </w:t>
      </w:r>
      <w:r>
        <w:t>e</w:t>
      </w:r>
      <w:r w:rsidRPr="00BA1087">
        <w:t>quipment provides insights into the transitioning bank</w:t>
      </w:r>
      <w:bookmarkEnd w:id="42"/>
    </w:p>
    <w:p w14:paraId="0CA52C99" w14:textId="77777777" w:rsidR="00626D90" w:rsidRPr="00626D3F" w:rsidRDefault="00626D90" w:rsidP="00626D90">
      <w:pPr>
        <w:rPr>
          <w:szCs w:val="22"/>
        </w:rPr>
      </w:pPr>
      <w:r w:rsidRPr="00626D3F">
        <w:rPr>
          <w:szCs w:val="22"/>
          <w:lang w:val="en-AU"/>
        </w:rPr>
        <w:t xml:space="preserve">Analysis of PCE imports shows that non-ducted single split systems, designed primarily for residential use, make up </w:t>
      </w:r>
      <w:proofErr w:type="gramStart"/>
      <w:r w:rsidRPr="00626D3F">
        <w:rPr>
          <w:szCs w:val="22"/>
          <w:lang w:val="en-AU"/>
        </w:rPr>
        <w:t>the majority of</w:t>
      </w:r>
      <w:proofErr w:type="gramEnd"/>
      <w:r w:rsidRPr="00626D3F">
        <w:rPr>
          <w:szCs w:val="22"/>
          <w:lang w:val="en-AU"/>
        </w:rPr>
        <w:t xml:space="preserve"> equipment</w:t>
      </w:r>
      <w:r>
        <w:rPr>
          <w:szCs w:val="22"/>
          <w:lang w:val="en-AU"/>
        </w:rPr>
        <w:t>.</w:t>
      </w:r>
      <w:r w:rsidRPr="00626D3F">
        <w:rPr>
          <w:szCs w:val="22"/>
          <w:lang w:val="en-AU"/>
        </w:rPr>
        <w:t xml:space="preserve"> </w:t>
      </w:r>
      <w:r>
        <w:rPr>
          <w:szCs w:val="22"/>
          <w:lang w:val="en-AU"/>
        </w:rPr>
        <w:t>Non-ducted single split systems</w:t>
      </w:r>
      <w:r w:rsidRPr="00626D3F">
        <w:rPr>
          <w:szCs w:val="22"/>
          <w:lang w:val="en-AU"/>
        </w:rPr>
        <w:t xml:space="preserve"> contain the bulk of the refrigerant mass</w:t>
      </w:r>
      <w:r w:rsidRPr="00626D3F">
        <w:rPr>
          <w:rStyle w:val="FootnoteReference"/>
          <w:rFonts w:ascii="Times New Roman" w:hAnsi="Times New Roman"/>
          <w:szCs w:val="22"/>
          <w:lang w:val="en-AU"/>
        </w:rPr>
        <w:footnoteReference w:id="16"/>
      </w:r>
      <w:r>
        <w:rPr>
          <w:szCs w:val="22"/>
          <w:lang w:val="en-AU"/>
        </w:rPr>
        <w:t xml:space="preserve"> </w:t>
      </w:r>
      <w:r w:rsidRPr="00626D3F">
        <w:rPr>
          <w:szCs w:val="22"/>
          <w:lang w:val="en-AU"/>
        </w:rPr>
        <w:t>of all stationary AC imported into Australia</w:t>
      </w:r>
      <w:r>
        <w:rPr>
          <w:szCs w:val="22"/>
          <w:lang w:val="en-AU"/>
        </w:rPr>
        <w:t>.</w:t>
      </w:r>
      <w:r w:rsidRPr="00626D3F">
        <w:rPr>
          <w:szCs w:val="22"/>
          <w:lang w:val="en-AU"/>
        </w:rPr>
        <w:t xml:space="preserve"> HFC-32 adoption has continued to grow strongly in non-ducted split systems. </w:t>
      </w:r>
    </w:p>
    <w:p w14:paraId="37AC9AA9" w14:textId="77777777" w:rsidR="00626D90" w:rsidRPr="00626D3F" w:rsidRDefault="00626D90" w:rsidP="00626D90">
      <w:pPr>
        <w:rPr>
          <w:szCs w:val="22"/>
        </w:rPr>
      </w:pPr>
      <w:r w:rsidRPr="00626D3F">
        <w:rPr>
          <w:szCs w:val="22"/>
        </w:rPr>
        <w:t xml:space="preserve">Filtering out equipment with charges less than 800 grams and greater than 2,600 grams excludes </w:t>
      </w:r>
      <w:proofErr w:type="gramStart"/>
      <w:r w:rsidRPr="00626D3F">
        <w:rPr>
          <w:szCs w:val="22"/>
        </w:rPr>
        <w:t>the majority of</w:t>
      </w:r>
      <w:proofErr w:type="gramEnd"/>
      <w:r w:rsidRPr="00626D3F">
        <w:rPr>
          <w:szCs w:val="22"/>
        </w:rPr>
        <w:t xml:space="preserve"> the small portable AC and window wall units that are typically under 800 grams, and the majority of the larger ducted systems, which generally have charges larger than 2,600 grams. These larger units are most likely to be charged with HFC-410A. </w:t>
      </w:r>
    </w:p>
    <w:p w14:paraId="73B61E42" w14:textId="77777777" w:rsidR="00626D90" w:rsidRPr="00626D3F" w:rsidRDefault="00626D90" w:rsidP="00626D90">
      <w:pPr>
        <w:rPr>
          <w:szCs w:val="22"/>
        </w:rPr>
      </w:pPr>
      <w:r w:rsidRPr="00626D3F">
        <w:rPr>
          <w:szCs w:val="22"/>
        </w:rPr>
        <w:t>Applying these filters highlights the rate of transition away from the much higher GWP HFC-410A, to HFC</w:t>
      </w:r>
      <w:r w:rsidRPr="00626D3F">
        <w:rPr>
          <w:szCs w:val="22"/>
        </w:rPr>
        <w:noBreakHyphen/>
        <w:t>32 in this ‘residential’ size range.</w:t>
      </w:r>
    </w:p>
    <w:p w14:paraId="2CB3B427" w14:textId="77777777" w:rsidR="00626D90" w:rsidRDefault="00626D90" w:rsidP="00626D90">
      <w:pPr>
        <w:rPr>
          <w:szCs w:val="22"/>
        </w:rPr>
      </w:pPr>
      <w:r w:rsidRPr="00626D3F">
        <w:rPr>
          <w:i/>
          <w:iCs/>
          <w:szCs w:val="22"/>
        </w:rPr>
        <w:t>Figure 7</w:t>
      </w:r>
      <w:r w:rsidRPr="00626D3F">
        <w:rPr>
          <w:szCs w:val="22"/>
        </w:rPr>
        <w:t xml:space="preserve"> illustrates this trend, refer to </w:t>
      </w:r>
      <w:r w:rsidRPr="00626D3F">
        <w:rPr>
          <w:i/>
          <w:szCs w:val="22"/>
        </w:rPr>
        <w:t>Appendix B</w:t>
      </w:r>
      <w:r>
        <w:rPr>
          <w:i/>
          <w:szCs w:val="22"/>
        </w:rPr>
        <w:t xml:space="preserve"> Tab </w:t>
      </w:r>
      <w:r w:rsidRPr="00626D3F">
        <w:rPr>
          <w:i/>
          <w:szCs w:val="22"/>
        </w:rPr>
        <w:t>4.2: Stationary AC: Pre-charged equipment</w:t>
      </w:r>
      <w:r w:rsidRPr="00626D3F">
        <w:rPr>
          <w:szCs w:val="22"/>
        </w:rPr>
        <w:t xml:space="preserve"> for tabulated data.</w:t>
      </w:r>
    </w:p>
    <w:p w14:paraId="0512FE7C" w14:textId="77777777" w:rsidR="00626D90" w:rsidRDefault="00626D90" w:rsidP="00626D90"/>
    <w:p w14:paraId="44B98502" w14:textId="77777777" w:rsidR="00626D90" w:rsidRDefault="00626D90" w:rsidP="00626D90">
      <w:r>
        <w:br w:type="page"/>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626D90" w:rsidRPr="00613398" w14:paraId="08C9D9F9" w14:textId="77777777" w:rsidTr="00EF0FC0">
        <w:tc>
          <w:tcPr>
            <w:tcW w:w="9716" w:type="dxa"/>
            <w:vAlign w:val="center"/>
          </w:tcPr>
          <w:p w14:paraId="1C306CC7" w14:textId="77777777" w:rsidR="00626D90" w:rsidRPr="00613398" w:rsidRDefault="00626D90" w:rsidP="00EF0FC0">
            <w:pPr>
              <w:spacing w:after="120"/>
              <w:jc w:val="center"/>
              <w:rPr>
                <w:b/>
              </w:rPr>
            </w:pPr>
            <w:r w:rsidRPr="00613398">
              <w:rPr>
                <w:b/>
              </w:rPr>
              <w:lastRenderedPageBreak/>
              <w:br w:type="page"/>
            </w:r>
            <w:r>
              <w:rPr>
                <w:b/>
              </w:rPr>
              <w:t>PCE imports of Stationary AC with charge &gt;800 grams and &lt;</w:t>
            </w:r>
            <w:r w:rsidRPr="003B5462">
              <w:rPr>
                <w:b/>
              </w:rPr>
              <w:t xml:space="preserve"> </w:t>
            </w:r>
            <w:r>
              <w:rPr>
                <w:b/>
              </w:rPr>
              <w:t>2.6 kg (Tonnes)</w:t>
            </w:r>
          </w:p>
        </w:tc>
      </w:tr>
      <w:tr w:rsidR="00626D90" w:rsidRPr="000F7FAE" w14:paraId="6A117FB7" w14:textId="77777777" w:rsidTr="00EF0FC0">
        <w:tc>
          <w:tcPr>
            <w:tcW w:w="9716" w:type="dxa"/>
            <w:vAlign w:val="center"/>
          </w:tcPr>
          <w:p w14:paraId="42BBEA77" w14:textId="77777777" w:rsidR="00626D90" w:rsidRPr="000F7FAE" w:rsidRDefault="00626D90" w:rsidP="00EF0FC0">
            <w:pPr>
              <w:spacing w:before="60" w:after="60"/>
              <w:jc w:val="center"/>
              <w:rPr>
                <w:sz w:val="16"/>
                <w:szCs w:val="16"/>
              </w:rPr>
            </w:pPr>
          </w:p>
          <w:p w14:paraId="3E1EBC3C" w14:textId="77777777" w:rsidR="00626D90" w:rsidRPr="000F7FAE" w:rsidRDefault="00626D90" w:rsidP="00EF0FC0">
            <w:pPr>
              <w:spacing w:before="60" w:after="60"/>
              <w:jc w:val="center"/>
              <w:rPr>
                <w:sz w:val="16"/>
                <w:szCs w:val="16"/>
              </w:rPr>
            </w:pPr>
            <w:r>
              <w:rPr>
                <w:noProof/>
              </w:rPr>
              <w:drawing>
                <wp:inline distT="0" distB="0" distL="0" distR="0" wp14:anchorId="63FAB3C4" wp14:editId="23CF50C1">
                  <wp:extent cx="5940000" cy="2525611"/>
                  <wp:effectExtent l="0" t="0" r="3810" b="1905"/>
                  <wp:docPr id="19" name="Picture 19" descr="Shows pre-charged stationary air conditioning equipment imports with charges greater than 800 grams and equal to or less than 2.6kg, in metric tonnes (rounded), grow from 1,000 tonnes in 2012 to a peak in 2017 of 1,400 tonnes, then decline back to 1,000 tonnes. The mix changes from exclusively HFC-410A in 2012 to mostly HFC-32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000" cy="2525611"/>
                          </a:xfrm>
                          <a:prstGeom prst="rect">
                            <a:avLst/>
                          </a:prstGeom>
                        </pic:spPr>
                      </pic:pic>
                    </a:graphicData>
                  </a:graphic>
                </wp:inline>
              </w:drawing>
            </w:r>
          </w:p>
          <w:p w14:paraId="3C281DF1" w14:textId="77777777" w:rsidR="00626D90" w:rsidRPr="000F7FAE" w:rsidRDefault="00626D90" w:rsidP="00EF0FC0">
            <w:pPr>
              <w:spacing w:before="60" w:after="60"/>
              <w:jc w:val="center"/>
              <w:rPr>
                <w:sz w:val="16"/>
                <w:szCs w:val="16"/>
              </w:rPr>
            </w:pPr>
          </w:p>
        </w:tc>
      </w:tr>
      <w:tr w:rsidR="00626D90" w:rsidRPr="00923150" w14:paraId="677E765F" w14:textId="77777777" w:rsidTr="00EF0FC0">
        <w:tc>
          <w:tcPr>
            <w:tcW w:w="9716" w:type="dxa"/>
            <w:vAlign w:val="center"/>
          </w:tcPr>
          <w:p w14:paraId="3C5D6F2A" w14:textId="77777777" w:rsidR="00626D90" w:rsidRPr="00EE7692" w:rsidRDefault="00626D90" w:rsidP="00EF0FC0">
            <w:pPr>
              <w:pStyle w:val="Caption"/>
            </w:pPr>
            <w:bookmarkStart w:id="43" w:name="_Toc46846962"/>
            <w:r w:rsidRPr="00626D3F">
              <w:t xml:space="preserve">Figure </w:t>
            </w:r>
            <w:r w:rsidRPr="00626D3F">
              <w:rPr>
                <w:noProof/>
              </w:rPr>
              <w:fldChar w:fldCharType="begin"/>
            </w:r>
            <w:r w:rsidRPr="00626D3F">
              <w:rPr>
                <w:noProof/>
              </w:rPr>
              <w:instrText xml:space="preserve"> SEQ Figure \* ARABIC </w:instrText>
            </w:r>
            <w:r w:rsidRPr="00626D3F">
              <w:rPr>
                <w:noProof/>
              </w:rPr>
              <w:fldChar w:fldCharType="separate"/>
            </w:r>
            <w:r>
              <w:rPr>
                <w:noProof/>
              </w:rPr>
              <w:t>7</w:t>
            </w:r>
            <w:r w:rsidRPr="00626D3F">
              <w:rPr>
                <w:noProof/>
              </w:rPr>
              <w:fldChar w:fldCharType="end"/>
            </w:r>
            <w:r w:rsidRPr="00626D3F">
              <w:t xml:space="preserve">: Mass of refrigerant in pre-charged equipment imports of stationary AC from 2012 to 2019 (with a charge greater than 800 grams and less than or equal to 2.6 kg) by refrigerant type in </w:t>
            </w:r>
            <w:proofErr w:type="spellStart"/>
            <w:r w:rsidRPr="00626D3F">
              <w:t>tonnes</w:t>
            </w:r>
            <w:proofErr w:type="spellEnd"/>
            <w:r w:rsidRPr="00626D3F">
              <w:t>.</w:t>
            </w:r>
            <w:bookmarkEnd w:id="43"/>
          </w:p>
        </w:tc>
      </w:tr>
    </w:tbl>
    <w:p w14:paraId="79900BBA" w14:textId="77777777" w:rsidR="00626D90" w:rsidRPr="003B5462" w:rsidRDefault="00626D90" w:rsidP="00626D90">
      <w:pPr>
        <w:spacing w:before="0"/>
        <w:rPr>
          <w:sz w:val="20"/>
          <w:szCs w:val="20"/>
          <w:lang w:val="en-US"/>
        </w:rPr>
      </w:pPr>
      <w:r w:rsidRPr="003B5462">
        <w:rPr>
          <w:sz w:val="20"/>
          <w:szCs w:val="20"/>
          <w:lang w:val="en-US"/>
        </w:rPr>
        <w:t>(Source: D</w:t>
      </w:r>
      <w:r>
        <w:rPr>
          <w:sz w:val="20"/>
          <w:szCs w:val="20"/>
          <w:lang w:val="en-US"/>
        </w:rPr>
        <w:t>AWE</w:t>
      </w:r>
      <w:r w:rsidRPr="003B5462">
        <w:rPr>
          <w:sz w:val="20"/>
          <w:szCs w:val="20"/>
          <w:lang w:val="en-US"/>
        </w:rPr>
        <w:t xml:space="preserve"> 20</w:t>
      </w:r>
      <w:r>
        <w:rPr>
          <w:sz w:val="20"/>
          <w:szCs w:val="20"/>
          <w:lang w:val="en-US"/>
        </w:rPr>
        <w:t>20</w:t>
      </w:r>
      <w:r w:rsidRPr="003B5462">
        <w:rPr>
          <w:sz w:val="20"/>
          <w:szCs w:val="20"/>
          <w:lang w:val="en-US"/>
        </w:rPr>
        <w:t>)</w:t>
      </w:r>
    </w:p>
    <w:p w14:paraId="261ECA05" w14:textId="77777777" w:rsidR="00626D90" w:rsidRDefault="00626D90" w:rsidP="00626D90">
      <w:pPr>
        <w:rPr>
          <w:rFonts w:cs="Times New Roman"/>
          <w:szCs w:val="22"/>
          <w:highlight w:val="yellow"/>
        </w:rPr>
      </w:pPr>
    </w:p>
    <w:p w14:paraId="0638E794" w14:textId="77777777" w:rsidR="00626D90" w:rsidRPr="00DF7E77" w:rsidRDefault="00626D90" w:rsidP="00626D90">
      <w:pPr>
        <w:rPr>
          <w:rFonts w:cs="Times New Roman"/>
          <w:szCs w:val="22"/>
        </w:rPr>
      </w:pPr>
      <w:r w:rsidRPr="00DF7E77">
        <w:rPr>
          <w:rFonts w:cs="Times New Roman"/>
          <w:szCs w:val="22"/>
        </w:rPr>
        <w:t xml:space="preserve">Ducted and non-ducted air conditioners (excluding portable AC) up to 65 kW must satisfy Minimum Energy Performance Standards (MEPS) and be registered under the </w:t>
      </w:r>
      <w:r w:rsidRPr="00DF7E77">
        <w:rPr>
          <w:rFonts w:cs="Times New Roman"/>
          <w:i/>
          <w:iCs/>
          <w:szCs w:val="22"/>
        </w:rPr>
        <w:t>Greenhouse and Energy Minimum Standards (GEMS) Act 2012</w:t>
      </w:r>
      <w:r w:rsidRPr="00DF7E77">
        <w:rPr>
          <w:rFonts w:cs="Times New Roman"/>
          <w:szCs w:val="22"/>
        </w:rPr>
        <w:t>. The registration details include the refrigerant type.</w:t>
      </w:r>
      <w:r w:rsidRPr="00DF7E77">
        <w:rPr>
          <w:rStyle w:val="FootnoteReference"/>
          <w:rFonts w:ascii="Times New Roman" w:hAnsi="Times New Roman" w:cs="Times New Roman"/>
          <w:szCs w:val="22"/>
        </w:rPr>
        <w:footnoteReference w:id="17"/>
      </w:r>
      <w:r w:rsidRPr="00DF7E77">
        <w:rPr>
          <w:rFonts w:cs="Times New Roman"/>
          <w:szCs w:val="22"/>
        </w:rPr>
        <w:t xml:space="preserve"> As of the 1</w:t>
      </w:r>
      <w:r w:rsidRPr="00DF7E77">
        <w:rPr>
          <w:rFonts w:cs="Times New Roman"/>
          <w:szCs w:val="22"/>
          <w:vertAlign w:val="superscript"/>
        </w:rPr>
        <w:t>st</w:t>
      </w:r>
      <w:r w:rsidRPr="00DF7E77">
        <w:rPr>
          <w:rFonts w:cs="Times New Roman"/>
          <w:szCs w:val="22"/>
        </w:rPr>
        <w:t xml:space="preserve"> of July 2020, the count of GEMS registered models operating on HFC-32 was: </w:t>
      </w:r>
    </w:p>
    <w:p w14:paraId="5018D05D" w14:textId="77777777" w:rsidR="00626D90" w:rsidRPr="00DF7E77" w:rsidRDefault="00626D90" w:rsidP="00626D90">
      <w:pPr>
        <w:pStyle w:val="ListParagraph"/>
        <w:numPr>
          <w:ilvl w:val="0"/>
          <w:numId w:val="21"/>
        </w:numPr>
        <w:spacing w:before="120" w:after="0" w:line="240" w:lineRule="auto"/>
        <w:ind w:left="357" w:hanging="357"/>
        <w:contextualSpacing w:val="0"/>
        <w:jc w:val="both"/>
        <w:rPr>
          <w:rFonts w:ascii="Times New Roman" w:hAnsi="Times New Roman"/>
        </w:rPr>
      </w:pPr>
      <w:r w:rsidRPr="00DF7E77">
        <w:rPr>
          <w:rFonts w:ascii="Times New Roman" w:hAnsi="Times New Roman"/>
        </w:rPr>
        <w:t>916 non-ducted split systems registered (48% of all registered non-ducted single split systems</w:t>
      </w:r>
      <w:proofErr w:type="gramStart"/>
      <w:r w:rsidRPr="00DF7E77">
        <w:rPr>
          <w:rFonts w:ascii="Times New Roman" w:hAnsi="Times New Roman"/>
        </w:rPr>
        <w:t>);</w:t>
      </w:r>
      <w:proofErr w:type="gramEnd"/>
    </w:p>
    <w:p w14:paraId="62FE5115" w14:textId="77777777" w:rsidR="00626D90" w:rsidRPr="00DF7E77" w:rsidRDefault="00626D90" w:rsidP="00626D90">
      <w:pPr>
        <w:pStyle w:val="ListParagraph"/>
        <w:numPr>
          <w:ilvl w:val="0"/>
          <w:numId w:val="21"/>
        </w:numPr>
        <w:spacing w:before="120" w:after="0" w:line="240" w:lineRule="auto"/>
        <w:ind w:left="357" w:hanging="357"/>
        <w:contextualSpacing w:val="0"/>
        <w:jc w:val="both"/>
        <w:rPr>
          <w:rFonts w:ascii="Times New Roman" w:hAnsi="Times New Roman"/>
        </w:rPr>
      </w:pPr>
      <w:r w:rsidRPr="00DF7E77">
        <w:rPr>
          <w:rFonts w:ascii="Times New Roman" w:hAnsi="Times New Roman"/>
        </w:rPr>
        <w:t>110 window/wall models (58% of all registered window/wall); and,</w:t>
      </w:r>
    </w:p>
    <w:p w14:paraId="51796F8A" w14:textId="77777777" w:rsidR="00626D90" w:rsidRPr="00E72B73" w:rsidRDefault="00626D90" w:rsidP="00626D90">
      <w:pPr>
        <w:pStyle w:val="ListParagraph"/>
        <w:numPr>
          <w:ilvl w:val="0"/>
          <w:numId w:val="21"/>
        </w:numPr>
        <w:spacing w:before="120" w:after="0" w:line="240" w:lineRule="auto"/>
        <w:ind w:left="357" w:hanging="357"/>
        <w:contextualSpacing w:val="0"/>
        <w:jc w:val="both"/>
        <w:rPr>
          <w:rFonts w:ascii="Times New Roman" w:hAnsi="Times New Roman"/>
        </w:rPr>
      </w:pPr>
      <w:r w:rsidRPr="00DF7E77">
        <w:rPr>
          <w:rFonts w:ascii="Times New Roman" w:hAnsi="Times New Roman"/>
        </w:rPr>
        <w:t>182 single split ducted models (21% of all registered single</w:t>
      </w:r>
      <w:r w:rsidRPr="00E72B73">
        <w:rPr>
          <w:rFonts w:ascii="Times New Roman" w:hAnsi="Times New Roman"/>
        </w:rPr>
        <w:t xml:space="preserve"> split ducted). </w:t>
      </w:r>
    </w:p>
    <w:p w14:paraId="3AB8E3F7" w14:textId="77777777" w:rsidR="00626D90" w:rsidRPr="00397ED6" w:rsidRDefault="00626D90" w:rsidP="00626D90">
      <w:r w:rsidRPr="002816D2">
        <w:rPr>
          <w:szCs w:val="22"/>
        </w:rPr>
        <w:t>It should be noted however that GEMS</w:t>
      </w:r>
      <w:r>
        <w:rPr>
          <w:szCs w:val="22"/>
        </w:rPr>
        <w:t xml:space="preserve"> data is not sales weighted data, and includes all registered models including those that are no longer on the market. Nonetheless</w:t>
      </w:r>
      <w:r>
        <w:rPr>
          <w:i/>
          <w:iCs/>
          <w:szCs w:val="22"/>
        </w:rPr>
        <w:t xml:space="preserve"> </w:t>
      </w:r>
      <w:r w:rsidRPr="00626D3F">
        <w:rPr>
          <w:i/>
          <w:iCs/>
          <w:szCs w:val="22"/>
        </w:rPr>
        <w:t>Figure 8</w:t>
      </w:r>
      <w:r w:rsidRPr="00626D3F">
        <w:rPr>
          <w:szCs w:val="22"/>
        </w:rPr>
        <w:t xml:space="preserve"> suggests the current rate of transition of smaller portable devices to HFC-32 is </w:t>
      </w:r>
      <w:r>
        <w:rPr>
          <w:szCs w:val="22"/>
        </w:rPr>
        <w:t xml:space="preserve">slower </w:t>
      </w:r>
      <w:r w:rsidRPr="00626D3F">
        <w:rPr>
          <w:szCs w:val="22"/>
        </w:rPr>
        <w:t>than is apparent in the single split systems, and at the same time overall import volumes of portable devices are growing. Recent changes in energy efficiency requirements for some classes of small AC will potentially see a wider range of AC models employing HFC-32.</w:t>
      </w:r>
      <w:r w:rsidRPr="00626D3F">
        <w:rPr>
          <w:rStyle w:val="FootnoteReference"/>
          <w:szCs w:val="22"/>
        </w:rPr>
        <w:footnoteReference w:id="18"/>
      </w:r>
      <w:r>
        <w:rPr>
          <w:szCs w:val="22"/>
        </w:rPr>
        <w:t xml:space="preserve"> </w:t>
      </w:r>
    </w:p>
    <w:p w14:paraId="620E449C" w14:textId="77777777" w:rsidR="00626D90" w:rsidRDefault="00626D90" w:rsidP="00626D90"/>
    <w:p w14:paraId="586AF242" w14:textId="77777777" w:rsidR="00626D90" w:rsidRDefault="00626D90" w:rsidP="00626D90">
      <w:pPr>
        <w:spacing w:before="0"/>
        <w:jc w:val="left"/>
      </w:pPr>
      <w:r>
        <w:br w:type="page"/>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626D90" w:rsidRPr="00613398" w14:paraId="405E3743" w14:textId="77777777" w:rsidTr="00EF0FC0">
        <w:tc>
          <w:tcPr>
            <w:tcW w:w="9716" w:type="dxa"/>
            <w:vAlign w:val="center"/>
          </w:tcPr>
          <w:p w14:paraId="19DCA2CC" w14:textId="77777777" w:rsidR="00626D90" w:rsidRPr="00613398" w:rsidRDefault="00626D90" w:rsidP="00EF0FC0">
            <w:pPr>
              <w:spacing w:after="120"/>
              <w:jc w:val="center"/>
              <w:rPr>
                <w:b/>
              </w:rPr>
            </w:pPr>
            <w:r w:rsidRPr="00613398">
              <w:rPr>
                <w:b/>
              </w:rPr>
              <w:lastRenderedPageBreak/>
              <w:br w:type="page"/>
            </w:r>
            <w:r>
              <w:rPr>
                <w:b/>
              </w:rPr>
              <w:t>PCE imports of Stationary AC with charge &lt; 800 grams (Tonnes)</w:t>
            </w:r>
          </w:p>
        </w:tc>
      </w:tr>
      <w:tr w:rsidR="00626D90" w:rsidRPr="000F7FAE" w14:paraId="082E2AB6" w14:textId="77777777" w:rsidTr="00EF0FC0">
        <w:tc>
          <w:tcPr>
            <w:tcW w:w="9716" w:type="dxa"/>
            <w:vAlign w:val="center"/>
          </w:tcPr>
          <w:p w14:paraId="797AE64B" w14:textId="77777777" w:rsidR="00626D90" w:rsidRPr="000F7FAE" w:rsidRDefault="00626D90" w:rsidP="00EF0FC0">
            <w:pPr>
              <w:spacing w:before="60" w:after="60"/>
              <w:jc w:val="center"/>
              <w:rPr>
                <w:sz w:val="16"/>
                <w:szCs w:val="16"/>
              </w:rPr>
            </w:pPr>
          </w:p>
          <w:p w14:paraId="7AE1CD18" w14:textId="77777777" w:rsidR="00626D90" w:rsidRPr="000F7FAE" w:rsidRDefault="00626D90" w:rsidP="00EF0FC0">
            <w:pPr>
              <w:spacing w:before="60" w:after="60"/>
              <w:jc w:val="center"/>
              <w:rPr>
                <w:sz w:val="16"/>
                <w:szCs w:val="16"/>
              </w:rPr>
            </w:pPr>
            <w:r>
              <w:rPr>
                <w:noProof/>
              </w:rPr>
              <w:drawing>
                <wp:inline distT="0" distB="0" distL="0" distR="0" wp14:anchorId="6359BAD4" wp14:editId="04613222">
                  <wp:extent cx="5940000" cy="2752027"/>
                  <wp:effectExtent l="0" t="0" r="3810" b="4445"/>
                  <wp:docPr id="21" name="Picture 21" descr="Shows pre-charged stationary air conditioning equipment imports with charges less than 800 grams in metric tonnes. Imports double from around 70 tonnes in 2012, mostly HFC-410A with a little HFC-407C, to 140 tonnes in 2019, roughly half HFC-410A and half HF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000" cy="2752027"/>
                          </a:xfrm>
                          <a:prstGeom prst="rect">
                            <a:avLst/>
                          </a:prstGeom>
                        </pic:spPr>
                      </pic:pic>
                    </a:graphicData>
                  </a:graphic>
                </wp:inline>
              </w:drawing>
            </w:r>
          </w:p>
          <w:p w14:paraId="438609AE" w14:textId="77777777" w:rsidR="00626D90" w:rsidRPr="000F7FAE" w:rsidRDefault="00626D90" w:rsidP="00EF0FC0">
            <w:pPr>
              <w:spacing w:before="60" w:after="60"/>
              <w:jc w:val="center"/>
              <w:rPr>
                <w:sz w:val="16"/>
                <w:szCs w:val="16"/>
              </w:rPr>
            </w:pPr>
          </w:p>
        </w:tc>
      </w:tr>
      <w:tr w:rsidR="00626D90" w:rsidRPr="00923150" w14:paraId="3ECBE8CC" w14:textId="77777777" w:rsidTr="00EF0FC0">
        <w:tc>
          <w:tcPr>
            <w:tcW w:w="9716" w:type="dxa"/>
            <w:vAlign w:val="center"/>
          </w:tcPr>
          <w:p w14:paraId="6E293B11" w14:textId="77777777" w:rsidR="00626D90" w:rsidRPr="00EE7692" w:rsidRDefault="00626D90" w:rsidP="00EF0FC0">
            <w:pPr>
              <w:pStyle w:val="Caption"/>
            </w:pPr>
            <w:bookmarkStart w:id="44" w:name="_Toc525141332"/>
            <w:bookmarkStart w:id="45" w:name="_Toc46846963"/>
            <w:r w:rsidRPr="00626D3F">
              <w:t xml:space="preserve">Figure </w:t>
            </w:r>
            <w:r w:rsidRPr="00626D3F">
              <w:rPr>
                <w:noProof/>
              </w:rPr>
              <w:fldChar w:fldCharType="begin"/>
            </w:r>
            <w:r w:rsidRPr="00626D3F">
              <w:rPr>
                <w:noProof/>
              </w:rPr>
              <w:instrText xml:space="preserve"> SEQ Figure \* ARABIC </w:instrText>
            </w:r>
            <w:r w:rsidRPr="00626D3F">
              <w:rPr>
                <w:noProof/>
              </w:rPr>
              <w:fldChar w:fldCharType="separate"/>
            </w:r>
            <w:r>
              <w:rPr>
                <w:noProof/>
              </w:rPr>
              <w:t>8</w:t>
            </w:r>
            <w:r w:rsidRPr="00626D3F">
              <w:rPr>
                <w:noProof/>
              </w:rPr>
              <w:fldChar w:fldCharType="end"/>
            </w:r>
            <w:r w:rsidRPr="00626D3F">
              <w:t xml:space="preserve">: Mass of </w:t>
            </w:r>
            <w:r>
              <w:t>r</w:t>
            </w:r>
            <w:r w:rsidRPr="00626D3F">
              <w:t xml:space="preserve">efrigerant in pre-charged equipment imports of stationary AC from 2012 to 2019 (with a charge size less than 800 grams) by refrigerant type in </w:t>
            </w:r>
            <w:proofErr w:type="spellStart"/>
            <w:r w:rsidRPr="00626D3F">
              <w:t>tonnes</w:t>
            </w:r>
            <w:proofErr w:type="spellEnd"/>
            <w:r w:rsidRPr="00626D3F">
              <w:t>.</w:t>
            </w:r>
            <w:bookmarkEnd w:id="44"/>
            <w:bookmarkEnd w:id="45"/>
          </w:p>
        </w:tc>
      </w:tr>
    </w:tbl>
    <w:p w14:paraId="2FAEAA0F" w14:textId="77777777" w:rsidR="00626D90" w:rsidRPr="003B5462" w:rsidRDefault="00626D90" w:rsidP="00626D90">
      <w:pPr>
        <w:spacing w:before="0"/>
        <w:rPr>
          <w:sz w:val="20"/>
          <w:szCs w:val="20"/>
          <w:lang w:val="en-US"/>
        </w:rPr>
      </w:pPr>
      <w:r w:rsidRPr="003B5462">
        <w:rPr>
          <w:sz w:val="20"/>
          <w:szCs w:val="20"/>
          <w:lang w:val="en-US"/>
        </w:rPr>
        <w:t>(Source: D</w:t>
      </w:r>
      <w:r>
        <w:rPr>
          <w:sz w:val="20"/>
          <w:szCs w:val="20"/>
          <w:lang w:val="en-US"/>
        </w:rPr>
        <w:t>AWE</w:t>
      </w:r>
      <w:r w:rsidRPr="003B5462">
        <w:rPr>
          <w:sz w:val="20"/>
          <w:szCs w:val="20"/>
          <w:lang w:val="en-US"/>
        </w:rPr>
        <w:t xml:space="preserve"> 20</w:t>
      </w:r>
      <w:r>
        <w:rPr>
          <w:sz w:val="20"/>
          <w:szCs w:val="20"/>
          <w:lang w:val="en-US"/>
        </w:rPr>
        <w:t>20</w:t>
      </w:r>
      <w:r w:rsidRPr="003B5462">
        <w:rPr>
          <w:sz w:val="20"/>
          <w:szCs w:val="20"/>
          <w:lang w:val="en-US"/>
        </w:rPr>
        <w:t>)</w:t>
      </w:r>
    </w:p>
    <w:p w14:paraId="5ABED405" w14:textId="77777777" w:rsidR="00626D90" w:rsidRDefault="00626D90" w:rsidP="00626D90">
      <w:pPr>
        <w:rPr>
          <w:szCs w:val="22"/>
        </w:rPr>
      </w:pPr>
    </w:p>
    <w:p w14:paraId="65D8A419" w14:textId="77777777" w:rsidR="00626D90" w:rsidRDefault="00626D90" w:rsidP="00626D90">
      <w:pPr>
        <w:pStyle w:val="Heading2"/>
        <w:jc w:val="both"/>
      </w:pPr>
      <w:bookmarkStart w:id="46" w:name="_Toc46923727"/>
      <w:r>
        <w:t>Bulk refrigerant imports</w:t>
      </w:r>
      <w:bookmarkEnd w:id="40"/>
      <w:bookmarkEnd w:id="41"/>
      <w:bookmarkEnd w:id="46"/>
    </w:p>
    <w:p w14:paraId="431C3C95" w14:textId="77777777" w:rsidR="00626D90" w:rsidRDefault="00626D90" w:rsidP="00626D90">
      <w:pPr>
        <w:rPr>
          <w:szCs w:val="22"/>
        </w:rPr>
      </w:pPr>
      <w:r>
        <w:rPr>
          <w:szCs w:val="22"/>
        </w:rPr>
        <w:t xml:space="preserve">The second </w:t>
      </w:r>
      <w:r w:rsidRPr="007F3EA8">
        <w:rPr>
          <w:szCs w:val="22"/>
        </w:rPr>
        <w:t>source of growth in the bank is via the import of bulk refrigerant.</w:t>
      </w:r>
      <w:r>
        <w:rPr>
          <w:szCs w:val="22"/>
        </w:rPr>
        <w:t xml:space="preserve"> </w:t>
      </w:r>
      <w:r w:rsidRPr="007F3EA8">
        <w:rPr>
          <w:szCs w:val="22"/>
        </w:rPr>
        <w:t>A controlled substances licence</w:t>
      </w:r>
      <w:r>
        <w:rPr>
          <w:szCs w:val="22"/>
        </w:rPr>
        <w:t xml:space="preserve"> (and quota)</w:t>
      </w:r>
      <w:r w:rsidRPr="007F3EA8">
        <w:rPr>
          <w:szCs w:val="22"/>
        </w:rPr>
        <w:t xml:space="preserve"> is required to import bulk HCFCs and HFCs</w:t>
      </w:r>
      <w:r>
        <w:rPr>
          <w:szCs w:val="22"/>
        </w:rPr>
        <w:t>,</w:t>
      </w:r>
      <w:r w:rsidRPr="007F3EA8">
        <w:rPr>
          <w:szCs w:val="22"/>
        </w:rPr>
        <w:t xml:space="preserve"> and holders of these licences are required to report all imports. </w:t>
      </w:r>
    </w:p>
    <w:p w14:paraId="2D4CF061" w14:textId="77777777" w:rsidR="00626D90" w:rsidRPr="007F3EA8" w:rsidRDefault="00626D90" w:rsidP="00626D90">
      <w:pPr>
        <w:rPr>
          <w:szCs w:val="22"/>
        </w:rPr>
      </w:pPr>
      <w:r w:rsidRPr="007F3EA8">
        <w:rPr>
          <w:szCs w:val="22"/>
        </w:rPr>
        <w:t xml:space="preserve">Bulk imports of </w:t>
      </w:r>
      <w:r>
        <w:rPr>
          <w:szCs w:val="22"/>
        </w:rPr>
        <w:t>HFCs and HCFCs</w:t>
      </w:r>
      <w:r w:rsidRPr="007F3EA8">
        <w:rPr>
          <w:szCs w:val="22"/>
        </w:rPr>
        <w:t xml:space="preserve"> occur </w:t>
      </w:r>
      <w:r>
        <w:rPr>
          <w:szCs w:val="22"/>
        </w:rPr>
        <w:t xml:space="preserve">mainly </w:t>
      </w:r>
      <w:r w:rsidRPr="007F3EA8">
        <w:rPr>
          <w:szCs w:val="22"/>
        </w:rPr>
        <w:t xml:space="preserve">in </w:t>
      </w:r>
      <w:r>
        <w:rPr>
          <w:szCs w:val="22"/>
        </w:rPr>
        <w:t>iso-</w:t>
      </w:r>
      <w:r w:rsidRPr="007F3EA8">
        <w:rPr>
          <w:szCs w:val="22"/>
        </w:rPr>
        <w:t>tanks containing as much as 18 tonnes each. Bulk imports are b</w:t>
      </w:r>
      <w:r>
        <w:rPr>
          <w:szCs w:val="22"/>
        </w:rPr>
        <w:t>r</w:t>
      </w:r>
      <w:r w:rsidRPr="007F3EA8">
        <w:rPr>
          <w:szCs w:val="22"/>
        </w:rPr>
        <w:t xml:space="preserve">ought into the country </w:t>
      </w:r>
      <w:r w:rsidRPr="000D691B">
        <w:rPr>
          <w:szCs w:val="22"/>
        </w:rPr>
        <w:t>by 35 licensed</w:t>
      </w:r>
      <w:r w:rsidRPr="007F3EA8">
        <w:rPr>
          <w:szCs w:val="22"/>
        </w:rPr>
        <w:t xml:space="preserve"> importers </w:t>
      </w:r>
      <w:r>
        <w:rPr>
          <w:szCs w:val="22"/>
        </w:rPr>
        <w:t xml:space="preserve">of HFCs and five </w:t>
      </w:r>
      <w:r w:rsidRPr="007F3EA8">
        <w:rPr>
          <w:szCs w:val="22"/>
        </w:rPr>
        <w:t xml:space="preserve">licensed importers </w:t>
      </w:r>
      <w:r>
        <w:rPr>
          <w:szCs w:val="22"/>
        </w:rPr>
        <w:t>of HCFCs. In 2012 there were only 17 controlled substances licence holders in total.</w:t>
      </w:r>
      <w:r>
        <w:rPr>
          <w:rStyle w:val="FootnoteReference"/>
          <w:szCs w:val="22"/>
        </w:rPr>
        <w:footnoteReference w:id="19"/>
      </w:r>
    </w:p>
    <w:p w14:paraId="7BAE8151" w14:textId="77777777" w:rsidR="00626D90" w:rsidRDefault="00626D90" w:rsidP="00626D90">
      <w:pPr>
        <w:rPr>
          <w:szCs w:val="22"/>
        </w:rPr>
      </w:pPr>
      <w:r w:rsidRPr="00761EEF">
        <w:rPr>
          <w:szCs w:val="22"/>
        </w:rPr>
        <w:t>In 201</w:t>
      </w:r>
      <w:r>
        <w:rPr>
          <w:szCs w:val="22"/>
        </w:rPr>
        <w:t>9</w:t>
      </w:r>
      <w:r w:rsidRPr="00761EEF">
        <w:rPr>
          <w:szCs w:val="22"/>
        </w:rPr>
        <w:t xml:space="preserve"> a total of 3,</w:t>
      </w:r>
      <w:r>
        <w:rPr>
          <w:szCs w:val="22"/>
        </w:rPr>
        <w:t>534</w:t>
      </w:r>
      <w:r w:rsidRPr="00761EEF">
        <w:rPr>
          <w:szCs w:val="22"/>
        </w:rPr>
        <w:t xml:space="preserve"> tonnes of HFCs and 45 tonnes of HCFCs were imported as bulk gas</w:t>
      </w:r>
      <w:r>
        <w:rPr>
          <w:szCs w:val="22"/>
        </w:rPr>
        <w:t>.</w:t>
      </w:r>
      <w:r w:rsidRPr="00761EEF">
        <w:rPr>
          <w:szCs w:val="22"/>
        </w:rPr>
        <w:t xml:space="preserve"> </w:t>
      </w:r>
      <w:r>
        <w:rPr>
          <w:szCs w:val="22"/>
        </w:rPr>
        <w:t>Total 2019 imports were 102 tonnes (432 kt CO</w:t>
      </w:r>
      <w:r w:rsidRPr="000D691B">
        <w:rPr>
          <w:szCs w:val="22"/>
          <w:vertAlign w:val="subscript"/>
        </w:rPr>
        <w:t>2</w:t>
      </w:r>
      <w:r>
        <w:rPr>
          <w:szCs w:val="22"/>
        </w:rPr>
        <w:t xml:space="preserve">e) less than 2018. Refer to </w:t>
      </w:r>
      <w:r w:rsidRPr="000D691B">
        <w:rPr>
          <w:i/>
          <w:iCs/>
          <w:szCs w:val="22"/>
        </w:rPr>
        <w:t>Appendix B</w:t>
      </w:r>
      <w:r>
        <w:rPr>
          <w:i/>
          <w:iCs/>
          <w:szCs w:val="22"/>
        </w:rPr>
        <w:t xml:space="preserve"> Tab </w:t>
      </w:r>
      <w:r w:rsidRPr="000D691B">
        <w:rPr>
          <w:i/>
          <w:iCs/>
          <w:szCs w:val="22"/>
        </w:rPr>
        <w:t>4.1</w:t>
      </w:r>
      <w:r>
        <w:rPr>
          <w:szCs w:val="22"/>
        </w:rPr>
        <w:t xml:space="preserve"> for tabulated data on HFC and HCFC bulk imports from 2008 to 2019 in tonnes and in kt CO</w:t>
      </w:r>
      <w:r w:rsidRPr="000D691B">
        <w:rPr>
          <w:szCs w:val="22"/>
          <w:vertAlign w:val="subscript"/>
        </w:rPr>
        <w:t>2</w:t>
      </w:r>
      <w:r>
        <w:rPr>
          <w:szCs w:val="22"/>
        </w:rPr>
        <w:t>e.</w:t>
      </w:r>
    </w:p>
    <w:p w14:paraId="70A3F696" w14:textId="77777777" w:rsidR="00626D90" w:rsidRDefault="00626D90" w:rsidP="00626D90">
      <w:pPr>
        <w:rPr>
          <w:szCs w:val="22"/>
        </w:rPr>
      </w:pPr>
    </w:p>
    <w:p w14:paraId="5D37C390" w14:textId="77777777" w:rsidR="00626D90" w:rsidRDefault="00626D90" w:rsidP="00626D90">
      <w:pPr>
        <w:spacing w:before="0"/>
        <w:jc w:val="left"/>
        <w:rPr>
          <w:rFonts w:eastAsia="Times New Roman" w:cs="Times New Roman"/>
          <w:bCs/>
          <w:i/>
          <w:szCs w:val="20"/>
          <w:highlight w:val="yellow"/>
          <w:lang w:val="en-US"/>
        </w:rPr>
      </w:pPr>
      <w:r>
        <w:rPr>
          <w:highlight w:val="yellow"/>
        </w:rPr>
        <w:br w:type="page"/>
      </w:r>
    </w:p>
    <w:p w14:paraId="3F565AE2" w14:textId="77777777" w:rsidR="00626D90" w:rsidRPr="005973A5" w:rsidRDefault="00626D90" w:rsidP="00626D90">
      <w:pPr>
        <w:pStyle w:val="Caption"/>
        <w:keepNext/>
        <w:rPr>
          <w:szCs w:val="22"/>
        </w:rPr>
      </w:pPr>
      <w:bookmarkStart w:id="47" w:name="_Toc49756560"/>
      <w:r w:rsidRPr="005973A5">
        <w:lastRenderedPageBreak/>
        <w:t xml:space="preserve">Table </w:t>
      </w:r>
      <w:r w:rsidRPr="005973A5">
        <w:rPr>
          <w:noProof/>
        </w:rPr>
        <w:fldChar w:fldCharType="begin"/>
      </w:r>
      <w:r w:rsidRPr="005973A5">
        <w:rPr>
          <w:noProof/>
        </w:rPr>
        <w:instrText xml:space="preserve"> SEQ Table \* ARABIC </w:instrText>
      </w:r>
      <w:r w:rsidRPr="005973A5">
        <w:rPr>
          <w:noProof/>
        </w:rPr>
        <w:fldChar w:fldCharType="separate"/>
      </w:r>
      <w:r>
        <w:rPr>
          <w:noProof/>
        </w:rPr>
        <w:t>4</w:t>
      </w:r>
      <w:r w:rsidRPr="005973A5">
        <w:rPr>
          <w:noProof/>
        </w:rPr>
        <w:fldChar w:fldCharType="end"/>
      </w:r>
      <w:r w:rsidRPr="005973A5">
        <w:t xml:space="preserve">: Bulk imports of HCFCs and HFCs </w:t>
      </w:r>
      <w:r w:rsidRPr="005973A5">
        <w:rPr>
          <w:szCs w:val="22"/>
        </w:rPr>
        <w:t xml:space="preserve">in </w:t>
      </w:r>
      <w:proofErr w:type="spellStart"/>
      <w:r w:rsidRPr="005973A5">
        <w:rPr>
          <w:szCs w:val="22"/>
        </w:rPr>
        <w:t>tonnes</w:t>
      </w:r>
      <w:proofErr w:type="spellEnd"/>
      <w:r w:rsidRPr="005973A5">
        <w:rPr>
          <w:szCs w:val="22"/>
        </w:rPr>
        <w:t>.</w:t>
      </w:r>
      <w:bookmarkEnd w:id="47"/>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1672"/>
        <w:gridCol w:w="1673"/>
        <w:gridCol w:w="1673"/>
        <w:gridCol w:w="1673"/>
      </w:tblGrid>
      <w:tr w:rsidR="00626D90" w:rsidRPr="005973A5" w14:paraId="6580761F" w14:textId="77777777" w:rsidTr="00EF0FC0">
        <w:trPr>
          <w:trHeight w:val="684"/>
        </w:trPr>
        <w:tc>
          <w:tcPr>
            <w:tcW w:w="2807" w:type="dxa"/>
            <w:shd w:val="clear" w:color="auto" w:fill="B6DDE8" w:themeFill="accent5" w:themeFillTint="66"/>
            <w:vAlign w:val="center"/>
          </w:tcPr>
          <w:p w14:paraId="6EE95555" w14:textId="77777777" w:rsidR="00626D90" w:rsidRPr="005973A5" w:rsidRDefault="00626D90" w:rsidP="00EF0FC0">
            <w:pPr>
              <w:spacing w:after="120"/>
              <w:ind w:left="284"/>
              <w:rPr>
                <w:color w:val="000000" w:themeColor="text1"/>
                <w:szCs w:val="22"/>
              </w:rPr>
            </w:pPr>
            <w:r w:rsidRPr="005973A5">
              <w:rPr>
                <w:color w:val="000000" w:themeColor="text1"/>
                <w:szCs w:val="22"/>
              </w:rPr>
              <w:t>Species</w:t>
            </w:r>
          </w:p>
        </w:tc>
        <w:tc>
          <w:tcPr>
            <w:tcW w:w="1672" w:type="dxa"/>
            <w:shd w:val="clear" w:color="auto" w:fill="B6DDE8" w:themeFill="accent5" w:themeFillTint="66"/>
            <w:vAlign w:val="center"/>
          </w:tcPr>
          <w:p w14:paraId="087B97CA" w14:textId="77777777" w:rsidR="00626D90" w:rsidRPr="005973A5" w:rsidRDefault="00626D90" w:rsidP="00EF0FC0">
            <w:pPr>
              <w:spacing w:after="120"/>
              <w:jc w:val="center"/>
              <w:rPr>
                <w:color w:val="000000" w:themeColor="text1"/>
                <w:szCs w:val="22"/>
              </w:rPr>
            </w:pPr>
            <w:r w:rsidRPr="005973A5">
              <w:rPr>
                <w:color w:val="000000" w:themeColor="text1"/>
                <w:szCs w:val="22"/>
              </w:rPr>
              <w:t>2016</w:t>
            </w:r>
          </w:p>
        </w:tc>
        <w:tc>
          <w:tcPr>
            <w:tcW w:w="1673" w:type="dxa"/>
            <w:shd w:val="clear" w:color="auto" w:fill="B6DDE8" w:themeFill="accent5" w:themeFillTint="66"/>
            <w:vAlign w:val="center"/>
          </w:tcPr>
          <w:p w14:paraId="087AE83E" w14:textId="77777777" w:rsidR="00626D90" w:rsidRPr="005973A5" w:rsidRDefault="00626D90" w:rsidP="00EF0FC0">
            <w:pPr>
              <w:spacing w:before="60" w:after="60"/>
              <w:jc w:val="center"/>
              <w:rPr>
                <w:rFonts w:cs="Times New Roman"/>
                <w:szCs w:val="22"/>
              </w:rPr>
            </w:pPr>
            <w:r w:rsidRPr="005973A5">
              <w:rPr>
                <w:rFonts w:cs="Times New Roman"/>
                <w:szCs w:val="22"/>
              </w:rPr>
              <w:t>2017</w:t>
            </w:r>
          </w:p>
        </w:tc>
        <w:tc>
          <w:tcPr>
            <w:tcW w:w="1673" w:type="dxa"/>
            <w:shd w:val="clear" w:color="auto" w:fill="B6DDE8" w:themeFill="accent5" w:themeFillTint="66"/>
            <w:vAlign w:val="center"/>
          </w:tcPr>
          <w:p w14:paraId="6E2C4D6A" w14:textId="77777777" w:rsidR="00626D90" w:rsidRPr="005973A5" w:rsidRDefault="00626D90" w:rsidP="00EF0FC0">
            <w:pPr>
              <w:spacing w:before="60" w:after="60"/>
              <w:jc w:val="center"/>
              <w:rPr>
                <w:color w:val="000000" w:themeColor="text1"/>
                <w:szCs w:val="22"/>
              </w:rPr>
            </w:pPr>
            <w:r w:rsidRPr="005973A5">
              <w:rPr>
                <w:color w:val="000000" w:themeColor="text1"/>
                <w:szCs w:val="22"/>
              </w:rPr>
              <w:t>2018</w:t>
            </w:r>
          </w:p>
        </w:tc>
        <w:tc>
          <w:tcPr>
            <w:tcW w:w="1673" w:type="dxa"/>
            <w:shd w:val="clear" w:color="auto" w:fill="B6DDE8" w:themeFill="accent5" w:themeFillTint="66"/>
            <w:vAlign w:val="center"/>
          </w:tcPr>
          <w:p w14:paraId="34A2D2DF" w14:textId="77777777" w:rsidR="00626D90" w:rsidRPr="005973A5" w:rsidRDefault="00626D90" w:rsidP="00EF0FC0">
            <w:pPr>
              <w:spacing w:before="60" w:after="60"/>
              <w:jc w:val="center"/>
              <w:rPr>
                <w:color w:val="000000" w:themeColor="text1"/>
                <w:szCs w:val="22"/>
              </w:rPr>
            </w:pPr>
            <w:r w:rsidRPr="005973A5">
              <w:rPr>
                <w:color w:val="000000" w:themeColor="text1"/>
                <w:szCs w:val="22"/>
              </w:rPr>
              <w:t>2019</w:t>
            </w:r>
          </w:p>
        </w:tc>
      </w:tr>
      <w:tr w:rsidR="00626D90" w:rsidRPr="005973A5" w14:paraId="4FF7486F" w14:textId="77777777" w:rsidTr="00EF0FC0">
        <w:trPr>
          <w:trHeight w:val="456"/>
        </w:trPr>
        <w:tc>
          <w:tcPr>
            <w:tcW w:w="2807" w:type="dxa"/>
            <w:vAlign w:val="center"/>
          </w:tcPr>
          <w:p w14:paraId="0C407D8C" w14:textId="77777777" w:rsidR="00626D90" w:rsidRPr="005973A5" w:rsidRDefault="00626D90" w:rsidP="00EF0FC0">
            <w:pPr>
              <w:spacing w:before="60" w:after="60"/>
              <w:ind w:left="284"/>
              <w:rPr>
                <w:rFonts w:cs="Times New Roman"/>
                <w:szCs w:val="22"/>
              </w:rPr>
            </w:pPr>
            <w:r w:rsidRPr="005973A5">
              <w:rPr>
                <w:rFonts w:cs="Times New Roman"/>
                <w:szCs w:val="22"/>
              </w:rPr>
              <w:t xml:space="preserve">HCFC-22 </w:t>
            </w:r>
            <w:r w:rsidRPr="005973A5">
              <w:rPr>
                <w:rFonts w:cs="Times New Roman"/>
                <w:szCs w:val="22"/>
                <w:vertAlign w:val="superscript"/>
              </w:rPr>
              <w:t>(1)</w:t>
            </w:r>
          </w:p>
        </w:tc>
        <w:tc>
          <w:tcPr>
            <w:tcW w:w="1672" w:type="dxa"/>
            <w:shd w:val="clear" w:color="auto" w:fill="auto"/>
            <w:vAlign w:val="center"/>
          </w:tcPr>
          <w:p w14:paraId="211D281F" w14:textId="77777777" w:rsidR="00626D90" w:rsidRPr="005973A5" w:rsidRDefault="00626D90" w:rsidP="00EF0FC0">
            <w:pPr>
              <w:spacing w:before="60" w:after="60"/>
              <w:jc w:val="center"/>
              <w:rPr>
                <w:rFonts w:cs="Times New Roman"/>
                <w:szCs w:val="22"/>
              </w:rPr>
            </w:pPr>
            <w:r w:rsidRPr="005973A5">
              <w:rPr>
                <w:rFonts w:cs="Times New Roman"/>
                <w:szCs w:val="22"/>
              </w:rPr>
              <w:t>45</w:t>
            </w:r>
          </w:p>
        </w:tc>
        <w:tc>
          <w:tcPr>
            <w:tcW w:w="1673" w:type="dxa"/>
            <w:shd w:val="clear" w:color="auto" w:fill="auto"/>
            <w:vAlign w:val="center"/>
          </w:tcPr>
          <w:p w14:paraId="7698F2F1" w14:textId="77777777" w:rsidR="00626D90" w:rsidRPr="005973A5" w:rsidRDefault="00626D90" w:rsidP="00EF0FC0">
            <w:pPr>
              <w:spacing w:before="60" w:after="60"/>
              <w:jc w:val="center"/>
              <w:rPr>
                <w:rFonts w:cs="Times New Roman"/>
                <w:szCs w:val="22"/>
              </w:rPr>
            </w:pPr>
            <w:r w:rsidRPr="005973A5">
              <w:rPr>
                <w:rFonts w:cs="Times New Roman"/>
                <w:szCs w:val="22"/>
              </w:rPr>
              <w:t>45</w:t>
            </w:r>
          </w:p>
        </w:tc>
        <w:tc>
          <w:tcPr>
            <w:tcW w:w="1673" w:type="dxa"/>
            <w:shd w:val="clear" w:color="auto" w:fill="auto"/>
            <w:vAlign w:val="center"/>
          </w:tcPr>
          <w:p w14:paraId="64AD04E7" w14:textId="77777777" w:rsidR="00626D90" w:rsidRPr="005973A5" w:rsidRDefault="00626D90" w:rsidP="00EF0FC0">
            <w:pPr>
              <w:spacing w:before="60" w:after="60"/>
              <w:jc w:val="center"/>
              <w:rPr>
                <w:rFonts w:cs="Times New Roman"/>
                <w:szCs w:val="22"/>
              </w:rPr>
            </w:pPr>
            <w:r w:rsidRPr="005973A5">
              <w:rPr>
                <w:rFonts w:cs="Times New Roman"/>
                <w:szCs w:val="22"/>
              </w:rPr>
              <w:t>45</w:t>
            </w:r>
          </w:p>
        </w:tc>
        <w:tc>
          <w:tcPr>
            <w:tcW w:w="1673" w:type="dxa"/>
            <w:vAlign w:val="center"/>
          </w:tcPr>
          <w:p w14:paraId="5CA20DC6" w14:textId="77777777" w:rsidR="00626D90" w:rsidRPr="005973A5" w:rsidRDefault="00626D90" w:rsidP="00EF0FC0">
            <w:pPr>
              <w:spacing w:before="60" w:after="60"/>
              <w:jc w:val="center"/>
              <w:rPr>
                <w:color w:val="000000" w:themeColor="text1"/>
                <w:szCs w:val="22"/>
              </w:rPr>
            </w:pPr>
            <w:r>
              <w:rPr>
                <w:color w:val="000000"/>
                <w:szCs w:val="22"/>
              </w:rPr>
              <w:t>45</w:t>
            </w:r>
          </w:p>
        </w:tc>
      </w:tr>
      <w:tr w:rsidR="00626D90" w:rsidRPr="005973A5" w14:paraId="7BC60D7B" w14:textId="77777777" w:rsidTr="00EF0FC0">
        <w:trPr>
          <w:trHeight w:val="456"/>
        </w:trPr>
        <w:tc>
          <w:tcPr>
            <w:tcW w:w="2807" w:type="dxa"/>
            <w:vAlign w:val="center"/>
          </w:tcPr>
          <w:p w14:paraId="5CA2AC8E" w14:textId="77777777" w:rsidR="00626D90" w:rsidRPr="005973A5" w:rsidRDefault="00626D90" w:rsidP="00EF0FC0">
            <w:pPr>
              <w:spacing w:before="60" w:after="60"/>
              <w:ind w:left="284"/>
              <w:rPr>
                <w:rFonts w:cs="Times New Roman"/>
                <w:szCs w:val="22"/>
              </w:rPr>
            </w:pPr>
            <w:r w:rsidRPr="005973A5">
              <w:rPr>
                <w:rFonts w:cs="Times New Roman"/>
                <w:szCs w:val="22"/>
              </w:rPr>
              <w:t>HFC-134a</w:t>
            </w:r>
          </w:p>
        </w:tc>
        <w:tc>
          <w:tcPr>
            <w:tcW w:w="1672" w:type="dxa"/>
            <w:shd w:val="clear" w:color="auto" w:fill="auto"/>
            <w:vAlign w:val="center"/>
          </w:tcPr>
          <w:p w14:paraId="67C2A271" w14:textId="77777777" w:rsidR="00626D90" w:rsidRPr="005973A5" w:rsidRDefault="00626D90" w:rsidP="00EF0FC0">
            <w:pPr>
              <w:spacing w:before="60" w:after="60"/>
              <w:jc w:val="center"/>
              <w:rPr>
                <w:rFonts w:cs="Times New Roman"/>
                <w:szCs w:val="22"/>
              </w:rPr>
            </w:pPr>
            <w:r w:rsidRPr="0017423B">
              <w:rPr>
                <w:rFonts w:cs="Times New Roman"/>
                <w:szCs w:val="22"/>
              </w:rPr>
              <w:t>1,541</w:t>
            </w:r>
          </w:p>
        </w:tc>
        <w:tc>
          <w:tcPr>
            <w:tcW w:w="1673" w:type="dxa"/>
            <w:shd w:val="clear" w:color="auto" w:fill="auto"/>
            <w:vAlign w:val="center"/>
          </w:tcPr>
          <w:p w14:paraId="30DEC79B" w14:textId="77777777" w:rsidR="00626D90" w:rsidRPr="005973A5" w:rsidRDefault="00626D90" w:rsidP="00EF0FC0">
            <w:pPr>
              <w:spacing w:before="60" w:after="60"/>
              <w:jc w:val="center"/>
              <w:rPr>
                <w:rFonts w:cs="Times New Roman"/>
                <w:szCs w:val="22"/>
              </w:rPr>
            </w:pPr>
            <w:r w:rsidRPr="0017423B">
              <w:rPr>
                <w:rFonts w:cs="Times New Roman"/>
                <w:szCs w:val="22"/>
              </w:rPr>
              <w:t>1,837</w:t>
            </w:r>
          </w:p>
        </w:tc>
        <w:tc>
          <w:tcPr>
            <w:tcW w:w="1673" w:type="dxa"/>
            <w:shd w:val="clear" w:color="auto" w:fill="auto"/>
            <w:vAlign w:val="center"/>
          </w:tcPr>
          <w:p w14:paraId="6D9C5721" w14:textId="77777777" w:rsidR="00626D90" w:rsidRPr="005973A5" w:rsidRDefault="00626D90" w:rsidP="00EF0FC0">
            <w:pPr>
              <w:spacing w:before="60" w:after="60"/>
              <w:jc w:val="center"/>
              <w:rPr>
                <w:rFonts w:cs="Times New Roman"/>
                <w:szCs w:val="22"/>
              </w:rPr>
            </w:pPr>
            <w:r w:rsidRPr="0017423B">
              <w:rPr>
                <w:rFonts w:cs="Times New Roman"/>
                <w:szCs w:val="22"/>
              </w:rPr>
              <w:t>1,552</w:t>
            </w:r>
          </w:p>
        </w:tc>
        <w:tc>
          <w:tcPr>
            <w:tcW w:w="1673" w:type="dxa"/>
            <w:vAlign w:val="center"/>
          </w:tcPr>
          <w:p w14:paraId="21C77451" w14:textId="77777777" w:rsidR="00626D90" w:rsidRPr="0017423B" w:rsidRDefault="00626D90" w:rsidP="00EF0FC0">
            <w:pPr>
              <w:spacing w:before="60" w:after="60"/>
              <w:jc w:val="center"/>
              <w:rPr>
                <w:rFonts w:cs="Times New Roman"/>
                <w:szCs w:val="22"/>
              </w:rPr>
            </w:pPr>
            <w:r>
              <w:rPr>
                <w:color w:val="000000"/>
                <w:szCs w:val="22"/>
              </w:rPr>
              <w:t>1,335</w:t>
            </w:r>
          </w:p>
        </w:tc>
      </w:tr>
      <w:tr w:rsidR="00626D90" w:rsidRPr="005973A5" w14:paraId="58AF5E0D" w14:textId="77777777" w:rsidTr="00EF0FC0">
        <w:trPr>
          <w:trHeight w:val="456"/>
        </w:trPr>
        <w:tc>
          <w:tcPr>
            <w:tcW w:w="2807" w:type="dxa"/>
            <w:vAlign w:val="center"/>
          </w:tcPr>
          <w:p w14:paraId="78002184" w14:textId="77777777" w:rsidR="00626D90" w:rsidRPr="005973A5" w:rsidRDefault="00626D90" w:rsidP="00EF0FC0">
            <w:pPr>
              <w:spacing w:before="60" w:after="60"/>
              <w:ind w:left="284"/>
              <w:rPr>
                <w:rFonts w:cs="Times New Roman"/>
                <w:szCs w:val="22"/>
              </w:rPr>
            </w:pPr>
            <w:r w:rsidRPr="005973A5">
              <w:rPr>
                <w:rFonts w:cs="Times New Roman"/>
                <w:szCs w:val="22"/>
              </w:rPr>
              <w:t>HFC-404A</w:t>
            </w:r>
          </w:p>
        </w:tc>
        <w:tc>
          <w:tcPr>
            <w:tcW w:w="1672" w:type="dxa"/>
            <w:shd w:val="clear" w:color="auto" w:fill="auto"/>
            <w:vAlign w:val="center"/>
          </w:tcPr>
          <w:p w14:paraId="3812AC48" w14:textId="77777777" w:rsidR="00626D90" w:rsidRPr="005973A5" w:rsidRDefault="00626D90" w:rsidP="00EF0FC0">
            <w:pPr>
              <w:spacing w:before="60" w:after="60"/>
              <w:jc w:val="center"/>
              <w:rPr>
                <w:rFonts w:cs="Times New Roman"/>
                <w:szCs w:val="22"/>
              </w:rPr>
            </w:pPr>
            <w:r w:rsidRPr="0017423B">
              <w:rPr>
                <w:rFonts w:cs="Times New Roman"/>
                <w:szCs w:val="22"/>
              </w:rPr>
              <w:t>384</w:t>
            </w:r>
          </w:p>
        </w:tc>
        <w:tc>
          <w:tcPr>
            <w:tcW w:w="1673" w:type="dxa"/>
            <w:shd w:val="clear" w:color="auto" w:fill="auto"/>
            <w:vAlign w:val="center"/>
          </w:tcPr>
          <w:p w14:paraId="3F680C37" w14:textId="77777777" w:rsidR="00626D90" w:rsidRPr="005973A5" w:rsidRDefault="00626D90" w:rsidP="00EF0FC0">
            <w:pPr>
              <w:spacing w:before="60" w:after="60"/>
              <w:jc w:val="center"/>
              <w:rPr>
                <w:rFonts w:cs="Times New Roman"/>
                <w:szCs w:val="22"/>
              </w:rPr>
            </w:pPr>
            <w:r w:rsidRPr="0017423B">
              <w:rPr>
                <w:rFonts w:cs="Times New Roman"/>
                <w:szCs w:val="22"/>
              </w:rPr>
              <w:t>2,008</w:t>
            </w:r>
            <w:r>
              <w:rPr>
                <w:rFonts w:cs="Times New Roman"/>
                <w:szCs w:val="22"/>
              </w:rPr>
              <w:t xml:space="preserve"> </w:t>
            </w:r>
            <w:r w:rsidRPr="00941713">
              <w:rPr>
                <w:rFonts w:cs="Times New Roman"/>
                <w:szCs w:val="22"/>
                <w:vertAlign w:val="superscript"/>
              </w:rPr>
              <w:t>(</w:t>
            </w:r>
            <w:r>
              <w:rPr>
                <w:rFonts w:cs="Times New Roman"/>
                <w:szCs w:val="22"/>
                <w:vertAlign w:val="superscript"/>
              </w:rPr>
              <w:t>6</w:t>
            </w:r>
            <w:r w:rsidRPr="00941713">
              <w:rPr>
                <w:rFonts w:cs="Times New Roman"/>
                <w:szCs w:val="22"/>
                <w:vertAlign w:val="superscript"/>
              </w:rPr>
              <w:t>)</w:t>
            </w:r>
          </w:p>
        </w:tc>
        <w:tc>
          <w:tcPr>
            <w:tcW w:w="1673" w:type="dxa"/>
            <w:shd w:val="clear" w:color="auto" w:fill="auto"/>
            <w:vAlign w:val="center"/>
          </w:tcPr>
          <w:p w14:paraId="15A96D74" w14:textId="77777777" w:rsidR="00626D90" w:rsidRPr="005973A5" w:rsidRDefault="00626D90" w:rsidP="00EF0FC0">
            <w:pPr>
              <w:spacing w:before="60" w:after="60"/>
              <w:jc w:val="center"/>
              <w:rPr>
                <w:rFonts w:cs="Times New Roman"/>
                <w:szCs w:val="22"/>
              </w:rPr>
            </w:pPr>
            <w:r w:rsidRPr="0017423B">
              <w:rPr>
                <w:rFonts w:cs="Times New Roman"/>
                <w:szCs w:val="22"/>
              </w:rPr>
              <w:t>699</w:t>
            </w:r>
          </w:p>
        </w:tc>
        <w:tc>
          <w:tcPr>
            <w:tcW w:w="1673" w:type="dxa"/>
            <w:vAlign w:val="center"/>
          </w:tcPr>
          <w:p w14:paraId="1FD8BBF5" w14:textId="77777777" w:rsidR="00626D90" w:rsidRPr="0017423B" w:rsidRDefault="00626D90" w:rsidP="00EF0FC0">
            <w:pPr>
              <w:spacing w:before="60" w:after="60"/>
              <w:jc w:val="center"/>
              <w:rPr>
                <w:rFonts w:cs="Times New Roman"/>
                <w:szCs w:val="22"/>
              </w:rPr>
            </w:pPr>
            <w:r>
              <w:rPr>
                <w:color w:val="000000"/>
                <w:szCs w:val="22"/>
              </w:rPr>
              <w:t>838</w:t>
            </w:r>
          </w:p>
        </w:tc>
      </w:tr>
      <w:tr w:rsidR="00626D90" w:rsidRPr="005973A5" w14:paraId="227F7EAE" w14:textId="77777777" w:rsidTr="00EF0FC0">
        <w:trPr>
          <w:trHeight w:val="456"/>
        </w:trPr>
        <w:tc>
          <w:tcPr>
            <w:tcW w:w="2807" w:type="dxa"/>
            <w:vAlign w:val="center"/>
          </w:tcPr>
          <w:p w14:paraId="5AB7ED77" w14:textId="77777777" w:rsidR="00626D90" w:rsidRPr="005973A5" w:rsidRDefault="00626D90" w:rsidP="00EF0FC0">
            <w:pPr>
              <w:spacing w:before="60" w:after="60"/>
              <w:ind w:left="284"/>
              <w:rPr>
                <w:rFonts w:cs="Times New Roman"/>
                <w:szCs w:val="22"/>
              </w:rPr>
            </w:pPr>
            <w:r w:rsidRPr="005973A5">
              <w:rPr>
                <w:rFonts w:cs="Times New Roman"/>
                <w:szCs w:val="22"/>
              </w:rPr>
              <w:t>HFC-407C</w:t>
            </w:r>
          </w:p>
        </w:tc>
        <w:tc>
          <w:tcPr>
            <w:tcW w:w="1672" w:type="dxa"/>
            <w:shd w:val="clear" w:color="auto" w:fill="auto"/>
            <w:vAlign w:val="center"/>
          </w:tcPr>
          <w:p w14:paraId="5D1DD8C7" w14:textId="77777777" w:rsidR="00626D90" w:rsidRPr="005973A5" w:rsidRDefault="00626D90" w:rsidP="00EF0FC0">
            <w:pPr>
              <w:spacing w:before="60" w:after="60"/>
              <w:jc w:val="center"/>
              <w:rPr>
                <w:rFonts w:cs="Times New Roman"/>
                <w:szCs w:val="22"/>
              </w:rPr>
            </w:pPr>
            <w:r w:rsidRPr="0017423B">
              <w:rPr>
                <w:rFonts w:cs="Times New Roman"/>
                <w:szCs w:val="22"/>
              </w:rPr>
              <w:t>190</w:t>
            </w:r>
          </w:p>
        </w:tc>
        <w:tc>
          <w:tcPr>
            <w:tcW w:w="1673" w:type="dxa"/>
            <w:shd w:val="clear" w:color="auto" w:fill="auto"/>
            <w:vAlign w:val="center"/>
          </w:tcPr>
          <w:p w14:paraId="5D122F5F" w14:textId="77777777" w:rsidR="00626D90" w:rsidRPr="005973A5" w:rsidRDefault="00626D90" w:rsidP="00EF0FC0">
            <w:pPr>
              <w:spacing w:before="60" w:after="60"/>
              <w:jc w:val="center"/>
              <w:rPr>
                <w:rFonts w:cs="Times New Roman"/>
                <w:szCs w:val="22"/>
              </w:rPr>
            </w:pPr>
            <w:r w:rsidRPr="0017423B">
              <w:rPr>
                <w:rFonts w:cs="Times New Roman"/>
                <w:szCs w:val="22"/>
              </w:rPr>
              <w:t>314</w:t>
            </w:r>
          </w:p>
        </w:tc>
        <w:tc>
          <w:tcPr>
            <w:tcW w:w="1673" w:type="dxa"/>
            <w:shd w:val="clear" w:color="auto" w:fill="auto"/>
            <w:vAlign w:val="center"/>
          </w:tcPr>
          <w:p w14:paraId="1DB02AA0" w14:textId="77777777" w:rsidR="00626D90" w:rsidRPr="005973A5" w:rsidRDefault="00626D90" w:rsidP="00EF0FC0">
            <w:pPr>
              <w:spacing w:before="60" w:after="60"/>
              <w:jc w:val="center"/>
              <w:rPr>
                <w:rFonts w:cs="Times New Roman"/>
                <w:szCs w:val="22"/>
              </w:rPr>
            </w:pPr>
            <w:r w:rsidRPr="0017423B">
              <w:rPr>
                <w:rFonts w:cs="Times New Roman"/>
                <w:szCs w:val="22"/>
              </w:rPr>
              <w:t>154</w:t>
            </w:r>
          </w:p>
        </w:tc>
        <w:tc>
          <w:tcPr>
            <w:tcW w:w="1673" w:type="dxa"/>
            <w:vAlign w:val="center"/>
          </w:tcPr>
          <w:p w14:paraId="0A60112C" w14:textId="77777777" w:rsidR="00626D90" w:rsidRPr="0017423B" w:rsidRDefault="00626D90" w:rsidP="00EF0FC0">
            <w:pPr>
              <w:spacing w:before="60" w:after="60"/>
              <w:jc w:val="center"/>
              <w:rPr>
                <w:rFonts w:cs="Times New Roman"/>
                <w:szCs w:val="22"/>
              </w:rPr>
            </w:pPr>
            <w:r>
              <w:rPr>
                <w:color w:val="000000"/>
                <w:szCs w:val="22"/>
              </w:rPr>
              <w:t>179</w:t>
            </w:r>
          </w:p>
        </w:tc>
      </w:tr>
      <w:tr w:rsidR="00626D90" w:rsidRPr="005973A5" w14:paraId="0F77425B" w14:textId="77777777" w:rsidTr="00EF0FC0">
        <w:trPr>
          <w:trHeight w:val="456"/>
        </w:trPr>
        <w:tc>
          <w:tcPr>
            <w:tcW w:w="2807" w:type="dxa"/>
            <w:vAlign w:val="center"/>
          </w:tcPr>
          <w:p w14:paraId="102BADCF" w14:textId="77777777" w:rsidR="00626D90" w:rsidRPr="005973A5" w:rsidRDefault="00626D90" w:rsidP="00EF0FC0">
            <w:pPr>
              <w:spacing w:before="60" w:after="60"/>
              <w:ind w:left="284"/>
              <w:rPr>
                <w:rFonts w:cs="Times New Roman"/>
                <w:szCs w:val="22"/>
              </w:rPr>
            </w:pPr>
            <w:r w:rsidRPr="005973A5">
              <w:rPr>
                <w:rFonts w:cs="Times New Roman"/>
                <w:szCs w:val="22"/>
              </w:rPr>
              <w:t>HFC-407A/F</w:t>
            </w:r>
          </w:p>
        </w:tc>
        <w:tc>
          <w:tcPr>
            <w:tcW w:w="1672" w:type="dxa"/>
            <w:shd w:val="clear" w:color="auto" w:fill="auto"/>
            <w:vAlign w:val="center"/>
          </w:tcPr>
          <w:p w14:paraId="76B79472" w14:textId="77777777" w:rsidR="00626D90" w:rsidRPr="005973A5" w:rsidRDefault="00626D90" w:rsidP="00EF0FC0">
            <w:pPr>
              <w:spacing w:before="60" w:after="60"/>
              <w:jc w:val="center"/>
              <w:rPr>
                <w:rFonts w:cs="Times New Roman"/>
                <w:szCs w:val="22"/>
              </w:rPr>
            </w:pPr>
            <w:r w:rsidRPr="0017423B">
              <w:rPr>
                <w:rFonts w:cs="Times New Roman"/>
                <w:szCs w:val="22"/>
              </w:rPr>
              <w:t>0</w:t>
            </w:r>
          </w:p>
        </w:tc>
        <w:tc>
          <w:tcPr>
            <w:tcW w:w="1673" w:type="dxa"/>
            <w:shd w:val="clear" w:color="auto" w:fill="auto"/>
            <w:vAlign w:val="center"/>
          </w:tcPr>
          <w:p w14:paraId="7BC6C6BB" w14:textId="77777777" w:rsidR="00626D90" w:rsidRPr="005973A5" w:rsidRDefault="00626D90" w:rsidP="00EF0FC0">
            <w:pPr>
              <w:spacing w:before="60" w:after="60"/>
              <w:jc w:val="center"/>
              <w:rPr>
                <w:rFonts w:cs="Times New Roman"/>
                <w:szCs w:val="22"/>
              </w:rPr>
            </w:pPr>
            <w:r w:rsidRPr="0017423B">
              <w:rPr>
                <w:rFonts w:cs="Times New Roman"/>
                <w:szCs w:val="22"/>
              </w:rPr>
              <w:t>0</w:t>
            </w:r>
          </w:p>
        </w:tc>
        <w:tc>
          <w:tcPr>
            <w:tcW w:w="1673" w:type="dxa"/>
            <w:shd w:val="clear" w:color="auto" w:fill="auto"/>
            <w:vAlign w:val="center"/>
          </w:tcPr>
          <w:p w14:paraId="13C2F4BD" w14:textId="77777777" w:rsidR="00626D90" w:rsidRPr="005973A5" w:rsidRDefault="00626D90" w:rsidP="00EF0FC0">
            <w:pPr>
              <w:spacing w:before="60" w:after="60"/>
              <w:jc w:val="center"/>
              <w:rPr>
                <w:rFonts w:cs="Times New Roman"/>
                <w:szCs w:val="22"/>
              </w:rPr>
            </w:pPr>
            <w:r w:rsidRPr="0017423B">
              <w:rPr>
                <w:rFonts w:cs="Times New Roman"/>
                <w:szCs w:val="22"/>
              </w:rPr>
              <w:t>0</w:t>
            </w:r>
          </w:p>
        </w:tc>
        <w:tc>
          <w:tcPr>
            <w:tcW w:w="1673" w:type="dxa"/>
            <w:vAlign w:val="center"/>
          </w:tcPr>
          <w:p w14:paraId="3933B36E" w14:textId="77777777" w:rsidR="00626D90" w:rsidRPr="0017423B" w:rsidRDefault="00626D90" w:rsidP="00EF0FC0">
            <w:pPr>
              <w:spacing w:before="60" w:after="60"/>
              <w:jc w:val="center"/>
              <w:rPr>
                <w:rFonts w:cs="Times New Roman"/>
                <w:szCs w:val="22"/>
              </w:rPr>
            </w:pPr>
            <w:r>
              <w:rPr>
                <w:color w:val="000000"/>
                <w:szCs w:val="22"/>
              </w:rPr>
              <w:t>1</w:t>
            </w:r>
          </w:p>
        </w:tc>
      </w:tr>
      <w:tr w:rsidR="00626D90" w:rsidRPr="005973A5" w14:paraId="04CB717D" w14:textId="77777777" w:rsidTr="00EF0FC0">
        <w:trPr>
          <w:trHeight w:val="456"/>
        </w:trPr>
        <w:tc>
          <w:tcPr>
            <w:tcW w:w="2807" w:type="dxa"/>
            <w:vAlign w:val="bottom"/>
          </w:tcPr>
          <w:p w14:paraId="6D3943CB" w14:textId="77777777" w:rsidR="00626D90" w:rsidRPr="005973A5" w:rsidRDefault="00626D90" w:rsidP="00EF0FC0">
            <w:pPr>
              <w:spacing w:before="60" w:after="60"/>
              <w:ind w:left="284"/>
              <w:rPr>
                <w:rFonts w:eastAsia="Times New Roman" w:cs="Times New Roman"/>
                <w:color w:val="000000"/>
                <w:szCs w:val="22"/>
              </w:rPr>
            </w:pPr>
            <w:r w:rsidRPr="005973A5">
              <w:rPr>
                <w:rFonts w:cs="Times New Roman"/>
                <w:szCs w:val="22"/>
              </w:rPr>
              <w:t>HFC-410A</w:t>
            </w:r>
          </w:p>
        </w:tc>
        <w:tc>
          <w:tcPr>
            <w:tcW w:w="1672" w:type="dxa"/>
            <w:shd w:val="clear" w:color="auto" w:fill="auto"/>
            <w:vAlign w:val="center"/>
          </w:tcPr>
          <w:p w14:paraId="48EABF6D" w14:textId="77777777" w:rsidR="00626D90" w:rsidRPr="005973A5" w:rsidRDefault="00626D90" w:rsidP="00EF0FC0">
            <w:pPr>
              <w:spacing w:before="60" w:after="60"/>
              <w:jc w:val="center"/>
              <w:rPr>
                <w:rFonts w:cs="Times New Roman"/>
                <w:szCs w:val="22"/>
              </w:rPr>
            </w:pPr>
            <w:r w:rsidRPr="0017423B">
              <w:rPr>
                <w:rFonts w:cs="Times New Roman"/>
                <w:szCs w:val="22"/>
              </w:rPr>
              <w:t>602</w:t>
            </w:r>
          </w:p>
        </w:tc>
        <w:tc>
          <w:tcPr>
            <w:tcW w:w="1673" w:type="dxa"/>
            <w:shd w:val="clear" w:color="auto" w:fill="auto"/>
            <w:vAlign w:val="center"/>
          </w:tcPr>
          <w:p w14:paraId="70BE9C06" w14:textId="77777777" w:rsidR="00626D90" w:rsidRPr="005973A5" w:rsidRDefault="00626D90" w:rsidP="00EF0FC0">
            <w:pPr>
              <w:spacing w:before="60" w:after="60"/>
              <w:jc w:val="center"/>
              <w:rPr>
                <w:rFonts w:cs="Times New Roman"/>
                <w:szCs w:val="22"/>
              </w:rPr>
            </w:pPr>
            <w:r w:rsidRPr="0017423B">
              <w:rPr>
                <w:rFonts w:cs="Times New Roman"/>
                <w:szCs w:val="22"/>
              </w:rPr>
              <w:t>953</w:t>
            </w:r>
          </w:p>
        </w:tc>
        <w:tc>
          <w:tcPr>
            <w:tcW w:w="1673" w:type="dxa"/>
            <w:shd w:val="clear" w:color="auto" w:fill="auto"/>
            <w:vAlign w:val="center"/>
          </w:tcPr>
          <w:p w14:paraId="5B7493CE" w14:textId="77777777" w:rsidR="00626D90" w:rsidRPr="005973A5" w:rsidRDefault="00626D90" w:rsidP="00EF0FC0">
            <w:pPr>
              <w:spacing w:before="60" w:after="60"/>
              <w:jc w:val="center"/>
              <w:rPr>
                <w:rFonts w:cs="Times New Roman"/>
                <w:szCs w:val="22"/>
              </w:rPr>
            </w:pPr>
            <w:r w:rsidRPr="0017423B">
              <w:rPr>
                <w:rFonts w:cs="Times New Roman"/>
                <w:szCs w:val="22"/>
              </w:rPr>
              <w:t>999</w:t>
            </w:r>
          </w:p>
        </w:tc>
        <w:tc>
          <w:tcPr>
            <w:tcW w:w="1673" w:type="dxa"/>
            <w:vAlign w:val="center"/>
          </w:tcPr>
          <w:p w14:paraId="225728F8" w14:textId="77777777" w:rsidR="00626D90" w:rsidRPr="0017423B" w:rsidRDefault="00626D90" w:rsidP="00EF0FC0">
            <w:pPr>
              <w:spacing w:before="60" w:after="60"/>
              <w:jc w:val="center"/>
              <w:rPr>
                <w:rFonts w:cs="Times New Roman"/>
                <w:szCs w:val="22"/>
              </w:rPr>
            </w:pPr>
            <w:r>
              <w:rPr>
                <w:color w:val="000000"/>
                <w:szCs w:val="22"/>
              </w:rPr>
              <w:t>889</w:t>
            </w:r>
          </w:p>
        </w:tc>
      </w:tr>
      <w:tr w:rsidR="00626D90" w:rsidRPr="005973A5" w14:paraId="74F9ABCD" w14:textId="77777777" w:rsidTr="00EF0FC0">
        <w:trPr>
          <w:trHeight w:val="456"/>
        </w:trPr>
        <w:tc>
          <w:tcPr>
            <w:tcW w:w="2807" w:type="dxa"/>
            <w:vAlign w:val="bottom"/>
          </w:tcPr>
          <w:p w14:paraId="0BCD6F27" w14:textId="77777777" w:rsidR="00626D90" w:rsidRPr="005973A5" w:rsidRDefault="00626D90" w:rsidP="00EF0FC0">
            <w:pPr>
              <w:spacing w:before="60" w:after="60"/>
              <w:ind w:left="284"/>
              <w:rPr>
                <w:rFonts w:cs="Times New Roman"/>
                <w:szCs w:val="22"/>
              </w:rPr>
            </w:pPr>
            <w:r w:rsidRPr="005973A5">
              <w:rPr>
                <w:rFonts w:eastAsia="Times New Roman" w:cs="Times New Roman"/>
                <w:color w:val="000000"/>
                <w:szCs w:val="22"/>
              </w:rPr>
              <w:t xml:space="preserve">HCFC/CFC Replacements </w:t>
            </w:r>
            <w:r w:rsidRPr="005973A5">
              <w:rPr>
                <w:rFonts w:eastAsia="Times New Roman" w:cs="Times New Roman"/>
                <w:color w:val="000000"/>
                <w:szCs w:val="22"/>
                <w:vertAlign w:val="superscript"/>
              </w:rPr>
              <w:t>(2)</w:t>
            </w:r>
          </w:p>
        </w:tc>
        <w:tc>
          <w:tcPr>
            <w:tcW w:w="1672" w:type="dxa"/>
            <w:shd w:val="clear" w:color="auto" w:fill="auto"/>
            <w:vAlign w:val="center"/>
          </w:tcPr>
          <w:p w14:paraId="632DDB1F" w14:textId="77777777" w:rsidR="00626D90" w:rsidRPr="005973A5" w:rsidRDefault="00626D90" w:rsidP="00EF0FC0">
            <w:pPr>
              <w:spacing w:before="60" w:after="60"/>
              <w:jc w:val="center"/>
              <w:rPr>
                <w:rFonts w:cs="Times New Roman"/>
                <w:szCs w:val="22"/>
              </w:rPr>
            </w:pPr>
            <w:r w:rsidRPr="0017423B">
              <w:rPr>
                <w:rFonts w:cs="Times New Roman"/>
                <w:szCs w:val="22"/>
              </w:rPr>
              <w:t>118</w:t>
            </w:r>
          </w:p>
        </w:tc>
        <w:tc>
          <w:tcPr>
            <w:tcW w:w="1673" w:type="dxa"/>
            <w:shd w:val="clear" w:color="auto" w:fill="auto"/>
            <w:vAlign w:val="center"/>
          </w:tcPr>
          <w:p w14:paraId="713C17B0" w14:textId="77777777" w:rsidR="00626D90" w:rsidRPr="005973A5" w:rsidRDefault="00626D90" w:rsidP="00EF0FC0">
            <w:pPr>
              <w:spacing w:before="60" w:after="60"/>
              <w:jc w:val="center"/>
              <w:rPr>
                <w:rFonts w:cs="Times New Roman"/>
                <w:szCs w:val="22"/>
              </w:rPr>
            </w:pPr>
            <w:r w:rsidRPr="0017423B">
              <w:rPr>
                <w:rFonts w:cs="Times New Roman"/>
                <w:szCs w:val="22"/>
              </w:rPr>
              <w:t>110</w:t>
            </w:r>
          </w:p>
        </w:tc>
        <w:tc>
          <w:tcPr>
            <w:tcW w:w="1673" w:type="dxa"/>
            <w:shd w:val="clear" w:color="auto" w:fill="auto"/>
            <w:vAlign w:val="center"/>
          </w:tcPr>
          <w:p w14:paraId="2965BC91" w14:textId="77777777" w:rsidR="00626D90" w:rsidRPr="005973A5" w:rsidRDefault="00626D90" w:rsidP="00EF0FC0">
            <w:pPr>
              <w:spacing w:before="60" w:after="60"/>
              <w:jc w:val="center"/>
              <w:rPr>
                <w:rFonts w:cs="Times New Roman"/>
                <w:szCs w:val="22"/>
              </w:rPr>
            </w:pPr>
            <w:r w:rsidRPr="0017423B">
              <w:rPr>
                <w:rFonts w:cs="Times New Roman"/>
                <w:szCs w:val="22"/>
              </w:rPr>
              <w:t>80</w:t>
            </w:r>
          </w:p>
        </w:tc>
        <w:tc>
          <w:tcPr>
            <w:tcW w:w="1673" w:type="dxa"/>
            <w:vAlign w:val="center"/>
          </w:tcPr>
          <w:p w14:paraId="3EFFC371" w14:textId="77777777" w:rsidR="00626D90" w:rsidRPr="0017423B" w:rsidRDefault="00626D90" w:rsidP="00EF0FC0">
            <w:pPr>
              <w:spacing w:before="60" w:after="60"/>
              <w:jc w:val="center"/>
              <w:rPr>
                <w:rFonts w:cs="Times New Roman"/>
                <w:szCs w:val="22"/>
              </w:rPr>
            </w:pPr>
            <w:r>
              <w:rPr>
                <w:color w:val="000000"/>
                <w:szCs w:val="22"/>
              </w:rPr>
              <w:t>111</w:t>
            </w:r>
          </w:p>
        </w:tc>
      </w:tr>
      <w:tr w:rsidR="00626D90" w:rsidRPr="005973A5" w14:paraId="24151571" w14:textId="77777777" w:rsidTr="00EF0FC0">
        <w:trPr>
          <w:trHeight w:val="456"/>
        </w:trPr>
        <w:tc>
          <w:tcPr>
            <w:tcW w:w="2807" w:type="dxa"/>
            <w:vAlign w:val="bottom"/>
          </w:tcPr>
          <w:p w14:paraId="2940CAF0" w14:textId="77777777" w:rsidR="00626D90" w:rsidRPr="005973A5" w:rsidRDefault="00626D90" w:rsidP="00EF0FC0">
            <w:pPr>
              <w:spacing w:before="60" w:after="60"/>
              <w:ind w:left="284"/>
              <w:rPr>
                <w:rFonts w:cs="Times New Roman"/>
                <w:szCs w:val="22"/>
              </w:rPr>
            </w:pPr>
            <w:r w:rsidRPr="005973A5">
              <w:rPr>
                <w:rFonts w:eastAsia="Times New Roman" w:cs="Times New Roman"/>
                <w:color w:val="000000"/>
                <w:szCs w:val="22"/>
              </w:rPr>
              <w:t>HFC-32</w:t>
            </w:r>
          </w:p>
        </w:tc>
        <w:tc>
          <w:tcPr>
            <w:tcW w:w="1672" w:type="dxa"/>
            <w:shd w:val="clear" w:color="auto" w:fill="auto"/>
            <w:vAlign w:val="center"/>
          </w:tcPr>
          <w:p w14:paraId="35B62F95" w14:textId="77777777" w:rsidR="00626D90" w:rsidRPr="005973A5" w:rsidRDefault="00626D90" w:rsidP="00EF0FC0">
            <w:pPr>
              <w:spacing w:before="60" w:after="60"/>
              <w:jc w:val="center"/>
              <w:rPr>
                <w:rFonts w:cs="Times New Roman"/>
                <w:szCs w:val="22"/>
              </w:rPr>
            </w:pPr>
            <w:r w:rsidRPr="0017423B">
              <w:rPr>
                <w:rFonts w:cs="Times New Roman"/>
                <w:szCs w:val="22"/>
              </w:rPr>
              <w:t>27</w:t>
            </w:r>
          </w:p>
        </w:tc>
        <w:tc>
          <w:tcPr>
            <w:tcW w:w="1673" w:type="dxa"/>
            <w:shd w:val="clear" w:color="auto" w:fill="auto"/>
            <w:vAlign w:val="center"/>
          </w:tcPr>
          <w:p w14:paraId="294C2B2A" w14:textId="77777777" w:rsidR="00626D90" w:rsidRPr="005973A5" w:rsidRDefault="00626D90" w:rsidP="00EF0FC0">
            <w:pPr>
              <w:spacing w:before="60" w:after="60"/>
              <w:jc w:val="center"/>
              <w:rPr>
                <w:rFonts w:cs="Times New Roman"/>
                <w:szCs w:val="22"/>
              </w:rPr>
            </w:pPr>
            <w:r w:rsidRPr="0017423B">
              <w:rPr>
                <w:rFonts w:cs="Times New Roman"/>
                <w:szCs w:val="22"/>
              </w:rPr>
              <w:t>31</w:t>
            </w:r>
          </w:p>
        </w:tc>
        <w:tc>
          <w:tcPr>
            <w:tcW w:w="1673" w:type="dxa"/>
            <w:shd w:val="clear" w:color="auto" w:fill="auto"/>
            <w:vAlign w:val="center"/>
          </w:tcPr>
          <w:p w14:paraId="6A20C166" w14:textId="77777777" w:rsidR="00626D90" w:rsidRPr="005973A5" w:rsidRDefault="00626D90" w:rsidP="00EF0FC0">
            <w:pPr>
              <w:spacing w:before="60" w:after="60"/>
              <w:jc w:val="center"/>
              <w:rPr>
                <w:rFonts w:cs="Times New Roman"/>
                <w:szCs w:val="22"/>
              </w:rPr>
            </w:pPr>
            <w:r w:rsidRPr="0017423B">
              <w:rPr>
                <w:rFonts w:cs="Times New Roman"/>
                <w:szCs w:val="22"/>
              </w:rPr>
              <w:t>68</w:t>
            </w:r>
          </w:p>
        </w:tc>
        <w:tc>
          <w:tcPr>
            <w:tcW w:w="1673" w:type="dxa"/>
            <w:vAlign w:val="center"/>
          </w:tcPr>
          <w:p w14:paraId="05A8496A" w14:textId="77777777" w:rsidR="00626D90" w:rsidRPr="0017423B" w:rsidRDefault="00626D90" w:rsidP="00EF0FC0">
            <w:pPr>
              <w:spacing w:before="60" w:after="60"/>
              <w:jc w:val="center"/>
              <w:rPr>
                <w:rFonts w:cs="Times New Roman"/>
                <w:szCs w:val="22"/>
              </w:rPr>
            </w:pPr>
            <w:r>
              <w:rPr>
                <w:color w:val="000000"/>
                <w:szCs w:val="22"/>
              </w:rPr>
              <w:t>64</w:t>
            </w:r>
          </w:p>
        </w:tc>
      </w:tr>
      <w:tr w:rsidR="00626D90" w:rsidRPr="005973A5" w14:paraId="7548B334" w14:textId="77777777" w:rsidTr="00EF0FC0">
        <w:trPr>
          <w:trHeight w:val="456"/>
        </w:trPr>
        <w:tc>
          <w:tcPr>
            <w:tcW w:w="2807" w:type="dxa"/>
            <w:vAlign w:val="center"/>
          </w:tcPr>
          <w:p w14:paraId="57E450CA" w14:textId="77777777" w:rsidR="00626D90" w:rsidRPr="005973A5" w:rsidRDefault="00626D90" w:rsidP="00EF0FC0">
            <w:pPr>
              <w:spacing w:before="60" w:after="60"/>
              <w:ind w:left="284"/>
              <w:rPr>
                <w:rFonts w:cs="Times New Roman"/>
                <w:szCs w:val="22"/>
              </w:rPr>
            </w:pPr>
            <w:r w:rsidRPr="005973A5">
              <w:rPr>
                <w:rFonts w:cs="Times New Roman"/>
                <w:szCs w:val="22"/>
              </w:rPr>
              <w:t>HF</w:t>
            </w:r>
            <w:r>
              <w:rPr>
                <w:rFonts w:cs="Times New Roman"/>
                <w:szCs w:val="22"/>
              </w:rPr>
              <w:t>O</w:t>
            </w:r>
            <w:r w:rsidRPr="005973A5">
              <w:rPr>
                <w:rFonts w:cs="Times New Roman"/>
                <w:szCs w:val="22"/>
              </w:rPr>
              <w:t>/HF</w:t>
            </w:r>
            <w:r>
              <w:rPr>
                <w:rFonts w:cs="Times New Roman"/>
                <w:szCs w:val="22"/>
              </w:rPr>
              <w:t>C</w:t>
            </w:r>
            <w:r w:rsidRPr="005973A5">
              <w:rPr>
                <w:rFonts w:cs="Times New Roman"/>
                <w:szCs w:val="22"/>
              </w:rPr>
              <w:t xml:space="preserve"> Blends </w:t>
            </w:r>
            <w:r w:rsidRPr="005973A5">
              <w:rPr>
                <w:rFonts w:cs="Times New Roman"/>
                <w:szCs w:val="22"/>
                <w:vertAlign w:val="superscript"/>
              </w:rPr>
              <w:t>(3)</w:t>
            </w:r>
          </w:p>
        </w:tc>
        <w:tc>
          <w:tcPr>
            <w:tcW w:w="1672" w:type="dxa"/>
            <w:shd w:val="clear" w:color="auto" w:fill="auto"/>
            <w:vAlign w:val="center"/>
          </w:tcPr>
          <w:p w14:paraId="6CFC2CD2" w14:textId="77777777" w:rsidR="00626D90" w:rsidRPr="005973A5" w:rsidRDefault="00626D90" w:rsidP="00EF0FC0">
            <w:pPr>
              <w:spacing w:before="60" w:after="60"/>
              <w:jc w:val="center"/>
              <w:rPr>
                <w:rFonts w:cs="Times New Roman"/>
                <w:szCs w:val="22"/>
              </w:rPr>
            </w:pPr>
            <w:r w:rsidRPr="0017423B">
              <w:rPr>
                <w:rFonts w:cs="Times New Roman"/>
                <w:szCs w:val="22"/>
              </w:rPr>
              <w:t>0.0</w:t>
            </w:r>
          </w:p>
        </w:tc>
        <w:tc>
          <w:tcPr>
            <w:tcW w:w="1673" w:type="dxa"/>
            <w:shd w:val="clear" w:color="auto" w:fill="auto"/>
            <w:vAlign w:val="center"/>
          </w:tcPr>
          <w:p w14:paraId="21507385" w14:textId="77777777" w:rsidR="00626D90" w:rsidRPr="005973A5" w:rsidRDefault="00626D90" w:rsidP="00EF0FC0">
            <w:pPr>
              <w:spacing w:before="60" w:after="60"/>
              <w:jc w:val="center"/>
              <w:rPr>
                <w:rFonts w:cs="Times New Roman"/>
                <w:szCs w:val="22"/>
              </w:rPr>
            </w:pPr>
            <w:r w:rsidRPr="0017423B">
              <w:rPr>
                <w:rFonts w:cs="Times New Roman"/>
                <w:szCs w:val="22"/>
              </w:rPr>
              <w:t>14.6</w:t>
            </w:r>
          </w:p>
        </w:tc>
        <w:tc>
          <w:tcPr>
            <w:tcW w:w="1673" w:type="dxa"/>
            <w:shd w:val="clear" w:color="auto" w:fill="auto"/>
            <w:vAlign w:val="center"/>
          </w:tcPr>
          <w:p w14:paraId="266C7947" w14:textId="77777777" w:rsidR="00626D90" w:rsidRPr="005973A5" w:rsidRDefault="00626D90" w:rsidP="00EF0FC0">
            <w:pPr>
              <w:spacing w:before="60" w:after="60"/>
              <w:jc w:val="center"/>
              <w:rPr>
                <w:rFonts w:cs="Times New Roman"/>
                <w:szCs w:val="22"/>
              </w:rPr>
            </w:pPr>
            <w:r w:rsidRPr="0017423B">
              <w:rPr>
                <w:rFonts w:cs="Times New Roman"/>
                <w:szCs w:val="22"/>
              </w:rPr>
              <w:t>28.7</w:t>
            </w:r>
          </w:p>
        </w:tc>
        <w:tc>
          <w:tcPr>
            <w:tcW w:w="1673" w:type="dxa"/>
            <w:vAlign w:val="center"/>
          </w:tcPr>
          <w:p w14:paraId="2A7568F8" w14:textId="77777777" w:rsidR="00626D90" w:rsidRPr="0017423B" w:rsidRDefault="00626D90" w:rsidP="00EF0FC0">
            <w:pPr>
              <w:spacing w:before="60" w:after="60"/>
              <w:jc w:val="center"/>
              <w:rPr>
                <w:rFonts w:cs="Times New Roman"/>
                <w:szCs w:val="22"/>
              </w:rPr>
            </w:pPr>
            <w:r>
              <w:rPr>
                <w:color w:val="000000"/>
                <w:szCs w:val="22"/>
              </w:rPr>
              <w:t>27</w:t>
            </w:r>
          </w:p>
        </w:tc>
      </w:tr>
      <w:tr w:rsidR="00626D90" w:rsidRPr="005973A5" w14:paraId="6C21B8F5" w14:textId="77777777" w:rsidTr="00EF0FC0">
        <w:trPr>
          <w:trHeight w:val="456"/>
        </w:trPr>
        <w:tc>
          <w:tcPr>
            <w:tcW w:w="2807" w:type="dxa"/>
            <w:vAlign w:val="center"/>
          </w:tcPr>
          <w:p w14:paraId="010FCC2E" w14:textId="77777777" w:rsidR="00626D90" w:rsidRPr="005973A5" w:rsidRDefault="00626D90" w:rsidP="00EF0FC0">
            <w:pPr>
              <w:spacing w:before="60" w:after="60"/>
              <w:ind w:left="284"/>
              <w:rPr>
                <w:rFonts w:cs="Times New Roman"/>
                <w:szCs w:val="22"/>
              </w:rPr>
            </w:pPr>
            <w:r w:rsidRPr="005973A5">
              <w:rPr>
                <w:rFonts w:cs="Times New Roman"/>
                <w:szCs w:val="22"/>
              </w:rPr>
              <w:t xml:space="preserve">HFC-Mix </w:t>
            </w:r>
            <w:r w:rsidRPr="005973A5">
              <w:rPr>
                <w:rFonts w:cs="Times New Roman"/>
                <w:szCs w:val="22"/>
                <w:vertAlign w:val="superscript"/>
              </w:rPr>
              <w:t>(4)</w:t>
            </w:r>
          </w:p>
        </w:tc>
        <w:tc>
          <w:tcPr>
            <w:tcW w:w="1672" w:type="dxa"/>
            <w:shd w:val="clear" w:color="auto" w:fill="auto"/>
            <w:vAlign w:val="center"/>
          </w:tcPr>
          <w:p w14:paraId="56189E9B" w14:textId="77777777" w:rsidR="00626D90" w:rsidRPr="005973A5" w:rsidRDefault="00626D90" w:rsidP="00EF0FC0">
            <w:pPr>
              <w:spacing w:before="60" w:after="60"/>
              <w:jc w:val="center"/>
              <w:rPr>
                <w:rFonts w:cs="Times New Roman"/>
                <w:szCs w:val="22"/>
              </w:rPr>
            </w:pPr>
            <w:r w:rsidRPr="0017423B">
              <w:rPr>
                <w:rFonts w:cs="Times New Roman"/>
                <w:szCs w:val="22"/>
              </w:rPr>
              <w:t>144</w:t>
            </w:r>
          </w:p>
        </w:tc>
        <w:tc>
          <w:tcPr>
            <w:tcW w:w="1673" w:type="dxa"/>
            <w:shd w:val="clear" w:color="auto" w:fill="auto"/>
            <w:vAlign w:val="center"/>
          </w:tcPr>
          <w:p w14:paraId="09898C5C" w14:textId="77777777" w:rsidR="00626D90" w:rsidRPr="005973A5" w:rsidRDefault="00626D90" w:rsidP="00EF0FC0">
            <w:pPr>
              <w:spacing w:before="60" w:after="60"/>
              <w:jc w:val="center"/>
              <w:rPr>
                <w:rFonts w:cs="Times New Roman"/>
                <w:szCs w:val="22"/>
              </w:rPr>
            </w:pPr>
            <w:r w:rsidRPr="0017423B">
              <w:rPr>
                <w:rFonts w:cs="Times New Roman"/>
                <w:szCs w:val="22"/>
              </w:rPr>
              <w:t>155</w:t>
            </w:r>
          </w:p>
        </w:tc>
        <w:tc>
          <w:tcPr>
            <w:tcW w:w="1673" w:type="dxa"/>
            <w:shd w:val="clear" w:color="auto" w:fill="auto"/>
            <w:vAlign w:val="center"/>
          </w:tcPr>
          <w:p w14:paraId="7CDA6183" w14:textId="77777777" w:rsidR="00626D90" w:rsidRPr="005973A5" w:rsidRDefault="00626D90" w:rsidP="00EF0FC0">
            <w:pPr>
              <w:spacing w:before="60" w:after="60"/>
              <w:jc w:val="center"/>
              <w:rPr>
                <w:rFonts w:cs="Times New Roman"/>
                <w:szCs w:val="22"/>
              </w:rPr>
            </w:pPr>
            <w:r w:rsidRPr="0017423B">
              <w:rPr>
                <w:rFonts w:cs="Times New Roman"/>
                <w:szCs w:val="22"/>
              </w:rPr>
              <w:t>79</w:t>
            </w:r>
          </w:p>
        </w:tc>
        <w:tc>
          <w:tcPr>
            <w:tcW w:w="1673" w:type="dxa"/>
            <w:vAlign w:val="center"/>
          </w:tcPr>
          <w:p w14:paraId="60DBD25A" w14:textId="77777777" w:rsidR="00626D90" w:rsidRPr="0017423B" w:rsidRDefault="00626D90" w:rsidP="00EF0FC0">
            <w:pPr>
              <w:spacing w:before="60" w:after="60"/>
              <w:jc w:val="center"/>
              <w:rPr>
                <w:rFonts w:cs="Times New Roman"/>
                <w:szCs w:val="22"/>
              </w:rPr>
            </w:pPr>
            <w:r>
              <w:rPr>
                <w:color w:val="000000"/>
                <w:szCs w:val="22"/>
              </w:rPr>
              <w:t>92</w:t>
            </w:r>
          </w:p>
        </w:tc>
      </w:tr>
      <w:tr w:rsidR="00626D90" w:rsidRPr="00923150" w14:paraId="39B18BC2" w14:textId="77777777" w:rsidTr="00EF0FC0">
        <w:trPr>
          <w:trHeight w:val="456"/>
        </w:trPr>
        <w:tc>
          <w:tcPr>
            <w:tcW w:w="2807" w:type="dxa"/>
            <w:vAlign w:val="center"/>
          </w:tcPr>
          <w:p w14:paraId="64C18F47" w14:textId="77777777" w:rsidR="00626D90" w:rsidRPr="005973A5" w:rsidRDefault="00626D90" w:rsidP="00EF0FC0">
            <w:pPr>
              <w:spacing w:before="60" w:after="60"/>
              <w:ind w:left="284"/>
              <w:rPr>
                <w:szCs w:val="22"/>
              </w:rPr>
            </w:pPr>
            <w:r w:rsidRPr="005973A5">
              <w:rPr>
                <w:szCs w:val="22"/>
              </w:rPr>
              <w:t>Total</w:t>
            </w:r>
            <w:r>
              <w:rPr>
                <w:szCs w:val="22"/>
              </w:rPr>
              <w:t xml:space="preserve"> HCFCs and HFCs </w:t>
            </w:r>
            <w:r w:rsidRPr="007F13E1">
              <w:rPr>
                <w:szCs w:val="22"/>
                <w:vertAlign w:val="superscript"/>
              </w:rPr>
              <w:t>(5)</w:t>
            </w:r>
          </w:p>
        </w:tc>
        <w:tc>
          <w:tcPr>
            <w:tcW w:w="1672" w:type="dxa"/>
            <w:shd w:val="clear" w:color="auto" w:fill="auto"/>
            <w:vAlign w:val="center"/>
          </w:tcPr>
          <w:p w14:paraId="70A295CB" w14:textId="77777777" w:rsidR="00626D90" w:rsidRPr="0017423B" w:rsidRDefault="00626D90" w:rsidP="00EF0FC0">
            <w:pPr>
              <w:spacing w:before="60" w:after="60"/>
              <w:jc w:val="center"/>
              <w:rPr>
                <w:rFonts w:cs="Times New Roman"/>
                <w:szCs w:val="22"/>
              </w:rPr>
            </w:pPr>
            <w:r w:rsidRPr="0017423B">
              <w:rPr>
                <w:rFonts w:cs="Times New Roman"/>
                <w:szCs w:val="22"/>
              </w:rPr>
              <w:t>3,0</w:t>
            </w:r>
            <w:r>
              <w:rPr>
                <w:rFonts w:cs="Times New Roman"/>
                <w:szCs w:val="22"/>
              </w:rPr>
              <w:t>58</w:t>
            </w:r>
          </w:p>
        </w:tc>
        <w:tc>
          <w:tcPr>
            <w:tcW w:w="1673" w:type="dxa"/>
            <w:shd w:val="clear" w:color="auto" w:fill="auto"/>
            <w:vAlign w:val="center"/>
          </w:tcPr>
          <w:p w14:paraId="28598861" w14:textId="77777777" w:rsidR="00626D90" w:rsidRPr="0017423B" w:rsidRDefault="00626D90" w:rsidP="00EF0FC0">
            <w:pPr>
              <w:spacing w:before="60" w:after="60"/>
              <w:jc w:val="center"/>
              <w:rPr>
                <w:rFonts w:cs="Times New Roman"/>
                <w:szCs w:val="22"/>
              </w:rPr>
            </w:pPr>
            <w:r w:rsidRPr="0017423B">
              <w:rPr>
                <w:rFonts w:cs="Times New Roman"/>
                <w:szCs w:val="22"/>
              </w:rPr>
              <w:t>5,</w:t>
            </w:r>
            <w:r>
              <w:rPr>
                <w:rFonts w:cs="Times New Roman"/>
                <w:szCs w:val="22"/>
              </w:rPr>
              <w:t>734</w:t>
            </w:r>
          </w:p>
        </w:tc>
        <w:tc>
          <w:tcPr>
            <w:tcW w:w="1673" w:type="dxa"/>
            <w:shd w:val="clear" w:color="auto" w:fill="auto"/>
            <w:vAlign w:val="center"/>
          </w:tcPr>
          <w:p w14:paraId="0DD1BFFE" w14:textId="77777777" w:rsidR="00626D90" w:rsidRPr="0017423B" w:rsidRDefault="00626D90" w:rsidP="00EF0FC0">
            <w:pPr>
              <w:spacing w:before="60" w:after="60"/>
              <w:jc w:val="center"/>
              <w:rPr>
                <w:rFonts w:cs="Times New Roman"/>
                <w:szCs w:val="22"/>
              </w:rPr>
            </w:pPr>
            <w:r w:rsidRPr="0017423B">
              <w:rPr>
                <w:rFonts w:cs="Times New Roman"/>
                <w:szCs w:val="22"/>
              </w:rPr>
              <w:t>3,7</w:t>
            </w:r>
            <w:r>
              <w:rPr>
                <w:rFonts w:cs="Times New Roman"/>
                <w:szCs w:val="22"/>
              </w:rPr>
              <w:t>57</w:t>
            </w:r>
          </w:p>
        </w:tc>
        <w:tc>
          <w:tcPr>
            <w:tcW w:w="1673" w:type="dxa"/>
            <w:vAlign w:val="center"/>
          </w:tcPr>
          <w:p w14:paraId="42BF2314" w14:textId="77777777" w:rsidR="00626D90" w:rsidRPr="0017423B" w:rsidRDefault="00626D90" w:rsidP="00EF0FC0">
            <w:pPr>
              <w:spacing w:before="60" w:after="60"/>
              <w:jc w:val="center"/>
              <w:rPr>
                <w:rFonts w:cs="Times New Roman"/>
                <w:szCs w:val="22"/>
              </w:rPr>
            </w:pPr>
            <w:r w:rsidRPr="006530FB">
              <w:rPr>
                <w:rFonts w:cs="Times New Roman"/>
                <w:szCs w:val="22"/>
              </w:rPr>
              <w:t>3</w:t>
            </w:r>
            <w:r>
              <w:rPr>
                <w:rFonts w:cs="Times New Roman"/>
                <w:szCs w:val="22"/>
              </w:rPr>
              <w:t>,</w:t>
            </w:r>
            <w:r w:rsidRPr="006530FB">
              <w:rPr>
                <w:rFonts w:cs="Times New Roman"/>
                <w:szCs w:val="22"/>
              </w:rPr>
              <w:t>596</w:t>
            </w:r>
            <w:r>
              <w:rPr>
                <w:rFonts w:cs="Times New Roman"/>
                <w:szCs w:val="22"/>
              </w:rPr>
              <w:t xml:space="preserve"> </w:t>
            </w:r>
            <w:r w:rsidRPr="00CE46E4">
              <w:rPr>
                <w:rFonts w:cs="Times New Roman"/>
                <w:szCs w:val="22"/>
                <w:vertAlign w:val="superscript"/>
              </w:rPr>
              <w:t>(7)</w:t>
            </w:r>
          </w:p>
        </w:tc>
      </w:tr>
    </w:tbl>
    <w:p w14:paraId="6B4B74FB" w14:textId="77777777" w:rsidR="00626D90" w:rsidRPr="00A8344F" w:rsidRDefault="00626D90" w:rsidP="00626D90">
      <w:pPr>
        <w:rPr>
          <w:sz w:val="20"/>
          <w:szCs w:val="20"/>
        </w:rPr>
      </w:pPr>
      <w:r>
        <w:rPr>
          <w:sz w:val="20"/>
          <w:szCs w:val="20"/>
        </w:rPr>
        <w:t>Notes:</w:t>
      </w:r>
    </w:p>
    <w:p w14:paraId="48D3A36A" w14:textId="77777777" w:rsidR="00626D90" w:rsidRPr="007545CC"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Maximum imports of HCFCs for 2016 to 2019 are capped at 2.5</w:t>
      </w:r>
      <w:r w:rsidRPr="007545CC">
        <w:rPr>
          <w:rFonts w:ascii="Times New Roman" w:hAnsi="Times New Roman"/>
          <w:sz w:val="20"/>
          <w:szCs w:val="20"/>
        </w:rPr>
        <w:t xml:space="preserve"> ODP tonnes</w:t>
      </w:r>
      <w:r>
        <w:rPr>
          <w:rFonts w:ascii="Times New Roman" w:hAnsi="Times New Roman"/>
          <w:sz w:val="20"/>
          <w:szCs w:val="20"/>
        </w:rPr>
        <w:t xml:space="preserve"> per annum</w:t>
      </w:r>
      <w:r w:rsidRPr="007545CC">
        <w:rPr>
          <w:rFonts w:ascii="Times New Roman" w:hAnsi="Times New Roman"/>
          <w:sz w:val="20"/>
          <w:szCs w:val="20"/>
        </w:rPr>
        <w:t xml:space="preserve">, which equates to 45.5 </w:t>
      </w:r>
      <w:r>
        <w:rPr>
          <w:rFonts w:ascii="Times New Roman" w:hAnsi="Times New Roman"/>
          <w:sz w:val="20"/>
          <w:szCs w:val="20"/>
        </w:rPr>
        <w:t xml:space="preserve">metric </w:t>
      </w:r>
      <w:r w:rsidRPr="007545CC">
        <w:rPr>
          <w:rFonts w:ascii="Times New Roman" w:hAnsi="Times New Roman"/>
          <w:sz w:val="20"/>
          <w:szCs w:val="20"/>
        </w:rPr>
        <w:t>tonnes of HCFC-22.</w:t>
      </w:r>
      <w:r>
        <w:rPr>
          <w:rFonts w:ascii="Times New Roman" w:hAnsi="Times New Roman"/>
          <w:sz w:val="20"/>
          <w:szCs w:val="20"/>
        </w:rPr>
        <w:t xml:space="preserve"> </w:t>
      </w:r>
    </w:p>
    <w:p w14:paraId="7A30F870" w14:textId="77777777" w:rsidR="00626D90"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sidRPr="00020F25">
        <w:rPr>
          <w:rFonts w:ascii="Times New Roman" w:hAnsi="Times New Roman"/>
          <w:sz w:val="20"/>
          <w:szCs w:val="20"/>
        </w:rPr>
        <w:t>HCFC-22/CFC retrofit replacements include HFC-422D, HFC-437A, HFC-417A, HFC-422A, HFC-438A, HFC-426A, HFC-424A, HFC-428A, HCFC-508A, HCFC-508B, HCFC-408A and HCFC-409A.</w:t>
      </w:r>
    </w:p>
    <w:p w14:paraId="43B7E636" w14:textId="77777777" w:rsidR="00626D90" w:rsidRPr="00546ACE" w:rsidRDefault="00626D90" w:rsidP="00626D90">
      <w:pPr>
        <w:pStyle w:val="ListParagraph"/>
        <w:numPr>
          <w:ilvl w:val="0"/>
          <w:numId w:val="8"/>
        </w:numPr>
        <w:spacing w:before="60" w:after="0" w:line="240" w:lineRule="auto"/>
        <w:contextualSpacing w:val="0"/>
        <w:jc w:val="both"/>
        <w:rPr>
          <w:rFonts w:ascii="Times New Roman" w:hAnsi="Times New Roman"/>
          <w:sz w:val="20"/>
          <w:szCs w:val="20"/>
        </w:rPr>
      </w:pPr>
      <w:r w:rsidRPr="00546ACE">
        <w:rPr>
          <w:rFonts w:ascii="Times New Roman" w:hAnsi="Times New Roman"/>
          <w:sz w:val="20"/>
          <w:szCs w:val="20"/>
        </w:rPr>
        <w:t xml:space="preserve">HFO/HFC blends includes R448A, R449A, R450A, R452A, R513A, R515A and others imported from 2017. The values in </w:t>
      </w:r>
      <w:r w:rsidRPr="00E372D5">
        <w:rPr>
          <w:rFonts w:ascii="Times New Roman" w:hAnsi="Times New Roman"/>
          <w:i/>
          <w:iCs/>
          <w:sz w:val="20"/>
          <w:szCs w:val="20"/>
        </w:rPr>
        <w:t>Table 4</w:t>
      </w:r>
      <w:r w:rsidRPr="00546ACE">
        <w:rPr>
          <w:rFonts w:ascii="Times New Roman" w:hAnsi="Times New Roman"/>
          <w:sz w:val="20"/>
          <w:szCs w:val="20"/>
        </w:rPr>
        <w:t xml:space="preserve"> include the HFC value only (</w:t>
      </w:r>
      <w:proofErr w:type="gramStart"/>
      <w:r w:rsidRPr="00546ACE">
        <w:rPr>
          <w:rFonts w:ascii="Times New Roman" w:hAnsi="Times New Roman"/>
          <w:sz w:val="20"/>
          <w:szCs w:val="20"/>
        </w:rPr>
        <w:t>i.e.</w:t>
      </w:r>
      <w:proofErr w:type="gramEnd"/>
      <w:r w:rsidRPr="00546ACE">
        <w:rPr>
          <w:rFonts w:ascii="Times New Roman" w:hAnsi="Times New Roman"/>
          <w:sz w:val="20"/>
          <w:szCs w:val="20"/>
        </w:rPr>
        <w:t xml:space="preserve"> 27 tonnes in 2019). The combined HFO and HFC value in 2019 is 41 tonnes which is consistent with 38 tonnes of HFO/HFC blends used, cited in </w:t>
      </w:r>
      <w:r w:rsidRPr="00E372D5">
        <w:rPr>
          <w:rFonts w:ascii="Times New Roman" w:hAnsi="Times New Roman"/>
          <w:i/>
          <w:iCs/>
          <w:sz w:val="20"/>
          <w:szCs w:val="20"/>
        </w:rPr>
        <w:t>Table 5</w:t>
      </w:r>
      <w:r w:rsidRPr="00546ACE">
        <w:rPr>
          <w:rFonts w:ascii="Times New Roman" w:hAnsi="Times New Roman"/>
          <w:sz w:val="20"/>
          <w:szCs w:val="20"/>
        </w:rPr>
        <w:t>.</w:t>
      </w:r>
    </w:p>
    <w:p w14:paraId="01077379" w14:textId="77777777" w:rsidR="00626D90"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sidRPr="007545CC">
        <w:rPr>
          <w:rFonts w:ascii="Times New Roman" w:hAnsi="Times New Roman"/>
          <w:sz w:val="20"/>
          <w:szCs w:val="20"/>
        </w:rPr>
        <w:t xml:space="preserve">Majority used in </w:t>
      </w:r>
      <w:r>
        <w:rPr>
          <w:rFonts w:ascii="Times New Roman" w:hAnsi="Times New Roman"/>
          <w:sz w:val="20"/>
          <w:szCs w:val="20"/>
        </w:rPr>
        <w:t>f</w:t>
      </w:r>
      <w:r w:rsidRPr="007545CC">
        <w:rPr>
          <w:rFonts w:ascii="Times New Roman" w:hAnsi="Times New Roman"/>
          <w:sz w:val="20"/>
          <w:szCs w:val="20"/>
        </w:rPr>
        <w:t xml:space="preserve">oam and </w:t>
      </w:r>
      <w:r>
        <w:rPr>
          <w:rFonts w:ascii="Times New Roman" w:hAnsi="Times New Roman"/>
          <w:sz w:val="20"/>
          <w:szCs w:val="20"/>
        </w:rPr>
        <w:t>f</w:t>
      </w:r>
      <w:r w:rsidRPr="007545CC">
        <w:rPr>
          <w:rFonts w:ascii="Times New Roman" w:hAnsi="Times New Roman"/>
          <w:sz w:val="20"/>
          <w:szCs w:val="20"/>
        </w:rPr>
        <w:t xml:space="preserve">ire </w:t>
      </w:r>
      <w:r>
        <w:rPr>
          <w:rFonts w:ascii="Times New Roman" w:hAnsi="Times New Roman"/>
          <w:sz w:val="20"/>
          <w:szCs w:val="20"/>
        </w:rPr>
        <w:t>p</w:t>
      </w:r>
      <w:r w:rsidRPr="007545CC">
        <w:rPr>
          <w:rFonts w:ascii="Times New Roman" w:hAnsi="Times New Roman"/>
          <w:sz w:val="20"/>
          <w:szCs w:val="20"/>
        </w:rPr>
        <w:t>rotection applications as well as HFC-125</w:t>
      </w:r>
      <w:r>
        <w:rPr>
          <w:rFonts w:ascii="Times New Roman" w:hAnsi="Times New Roman"/>
          <w:sz w:val="20"/>
          <w:szCs w:val="20"/>
        </w:rPr>
        <w:t xml:space="preserve"> that could be used in refrigerant blends</w:t>
      </w:r>
      <w:r w:rsidRPr="007545CC">
        <w:rPr>
          <w:rFonts w:ascii="Times New Roman" w:hAnsi="Times New Roman"/>
          <w:sz w:val="20"/>
          <w:szCs w:val="20"/>
        </w:rPr>
        <w:t>.</w:t>
      </w:r>
    </w:p>
    <w:p w14:paraId="15E591DF" w14:textId="77777777" w:rsidR="00626D90"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Sum of values in table do not add up to totals due to rounding.</w:t>
      </w:r>
    </w:p>
    <w:p w14:paraId="2319D23C" w14:textId="77777777" w:rsidR="00626D90"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 xml:space="preserve">The phase down of HFCs </w:t>
      </w:r>
      <w:r w:rsidRPr="00941713">
        <w:rPr>
          <w:rFonts w:ascii="Times New Roman" w:hAnsi="Times New Roman"/>
          <w:sz w:val="20"/>
          <w:szCs w:val="20"/>
        </w:rPr>
        <w:t>through a quota system for imports of HFCs as bulk gas</w:t>
      </w:r>
      <w:r>
        <w:rPr>
          <w:rFonts w:ascii="Times New Roman" w:hAnsi="Times New Roman"/>
          <w:sz w:val="20"/>
          <w:szCs w:val="20"/>
        </w:rPr>
        <w:t xml:space="preserve"> commenced on 1 January 2018.</w:t>
      </w:r>
    </w:p>
    <w:p w14:paraId="30A30BF2" w14:textId="77777777" w:rsidR="00626D90" w:rsidRPr="00CE46E4" w:rsidRDefault="00626D90" w:rsidP="00626D90">
      <w:pPr>
        <w:pStyle w:val="ListParagraph"/>
        <w:numPr>
          <w:ilvl w:val="0"/>
          <w:numId w:val="8"/>
        </w:numPr>
        <w:spacing w:before="60" w:after="0" w:line="240" w:lineRule="auto"/>
        <w:ind w:left="357" w:hanging="357"/>
        <w:contextualSpacing w:val="0"/>
        <w:jc w:val="both"/>
        <w:rPr>
          <w:rFonts w:ascii="Times New Roman" w:hAnsi="Times New Roman"/>
          <w:sz w:val="20"/>
          <w:szCs w:val="20"/>
        </w:rPr>
      </w:pPr>
      <w:r w:rsidRPr="00CE46E4">
        <w:rPr>
          <w:rFonts w:ascii="Times New Roman" w:hAnsi="Times New Roman"/>
          <w:sz w:val="20"/>
          <w:szCs w:val="20"/>
        </w:rPr>
        <w:t>The import value</w:t>
      </w:r>
      <w:r>
        <w:rPr>
          <w:rFonts w:ascii="Times New Roman" w:hAnsi="Times New Roman"/>
          <w:sz w:val="20"/>
          <w:szCs w:val="20"/>
        </w:rPr>
        <w:t>s</w:t>
      </w:r>
      <w:r w:rsidRPr="00CE46E4">
        <w:rPr>
          <w:rFonts w:ascii="Times New Roman" w:hAnsi="Times New Roman"/>
          <w:sz w:val="20"/>
          <w:szCs w:val="20"/>
        </w:rPr>
        <w:t xml:space="preserve"> </w:t>
      </w:r>
      <w:r>
        <w:rPr>
          <w:rFonts w:ascii="Times New Roman" w:hAnsi="Times New Roman"/>
          <w:sz w:val="20"/>
          <w:szCs w:val="20"/>
        </w:rPr>
        <w:t xml:space="preserve">are </w:t>
      </w:r>
      <w:r w:rsidRPr="00CE46E4">
        <w:rPr>
          <w:rFonts w:ascii="Times New Roman" w:hAnsi="Times New Roman"/>
          <w:sz w:val="20"/>
          <w:szCs w:val="20"/>
        </w:rPr>
        <w:t xml:space="preserve">net </w:t>
      </w:r>
      <w:r>
        <w:rPr>
          <w:rFonts w:ascii="Times New Roman" w:hAnsi="Times New Roman"/>
          <w:sz w:val="20"/>
          <w:szCs w:val="20"/>
        </w:rPr>
        <w:t>values</w:t>
      </w:r>
      <w:r w:rsidRPr="00CE46E4">
        <w:rPr>
          <w:rFonts w:ascii="Times New Roman" w:hAnsi="Times New Roman"/>
          <w:sz w:val="20"/>
          <w:szCs w:val="20"/>
        </w:rPr>
        <w:t xml:space="preserve"> imported that excludes the 5% allowance for the heel and 7.8 tonnes that were exported in 2019.</w:t>
      </w:r>
    </w:p>
    <w:p w14:paraId="7A0E1153" w14:textId="77777777" w:rsidR="00626D90" w:rsidRPr="007F13E1" w:rsidRDefault="00626D90" w:rsidP="00626D90">
      <w:pPr>
        <w:rPr>
          <w:sz w:val="20"/>
          <w:szCs w:val="20"/>
        </w:rPr>
      </w:pPr>
      <w:r w:rsidRPr="007F13E1">
        <w:rPr>
          <w:sz w:val="20"/>
          <w:szCs w:val="20"/>
        </w:rPr>
        <w:t xml:space="preserve"> </w:t>
      </w:r>
    </w:p>
    <w:p w14:paraId="08BB8D83" w14:textId="77777777" w:rsidR="00626D90" w:rsidRPr="00941713" w:rsidRDefault="00626D90" w:rsidP="00626D90">
      <w:pPr>
        <w:rPr>
          <w:sz w:val="20"/>
          <w:szCs w:val="20"/>
        </w:rPr>
      </w:pPr>
    </w:p>
    <w:p w14:paraId="1E30891F" w14:textId="77777777" w:rsidR="00626D90" w:rsidRDefault="00626D90" w:rsidP="00626D90">
      <w:pPr>
        <w:snapToGrid w:val="0"/>
        <w:rPr>
          <w:szCs w:val="22"/>
        </w:rPr>
      </w:pPr>
    </w:p>
    <w:p w14:paraId="47093C62" w14:textId="77777777" w:rsidR="00626D90" w:rsidRDefault="00626D90" w:rsidP="00626D90">
      <w:pPr>
        <w:snapToGrid w:val="0"/>
        <w:rPr>
          <w:szCs w:val="22"/>
        </w:rPr>
      </w:pPr>
    </w:p>
    <w:p w14:paraId="485E5870" w14:textId="77777777" w:rsidR="00626D90" w:rsidRPr="009E0BBC" w:rsidRDefault="00626D90" w:rsidP="00626D90">
      <w:pPr>
        <w:snapToGrid w:val="0"/>
        <w:rPr>
          <w:szCs w:val="22"/>
        </w:rPr>
      </w:pPr>
    </w:p>
    <w:p w14:paraId="66739C8C" w14:textId="77777777" w:rsidR="00626D90" w:rsidRDefault="00626D90" w:rsidP="00626D90">
      <w:pPr>
        <w:spacing w:before="0"/>
        <w:jc w:val="left"/>
        <w:rPr>
          <w:rFonts w:ascii="Calibri" w:eastAsia="Times New Roman" w:hAnsi="Calibri" w:cs="Times New Roman"/>
          <w:b/>
          <w:bCs/>
          <w:i/>
          <w:iCs/>
          <w:sz w:val="28"/>
          <w:szCs w:val="28"/>
          <w:lang w:val="en-US"/>
        </w:rPr>
      </w:pPr>
      <w:bookmarkStart w:id="48" w:name="_Toc525141290"/>
      <w:r>
        <w:br w:type="page"/>
      </w:r>
    </w:p>
    <w:p w14:paraId="7C499B38" w14:textId="77777777" w:rsidR="00626D90" w:rsidRPr="004E5550" w:rsidRDefault="00626D90" w:rsidP="00626D90">
      <w:pPr>
        <w:pStyle w:val="Heading2"/>
        <w:jc w:val="both"/>
      </w:pPr>
      <w:bookmarkStart w:id="49" w:name="_Toc46923728"/>
      <w:r>
        <w:lastRenderedPageBreak/>
        <w:t>Refrigerant usage</w:t>
      </w:r>
      <w:bookmarkEnd w:id="48"/>
      <w:r>
        <w:t xml:space="preserve"> – HCFCs and HFCs</w:t>
      </w:r>
      <w:bookmarkEnd w:id="49"/>
    </w:p>
    <w:p w14:paraId="2ED4B6EB" w14:textId="77777777" w:rsidR="00626D90" w:rsidRPr="00E46C29" w:rsidRDefault="00626D90" w:rsidP="00626D90">
      <w:pPr>
        <w:rPr>
          <w:szCs w:val="22"/>
        </w:rPr>
      </w:pPr>
      <w:r w:rsidRPr="00E46C29">
        <w:rPr>
          <w:szCs w:val="22"/>
        </w:rPr>
        <w:t xml:space="preserve">Insight </w:t>
      </w:r>
      <w:r>
        <w:rPr>
          <w:szCs w:val="22"/>
        </w:rPr>
        <w:t xml:space="preserve">into </w:t>
      </w:r>
      <w:r w:rsidRPr="00E46C29">
        <w:rPr>
          <w:szCs w:val="22"/>
        </w:rPr>
        <w:t>refrigerant</w:t>
      </w:r>
      <w:r>
        <w:rPr>
          <w:szCs w:val="22"/>
        </w:rPr>
        <w:t xml:space="preserve"> usage</w:t>
      </w:r>
      <w:r w:rsidRPr="00E46C29">
        <w:rPr>
          <w:szCs w:val="22"/>
        </w:rPr>
        <w:t xml:space="preserve"> in the Australian economy has </w:t>
      </w:r>
      <w:r>
        <w:rPr>
          <w:szCs w:val="22"/>
        </w:rPr>
        <w:t>significantly</w:t>
      </w:r>
      <w:r w:rsidRPr="00E46C29">
        <w:rPr>
          <w:szCs w:val="22"/>
        </w:rPr>
        <w:t xml:space="preserve"> improved over the course of the last decade and is now informed by a quarterly survey of refrigerant wholesalers</w:t>
      </w:r>
      <w:r>
        <w:rPr>
          <w:szCs w:val="22"/>
        </w:rPr>
        <w:t xml:space="preserve">, </w:t>
      </w:r>
      <w:r w:rsidRPr="00E46C29">
        <w:rPr>
          <w:szCs w:val="22"/>
        </w:rPr>
        <w:t>provid</w:t>
      </w:r>
      <w:r>
        <w:rPr>
          <w:szCs w:val="22"/>
        </w:rPr>
        <w:t>ing</w:t>
      </w:r>
      <w:r w:rsidRPr="00E46C29">
        <w:rPr>
          <w:szCs w:val="22"/>
        </w:rPr>
        <w:t xml:space="preserve"> robust data that can be reconciled against annual bulk imports.</w:t>
      </w:r>
    </w:p>
    <w:p w14:paraId="317A2DB6" w14:textId="77777777" w:rsidR="00626D90" w:rsidRDefault="00626D90" w:rsidP="00626D90">
      <w:pPr>
        <w:rPr>
          <w:szCs w:val="22"/>
        </w:rPr>
      </w:pPr>
      <w:r w:rsidRPr="00E46C29">
        <w:rPr>
          <w:szCs w:val="22"/>
        </w:rPr>
        <w:t>Refrigerant is used for</w:t>
      </w:r>
      <w:r>
        <w:rPr>
          <w:szCs w:val="22"/>
        </w:rPr>
        <w:t xml:space="preserve"> several purposes including:</w:t>
      </w:r>
    </w:p>
    <w:p w14:paraId="37387EE0" w14:textId="77777777" w:rsidR="00626D90" w:rsidRPr="00B750DF"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Pr>
          <w:rFonts w:ascii="Times New Roman" w:hAnsi="Times New Roman"/>
        </w:rPr>
        <w:t>Local e</w:t>
      </w:r>
      <w:r w:rsidRPr="00B750DF">
        <w:rPr>
          <w:rFonts w:ascii="Times New Roman" w:hAnsi="Times New Roman"/>
        </w:rPr>
        <w:t>quipment manufacturing, particularly in medium commercial AC</w:t>
      </w:r>
      <w:r>
        <w:rPr>
          <w:rFonts w:ascii="Times New Roman" w:hAnsi="Times New Roman"/>
        </w:rPr>
        <w:t>, large chillers, hot water heat pumps</w:t>
      </w:r>
      <w:r w:rsidRPr="00B750DF">
        <w:rPr>
          <w:rFonts w:ascii="Times New Roman" w:hAnsi="Times New Roman"/>
        </w:rPr>
        <w:t xml:space="preserve"> and refrigerated display cabinets</w:t>
      </w:r>
      <w:r>
        <w:rPr>
          <w:rFonts w:ascii="Times New Roman" w:hAnsi="Times New Roman"/>
        </w:rPr>
        <w:t>. These are equipment segments</w:t>
      </w:r>
      <w:r w:rsidRPr="00B750DF">
        <w:rPr>
          <w:rFonts w:ascii="Times New Roman" w:hAnsi="Times New Roman"/>
        </w:rPr>
        <w:t xml:space="preserve"> where Australia retains successful manufacturers</w:t>
      </w:r>
      <w:r>
        <w:rPr>
          <w:rFonts w:ascii="Times New Roman" w:hAnsi="Times New Roman"/>
        </w:rPr>
        <w:t>. Refrigerant consumption from local manufacturing of stationary AC in 2019 was 305 tonnes of HFC-410A and HFC-134a.</w:t>
      </w:r>
    </w:p>
    <w:p w14:paraId="0D683676" w14:textId="77777777" w:rsidR="00626D90" w:rsidRPr="00B750DF"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Charging</w:t>
      </w:r>
      <w:r>
        <w:rPr>
          <w:rFonts w:ascii="Times New Roman" w:hAnsi="Times New Roman"/>
        </w:rPr>
        <w:t>,</w:t>
      </w:r>
      <w:r w:rsidRPr="00B750DF">
        <w:rPr>
          <w:rFonts w:ascii="Times New Roman" w:hAnsi="Times New Roman"/>
        </w:rPr>
        <w:t xml:space="preserve"> or </w:t>
      </w:r>
      <w:r>
        <w:rPr>
          <w:rFonts w:ascii="Times New Roman" w:hAnsi="Times New Roman"/>
        </w:rPr>
        <w:t xml:space="preserve">adding to a partial charge, for </w:t>
      </w:r>
      <w:r w:rsidRPr="00B750DF">
        <w:rPr>
          <w:rFonts w:ascii="Times New Roman" w:hAnsi="Times New Roman"/>
        </w:rPr>
        <w:t>new equipment at point of installation where the device may have been imported without any refrigerant charge</w:t>
      </w:r>
      <w:r>
        <w:rPr>
          <w:rFonts w:ascii="Times New Roman" w:hAnsi="Times New Roman"/>
        </w:rPr>
        <w:t xml:space="preserve"> (or partial charge)</w:t>
      </w:r>
      <w:r w:rsidRPr="00B750DF">
        <w:rPr>
          <w:rFonts w:ascii="Times New Roman" w:hAnsi="Times New Roman"/>
        </w:rPr>
        <w:t xml:space="preserve"> or needs an addition to its pre-charged volume when installed and commissioned</w:t>
      </w:r>
      <w:r>
        <w:rPr>
          <w:rFonts w:ascii="Times New Roman" w:hAnsi="Times New Roman"/>
        </w:rPr>
        <w:t xml:space="preserve"> to accommodate applications with longer pipe runs.</w:t>
      </w:r>
    </w:p>
    <w:p w14:paraId="71FE1399" w14:textId="77777777" w:rsidR="00626D90"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 xml:space="preserve">Retrofitting existing equipment with a new refrigerant, for instance in cases where equipment originally designed and installed to </w:t>
      </w:r>
      <w:r>
        <w:rPr>
          <w:rFonts w:ascii="Times New Roman" w:hAnsi="Times New Roman"/>
        </w:rPr>
        <w:t xml:space="preserve">operate </w:t>
      </w:r>
      <w:r w:rsidRPr="00B750DF">
        <w:rPr>
          <w:rFonts w:ascii="Times New Roman" w:hAnsi="Times New Roman"/>
        </w:rPr>
        <w:t xml:space="preserve">on HCFC-22 </w:t>
      </w:r>
      <w:proofErr w:type="gramStart"/>
      <w:r w:rsidRPr="00B750DF">
        <w:rPr>
          <w:rFonts w:ascii="Times New Roman" w:hAnsi="Times New Roman"/>
        </w:rPr>
        <w:t>is able to</w:t>
      </w:r>
      <w:proofErr w:type="gramEnd"/>
      <w:r w:rsidRPr="00B750DF">
        <w:rPr>
          <w:rFonts w:ascii="Times New Roman" w:hAnsi="Times New Roman"/>
        </w:rPr>
        <w:t xml:space="preserve"> be retrofitted </w:t>
      </w:r>
      <w:r>
        <w:rPr>
          <w:rFonts w:ascii="Times New Roman" w:hAnsi="Times New Roman"/>
        </w:rPr>
        <w:t xml:space="preserve">with drop-in replacements. </w:t>
      </w:r>
    </w:p>
    <w:p w14:paraId="3B42C068" w14:textId="77777777" w:rsidR="00626D90" w:rsidRPr="00B750DF"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Pr>
          <w:rFonts w:ascii="Times New Roman" w:hAnsi="Times New Roman"/>
        </w:rPr>
        <w:t>Refrigerants such as HFO/HFC blends R448A and R449A will be considered as retrofit replacements for HFC-404A when the price of HFC-404A increases in time due to its high GWP and the HFC phase down.</w:t>
      </w:r>
    </w:p>
    <w:p w14:paraId="0ADC17F2" w14:textId="77777777" w:rsidR="00626D90"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sidRPr="00B750DF">
        <w:rPr>
          <w:rFonts w:ascii="Times New Roman" w:hAnsi="Times New Roman"/>
        </w:rPr>
        <w:t>Servicing the stock of equipment to maintain charge levels as a result of leaks or catastrophic losses of refrigerant</w:t>
      </w:r>
      <w:r>
        <w:rPr>
          <w:rFonts w:ascii="Times New Roman" w:hAnsi="Times New Roman"/>
        </w:rPr>
        <w:t xml:space="preserve">. </w:t>
      </w:r>
    </w:p>
    <w:p w14:paraId="388F614D" w14:textId="77777777" w:rsidR="00626D90" w:rsidRPr="00B750DF" w:rsidRDefault="00626D90" w:rsidP="00626D90">
      <w:pPr>
        <w:pStyle w:val="ListParagraph"/>
        <w:numPr>
          <w:ilvl w:val="0"/>
          <w:numId w:val="15"/>
        </w:numPr>
        <w:snapToGrid w:val="0"/>
        <w:spacing w:before="120" w:after="0" w:line="240" w:lineRule="auto"/>
        <w:ind w:left="357" w:hanging="357"/>
        <w:contextualSpacing w:val="0"/>
        <w:jc w:val="both"/>
        <w:rPr>
          <w:rFonts w:ascii="Times New Roman" w:hAnsi="Times New Roman"/>
        </w:rPr>
      </w:pPr>
      <w:r>
        <w:rPr>
          <w:rFonts w:ascii="Times New Roman" w:hAnsi="Times New Roman"/>
        </w:rPr>
        <w:t xml:space="preserve">A small fraction of imports is lost during decanting into small cylinders that are distributed into wholesale </w:t>
      </w:r>
      <w:r w:rsidRPr="002B1026">
        <w:rPr>
          <w:rFonts w:ascii="Times New Roman" w:hAnsi="Times New Roman"/>
        </w:rPr>
        <w:t>supply lines</w:t>
      </w:r>
      <w:r w:rsidRPr="00B750DF">
        <w:rPr>
          <w:rFonts w:ascii="Times New Roman" w:hAnsi="Times New Roman"/>
        </w:rPr>
        <w:t>.</w:t>
      </w:r>
    </w:p>
    <w:p w14:paraId="6F949E43" w14:textId="77777777" w:rsidR="00626D90" w:rsidRDefault="00626D90" w:rsidP="00626D90"/>
    <w:p w14:paraId="338861A2" w14:textId="77777777" w:rsidR="00626D90" w:rsidRDefault="00626D90" w:rsidP="00626D90">
      <w:pPr>
        <w:spacing w:before="0"/>
        <w:jc w:val="left"/>
        <w:rPr>
          <w:rFonts w:eastAsia="Times New Roman" w:cs="Times New Roman"/>
          <w:bCs/>
          <w:i/>
          <w:szCs w:val="20"/>
          <w:lang w:val="en-US"/>
        </w:rPr>
      </w:pPr>
      <w:r>
        <w:br w:type="page"/>
      </w:r>
    </w:p>
    <w:p w14:paraId="12164FE8" w14:textId="77777777" w:rsidR="00626D90" w:rsidRPr="005A6A77" w:rsidRDefault="00626D90" w:rsidP="00626D90">
      <w:pPr>
        <w:pStyle w:val="Caption"/>
        <w:keepNext/>
        <w:rPr>
          <w:szCs w:val="22"/>
        </w:rPr>
      </w:pPr>
      <w:bookmarkStart w:id="50" w:name="_Toc49756561"/>
      <w:r w:rsidRPr="005A6A77">
        <w:lastRenderedPageBreak/>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sidRPr="005A6A77">
        <w:t xml:space="preserve">: </w:t>
      </w:r>
      <w:r>
        <w:t xml:space="preserve">HCFC and HFC </w:t>
      </w:r>
      <w:r w:rsidRPr="005A6A77">
        <w:rPr>
          <w:szCs w:val="22"/>
        </w:rPr>
        <w:t>refrigerant us</w:t>
      </w:r>
      <w:r>
        <w:rPr>
          <w:szCs w:val="22"/>
        </w:rPr>
        <w:t>ag</w:t>
      </w:r>
      <w:r w:rsidRPr="005A6A77">
        <w:rPr>
          <w:szCs w:val="22"/>
        </w:rPr>
        <w:t>e</w:t>
      </w:r>
      <w:r>
        <w:rPr>
          <w:szCs w:val="22"/>
        </w:rPr>
        <w:t xml:space="preserve"> in </w:t>
      </w:r>
      <w:proofErr w:type="spellStart"/>
      <w:r w:rsidRPr="005A6A77">
        <w:rPr>
          <w:szCs w:val="22"/>
        </w:rPr>
        <w:t>tonnes</w:t>
      </w:r>
      <w:proofErr w:type="spellEnd"/>
      <w:r w:rsidRPr="005A6A77">
        <w:rPr>
          <w:szCs w:val="22"/>
        </w:rPr>
        <w:t>.</w:t>
      </w:r>
      <w:bookmarkEnd w:id="50"/>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1672"/>
        <w:gridCol w:w="1673"/>
        <w:gridCol w:w="1673"/>
        <w:gridCol w:w="1673"/>
      </w:tblGrid>
      <w:tr w:rsidR="00626D90" w:rsidRPr="009C0BC1" w14:paraId="61793250" w14:textId="77777777" w:rsidTr="00EF0FC0">
        <w:trPr>
          <w:trHeight w:val="684"/>
        </w:trPr>
        <w:tc>
          <w:tcPr>
            <w:tcW w:w="2807" w:type="dxa"/>
            <w:shd w:val="clear" w:color="auto" w:fill="B6DDE8" w:themeFill="accent5" w:themeFillTint="66"/>
            <w:vAlign w:val="center"/>
          </w:tcPr>
          <w:p w14:paraId="7D0438C4" w14:textId="77777777" w:rsidR="00626D90" w:rsidRPr="00A45804" w:rsidRDefault="00626D90" w:rsidP="00EF0FC0">
            <w:pPr>
              <w:spacing w:after="120"/>
              <w:ind w:left="284"/>
              <w:rPr>
                <w:color w:val="000000" w:themeColor="text1"/>
                <w:szCs w:val="22"/>
              </w:rPr>
            </w:pPr>
            <w:r w:rsidRPr="00A45804">
              <w:rPr>
                <w:color w:val="000000" w:themeColor="text1"/>
                <w:szCs w:val="22"/>
              </w:rPr>
              <w:t>Species</w:t>
            </w:r>
          </w:p>
        </w:tc>
        <w:tc>
          <w:tcPr>
            <w:tcW w:w="1672" w:type="dxa"/>
            <w:shd w:val="clear" w:color="auto" w:fill="B6DDE8" w:themeFill="accent5" w:themeFillTint="66"/>
            <w:vAlign w:val="center"/>
          </w:tcPr>
          <w:p w14:paraId="2602ADF7" w14:textId="77777777" w:rsidR="00626D90" w:rsidRPr="00A45804" w:rsidRDefault="00626D90" w:rsidP="00EF0FC0">
            <w:pPr>
              <w:spacing w:after="120"/>
              <w:jc w:val="center"/>
              <w:rPr>
                <w:color w:val="000000" w:themeColor="text1"/>
                <w:szCs w:val="22"/>
              </w:rPr>
            </w:pPr>
            <w:r w:rsidRPr="00A45804">
              <w:rPr>
                <w:color w:val="000000" w:themeColor="text1"/>
                <w:szCs w:val="22"/>
              </w:rPr>
              <w:t>2016</w:t>
            </w:r>
          </w:p>
        </w:tc>
        <w:tc>
          <w:tcPr>
            <w:tcW w:w="1673" w:type="dxa"/>
            <w:shd w:val="clear" w:color="auto" w:fill="B6DDE8" w:themeFill="accent5" w:themeFillTint="66"/>
            <w:vAlign w:val="center"/>
          </w:tcPr>
          <w:p w14:paraId="4FD8B2D3" w14:textId="77777777" w:rsidR="00626D90" w:rsidRPr="00A45804" w:rsidRDefault="00626D90" w:rsidP="00EF0FC0">
            <w:pPr>
              <w:spacing w:before="60" w:after="60"/>
              <w:jc w:val="center"/>
              <w:rPr>
                <w:rFonts w:cs="Times New Roman"/>
                <w:szCs w:val="22"/>
              </w:rPr>
            </w:pPr>
            <w:r w:rsidRPr="00A45804">
              <w:rPr>
                <w:rFonts w:cs="Times New Roman"/>
                <w:szCs w:val="22"/>
              </w:rPr>
              <w:t>2017</w:t>
            </w:r>
          </w:p>
        </w:tc>
        <w:tc>
          <w:tcPr>
            <w:tcW w:w="1673" w:type="dxa"/>
            <w:shd w:val="clear" w:color="auto" w:fill="B6DDE8" w:themeFill="accent5" w:themeFillTint="66"/>
            <w:vAlign w:val="center"/>
          </w:tcPr>
          <w:p w14:paraId="4751172D" w14:textId="77777777" w:rsidR="00626D90" w:rsidRPr="00A45804" w:rsidRDefault="00626D90" w:rsidP="00EF0FC0">
            <w:pPr>
              <w:spacing w:before="60" w:after="60"/>
              <w:jc w:val="center"/>
              <w:rPr>
                <w:color w:val="000000" w:themeColor="text1"/>
                <w:szCs w:val="22"/>
              </w:rPr>
            </w:pPr>
            <w:r w:rsidRPr="00A45804">
              <w:rPr>
                <w:color w:val="000000" w:themeColor="text1"/>
                <w:szCs w:val="22"/>
              </w:rPr>
              <w:t>2018</w:t>
            </w:r>
          </w:p>
        </w:tc>
        <w:tc>
          <w:tcPr>
            <w:tcW w:w="1673" w:type="dxa"/>
            <w:shd w:val="clear" w:color="auto" w:fill="B6DDE8" w:themeFill="accent5" w:themeFillTint="66"/>
            <w:vAlign w:val="center"/>
          </w:tcPr>
          <w:p w14:paraId="0CF300FA" w14:textId="77777777" w:rsidR="00626D90" w:rsidRPr="00A45804" w:rsidRDefault="00626D90" w:rsidP="00EF0FC0">
            <w:pPr>
              <w:spacing w:before="60" w:after="60"/>
              <w:jc w:val="center"/>
              <w:rPr>
                <w:color w:val="000000" w:themeColor="text1"/>
                <w:szCs w:val="22"/>
              </w:rPr>
            </w:pPr>
            <w:r>
              <w:rPr>
                <w:color w:val="000000" w:themeColor="text1"/>
                <w:szCs w:val="22"/>
              </w:rPr>
              <w:t>2019</w:t>
            </w:r>
          </w:p>
        </w:tc>
      </w:tr>
      <w:tr w:rsidR="00626D90" w:rsidRPr="00923150" w14:paraId="62D0573F" w14:textId="77777777" w:rsidTr="00EF0FC0">
        <w:trPr>
          <w:trHeight w:val="456"/>
        </w:trPr>
        <w:tc>
          <w:tcPr>
            <w:tcW w:w="2807" w:type="dxa"/>
            <w:vAlign w:val="center"/>
          </w:tcPr>
          <w:p w14:paraId="018C0973" w14:textId="77777777" w:rsidR="00626D90" w:rsidRPr="00A45804" w:rsidRDefault="00626D90" w:rsidP="00EF0FC0">
            <w:pPr>
              <w:spacing w:before="60" w:after="60"/>
              <w:ind w:left="284"/>
              <w:rPr>
                <w:rFonts w:cs="Times New Roman"/>
                <w:szCs w:val="22"/>
              </w:rPr>
            </w:pPr>
            <w:r w:rsidRPr="00A45804">
              <w:rPr>
                <w:rFonts w:cs="Times New Roman"/>
                <w:szCs w:val="22"/>
              </w:rPr>
              <w:t xml:space="preserve">HCFC-22 </w:t>
            </w:r>
            <w:r w:rsidRPr="00A45804">
              <w:rPr>
                <w:rFonts w:cs="Times New Roman"/>
                <w:szCs w:val="22"/>
                <w:vertAlign w:val="superscript"/>
              </w:rPr>
              <w:t>(1)</w:t>
            </w:r>
          </w:p>
        </w:tc>
        <w:tc>
          <w:tcPr>
            <w:tcW w:w="1672" w:type="dxa"/>
            <w:shd w:val="clear" w:color="auto" w:fill="auto"/>
            <w:vAlign w:val="center"/>
          </w:tcPr>
          <w:p w14:paraId="745320D8" w14:textId="77777777" w:rsidR="00626D90" w:rsidRPr="00A45804" w:rsidRDefault="00626D90" w:rsidP="00EF0FC0">
            <w:pPr>
              <w:spacing w:before="60" w:after="60"/>
              <w:jc w:val="center"/>
              <w:rPr>
                <w:rFonts w:cs="Times New Roman"/>
                <w:szCs w:val="22"/>
              </w:rPr>
            </w:pPr>
            <w:r w:rsidRPr="00A45804">
              <w:rPr>
                <w:rFonts w:cs="Times New Roman"/>
                <w:szCs w:val="22"/>
              </w:rPr>
              <w:t>255</w:t>
            </w:r>
          </w:p>
        </w:tc>
        <w:tc>
          <w:tcPr>
            <w:tcW w:w="1673" w:type="dxa"/>
            <w:shd w:val="clear" w:color="auto" w:fill="auto"/>
            <w:vAlign w:val="center"/>
          </w:tcPr>
          <w:p w14:paraId="341FF4C8" w14:textId="77777777" w:rsidR="00626D90" w:rsidRPr="00A45804" w:rsidRDefault="00626D90" w:rsidP="00EF0FC0">
            <w:pPr>
              <w:spacing w:before="60" w:after="60"/>
              <w:jc w:val="center"/>
              <w:rPr>
                <w:rFonts w:cs="Times New Roman"/>
                <w:szCs w:val="22"/>
              </w:rPr>
            </w:pPr>
            <w:r w:rsidRPr="00A45804">
              <w:rPr>
                <w:rFonts w:cs="Times New Roman"/>
                <w:szCs w:val="22"/>
              </w:rPr>
              <w:t>224</w:t>
            </w:r>
          </w:p>
        </w:tc>
        <w:tc>
          <w:tcPr>
            <w:tcW w:w="1673" w:type="dxa"/>
            <w:shd w:val="clear" w:color="auto" w:fill="auto"/>
            <w:vAlign w:val="center"/>
          </w:tcPr>
          <w:p w14:paraId="48FE7AD7" w14:textId="77777777" w:rsidR="00626D90" w:rsidRPr="001A19CD" w:rsidRDefault="00626D90" w:rsidP="00EF0FC0">
            <w:pPr>
              <w:spacing w:before="60" w:after="60"/>
              <w:jc w:val="center"/>
              <w:rPr>
                <w:rFonts w:cs="Times New Roman"/>
                <w:szCs w:val="22"/>
              </w:rPr>
            </w:pPr>
            <w:r w:rsidRPr="001A19CD">
              <w:rPr>
                <w:rFonts w:cs="Times New Roman"/>
                <w:szCs w:val="22"/>
              </w:rPr>
              <w:t>168</w:t>
            </w:r>
          </w:p>
        </w:tc>
        <w:tc>
          <w:tcPr>
            <w:tcW w:w="1673" w:type="dxa"/>
            <w:vAlign w:val="center"/>
          </w:tcPr>
          <w:p w14:paraId="65BB704E" w14:textId="77777777" w:rsidR="00626D90" w:rsidRPr="001A19CD" w:rsidRDefault="00626D90" w:rsidP="00EF0FC0">
            <w:pPr>
              <w:spacing w:before="60" w:after="60"/>
              <w:jc w:val="center"/>
              <w:rPr>
                <w:rFonts w:cs="Times New Roman"/>
                <w:szCs w:val="22"/>
              </w:rPr>
            </w:pPr>
            <w:r w:rsidRPr="001A19CD">
              <w:rPr>
                <w:rFonts w:cs="Times New Roman"/>
                <w:szCs w:val="22"/>
              </w:rPr>
              <w:t>138</w:t>
            </w:r>
          </w:p>
        </w:tc>
      </w:tr>
      <w:tr w:rsidR="00626D90" w:rsidRPr="00923150" w14:paraId="258DDE47" w14:textId="77777777" w:rsidTr="00EF0FC0">
        <w:trPr>
          <w:trHeight w:val="456"/>
        </w:trPr>
        <w:tc>
          <w:tcPr>
            <w:tcW w:w="2807" w:type="dxa"/>
            <w:vAlign w:val="center"/>
          </w:tcPr>
          <w:p w14:paraId="6DAFEFD7" w14:textId="77777777" w:rsidR="00626D90" w:rsidRPr="00A45804" w:rsidRDefault="00626D90" w:rsidP="00EF0FC0">
            <w:pPr>
              <w:spacing w:before="60" w:after="60"/>
              <w:ind w:left="284"/>
              <w:rPr>
                <w:rFonts w:cs="Times New Roman"/>
                <w:szCs w:val="22"/>
              </w:rPr>
            </w:pPr>
            <w:r w:rsidRPr="00A45804">
              <w:rPr>
                <w:rFonts w:cs="Times New Roman"/>
                <w:szCs w:val="22"/>
              </w:rPr>
              <w:t>HFC-134a</w:t>
            </w:r>
          </w:p>
        </w:tc>
        <w:tc>
          <w:tcPr>
            <w:tcW w:w="1672" w:type="dxa"/>
            <w:shd w:val="clear" w:color="auto" w:fill="auto"/>
            <w:vAlign w:val="center"/>
          </w:tcPr>
          <w:p w14:paraId="1190F0C9" w14:textId="77777777" w:rsidR="00626D90" w:rsidRPr="00A45804" w:rsidRDefault="00626D90" w:rsidP="00EF0FC0">
            <w:pPr>
              <w:spacing w:before="60" w:after="60"/>
              <w:jc w:val="center"/>
              <w:rPr>
                <w:rFonts w:cs="Times New Roman"/>
                <w:szCs w:val="22"/>
              </w:rPr>
            </w:pPr>
            <w:r w:rsidRPr="00A45804">
              <w:rPr>
                <w:rFonts w:cs="Times New Roman"/>
                <w:szCs w:val="22"/>
              </w:rPr>
              <w:t>1,276</w:t>
            </w:r>
          </w:p>
        </w:tc>
        <w:tc>
          <w:tcPr>
            <w:tcW w:w="1673" w:type="dxa"/>
            <w:shd w:val="clear" w:color="auto" w:fill="auto"/>
            <w:vAlign w:val="center"/>
          </w:tcPr>
          <w:p w14:paraId="0072153B" w14:textId="77777777" w:rsidR="00626D90" w:rsidRPr="00A45804" w:rsidRDefault="00626D90" w:rsidP="00EF0FC0">
            <w:pPr>
              <w:spacing w:before="60" w:after="60"/>
              <w:jc w:val="center"/>
              <w:rPr>
                <w:rFonts w:cs="Times New Roman"/>
                <w:szCs w:val="22"/>
              </w:rPr>
            </w:pPr>
            <w:r w:rsidRPr="00A45804">
              <w:rPr>
                <w:rFonts w:cs="Times New Roman"/>
                <w:szCs w:val="22"/>
              </w:rPr>
              <w:t>1,428</w:t>
            </w:r>
          </w:p>
        </w:tc>
        <w:tc>
          <w:tcPr>
            <w:tcW w:w="1673" w:type="dxa"/>
            <w:shd w:val="clear" w:color="auto" w:fill="auto"/>
            <w:vAlign w:val="center"/>
          </w:tcPr>
          <w:p w14:paraId="33A5337A" w14:textId="77777777" w:rsidR="00626D90" w:rsidRPr="001A19CD" w:rsidRDefault="00626D90" w:rsidP="00EF0FC0">
            <w:pPr>
              <w:spacing w:before="60" w:after="60"/>
              <w:jc w:val="center"/>
              <w:rPr>
                <w:rFonts w:cs="Times New Roman"/>
                <w:szCs w:val="22"/>
              </w:rPr>
            </w:pPr>
            <w:r w:rsidRPr="001A19CD">
              <w:rPr>
                <w:rFonts w:cs="Times New Roman"/>
                <w:szCs w:val="22"/>
              </w:rPr>
              <w:t>1,329</w:t>
            </w:r>
          </w:p>
        </w:tc>
        <w:tc>
          <w:tcPr>
            <w:tcW w:w="1673" w:type="dxa"/>
            <w:vAlign w:val="center"/>
          </w:tcPr>
          <w:p w14:paraId="63B4AE41" w14:textId="77777777" w:rsidR="00626D90" w:rsidRPr="001A19CD" w:rsidRDefault="00626D90" w:rsidP="00EF0FC0">
            <w:pPr>
              <w:spacing w:before="60" w:after="60"/>
              <w:jc w:val="center"/>
              <w:rPr>
                <w:rFonts w:cs="Times New Roman"/>
                <w:szCs w:val="22"/>
              </w:rPr>
            </w:pPr>
            <w:r w:rsidRPr="001A19CD">
              <w:rPr>
                <w:rFonts w:cs="Times New Roman"/>
                <w:szCs w:val="22"/>
              </w:rPr>
              <w:t>1,456</w:t>
            </w:r>
          </w:p>
        </w:tc>
      </w:tr>
      <w:tr w:rsidR="00626D90" w:rsidRPr="00923150" w14:paraId="065DB9CD" w14:textId="77777777" w:rsidTr="00EF0FC0">
        <w:trPr>
          <w:trHeight w:val="456"/>
        </w:trPr>
        <w:tc>
          <w:tcPr>
            <w:tcW w:w="2807" w:type="dxa"/>
            <w:vAlign w:val="center"/>
          </w:tcPr>
          <w:p w14:paraId="4E94FFBE" w14:textId="77777777" w:rsidR="00626D90" w:rsidRPr="00A45804" w:rsidRDefault="00626D90" w:rsidP="00EF0FC0">
            <w:pPr>
              <w:spacing w:before="60" w:after="60"/>
              <w:ind w:left="284"/>
              <w:rPr>
                <w:rFonts w:cs="Times New Roman"/>
                <w:szCs w:val="22"/>
              </w:rPr>
            </w:pPr>
            <w:r w:rsidRPr="00A45804">
              <w:rPr>
                <w:rFonts w:cs="Times New Roman"/>
                <w:szCs w:val="22"/>
              </w:rPr>
              <w:t>HFC-404A</w:t>
            </w:r>
          </w:p>
        </w:tc>
        <w:tc>
          <w:tcPr>
            <w:tcW w:w="1672" w:type="dxa"/>
            <w:shd w:val="clear" w:color="auto" w:fill="auto"/>
            <w:vAlign w:val="center"/>
          </w:tcPr>
          <w:p w14:paraId="4523ED78" w14:textId="77777777" w:rsidR="00626D90" w:rsidRPr="00A45804" w:rsidRDefault="00626D90" w:rsidP="00EF0FC0">
            <w:pPr>
              <w:spacing w:before="60" w:after="60"/>
              <w:jc w:val="center"/>
              <w:rPr>
                <w:rFonts w:cs="Times New Roman"/>
                <w:szCs w:val="22"/>
              </w:rPr>
            </w:pPr>
            <w:r w:rsidRPr="00A45804">
              <w:rPr>
                <w:rFonts w:cs="Times New Roman"/>
                <w:szCs w:val="22"/>
              </w:rPr>
              <w:t>800</w:t>
            </w:r>
          </w:p>
        </w:tc>
        <w:tc>
          <w:tcPr>
            <w:tcW w:w="1673" w:type="dxa"/>
            <w:shd w:val="clear" w:color="auto" w:fill="auto"/>
            <w:vAlign w:val="center"/>
          </w:tcPr>
          <w:p w14:paraId="0E59FF72" w14:textId="77777777" w:rsidR="00626D90" w:rsidRPr="00A45804" w:rsidRDefault="00626D90" w:rsidP="00EF0FC0">
            <w:pPr>
              <w:spacing w:before="60" w:after="60"/>
              <w:jc w:val="center"/>
              <w:rPr>
                <w:rFonts w:cs="Times New Roman"/>
                <w:szCs w:val="22"/>
              </w:rPr>
            </w:pPr>
            <w:r w:rsidRPr="00A45804">
              <w:rPr>
                <w:rFonts w:cs="Times New Roman"/>
                <w:szCs w:val="22"/>
              </w:rPr>
              <w:t>878</w:t>
            </w:r>
          </w:p>
        </w:tc>
        <w:tc>
          <w:tcPr>
            <w:tcW w:w="1673" w:type="dxa"/>
            <w:shd w:val="clear" w:color="auto" w:fill="auto"/>
            <w:vAlign w:val="center"/>
          </w:tcPr>
          <w:p w14:paraId="2DA96CA4" w14:textId="77777777" w:rsidR="00626D90" w:rsidRPr="001A19CD" w:rsidRDefault="00626D90" w:rsidP="00EF0FC0">
            <w:pPr>
              <w:spacing w:before="60" w:after="60"/>
              <w:jc w:val="center"/>
              <w:rPr>
                <w:rFonts w:cs="Times New Roman"/>
                <w:szCs w:val="22"/>
              </w:rPr>
            </w:pPr>
            <w:r w:rsidRPr="001A19CD">
              <w:rPr>
                <w:rFonts w:cs="Times New Roman"/>
                <w:szCs w:val="22"/>
              </w:rPr>
              <w:t>813</w:t>
            </w:r>
          </w:p>
        </w:tc>
        <w:tc>
          <w:tcPr>
            <w:tcW w:w="1673" w:type="dxa"/>
            <w:vAlign w:val="center"/>
          </w:tcPr>
          <w:p w14:paraId="57B99A35" w14:textId="77777777" w:rsidR="00626D90" w:rsidRPr="001A19CD" w:rsidRDefault="00626D90" w:rsidP="00EF0FC0">
            <w:pPr>
              <w:spacing w:before="60" w:after="60"/>
              <w:jc w:val="center"/>
              <w:rPr>
                <w:rFonts w:cs="Times New Roman"/>
                <w:szCs w:val="22"/>
              </w:rPr>
            </w:pPr>
            <w:r w:rsidRPr="001A19CD">
              <w:rPr>
                <w:rFonts w:cs="Times New Roman"/>
                <w:szCs w:val="22"/>
              </w:rPr>
              <w:t>822</w:t>
            </w:r>
          </w:p>
        </w:tc>
      </w:tr>
      <w:tr w:rsidR="00626D90" w:rsidRPr="00923150" w14:paraId="2A84F8CB" w14:textId="77777777" w:rsidTr="00EF0FC0">
        <w:trPr>
          <w:trHeight w:val="456"/>
        </w:trPr>
        <w:tc>
          <w:tcPr>
            <w:tcW w:w="2807" w:type="dxa"/>
            <w:vAlign w:val="center"/>
          </w:tcPr>
          <w:p w14:paraId="54AD9914" w14:textId="77777777" w:rsidR="00626D90" w:rsidRPr="00A45804" w:rsidRDefault="00626D90" w:rsidP="00EF0FC0">
            <w:pPr>
              <w:spacing w:before="60" w:after="60"/>
              <w:ind w:left="284"/>
              <w:rPr>
                <w:rFonts w:cs="Times New Roman"/>
                <w:szCs w:val="22"/>
              </w:rPr>
            </w:pPr>
            <w:r w:rsidRPr="00A45804">
              <w:rPr>
                <w:rFonts w:cs="Times New Roman"/>
                <w:szCs w:val="22"/>
              </w:rPr>
              <w:t>HFC-407C</w:t>
            </w:r>
          </w:p>
        </w:tc>
        <w:tc>
          <w:tcPr>
            <w:tcW w:w="1672" w:type="dxa"/>
            <w:shd w:val="clear" w:color="auto" w:fill="auto"/>
            <w:vAlign w:val="center"/>
          </w:tcPr>
          <w:p w14:paraId="22D68988" w14:textId="77777777" w:rsidR="00626D90" w:rsidRPr="00A45804" w:rsidRDefault="00626D90" w:rsidP="00EF0FC0">
            <w:pPr>
              <w:spacing w:before="60" w:after="60"/>
              <w:jc w:val="center"/>
              <w:rPr>
                <w:rFonts w:cs="Times New Roman"/>
                <w:szCs w:val="22"/>
              </w:rPr>
            </w:pPr>
            <w:r w:rsidRPr="00A45804">
              <w:rPr>
                <w:rFonts w:cs="Times New Roman"/>
                <w:szCs w:val="22"/>
              </w:rPr>
              <w:t>168</w:t>
            </w:r>
          </w:p>
        </w:tc>
        <w:tc>
          <w:tcPr>
            <w:tcW w:w="1673" w:type="dxa"/>
            <w:shd w:val="clear" w:color="auto" w:fill="auto"/>
            <w:vAlign w:val="center"/>
          </w:tcPr>
          <w:p w14:paraId="1B66E426" w14:textId="77777777" w:rsidR="00626D90" w:rsidRPr="00A45804" w:rsidRDefault="00626D90" w:rsidP="00EF0FC0">
            <w:pPr>
              <w:spacing w:before="60" w:after="60"/>
              <w:jc w:val="center"/>
              <w:rPr>
                <w:rFonts w:cs="Times New Roman"/>
                <w:szCs w:val="22"/>
              </w:rPr>
            </w:pPr>
            <w:r w:rsidRPr="00A45804">
              <w:rPr>
                <w:rFonts w:cs="Times New Roman"/>
                <w:szCs w:val="22"/>
              </w:rPr>
              <w:t>173</w:t>
            </w:r>
          </w:p>
        </w:tc>
        <w:tc>
          <w:tcPr>
            <w:tcW w:w="1673" w:type="dxa"/>
            <w:shd w:val="clear" w:color="auto" w:fill="auto"/>
            <w:vAlign w:val="center"/>
          </w:tcPr>
          <w:p w14:paraId="554B530E" w14:textId="77777777" w:rsidR="00626D90" w:rsidRPr="001A19CD" w:rsidRDefault="00626D90" w:rsidP="00EF0FC0">
            <w:pPr>
              <w:spacing w:before="60" w:after="60"/>
              <w:jc w:val="center"/>
              <w:rPr>
                <w:rFonts w:cs="Times New Roman"/>
                <w:szCs w:val="22"/>
              </w:rPr>
            </w:pPr>
            <w:r w:rsidRPr="001A19CD">
              <w:rPr>
                <w:rFonts w:cs="Times New Roman"/>
                <w:szCs w:val="22"/>
              </w:rPr>
              <w:t>179</w:t>
            </w:r>
          </w:p>
        </w:tc>
        <w:tc>
          <w:tcPr>
            <w:tcW w:w="1673" w:type="dxa"/>
            <w:vAlign w:val="center"/>
          </w:tcPr>
          <w:p w14:paraId="45BE2457" w14:textId="77777777" w:rsidR="00626D90" w:rsidRPr="001A19CD" w:rsidRDefault="00626D90" w:rsidP="00EF0FC0">
            <w:pPr>
              <w:spacing w:before="60" w:after="60"/>
              <w:jc w:val="center"/>
              <w:rPr>
                <w:rFonts w:cs="Times New Roman"/>
                <w:szCs w:val="22"/>
              </w:rPr>
            </w:pPr>
            <w:r w:rsidRPr="001A19CD">
              <w:rPr>
                <w:rFonts w:cs="Times New Roman"/>
                <w:szCs w:val="22"/>
              </w:rPr>
              <w:t>181</w:t>
            </w:r>
          </w:p>
        </w:tc>
      </w:tr>
      <w:tr w:rsidR="00626D90" w:rsidRPr="00923150" w14:paraId="461828F1" w14:textId="77777777" w:rsidTr="00EF0FC0">
        <w:trPr>
          <w:trHeight w:val="456"/>
        </w:trPr>
        <w:tc>
          <w:tcPr>
            <w:tcW w:w="2807" w:type="dxa"/>
            <w:vAlign w:val="center"/>
          </w:tcPr>
          <w:p w14:paraId="4A495FC2" w14:textId="77777777" w:rsidR="00626D90" w:rsidRPr="00A45804" w:rsidRDefault="00626D90" w:rsidP="00EF0FC0">
            <w:pPr>
              <w:spacing w:before="60" w:after="60"/>
              <w:ind w:left="284"/>
              <w:rPr>
                <w:rFonts w:cs="Times New Roman"/>
                <w:szCs w:val="22"/>
              </w:rPr>
            </w:pPr>
            <w:r w:rsidRPr="00A45804">
              <w:rPr>
                <w:rFonts w:cs="Times New Roman"/>
                <w:szCs w:val="22"/>
              </w:rPr>
              <w:t>HFC-407A/F</w:t>
            </w:r>
          </w:p>
        </w:tc>
        <w:tc>
          <w:tcPr>
            <w:tcW w:w="1672" w:type="dxa"/>
            <w:shd w:val="clear" w:color="auto" w:fill="auto"/>
            <w:vAlign w:val="center"/>
          </w:tcPr>
          <w:p w14:paraId="7BEB7169" w14:textId="77777777" w:rsidR="00626D90" w:rsidRPr="00A45804" w:rsidRDefault="00626D90" w:rsidP="00EF0FC0">
            <w:pPr>
              <w:spacing w:before="60" w:after="60"/>
              <w:jc w:val="center"/>
              <w:rPr>
                <w:rFonts w:cs="Times New Roman"/>
                <w:szCs w:val="22"/>
              </w:rPr>
            </w:pPr>
            <w:r w:rsidRPr="00A45804">
              <w:rPr>
                <w:rFonts w:cs="Times New Roman"/>
                <w:szCs w:val="22"/>
              </w:rPr>
              <w:t>33</w:t>
            </w:r>
          </w:p>
        </w:tc>
        <w:tc>
          <w:tcPr>
            <w:tcW w:w="1673" w:type="dxa"/>
            <w:shd w:val="clear" w:color="auto" w:fill="auto"/>
            <w:vAlign w:val="center"/>
          </w:tcPr>
          <w:p w14:paraId="126AC47B" w14:textId="77777777" w:rsidR="00626D90" w:rsidRPr="00A45804" w:rsidRDefault="00626D90" w:rsidP="00EF0FC0">
            <w:pPr>
              <w:spacing w:before="60" w:after="60"/>
              <w:jc w:val="center"/>
              <w:rPr>
                <w:rFonts w:cs="Times New Roman"/>
                <w:szCs w:val="22"/>
              </w:rPr>
            </w:pPr>
            <w:r w:rsidRPr="00A45804">
              <w:rPr>
                <w:rFonts w:cs="Times New Roman"/>
                <w:szCs w:val="22"/>
              </w:rPr>
              <w:t>31</w:t>
            </w:r>
          </w:p>
        </w:tc>
        <w:tc>
          <w:tcPr>
            <w:tcW w:w="1673" w:type="dxa"/>
            <w:shd w:val="clear" w:color="auto" w:fill="auto"/>
            <w:vAlign w:val="center"/>
          </w:tcPr>
          <w:p w14:paraId="25005590" w14:textId="77777777" w:rsidR="00626D90" w:rsidRPr="001A19CD" w:rsidRDefault="00626D90" w:rsidP="00EF0FC0">
            <w:pPr>
              <w:spacing w:before="60" w:after="60"/>
              <w:jc w:val="center"/>
              <w:rPr>
                <w:rFonts w:cs="Times New Roman"/>
                <w:szCs w:val="22"/>
              </w:rPr>
            </w:pPr>
            <w:r w:rsidRPr="001A19CD">
              <w:rPr>
                <w:rFonts w:cs="Times New Roman"/>
                <w:szCs w:val="22"/>
              </w:rPr>
              <w:t>29</w:t>
            </w:r>
          </w:p>
        </w:tc>
        <w:tc>
          <w:tcPr>
            <w:tcW w:w="1673" w:type="dxa"/>
            <w:vAlign w:val="center"/>
          </w:tcPr>
          <w:p w14:paraId="18DF359B" w14:textId="77777777" w:rsidR="00626D90" w:rsidRPr="001A19CD" w:rsidRDefault="00626D90" w:rsidP="00EF0FC0">
            <w:pPr>
              <w:spacing w:before="60" w:after="60"/>
              <w:jc w:val="center"/>
              <w:rPr>
                <w:rFonts w:cs="Times New Roman"/>
                <w:szCs w:val="22"/>
              </w:rPr>
            </w:pPr>
            <w:r w:rsidRPr="001A19CD">
              <w:rPr>
                <w:rFonts w:cs="Times New Roman"/>
                <w:szCs w:val="22"/>
              </w:rPr>
              <w:t>28</w:t>
            </w:r>
          </w:p>
        </w:tc>
      </w:tr>
      <w:tr w:rsidR="00626D90" w:rsidRPr="00923150" w14:paraId="00DA319D" w14:textId="77777777" w:rsidTr="00EF0FC0">
        <w:trPr>
          <w:trHeight w:val="456"/>
        </w:trPr>
        <w:tc>
          <w:tcPr>
            <w:tcW w:w="2807" w:type="dxa"/>
            <w:vAlign w:val="bottom"/>
          </w:tcPr>
          <w:p w14:paraId="27E770C8" w14:textId="77777777" w:rsidR="00626D90" w:rsidRPr="00A45804" w:rsidRDefault="00626D90" w:rsidP="00EF0FC0">
            <w:pPr>
              <w:spacing w:before="60" w:after="60"/>
              <w:ind w:left="284"/>
              <w:rPr>
                <w:rFonts w:eastAsia="Times New Roman" w:cs="Times New Roman"/>
                <w:color w:val="000000"/>
                <w:szCs w:val="22"/>
              </w:rPr>
            </w:pPr>
            <w:r w:rsidRPr="00A45804">
              <w:rPr>
                <w:rFonts w:cs="Times New Roman"/>
                <w:szCs w:val="22"/>
              </w:rPr>
              <w:t>HFC-410A</w:t>
            </w:r>
          </w:p>
        </w:tc>
        <w:tc>
          <w:tcPr>
            <w:tcW w:w="1672" w:type="dxa"/>
            <w:shd w:val="clear" w:color="auto" w:fill="auto"/>
            <w:vAlign w:val="center"/>
          </w:tcPr>
          <w:p w14:paraId="74DE6A37" w14:textId="77777777" w:rsidR="00626D90" w:rsidRPr="00A45804" w:rsidRDefault="00626D90" w:rsidP="00EF0FC0">
            <w:pPr>
              <w:spacing w:before="60" w:after="60"/>
              <w:jc w:val="center"/>
              <w:rPr>
                <w:rFonts w:cs="Times New Roman"/>
                <w:szCs w:val="22"/>
              </w:rPr>
            </w:pPr>
            <w:r w:rsidRPr="00A45804">
              <w:rPr>
                <w:rFonts w:cs="Times New Roman"/>
                <w:szCs w:val="22"/>
              </w:rPr>
              <w:t>612</w:t>
            </w:r>
          </w:p>
        </w:tc>
        <w:tc>
          <w:tcPr>
            <w:tcW w:w="1673" w:type="dxa"/>
            <w:shd w:val="clear" w:color="auto" w:fill="auto"/>
            <w:vAlign w:val="center"/>
          </w:tcPr>
          <w:p w14:paraId="139DBDB7" w14:textId="77777777" w:rsidR="00626D90" w:rsidRPr="00A45804" w:rsidRDefault="00626D90" w:rsidP="00EF0FC0">
            <w:pPr>
              <w:spacing w:before="60" w:after="60"/>
              <w:jc w:val="center"/>
              <w:rPr>
                <w:rFonts w:cs="Times New Roman"/>
                <w:szCs w:val="22"/>
              </w:rPr>
            </w:pPr>
            <w:r w:rsidRPr="00A45804">
              <w:rPr>
                <w:rFonts w:cs="Times New Roman"/>
                <w:szCs w:val="22"/>
              </w:rPr>
              <w:t>711</w:t>
            </w:r>
          </w:p>
        </w:tc>
        <w:tc>
          <w:tcPr>
            <w:tcW w:w="1673" w:type="dxa"/>
            <w:shd w:val="clear" w:color="auto" w:fill="auto"/>
            <w:vAlign w:val="center"/>
          </w:tcPr>
          <w:p w14:paraId="2583C12A" w14:textId="77777777" w:rsidR="00626D90" w:rsidRPr="001A19CD" w:rsidRDefault="00626D90" w:rsidP="00EF0FC0">
            <w:pPr>
              <w:spacing w:before="60" w:after="60"/>
              <w:jc w:val="center"/>
              <w:rPr>
                <w:rFonts w:cs="Times New Roman"/>
                <w:szCs w:val="22"/>
              </w:rPr>
            </w:pPr>
            <w:r w:rsidRPr="001A19CD">
              <w:rPr>
                <w:rFonts w:cs="Times New Roman"/>
                <w:szCs w:val="22"/>
              </w:rPr>
              <w:t>753</w:t>
            </w:r>
          </w:p>
        </w:tc>
        <w:tc>
          <w:tcPr>
            <w:tcW w:w="1673" w:type="dxa"/>
            <w:vAlign w:val="center"/>
          </w:tcPr>
          <w:p w14:paraId="4A963E20" w14:textId="77777777" w:rsidR="00626D90" w:rsidRPr="001A19CD" w:rsidRDefault="00626D90" w:rsidP="00EF0FC0">
            <w:pPr>
              <w:spacing w:before="60" w:after="60"/>
              <w:jc w:val="center"/>
              <w:rPr>
                <w:rFonts w:cs="Times New Roman"/>
                <w:szCs w:val="22"/>
              </w:rPr>
            </w:pPr>
            <w:r w:rsidRPr="001A19CD">
              <w:rPr>
                <w:rFonts w:cs="Times New Roman"/>
                <w:szCs w:val="22"/>
              </w:rPr>
              <w:t>799</w:t>
            </w:r>
          </w:p>
        </w:tc>
      </w:tr>
      <w:tr w:rsidR="00626D90" w:rsidRPr="00923150" w14:paraId="5286728E" w14:textId="77777777" w:rsidTr="00EF0FC0">
        <w:trPr>
          <w:trHeight w:val="456"/>
        </w:trPr>
        <w:tc>
          <w:tcPr>
            <w:tcW w:w="2807" w:type="dxa"/>
            <w:vAlign w:val="bottom"/>
          </w:tcPr>
          <w:p w14:paraId="4DADFB4C" w14:textId="77777777" w:rsidR="00626D90" w:rsidRPr="00A45804" w:rsidRDefault="00626D90" w:rsidP="00EF0FC0">
            <w:pPr>
              <w:spacing w:before="60" w:after="60"/>
              <w:ind w:left="284"/>
              <w:rPr>
                <w:rFonts w:cs="Times New Roman"/>
                <w:szCs w:val="22"/>
              </w:rPr>
            </w:pPr>
            <w:r w:rsidRPr="00A45804">
              <w:rPr>
                <w:rFonts w:eastAsia="Times New Roman" w:cs="Times New Roman"/>
                <w:color w:val="000000"/>
                <w:szCs w:val="22"/>
              </w:rPr>
              <w:t>HCFC/CFC Replacements</w:t>
            </w:r>
            <w:r>
              <w:rPr>
                <w:rFonts w:eastAsia="Times New Roman" w:cs="Times New Roman"/>
                <w:color w:val="000000"/>
                <w:szCs w:val="22"/>
              </w:rPr>
              <w:t xml:space="preserve"> </w:t>
            </w:r>
            <w:r w:rsidRPr="00020F25">
              <w:rPr>
                <w:rFonts w:eastAsia="Times New Roman" w:cs="Times New Roman"/>
                <w:color w:val="000000"/>
                <w:szCs w:val="22"/>
                <w:vertAlign w:val="superscript"/>
              </w:rPr>
              <w:t>(2)</w:t>
            </w:r>
          </w:p>
        </w:tc>
        <w:tc>
          <w:tcPr>
            <w:tcW w:w="1672" w:type="dxa"/>
            <w:shd w:val="clear" w:color="auto" w:fill="auto"/>
            <w:vAlign w:val="center"/>
          </w:tcPr>
          <w:p w14:paraId="268E7358" w14:textId="77777777" w:rsidR="00626D90" w:rsidRPr="00A45804" w:rsidRDefault="00626D90" w:rsidP="00EF0FC0">
            <w:pPr>
              <w:spacing w:before="60" w:after="60"/>
              <w:jc w:val="center"/>
              <w:rPr>
                <w:rFonts w:cs="Times New Roman"/>
                <w:szCs w:val="22"/>
              </w:rPr>
            </w:pPr>
            <w:r w:rsidRPr="00A45804">
              <w:rPr>
                <w:rFonts w:cs="Times New Roman"/>
                <w:szCs w:val="22"/>
              </w:rPr>
              <w:t>99</w:t>
            </w:r>
          </w:p>
        </w:tc>
        <w:tc>
          <w:tcPr>
            <w:tcW w:w="1673" w:type="dxa"/>
            <w:shd w:val="clear" w:color="auto" w:fill="auto"/>
            <w:vAlign w:val="center"/>
          </w:tcPr>
          <w:p w14:paraId="41EBC904" w14:textId="77777777" w:rsidR="00626D90" w:rsidRPr="00A45804" w:rsidRDefault="00626D90" w:rsidP="00EF0FC0">
            <w:pPr>
              <w:spacing w:before="60" w:after="60"/>
              <w:jc w:val="center"/>
              <w:rPr>
                <w:rFonts w:cs="Times New Roman"/>
                <w:szCs w:val="22"/>
              </w:rPr>
            </w:pPr>
            <w:r w:rsidRPr="00A45804">
              <w:rPr>
                <w:rFonts w:cs="Times New Roman"/>
                <w:szCs w:val="22"/>
              </w:rPr>
              <w:t>96</w:t>
            </w:r>
          </w:p>
        </w:tc>
        <w:tc>
          <w:tcPr>
            <w:tcW w:w="1673" w:type="dxa"/>
            <w:shd w:val="clear" w:color="auto" w:fill="auto"/>
            <w:vAlign w:val="center"/>
          </w:tcPr>
          <w:p w14:paraId="0D8B7453" w14:textId="77777777" w:rsidR="00626D90" w:rsidRPr="001A19CD" w:rsidRDefault="00626D90" w:rsidP="00EF0FC0">
            <w:pPr>
              <w:spacing w:before="60" w:after="60"/>
              <w:jc w:val="center"/>
              <w:rPr>
                <w:rFonts w:cs="Times New Roman"/>
                <w:szCs w:val="22"/>
              </w:rPr>
            </w:pPr>
            <w:r w:rsidRPr="001A19CD">
              <w:rPr>
                <w:rFonts w:cs="Times New Roman"/>
                <w:szCs w:val="22"/>
              </w:rPr>
              <w:t>44</w:t>
            </w:r>
          </w:p>
        </w:tc>
        <w:tc>
          <w:tcPr>
            <w:tcW w:w="1673" w:type="dxa"/>
            <w:vAlign w:val="center"/>
          </w:tcPr>
          <w:p w14:paraId="39FA4DC6" w14:textId="77777777" w:rsidR="00626D90" w:rsidRPr="001A19CD" w:rsidRDefault="00626D90" w:rsidP="00EF0FC0">
            <w:pPr>
              <w:spacing w:before="60" w:after="60"/>
              <w:jc w:val="center"/>
              <w:rPr>
                <w:rFonts w:cs="Times New Roman"/>
                <w:szCs w:val="22"/>
              </w:rPr>
            </w:pPr>
            <w:r w:rsidRPr="001A19CD">
              <w:rPr>
                <w:rFonts w:cs="Times New Roman"/>
                <w:szCs w:val="22"/>
              </w:rPr>
              <w:t>39</w:t>
            </w:r>
          </w:p>
        </w:tc>
      </w:tr>
      <w:tr w:rsidR="00626D90" w:rsidRPr="00923150" w14:paraId="7C18204E" w14:textId="77777777" w:rsidTr="00EF0FC0">
        <w:trPr>
          <w:trHeight w:val="456"/>
        </w:trPr>
        <w:tc>
          <w:tcPr>
            <w:tcW w:w="2807" w:type="dxa"/>
            <w:vAlign w:val="bottom"/>
          </w:tcPr>
          <w:p w14:paraId="0AE59252" w14:textId="77777777" w:rsidR="00626D90" w:rsidRPr="00A45804" w:rsidRDefault="00626D90" w:rsidP="00EF0FC0">
            <w:pPr>
              <w:spacing w:before="60" w:after="60"/>
              <w:ind w:left="284"/>
              <w:rPr>
                <w:rFonts w:cs="Times New Roman"/>
                <w:szCs w:val="22"/>
              </w:rPr>
            </w:pPr>
            <w:r w:rsidRPr="00A45804">
              <w:rPr>
                <w:rFonts w:eastAsia="Times New Roman" w:cs="Times New Roman"/>
                <w:color w:val="000000"/>
                <w:szCs w:val="22"/>
              </w:rPr>
              <w:t>HFC-32</w:t>
            </w:r>
          </w:p>
        </w:tc>
        <w:tc>
          <w:tcPr>
            <w:tcW w:w="1672" w:type="dxa"/>
            <w:shd w:val="clear" w:color="auto" w:fill="auto"/>
            <w:vAlign w:val="center"/>
          </w:tcPr>
          <w:p w14:paraId="242B1A60" w14:textId="77777777" w:rsidR="00626D90" w:rsidRPr="00A45804" w:rsidRDefault="00626D90" w:rsidP="00EF0FC0">
            <w:pPr>
              <w:spacing w:before="60" w:after="60"/>
              <w:jc w:val="center"/>
              <w:rPr>
                <w:rFonts w:cs="Times New Roman"/>
                <w:szCs w:val="22"/>
              </w:rPr>
            </w:pPr>
            <w:r w:rsidRPr="00A45804">
              <w:rPr>
                <w:rFonts w:cs="Times New Roman"/>
                <w:szCs w:val="22"/>
              </w:rPr>
              <w:t>16</w:t>
            </w:r>
          </w:p>
        </w:tc>
        <w:tc>
          <w:tcPr>
            <w:tcW w:w="1673" w:type="dxa"/>
            <w:shd w:val="clear" w:color="auto" w:fill="auto"/>
            <w:vAlign w:val="center"/>
          </w:tcPr>
          <w:p w14:paraId="249F8C66" w14:textId="77777777" w:rsidR="00626D90" w:rsidRPr="00A45804" w:rsidRDefault="00626D90" w:rsidP="00EF0FC0">
            <w:pPr>
              <w:spacing w:before="60" w:after="60"/>
              <w:jc w:val="center"/>
              <w:rPr>
                <w:rFonts w:cs="Times New Roman"/>
                <w:szCs w:val="22"/>
              </w:rPr>
            </w:pPr>
            <w:r w:rsidRPr="00A45804">
              <w:rPr>
                <w:rFonts w:cs="Times New Roman"/>
                <w:szCs w:val="22"/>
              </w:rPr>
              <w:t>32</w:t>
            </w:r>
          </w:p>
        </w:tc>
        <w:tc>
          <w:tcPr>
            <w:tcW w:w="1673" w:type="dxa"/>
            <w:shd w:val="clear" w:color="auto" w:fill="auto"/>
            <w:vAlign w:val="center"/>
          </w:tcPr>
          <w:p w14:paraId="17D9EF63" w14:textId="77777777" w:rsidR="00626D90" w:rsidRPr="001A19CD" w:rsidRDefault="00626D90" w:rsidP="00EF0FC0">
            <w:pPr>
              <w:spacing w:before="60" w:after="60"/>
              <w:jc w:val="center"/>
              <w:rPr>
                <w:rFonts w:cs="Times New Roman"/>
                <w:szCs w:val="22"/>
              </w:rPr>
            </w:pPr>
            <w:r w:rsidRPr="001A19CD">
              <w:rPr>
                <w:rFonts w:cs="Times New Roman"/>
                <w:szCs w:val="22"/>
              </w:rPr>
              <w:t>96</w:t>
            </w:r>
          </w:p>
        </w:tc>
        <w:tc>
          <w:tcPr>
            <w:tcW w:w="1673" w:type="dxa"/>
            <w:vAlign w:val="center"/>
          </w:tcPr>
          <w:p w14:paraId="1EC163A3" w14:textId="77777777" w:rsidR="00626D90" w:rsidRPr="001A19CD" w:rsidRDefault="00626D90" w:rsidP="00EF0FC0">
            <w:pPr>
              <w:spacing w:before="60" w:after="60"/>
              <w:jc w:val="center"/>
              <w:rPr>
                <w:rFonts w:cs="Times New Roman"/>
                <w:szCs w:val="22"/>
              </w:rPr>
            </w:pPr>
            <w:r w:rsidRPr="001A19CD">
              <w:rPr>
                <w:rFonts w:cs="Times New Roman"/>
                <w:szCs w:val="22"/>
              </w:rPr>
              <w:t>93</w:t>
            </w:r>
          </w:p>
        </w:tc>
      </w:tr>
      <w:tr w:rsidR="00626D90" w:rsidRPr="00923150" w14:paraId="095551D1" w14:textId="77777777" w:rsidTr="00EF0FC0">
        <w:trPr>
          <w:trHeight w:val="456"/>
        </w:trPr>
        <w:tc>
          <w:tcPr>
            <w:tcW w:w="2807" w:type="dxa"/>
            <w:vAlign w:val="center"/>
          </w:tcPr>
          <w:p w14:paraId="449C441A" w14:textId="77777777" w:rsidR="00626D90" w:rsidRPr="00A45804" w:rsidRDefault="00626D90" w:rsidP="00EF0FC0">
            <w:pPr>
              <w:spacing w:before="60" w:after="60"/>
              <w:ind w:left="284"/>
              <w:rPr>
                <w:rFonts w:cs="Times New Roman"/>
                <w:szCs w:val="22"/>
              </w:rPr>
            </w:pPr>
            <w:r w:rsidRPr="006B264A">
              <w:rPr>
                <w:rFonts w:cs="Times New Roman"/>
                <w:szCs w:val="22"/>
              </w:rPr>
              <w:t>HF</w:t>
            </w:r>
            <w:r>
              <w:rPr>
                <w:rFonts w:cs="Times New Roman"/>
                <w:szCs w:val="22"/>
              </w:rPr>
              <w:t>O</w:t>
            </w:r>
            <w:r w:rsidRPr="006B264A">
              <w:rPr>
                <w:rFonts w:cs="Times New Roman"/>
                <w:szCs w:val="22"/>
              </w:rPr>
              <w:t>/HF</w:t>
            </w:r>
            <w:r>
              <w:rPr>
                <w:rFonts w:cs="Times New Roman"/>
                <w:szCs w:val="22"/>
              </w:rPr>
              <w:t>C</w:t>
            </w:r>
            <w:r w:rsidRPr="006B264A">
              <w:rPr>
                <w:rFonts w:cs="Times New Roman"/>
                <w:szCs w:val="22"/>
              </w:rPr>
              <w:t xml:space="preserve"> Blends</w:t>
            </w:r>
            <w:r>
              <w:rPr>
                <w:rFonts w:cs="Times New Roman"/>
                <w:szCs w:val="22"/>
              </w:rPr>
              <w:t xml:space="preserve"> </w:t>
            </w:r>
            <w:r w:rsidRPr="006B264A">
              <w:rPr>
                <w:rFonts w:cs="Times New Roman"/>
                <w:szCs w:val="22"/>
                <w:vertAlign w:val="superscript"/>
              </w:rPr>
              <w:t>(</w:t>
            </w:r>
            <w:r>
              <w:rPr>
                <w:rFonts w:cs="Times New Roman"/>
                <w:szCs w:val="22"/>
                <w:vertAlign w:val="superscript"/>
              </w:rPr>
              <w:t>3</w:t>
            </w:r>
            <w:r w:rsidRPr="006B264A">
              <w:rPr>
                <w:rFonts w:cs="Times New Roman"/>
                <w:szCs w:val="22"/>
                <w:vertAlign w:val="superscript"/>
              </w:rPr>
              <w:t>)</w:t>
            </w:r>
          </w:p>
        </w:tc>
        <w:tc>
          <w:tcPr>
            <w:tcW w:w="1672" w:type="dxa"/>
            <w:shd w:val="clear" w:color="auto" w:fill="auto"/>
            <w:vAlign w:val="center"/>
          </w:tcPr>
          <w:p w14:paraId="39ED6559" w14:textId="77777777" w:rsidR="00626D90" w:rsidRPr="00A45804" w:rsidRDefault="00626D90" w:rsidP="00EF0FC0">
            <w:pPr>
              <w:spacing w:before="60" w:after="60"/>
              <w:jc w:val="center"/>
              <w:rPr>
                <w:rFonts w:cs="Times New Roman"/>
                <w:szCs w:val="22"/>
              </w:rPr>
            </w:pPr>
            <w:r>
              <w:rPr>
                <w:rFonts w:cs="Times New Roman"/>
                <w:szCs w:val="22"/>
              </w:rPr>
              <w:t>-</w:t>
            </w:r>
          </w:p>
        </w:tc>
        <w:tc>
          <w:tcPr>
            <w:tcW w:w="1673" w:type="dxa"/>
            <w:shd w:val="clear" w:color="auto" w:fill="auto"/>
            <w:vAlign w:val="center"/>
          </w:tcPr>
          <w:p w14:paraId="6355E13F" w14:textId="77777777" w:rsidR="00626D90" w:rsidRPr="00A45804" w:rsidRDefault="00626D90" w:rsidP="00EF0FC0">
            <w:pPr>
              <w:spacing w:before="60" w:after="60"/>
              <w:jc w:val="center"/>
              <w:rPr>
                <w:rFonts w:cs="Times New Roman"/>
                <w:szCs w:val="22"/>
              </w:rPr>
            </w:pPr>
            <w:r>
              <w:rPr>
                <w:rFonts w:cs="Times New Roman"/>
                <w:szCs w:val="22"/>
              </w:rPr>
              <w:t>-</w:t>
            </w:r>
          </w:p>
        </w:tc>
        <w:tc>
          <w:tcPr>
            <w:tcW w:w="1673" w:type="dxa"/>
            <w:shd w:val="clear" w:color="auto" w:fill="auto"/>
            <w:vAlign w:val="center"/>
          </w:tcPr>
          <w:p w14:paraId="70AF0686" w14:textId="77777777" w:rsidR="00626D90" w:rsidRPr="001A19CD" w:rsidRDefault="00626D90" w:rsidP="00EF0FC0">
            <w:pPr>
              <w:spacing w:before="60" w:after="60"/>
              <w:jc w:val="center"/>
              <w:rPr>
                <w:rFonts w:cs="Times New Roman"/>
                <w:szCs w:val="22"/>
              </w:rPr>
            </w:pPr>
            <w:r w:rsidRPr="001A19CD">
              <w:rPr>
                <w:rFonts w:cs="Times New Roman"/>
                <w:szCs w:val="22"/>
              </w:rPr>
              <w:t>13</w:t>
            </w:r>
          </w:p>
        </w:tc>
        <w:tc>
          <w:tcPr>
            <w:tcW w:w="1673" w:type="dxa"/>
            <w:vAlign w:val="center"/>
          </w:tcPr>
          <w:p w14:paraId="059A3E51" w14:textId="77777777" w:rsidR="00626D90" w:rsidRPr="001A19CD" w:rsidRDefault="00626D90" w:rsidP="00EF0FC0">
            <w:pPr>
              <w:spacing w:before="60" w:after="60"/>
              <w:jc w:val="center"/>
              <w:rPr>
                <w:rFonts w:cs="Times New Roman"/>
                <w:szCs w:val="22"/>
              </w:rPr>
            </w:pPr>
            <w:r w:rsidRPr="001A19CD">
              <w:rPr>
                <w:rFonts w:cs="Times New Roman"/>
                <w:szCs w:val="22"/>
              </w:rPr>
              <w:t>38</w:t>
            </w:r>
          </w:p>
        </w:tc>
      </w:tr>
      <w:tr w:rsidR="00626D90" w:rsidRPr="00923150" w14:paraId="20A8B419" w14:textId="77777777" w:rsidTr="00EF0FC0">
        <w:trPr>
          <w:trHeight w:val="456"/>
        </w:trPr>
        <w:tc>
          <w:tcPr>
            <w:tcW w:w="2807" w:type="dxa"/>
            <w:vAlign w:val="center"/>
          </w:tcPr>
          <w:p w14:paraId="29306EBB" w14:textId="77777777" w:rsidR="00626D90" w:rsidRPr="00A45804" w:rsidRDefault="00626D90" w:rsidP="00EF0FC0">
            <w:pPr>
              <w:spacing w:before="60" w:after="60"/>
              <w:ind w:left="284"/>
              <w:rPr>
                <w:rFonts w:cs="Times New Roman"/>
                <w:szCs w:val="22"/>
              </w:rPr>
            </w:pPr>
            <w:r w:rsidRPr="00A45804">
              <w:rPr>
                <w:rFonts w:cs="Times New Roman"/>
                <w:szCs w:val="22"/>
              </w:rPr>
              <w:t>HFC-Mix</w:t>
            </w:r>
            <w:r>
              <w:rPr>
                <w:rFonts w:cs="Times New Roman"/>
                <w:szCs w:val="22"/>
              </w:rPr>
              <w:t xml:space="preserve"> </w:t>
            </w:r>
            <w:r w:rsidRPr="006B264A">
              <w:rPr>
                <w:rFonts w:cs="Times New Roman"/>
                <w:szCs w:val="22"/>
                <w:vertAlign w:val="superscript"/>
              </w:rPr>
              <w:t>(</w:t>
            </w:r>
            <w:r>
              <w:rPr>
                <w:rFonts w:cs="Times New Roman"/>
                <w:szCs w:val="22"/>
                <w:vertAlign w:val="superscript"/>
              </w:rPr>
              <w:t>4</w:t>
            </w:r>
            <w:r w:rsidRPr="006B264A">
              <w:rPr>
                <w:rFonts w:cs="Times New Roman"/>
                <w:szCs w:val="22"/>
                <w:vertAlign w:val="superscript"/>
              </w:rPr>
              <w:t>)</w:t>
            </w:r>
          </w:p>
        </w:tc>
        <w:tc>
          <w:tcPr>
            <w:tcW w:w="1672" w:type="dxa"/>
            <w:shd w:val="clear" w:color="auto" w:fill="auto"/>
            <w:vAlign w:val="center"/>
          </w:tcPr>
          <w:p w14:paraId="4214D16D" w14:textId="77777777" w:rsidR="00626D90" w:rsidRPr="00A45804" w:rsidRDefault="00626D90" w:rsidP="00EF0FC0">
            <w:pPr>
              <w:spacing w:before="60" w:after="60"/>
              <w:jc w:val="center"/>
              <w:rPr>
                <w:rFonts w:cs="Times New Roman"/>
                <w:szCs w:val="22"/>
              </w:rPr>
            </w:pPr>
            <w:r w:rsidRPr="00A45804">
              <w:rPr>
                <w:rFonts w:cs="Times New Roman"/>
                <w:szCs w:val="22"/>
              </w:rPr>
              <w:t>190</w:t>
            </w:r>
          </w:p>
        </w:tc>
        <w:tc>
          <w:tcPr>
            <w:tcW w:w="1673" w:type="dxa"/>
            <w:shd w:val="clear" w:color="auto" w:fill="auto"/>
            <w:vAlign w:val="center"/>
          </w:tcPr>
          <w:p w14:paraId="33B3261A" w14:textId="77777777" w:rsidR="00626D90" w:rsidRPr="00A45804" w:rsidRDefault="00626D90" w:rsidP="00EF0FC0">
            <w:pPr>
              <w:spacing w:before="60" w:after="60"/>
              <w:jc w:val="center"/>
              <w:rPr>
                <w:rFonts w:cs="Times New Roman"/>
                <w:szCs w:val="22"/>
              </w:rPr>
            </w:pPr>
            <w:r w:rsidRPr="00A45804">
              <w:rPr>
                <w:rFonts w:cs="Times New Roman"/>
                <w:szCs w:val="22"/>
              </w:rPr>
              <w:t>195</w:t>
            </w:r>
          </w:p>
        </w:tc>
        <w:tc>
          <w:tcPr>
            <w:tcW w:w="1673" w:type="dxa"/>
            <w:shd w:val="clear" w:color="auto" w:fill="auto"/>
            <w:vAlign w:val="center"/>
          </w:tcPr>
          <w:p w14:paraId="7AC995AC" w14:textId="77777777" w:rsidR="00626D90" w:rsidRPr="001A19CD" w:rsidRDefault="00626D90" w:rsidP="00EF0FC0">
            <w:pPr>
              <w:spacing w:before="60" w:after="60"/>
              <w:jc w:val="center"/>
              <w:rPr>
                <w:rFonts w:cs="Times New Roman"/>
                <w:szCs w:val="22"/>
              </w:rPr>
            </w:pPr>
            <w:r w:rsidRPr="001A19CD">
              <w:rPr>
                <w:rFonts w:cs="Times New Roman"/>
                <w:szCs w:val="22"/>
              </w:rPr>
              <w:t>195</w:t>
            </w:r>
          </w:p>
        </w:tc>
        <w:tc>
          <w:tcPr>
            <w:tcW w:w="1673" w:type="dxa"/>
            <w:vAlign w:val="center"/>
          </w:tcPr>
          <w:p w14:paraId="227FECB6" w14:textId="77777777" w:rsidR="00626D90" w:rsidRPr="001A19CD" w:rsidRDefault="00626D90" w:rsidP="00EF0FC0">
            <w:pPr>
              <w:spacing w:before="60" w:after="60"/>
              <w:jc w:val="center"/>
              <w:rPr>
                <w:rFonts w:cs="Times New Roman"/>
                <w:szCs w:val="22"/>
              </w:rPr>
            </w:pPr>
            <w:r w:rsidRPr="001A19CD">
              <w:rPr>
                <w:rFonts w:cs="Times New Roman"/>
                <w:szCs w:val="22"/>
              </w:rPr>
              <w:t>201</w:t>
            </w:r>
          </w:p>
        </w:tc>
      </w:tr>
      <w:tr w:rsidR="00626D90" w:rsidRPr="00923150" w14:paraId="08A23D70" w14:textId="77777777" w:rsidTr="00EF0FC0">
        <w:trPr>
          <w:trHeight w:val="456"/>
        </w:trPr>
        <w:tc>
          <w:tcPr>
            <w:tcW w:w="2807" w:type="dxa"/>
            <w:vAlign w:val="center"/>
          </w:tcPr>
          <w:p w14:paraId="0311DC7B" w14:textId="77777777" w:rsidR="00626D90" w:rsidRPr="00A45804" w:rsidRDefault="00626D90" w:rsidP="00EF0FC0">
            <w:pPr>
              <w:spacing w:before="60" w:after="60"/>
              <w:ind w:left="284"/>
              <w:rPr>
                <w:szCs w:val="22"/>
              </w:rPr>
            </w:pPr>
            <w:r w:rsidRPr="00A45804">
              <w:rPr>
                <w:szCs w:val="22"/>
              </w:rPr>
              <w:t>Total</w:t>
            </w:r>
            <w:r>
              <w:rPr>
                <w:szCs w:val="22"/>
              </w:rPr>
              <w:t xml:space="preserve"> HCFCs and HFCs</w:t>
            </w:r>
          </w:p>
        </w:tc>
        <w:tc>
          <w:tcPr>
            <w:tcW w:w="1672" w:type="dxa"/>
            <w:shd w:val="clear" w:color="auto" w:fill="auto"/>
            <w:vAlign w:val="center"/>
          </w:tcPr>
          <w:p w14:paraId="5F441367" w14:textId="77777777" w:rsidR="00626D90" w:rsidRPr="00A45804" w:rsidRDefault="00626D90" w:rsidP="00EF0FC0">
            <w:pPr>
              <w:spacing w:before="60" w:after="60"/>
              <w:jc w:val="center"/>
              <w:rPr>
                <w:szCs w:val="22"/>
              </w:rPr>
            </w:pPr>
            <w:r w:rsidRPr="00A45804">
              <w:rPr>
                <w:szCs w:val="22"/>
              </w:rPr>
              <w:t>3,449</w:t>
            </w:r>
          </w:p>
        </w:tc>
        <w:tc>
          <w:tcPr>
            <w:tcW w:w="1673" w:type="dxa"/>
            <w:shd w:val="clear" w:color="auto" w:fill="auto"/>
            <w:vAlign w:val="center"/>
          </w:tcPr>
          <w:p w14:paraId="51A94384" w14:textId="77777777" w:rsidR="00626D90" w:rsidRPr="001A19CD" w:rsidRDefault="00626D90" w:rsidP="00EF0FC0">
            <w:pPr>
              <w:spacing w:before="60" w:after="60"/>
              <w:jc w:val="center"/>
              <w:rPr>
                <w:rFonts w:cs="Times New Roman"/>
                <w:szCs w:val="22"/>
              </w:rPr>
            </w:pPr>
            <w:r w:rsidRPr="001A19CD">
              <w:rPr>
                <w:rFonts w:cs="Times New Roman"/>
                <w:szCs w:val="22"/>
              </w:rPr>
              <w:t>3,768</w:t>
            </w:r>
          </w:p>
        </w:tc>
        <w:tc>
          <w:tcPr>
            <w:tcW w:w="1673" w:type="dxa"/>
            <w:shd w:val="clear" w:color="auto" w:fill="auto"/>
            <w:vAlign w:val="center"/>
          </w:tcPr>
          <w:p w14:paraId="658FFB6A" w14:textId="77777777" w:rsidR="00626D90" w:rsidRPr="001A19CD" w:rsidRDefault="00626D90" w:rsidP="00EF0FC0">
            <w:pPr>
              <w:spacing w:before="60" w:after="60"/>
              <w:jc w:val="center"/>
              <w:rPr>
                <w:rFonts w:cs="Times New Roman"/>
                <w:szCs w:val="22"/>
              </w:rPr>
            </w:pPr>
            <w:r w:rsidRPr="001A19CD">
              <w:rPr>
                <w:rFonts w:cs="Times New Roman"/>
                <w:szCs w:val="22"/>
              </w:rPr>
              <w:t>3,619</w:t>
            </w:r>
          </w:p>
        </w:tc>
        <w:tc>
          <w:tcPr>
            <w:tcW w:w="1673" w:type="dxa"/>
            <w:vAlign w:val="center"/>
          </w:tcPr>
          <w:p w14:paraId="5FACF0E4" w14:textId="77777777" w:rsidR="00626D90" w:rsidRPr="001A19CD" w:rsidRDefault="00626D90" w:rsidP="00EF0FC0">
            <w:pPr>
              <w:spacing w:before="60" w:after="60"/>
              <w:jc w:val="center"/>
              <w:rPr>
                <w:rFonts w:cs="Times New Roman"/>
                <w:szCs w:val="22"/>
              </w:rPr>
            </w:pPr>
            <w:r w:rsidRPr="001A19CD">
              <w:rPr>
                <w:rFonts w:cs="Times New Roman"/>
                <w:szCs w:val="22"/>
              </w:rPr>
              <w:t>3,795</w:t>
            </w:r>
          </w:p>
        </w:tc>
      </w:tr>
    </w:tbl>
    <w:p w14:paraId="531BA6A9" w14:textId="77777777" w:rsidR="00626D90" w:rsidRPr="00A8344F" w:rsidRDefault="00626D90" w:rsidP="00626D90">
      <w:pPr>
        <w:rPr>
          <w:sz w:val="20"/>
          <w:szCs w:val="20"/>
        </w:rPr>
      </w:pPr>
      <w:r>
        <w:rPr>
          <w:sz w:val="20"/>
          <w:szCs w:val="20"/>
        </w:rPr>
        <w:t>Notes:</w:t>
      </w:r>
    </w:p>
    <w:p w14:paraId="66D58B57" w14:textId="77777777" w:rsidR="00626D90" w:rsidRPr="007545CC" w:rsidRDefault="00626D90" w:rsidP="00626D90">
      <w:pPr>
        <w:pStyle w:val="ListParagraph"/>
        <w:numPr>
          <w:ilvl w:val="0"/>
          <w:numId w:val="54"/>
        </w:numPr>
        <w:spacing w:before="60" w:after="0" w:line="240" w:lineRule="auto"/>
        <w:ind w:left="357" w:hanging="357"/>
        <w:contextualSpacing w:val="0"/>
        <w:jc w:val="both"/>
        <w:rPr>
          <w:rFonts w:ascii="Times New Roman" w:hAnsi="Times New Roman"/>
          <w:sz w:val="20"/>
          <w:szCs w:val="20"/>
        </w:rPr>
      </w:pPr>
      <w:r>
        <w:rPr>
          <w:rFonts w:ascii="Times New Roman" w:hAnsi="Times New Roman"/>
          <w:sz w:val="20"/>
          <w:szCs w:val="20"/>
        </w:rPr>
        <w:t>Maximum imports of HCFCs for 2016 to 2019 are capped at 2.5</w:t>
      </w:r>
      <w:r w:rsidRPr="007545CC">
        <w:rPr>
          <w:rFonts w:ascii="Times New Roman" w:hAnsi="Times New Roman"/>
          <w:sz w:val="20"/>
          <w:szCs w:val="20"/>
        </w:rPr>
        <w:t xml:space="preserve"> ODP tonnes</w:t>
      </w:r>
      <w:r>
        <w:rPr>
          <w:rFonts w:ascii="Times New Roman" w:hAnsi="Times New Roman"/>
          <w:sz w:val="20"/>
          <w:szCs w:val="20"/>
        </w:rPr>
        <w:t xml:space="preserve"> per annum</w:t>
      </w:r>
      <w:r w:rsidRPr="007545CC">
        <w:rPr>
          <w:rFonts w:ascii="Times New Roman" w:hAnsi="Times New Roman"/>
          <w:sz w:val="20"/>
          <w:szCs w:val="20"/>
        </w:rPr>
        <w:t xml:space="preserve">, which equates to 45.5 </w:t>
      </w:r>
      <w:r>
        <w:rPr>
          <w:rFonts w:ascii="Times New Roman" w:hAnsi="Times New Roman"/>
          <w:sz w:val="20"/>
          <w:szCs w:val="20"/>
        </w:rPr>
        <w:t xml:space="preserve">metric </w:t>
      </w:r>
      <w:r w:rsidRPr="007545CC">
        <w:rPr>
          <w:rFonts w:ascii="Times New Roman" w:hAnsi="Times New Roman"/>
          <w:sz w:val="20"/>
          <w:szCs w:val="20"/>
        </w:rPr>
        <w:t xml:space="preserve">tonnes of HCFC-22. The additional </w:t>
      </w:r>
      <w:r>
        <w:rPr>
          <w:rFonts w:ascii="Times New Roman" w:hAnsi="Times New Roman"/>
          <w:sz w:val="20"/>
          <w:szCs w:val="20"/>
        </w:rPr>
        <w:t xml:space="preserve">usage in those years of 210, 179, 117 and 93 </w:t>
      </w:r>
      <w:r w:rsidRPr="007545CC">
        <w:rPr>
          <w:rFonts w:ascii="Times New Roman" w:hAnsi="Times New Roman"/>
          <w:sz w:val="20"/>
          <w:szCs w:val="20"/>
        </w:rPr>
        <w:t xml:space="preserve">tonnes </w:t>
      </w:r>
      <w:r>
        <w:rPr>
          <w:rFonts w:ascii="Times New Roman" w:hAnsi="Times New Roman"/>
          <w:sz w:val="20"/>
          <w:szCs w:val="20"/>
        </w:rPr>
        <w:t xml:space="preserve">of HCFC </w:t>
      </w:r>
      <w:r w:rsidRPr="007545CC">
        <w:rPr>
          <w:rFonts w:ascii="Times New Roman" w:hAnsi="Times New Roman"/>
          <w:sz w:val="20"/>
          <w:szCs w:val="20"/>
        </w:rPr>
        <w:t>refrigerant</w:t>
      </w:r>
      <w:r>
        <w:rPr>
          <w:rFonts w:ascii="Times New Roman" w:hAnsi="Times New Roman"/>
          <w:sz w:val="20"/>
          <w:szCs w:val="20"/>
        </w:rPr>
        <w:t>s</w:t>
      </w:r>
      <w:r w:rsidRPr="007545CC">
        <w:rPr>
          <w:rFonts w:ascii="Times New Roman" w:hAnsi="Times New Roman"/>
          <w:sz w:val="20"/>
          <w:szCs w:val="20"/>
        </w:rPr>
        <w:t xml:space="preserve"> </w:t>
      </w:r>
      <w:r>
        <w:rPr>
          <w:rFonts w:ascii="Times New Roman" w:hAnsi="Times New Roman"/>
          <w:sz w:val="20"/>
          <w:szCs w:val="20"/>
        </w:rPr>
        <w:t>is possible because the material</w:t>
      </w:r>
      <w:r w:rsidRPr="007545CC">
        <w:rPr>
          <w:rFonts w:ascii="Times New Roman" w:hAnsi="Times New Roman"/>
          <w:sz w:val="20"/>
          <w:szCs w:val="20"/>
        </w:rPr>
        <w:t xml:space="preserve"> </w:t>
      </w:r>
      <w:r>
        <w:rPr>
          <w:rFonts w:ascii="Times New Roman" w:hAnsi="Times New Roman"/>
          <w:sz w:val="20"/>
          <w:szCs w:val="20"/>
        </w:rPr>
        <w:t xml:space="preserve">has </w:t>
      </w:r>
      <w:r w:rsidRPr="007545CC">
        <w:rPr>
          <w:rFonts w:ascii="Times New Roman" w:hAnsi="Times New Roman"/>
          <w:sz w:val="20"/>
          <w:szCs w:val="20"/>
        </w:rPr>
        <w:t xml:space="preserve">been </w:t>
      </w:r>
      <w:r>
        <w:rPr>
          <w:rFonts w:ascii="Times New Roman" w:hAnsi="Times New Roman"/>
          <w:sz w:val="20"/>
          <w:szCs w:val="20"/>
        </w:rPr>
        <w:t>reclaimed</w:t>
      </w:r>
      <w:r w:rsidRPr="007545CC">
        <w:rPr>
          <w:rFonts w:ascii="Times New Roman" w:hAnsi="Times New Roman"/>
          <w:sz w:val="20"/>
          <w:szCs w:val="20"/>
        </w:rPr>
        <w:t xml:space="preserve"> </w:t>
      </w:r>
      <w:r>
        <w:rPr>
          <w:rFonts w:ascii="Times New Roman" w:hAnsi="Times New Roman"/>
          <w:sz w:val="20"/>
          <w:szCs w:val="20"/>
        </w:rPr>
        <w:t>and reconditioned to</w:t>
      </w:r>
      <w:r w:rsidRPr="007545CC">
        <w:rPr>
          <w:rFonts w:ascii="Times New Roman" w:hAnsi="Times New Roman"/>
          <w:sz w:val="20"/>
          <w:szCs w:val="20"/>
        </w:rPr>
        <w:t xml:space="preserve"> AHRI 700 standard </w:t>
      </w:r>
      <w:r>
        <w:rPr>
          <w:rFonts w:ascii="Times New Roman" w:hAnsi="Times New Roman"/>
          <w:sz w:val="20"/>
          <w:szCs w:val="20"/>
        </w:rPr>
        <w:t>so that it can be</w:t>
      </w:r>
      <w:r w:rsidRPr="007545CC">
        <w:rPr>
          <w:rFonts w:ascii="Times New Roman" w:hAnsi="Times New Roman"/>
          <w:sz w:val="20"/>
          <w:szCs w:val="20"/>
        </w:rPr>
        <w:t xml:space="preserve"> resold. There would be additional HCFC-22 recovered by contractors and re-used.</w:t>
      </w:r>
    </w:p>
    <w:p w14:paraId="294F82AA" w14:textId="77777777" w:rsidR="00626D90" w:rsidRDefault="00626D90" w:rsidP="00626D90">
      <w:pPr>
        <w:pStyle w:val="ListParagraph"/>
        <w:numPr>
          <w:ilvl w:val="0"/>
          <w:numId w:val="54"/>
        </w:numPr>
        <w:spacing w:before="60" w:after="0" w:line="240" w:lineRule="auto"/>
        <w:ind w:left="357" w:hanging="357"/>
        <w:contextualSpacing w:val="0"/>
        <w:jc w:val="both"/>
        <w:rPr>
          <w:rFonts w:ascii="Times New Roman" w:hAnsi="Times New Roman"/>
          <w:sz w:val="20"/>
          <w:szCs w:val="20"/>
        </w:rPr>
      </w:pPr>
      <w:r w:rsidRPr="00020F25">
        <w:rPr>
          <w:rFonts w:ascii="Times New Roman" w:hAnsi="Times New Roman"/>
          <w:sz w:val="20"/>
          <w:szCs w:val="20"/>
        </w:rPr>
        <w:t>HCFC-22/CFC retrofit replacements include HFC-422D, HFC-437A, HFC-417A, HFC-422A, HFC-438A, HFC-426A, HFC-424A, HFC-428A, HCFC-508A, HCFC-508B, HCFC-408A and HCFC-409A.</w:t>
      </w:r>
    </w:p>
    <w:p w14:paraId="6A548979" w14:textId="77777777" w:rsidR="00626D90" w:rsidRPr="0039226C" w:rsidRDefault="00626D90" w:rsidP="00626D90">
      <w:pPr>
        <w:pStyle w:val="ListParagraph"/>
        <w:numPr>
          <w:ilvl w:val="0"/>
          <w:numId w:val="54"/>
        </w:numPr>
        <w:spacing w:before="60" w:after="0" w:line="240" w:lineRule="auto"/>
        <w:ind w:left="357" w:hanging="357"/>
        <w:contextualSpacing w:val="0"/>
        <w:jc w:val="both"/>
        <w:rPr>
          <w:rFonts w:ascii="Times New Roman" w:hAnsi="Times New Roman"/>
          <w:sz w:val="20"/>
          <w:szCs w:val="20"/>
        </w:rPr>
      </w:pPr>
      <w:r w:rsidRPr="0039226C">
        <w:rPr>
          <w:rFonts w:ascii="Times New Roman" w:hAnsi="Times New Roman"/>
          <w:sz w:val="20"/>
          <w:szCs w:val="20"/>
        </w:rPr>
        <w:t>HF</w:t>
      </w:r>
      <w:r>
        <w:rPr>
          <w:rFonts w:ascii="Times New Roman" w:hAnsi="Times New Roman"/>
          <w:sz w:val="20"/>
          <w:szCs w:val="20"/>
        </w:rPr>
        <w:t>O</w:t>
      </w:r>
      <w:r w:rsidRPr="0039226C">
        <w:rPr>
          <w:rFonts w:ascii="Times New Roman" w:hAnsi="Times New Roman"/>
          <w:sz w:val="20"/>
          <w:szCs w:val="20"/>
        </w:rPr>
        <w:t>/HF</w:t>
      </w:r>
      <w:r>
        <w:rPr>
          <w:rFonts w:ascii="Times New Roman" w:hAnsi="Times New Roman"/>
          <w:sz w:val="20"/>
          <w:szCs w:val="20"/>
        </w:rPr>
        <w:t>C</w:t>
      </w:r>
      <w:r w:rsidRPr="0039226C">
        <w:rPr>
          <w:rFonts w:ascii="Times New Roman" w:hAnsi="Times New Roman"/>
          <w:sz w:val="20"/>
          <w:szCs w:val="20"/>
        </w:rPr>
        <w:t xml:space="preserve"> Blends includes </w:t>
      </w:r>
      <w:r>
        <w:rPr>
          <w:rFonts w:ascii="Times New Roman" w:hAnsi="Times New Roman"/>
          <w:sz w:val="20"/>
          <w:szCs w:val="20"/>
        </w:rPr>
        <w:t>R</w:t>
      </w:r>
      <w:r w:rsidRPr="0039226C">
        <w:rPr>
          <w:rFonts w:ascii="Times New Roman" w:hAnsi="Times New Roman"/>
          <w:sz w:val="20"/>
          <w:szCs w:val="20"/>
        </w:rPr>
        <w:t xml:space="preserve">448A, </w:t>
      </w:r>
      <w:r>
        <w:rPr>
          <w:rFonts w:ascii="Times New Roman" w:hAnsi="Times New Roman"/>
          <w:sz w:val="20"/>
          <w:szCs w:val="20"/>
        </w:rPr>
        <w:t>R</w:t>
      </w:r>
      <w:r w:rsidRPr="0039226C">
        <w:rPr>
          <w:rFonts w:ascii="Times New Roman" w:hAnsi="Times New Roman"/>
          <w:sz w:val="20"/>
          <w:szCs w:val="20"/>
        </w:rPr>
        <w:t xml:space="preserve">449A, </w:t>
      </w:r>
      <w:r>
        <w:rPr>
          <w:rFonts w:ascii="Times New Roman" w:hAnsi="Times New Roman"/>
          <w:sz w:val="20"/>
          <w:szCs w:val="20"/>
        </w:rPr>
        <w:t>R</w:t>
      </w:r>
      <w:r w:rsidRPr="0039226C">
        <w:rPr>
          <w:rFonts w:ascii="Times New Roman" w:hAnsi="Times New Roman"/>
          <w:sz w:val="20"/>
          <w:szCs w:val="20"/>
        </w:rPr>
        <w:t xml:space="preserve">450A, </w:t>
      </w:r>
      <w:r>
        <w:rPr>
          <w:rFonts w:ascii="Times New Roman" w:hAnsi="Times New Roman"/>
          <w:sz w:val="20"/>
          <w:szCs w:val="20"/>
        </w:rPr>
        <w:t>R</w:t>
      </w:r>
      <w:r w:rsidRPr="0039226C">
        <w:rPr>
          <w:rFonts w:ascii="Times New Roman" w:hAnsi="Times New Roman"/>
          <w:sz w:val="20"/>
          <w:szCs w:val="20"/>
        </w:rPr>
        <w:t>452A</w:t>
      </w:r>
      <w:r>
        <w:rPr>
          <w:rFonts w:ascii="Times New Roman" w:hAnsi="Times New Roman"/>
          <w:sz w:val="20"/>
          <w:szCs w:val="20"/>
        </w:rPr>
        <w:t>, R455A, R</w:t>
      </w:r>
      <w:r w:rsidRPr="0039226C">
        <w:rPr>
          <w:rFonts w:ascii="Times New Roman" w:hAnsi="Times New Roman"/>
          <w:sz w:val="20"/>
          <w:szCs w:val="20"/>
        </w:rPr>
        <w:t>513A</w:t>
      </w:r>
      <w:r>
        <w:rPr>
          <w:rFonts w:ascii="Times New Roman" w:hAnsi="Times New Roman"/>
          <w:sz w:val="20"/>
          <w:szCs w:val="20"/>
        </w:rPr>
        <w:t>, R515A and others imported from 2017. The value includes the HFO and HFC component.</w:t>
      </w:r>
    </w:p>
    <w:p w14:paraId="482ADF5E" w14:textId="77777777" w:rsidR="00626D90" w:rsidRPr="007545CC" w:rsidRDefault="00626D90" w:rsidP="00626D90">
      <w:pPr>
        <w:pStyle w:val="ListParagraph"/>
        <w:numPr>
          <w:ilvl w:val="0"/>
          <w:numId w:val="54"/>
        </w:numPr>
        <w:spacing w:before="60" w:after="0" w:line="240" w:lineRule="auto"/>
        <w:ind w:left="357" w:hanging="357"/>
        <w:contextualSpacing w:val="0"/>
        <w:jc w:val="both"/>
        <w:rPr>
          <w:rFonts w:ascii="Times New Roman" w:hAnsi="Times New Roman"/>
          <w:sz w:val="20"/>
          <w:szCs w:val="20"/>
        </w:rPr>
      </w:pPr>
      <w:r w:rsidRPr="007545CC">
        <w:rPr>
          <w:rFonts w:ascii="Times New Roman" w:hAnsi="Times New Roman"/>
          <w:sz w:val="20"/>
          <w:szCs w:val="20"/>
        </w:rPr>
        <w:t xml:space="preserve">Majority used in </w:t>
      </w:r>
      <w:r>
        <w:rPr>
          <w:rFonts w:ascii="Times New Roman" w:hAnsi="Times New Roman"/>
          <w:sz w:val="20"/>
          <w:szCs w:val="20"/>
        </w:rPr>
        <w:t>f</w:t>
      </w:r>
      <w:r w:rsidRPr="007545CC">
        <w:rPr>
          <w:rFonts w:ascii="Times New Roman" w:hAnsi="Times New Roman"/>
          <w:sz w:val="20"/>
          <w:szCs w:val="20"/>
        </w:rPr>
        <w:t xml:space="preserve">oam and </w:t>
      </w:r>
      <w:r>
        <w:rPr>
          <w:rFonts w:ascii="Times New Roman" w:hAnsi="Times New Roman"/>
          <w:sz w:val="20"/>
          <w:szCs w:val="20"/>
        </w:rPr>
        <w:t>f</w:t>
      </w:r>
      <w:r w:rsidRPr="007545CC">
        <w:rPr>
          <w:rFonts w:ascii="Times New Roman" w:hAnsi="Times New Roman"/>
          <w:sz w:val="20"/>
          <w:szCs w:val="20"/>
        </w:rPr>
        <w:t xml:space="preserve">ire </w:t>
      </w:r>
      <w:r>
        <w:rPr>
          <w:rFonts w:ascii="Times New Roman" w:hAnsi="Times New Roman"/>
          <w:sz w:val="20"/>
          <w:szCs w:val="20"/>
        </w:rPr>
        <w:t>p</w:t>
      </w:r>
      <w:r w:rsidRPr="007545CC">
        <w:rPr>
          <w:rFonts w:ascii="Times New Roman" w:hAnsi="Times New Roman"/>
          <w:sz w:val="20"/>
          <w:szCs w:val="20"/>
        </w:rPr>
        <w:t>rotection applications as well as HFC-125</w:t>
      </w:r>
      <w:r>
        <w:rPr>
          <w:rFonts w:ascii="Times New Roman" w:hAnsi="Times New Roman"/>
          <w:sz w:val="20"/>
          <w:szCs w:val="20"/>
        </w:rPr>
        <w:t xml:space="preserve"> that could be used in refrigerant blends</w:t>
      </w:r>
      <w:r w:rsidRPr="007545CC">
        <w:rPr>
          <w:rFonts w:ascii="Times New Roman" w:hAnsi="Times New Roman"/>
          <w:sz w:val="20"/>
          <w:szCs w:val="20"/>
        </w:rPr>
        <w:t xml:space="preserve">. </w:t>
      </w:r>
    </w:p>
    <w:p w14:paraId="2FC7EF04" w14:textId="77777777" w:rsidR="00626D90" w:rsidRDefault="00626D90" w:rsidP="00626D90">
      <w:pPr>
        <w:spacing w:before="0"/>
        <w:rPr>
          <w:szCs w:val="22"/>
        </w:rPr>
      </w:pPr>
      <w:bookmarkStart w:id="51" w:name="_Toc525141414"/>
    </w:p>
    <w:p w14:paraId="24294C70" w14:textId="77777777" w:rsidR="00626D90" w:rsidRDefault="00626D90" w:rsidP="00626D90">
      <w:pPr>
        <w:pStyle w:val="Heading2"/>
        <w:jc w:val="both"/>
      </w:pPr>
      <w:bookmarkStart w:id="52" w:name="_Toc46923729"/>
      <w:proofErr w:type="spellStart"/>
      <w:r w:rsidRPr="00B55C99">
        <w:t>Hydroflu</w:t>
      </w:r>
      <w:r>
        <w:t>o</w:t>
      </w:r>
      <w:r w:rsidRPr="00B55C99">
        <w:t>ro</w:t>
      </w:r>
      <w:proofErr w:type="spellEnd"/>
      <w:r w:rsidRPr="00B55C99">
        <w:t>-</w:t>
      </w:r>
      <w:r>
        <w:t>o</w:t>
      </w:r>
      <w:r w:rsidRPr="00B55C99">
        <w:t>lefin</w:t>
      </w:r>
      <w:r>
        <w:t xml:space="preserve"> refrigerants (HFOs)</w:t>
      </w:r>
      <w:bookmarkEnd w:id="52"/>
    </w:p>
    <w:p w14:paraId="5F663250" w14:textId="77777777" w:rsidR="00626D90" w:rsidRDefault="00626D90" w:rsidP="00626D90">
      <w:pPr>
        <w:rPr>
          <w:lang w:val="en-US"/>
        </w:rPr>
      </w:pPr>
      <w:r>
        <w:rPr>
          <w:lang w:val="en-US"/>
        </w:rPr>
        <w:t xml:space="preserve">HFOs have very-low GWPs (&lt;10), and in many applications require a smaller refrigerant charge to deliver the same refrigerating effect. Like HCs, the effectiveness of HFOs as a refrigerant mean that in some applications the same refrigerating effect can be achieved while reducing electricity consumed. HFOs were released into international markets from around 2011 and were expected to make relatively rapid in-roads into the bank of refrigerants imported in MAC in new passenger vehicles. International auto makers adopted HFOs for most major markets including the US, EU and Japan from around 2017, in part driven by European F-Gas requirements. At the time of writing HFOs have not been imported in MAC in significant volumes. </w:t>
      </w:r>
    </w:p>
    <w:p w14:paraId="6EA507CB" w14:textId="77777777" w:rsidR="00626D90" w:rsidRDefault="00626D90" w:rsidP="00626D90">
      <w:r w:rsidRPr="00013DFC">
        <w:t>The HFO refrigerants with a GWP less than 10 are HFO-1234yf, HFO-1234ze</w:t>
      </w:r>
      <w:r>
        <w:t xml:space="preserve">, </w:t>
      </w:r>
      <w:r w:rsidRPr="00FA2407">
        <w:t>HFO-1233zd and HFO-1336mzz</w:t>
      </w:r>
      <w:r w:rsidRPr="00013DFC">
        <w:t xml:space="preserve">. The main applications for these refrigerants in Australia in 2018 are supplies to the automotive supply chain and for charging space chillers. Volumes of these refrigerants imported </w:t>
      </w:r>
      <w:r>
        <w:t xml:space="preserve">as bulk refrigerants </w:t>
      </w:r>
      <w:r w:rsidRPr="00013DFC">
        <w:t xml:space="preserve">to date are estimated at </w:t>
      </w:r>
      <w:r>
        <w:t xml:space="preserve">less than </w:t>
      </w:r>
      <w:r w:rsidRPr="00013DFC">
        <w:t>20 tonnes</w:t>
      </w:r>
      <w:r>
        <w:t>.</w:t>
      </w:r>
    </w:p>
    <w:p w14:paraId="4C28E3B1" w14:textId="77777777" w:rsidR="00626D90" w:rsidRDefault="00626D90" w:rsidP="00626D90">
      <w:r>
        <w:t xml:space="preserve">It is expected that trends in global vehicle and equipment manufacturing will see HFO volumes </w:t>
      </w:r>
      <w:proofErr w:type="spellStart"/>
      <w:r>
        <w:t>increase</w:t>
      </w:r>
      <w:proofErr w:type="spellEnd"/>
      <w:r>
        <w:t xml:space="preserve"> markedly through the mid-2020s, delivering a corresponding decrease in volumes of some of the high GWP </w:t>
      </w:r>
      <w:r>
        <w:lastRenderedPageBreak/>
        <w:t>HFCs, particularly HFC</w:t>
      </w:r>
      <w:r>
        <w:noBreakHyphen/>
        <w:t>134a. As imports of HFO PCE or bulk HFOs are not reportable under current regulatory arrangements, reliable sources of data on import and use of HFOs are still being developed with industry.</w:t>
      </w:r>
    </w:p>
    <w:p w14:paraId="57B3DB56" w14:textId="77777777" w:rsidR="00626D90" w:rsidRDefault="00626D90" w:rsidP="00626D90">
      <w:pPr>
        <w:spacing w:before="0"/>
      </w:pPr>
    </w:p>
    <w:p w14:paraId="29F24A82" w14:textId="77777777" w:rsidR="00626D90" w:rsidRDefault="00626D90" w:rsidP="00626D90">
      <w:pPr>
        <w:pStyle w:val="Heading2"/>
        <w:jc w:val="both"/>
      </w:pPr>
      <w:bookmarkStart w:id="53" w:name="_Toc46923730"/>
      <w:r>
        <w:t>HFO/HFC blend refrigerants</w:t>
      </w:r>
      <w:bookmarkEnd w:id="53"/>
    </w:p>
    <w:p w14:paraId="4F213604" w14:textId="77777777" w:rsidR="00626D90" w:rsidRDefault="00626D90" w:rsidP="00626D90">
      <w:pPr>
        <w:rPr>
          <w:lang w:val="en-US"/>
        </w:rPr>
      </w:pPr>
      <w:r>
        <w:rPr>
          <w:lang w:val="en-US"/>
        </w:rPr>
        <w:t xml:space="preserve">While pure HFOs have not taken as much market share as predicted in the last few years, HFO/HFC blends have begun to be deployed in the market with an estimated 38 </w:t>
      </w:r>
      <w:proofErr w:type="spellStart"/>
      <w:r>
        <w:rPr>
          <w:lang w:val="en-US"/>
        </w:rPr>
        <w:t>tonnes</w:t>
      </w:r>
      <w:proofErr w:type="spellEnd"/>
      <w:r>
        <w:rPr>
          <w:lang w:val="en-US"/>
        </w:rPr>
        <w:t xml:space="preserve"> used in 2019. The properties of these blends, and their ability to act as lower GWP, higher efficiency, and in some instances drop-in replacements gives equipment designers and owners options for extending the life of equipment, improving operation and moving to lower GWP refrigerants.</w:t>
      </w:r>
    </w:p>
    <w:p w14:paraId="48221AA8" w14:textId="77777777" w:rsidR="00626D90" w:rsidRDefault="00626D90" w:rsidP="00626D90">
      <w:pPr>
        <w:rPr>
          <w:lang w:val="en-US"/>
        </w:rPr>
      </w:pPr>
      <w:r>
        <w:rPr>
          <w:lang w:val="en-US"/>
        </w:rPr>
        <w:t xml:space="preserve">While it is early days in the acceptance of HFO/HFC blends in the market, their adoption in some populous classes of equipment, such as the use of </w:t>
      </w:r>
      <w:r w:rsidRPr="00FE1AFE">
        <w:rPr>
          <w:lang w:val="en-US"/>
        </w:rPr>
        <w:t xml:space="preserve">R448A, R449A, R450A, R452A, R455A and </w:t>
      </w:r>
      <w:r>
        <w:rPr>
          <w:lang w:val="en-US"/>
        </w:rPr>
        <w:t xml:space="preserve">possibly </w:t>
      </w:r>
      <w:r w:rsidRPr="00FE1AFE">
        <w:rPr>
          <w:lang w:val="en-US"/>
        </w:rPr>
        <w:t>others</w:t>
      </w:r>
      <w:r>
        <w:rPr>
          <w:lang w:val="en-US"/>
        </w:rPr>
        <w:t xml:space="preserve"> in commercial refrigeration applications, is a trend that will be watched closely in subsequent editions of Cold Hard Facts.</w:t>
      </w:r>
    </w:p>
    <w:p w14:paraId="5F658BC0" w14:textId="77777777" w:rsidR="00626D90" w:rsidRDefault="00626D90" w:rsidP="00626D90">
      <w:pPr>
        <w:rPr>
          <w:lang w:val="en-US"/>
        </w:rPr>
      </w:pPr>
      <w:r>
        <w:rPr>
          <w:lang w:val="en-US"/>
        </w:rPr>
        <w:t>HFO/HFC blends observed in chillers in Australia were R513A and R515A.</w:t>
      </w:r>
    </w:p>
    <w:p w14:paraId="55AF3418" w14:textId="77777777" w:rsidR="00626D90" w:rsidRDefault="00626D90" w:rsidP="00626D90">
      <w:r>
        <w:t xml:space="preserve">Other HFO/HFC blends emerging globally are the A2L classified </w:t>
      </w:r>
      <w:r w:rsidRPr="00F54B02">
        <w:t>R452B, R454A, R454B, R454C and R457A</w:t>
      </w:r>
      <w:r>
        <w:t xml:space="preserve"> that were recently listed by the </w:t>
      </w:r>
      <w:r w:rsidRPr="00F54B02">
        <w:t>Significant New Alternatives Policy (SNAP) Program</w:t>
      </w:r>
      <w:r>
        <w:t xml:space="preserve"> of the United States Environmental Protection Agency for use in air conditioning and heat pump applications. These refrigerant blends are mostly available in US designs and are offered by some European manufacturers, but not Japanese manufacturers. They have not been observed in the Australian market. </w:t>
      </w:r>
    </w:p>
    <w:p w14:paraId="3D6E5369" w14:textId="77777777" w:rsidR="00626D90" w:rsidRDefault="00626D90" w:rsidP="00626D90">
      <w:pPr>
        <w:spacing w:before="0"/>
      </w:pPr>
    </w:p>
    <w:p w14:paraId="4C82C30D" w14:textId="77777777" w:rsidR="00626D90" w:rsidRDefault="00626D90" w:rsidP="00626D90">
      <w:pPr>
        <w:pStyle w:val="Heading2"/>
      </w:pPr>
      <w:bookmarkStart w:id="54" w:name="_Toc46923731"/>
      <w:r>
        <w:t>Natural refrigerants</w:t>
      </w:r>
      <w:bookmarkEnd w:id="54"/>
    </w:p>
    <w:p w14:paraId="4F81B6BE" w14:textId="77777777" w:rsidR="00626D90" w:rsidRDefault="00626D90" w:rsidP="00626D90">
      <w:pPr>
        <w:rPr>
          <w:color w:val="000000" w:themeColor="text1"/>
          <w:sz w:val="20"/>
          <w:szCs w:val="20"/>
        </w:rPr>
      </w:pPr>
      <w:r w:rsidRPr="007C2E9E">
        <w:rPr>
          <w:szCs w:val="22"/>
          <w:lang w:val="en-AU"/>
        </w:rPr>
        <w:t xml:space="preserve">Natural refrigerants </w:t>
      </w:r>
      <w:r>
        <w:rPr>
          <w:szCs w:val="22"/>
          <w:lang w:val="en-AU"/>
        </w:rPr>
        <w:t xml:space="preserve">are employed to some extent in </w:t>
      </w:r>
      <w:r w:rsidRPr="007C2E9E">
        <w:rPr>
          <w:szCs w:val="22"/>
          <w:lang w:val="en-AU"/>
        </w:rPr>
        <w:t xml:space="preserve">most </w:t>
      </w:r>
      <w:r>
        <w:rPr>
          <w:szCs w:val="22"/>
          <w:lang w:val="en-AU"/>
        </w:rPr>
        <w:t xml:space="preserve">RAC </w:t>
      </w:r>
      <w:r w:rsidRPr="007C2E9E">
        <w:rPr>
          <w:szCs w:val="22"/>
          <w:lang w:val="en-AU"/>
        </w:rPr>
        <w:t>technology se</w:t>
      </w:r>
      <w:r>
        <w:rPr>
          <w:szCs w:val="22"/>
          <w:lang w:val="en-AU"/>
        </w:rPr>
        <w:t xml:space="preserve">gments, although with minimal applications in stationary </w:t>
      </w:r>
      <w:r w:rsidRPr="00700A74">
        <w:rPr>
          <w:szCs w:val="22"/>
          <w:lang w:val="en-AU"/>
        </w:rPr>
        <w:t>air conditioning.</w:t>
      </w:r>
    </w:p>
    <w:p w14:paraId="3E4C7BE1" w14:textId="77777777" w:rsidR="00626D90" w:rsidRDefault="00626D90" w:rsidP="00626D90">
      <w:pPr>
        <w:rPr>
          <w:color w:val="000000" w:themeColor="text1"/>
          <w:szCs w:val="22"/>
        </w:rPr>
      </w:pPr>
      <w:r>
        <w:rPr>
          <w:color w:val="000000" w:themeColor="text1"/>
          <w:szCs w:val="22"/>
        </w:rPr>
        <w:t>Commercial and domestic refrigeration has led the way in the adoption of natural refrigerants. T</w:t>
      </w:r>
      <w:r w:rsidRPr="007C2E9E">
        <w:rPr>
          <w:color w:val="000000" w:themeColor="text1"/>
          <w:szCs w:val="22"/>
        </w:rPr>
        <w:t xml:space="preserve">he transition of domestic refrigeration </w:t>
      </w:r>
      <w:r>
        <w:rPr>
          <w:color w:val="000000" w:themeColor="text1"/>
          <w:szCs w:val="22"/>
        </w:rPr>
        <w:t xml:space="preserve">equipment </w:t>
      </w:r>
      <w:r w:rsidRPr="007C2E9E">
        <w:rPr>
          <w:color w:val="000000" w:themeColor="text1"/>
          <w:szCs w:val="22"/>
        </w:rPr>
        <w:t>to hydrocarbon</w:t>
      </w:r>
      <w:r>
        <w:rPr>
          <w:color w:val="000000" w:themeColor="text1"/>
          <w:szCs w:val="22"/>
        </w:rPr>
        <w:t>s</w:t>
      </w:r>
      <w:r w:rsidRPr="007C2E9E">
        <w:rPr>
          <w:color w:val="000000" w:themeColor="text1"/>
          <w:szCs w:val="22"/>
        </w:rPr>
        <w:t xml:space="preserve">, </w:t>
      </w:r>
      <w:r>
        <w:rPr>
          <w:color w:val="000000" w:themeColor="text1"/>
          <w:szCs w:val="22"/>
        </w:rPr>
        <w:t>a</w:t>
      </w:r>
      <w:r w:rsidRPr="007C2E9E">
        <w:rPr>
          <w:color w:val="000000" w:themeColor="text1"/>
          <w:szCs w:val="22"/>
        </w:rPr>
        <w:t xml:space="preserve"> trend that had barely started in 2012, is now </w:t>
      </w:r>
      <w:r>
        <w:rPr>
          <w:color w:val="000000" w:themeColor="text1"/>
          <w:szCs w:val="22"/>
        </w:rPr>
        <w:t xml:space="preserve">effectively complete, with 99% of all domestic refrigeration models examined in a retail survey now found to be charged with hydrocarbons. In more recent years this move to HCs in domestic refrigeration </w:t>
      </w:r>
      <w:r w:rsidRPr="004F3C3B">
        <w:rPr>
          <w:color w:val="000000" w:themeColor="text1"/>
          <w:szCs w:val="22"/>
        </w:rPr>
        <w:t xml:space="preserve">has extended to smaller commercial equipment in Australia </w:t>
      </w:r>
      <w:r w:rsidRPr="00BD1F46">
        <w:rPr>
          <w:color w:val="000000" w:themeColor="text1"/>
          <w:szCs w:val="22"/>
        </w:rPr>
        <w:t xml:space="preserve">with </w:t>
      </w:r>
      <w:r w:rsidRPr="00FA2407">
        <w:rPr>
          <w:color w:val="000000" w:themeColor="text1"/>
          <w:szCs w:val="22"/>
        </w:rPr>
        <w:t xml:space="preserve">around 5% of </w:t>
      </w:r>
      <w:r>
        <w:rPr>
          <w:color w:val="000000" w:themeColor="text1"/>
          <w:szCs w:val="22"/>
        </w:rPr>
        <w:t xml:space="preserve">the </w:t>
      </w:r>
      <w:r w:rsidRPr="00FA2407">
        <w:rPr>
          <w:color w:val="000000" w:themeColor="text1"/>
          <w:szCs w:val="22"/>
        </w:rPr>
        <w:t>bank of self-contained commercial refrigeration equipment</w:t>
      </w:r>
      <w:r w:rsidRPr="004F3C3B">
        <w:rPr>
          <w:color w:val="000000" w:themeColor="text1"/>
          <w:szCs w:val="22"/>
        </w:rPr>
        <w:t xml:space="preserve"> now being hydrocarbon and expected to grow rapidly.</w:t>
      </w:r>
    </w:p>
    <w:p w14:paraId="17392CF3" w14:textId="77777777" w:rsidR="00626D90" w:rsidRDefault="00626D90" w:rsidP="00626D90">
      <w:pPr>
        <w:rPr>
          <w:szCs w:val="22"/>
          <w:lang w:val="en-AU"/>
        </w:rPr>
      </w:pPr>
      <w:r>
        <w:rPr>
          <w:color w:val="000000" w:themeColor="text1"/>
          <w:szCs w:val="22"/>
        </w:rPr>
        <w:t>N</w:t>
      </w:r>
      <w:r w:rsidRPr="007C2E9E">
        <w:rPr>
          <w:color w:val="000000" w:themeColor="text1"/>
          <w:szCs w:val="22"/>
        </w:rPr>
        <w:t>atural refrigerants</w:t>
      </w:r>
      <w:r>
        <w:rPr>
          <w:color w:val="000000" w:themeColor="text1"/>
          <w:szCs w:val="22"/>
        </w:rPr>
        <w:t xml:space="preserve"> are</w:t>
      </w:r>
      <w:r w:rsidRPr="007C2E9E">
        <w:rPr>
          <w:color w:val="000000" w:themeColor="text1"/>
          <w:szCs w:val="22"/>
        </w:rPr>
        <w:t xml:space="preserve"> firmly entrenched in </w:t>
      </w:r>
      <w:r>
        <w:rPr>
          <w:color w:val="000000" w:themeColor="text1"/>
          <w:szCs w:val="22"/>
        </w:rPr>
        <w:t xml:space="preserve">the </w:t>
      </w:r>
      <w:r w:rsidRPr="007C2E9E">
        <w:rPr>
          <w:color w:val="000000" w:themeColor="text1"/>
          <w:szCs w:val="22"/>
        </w:rPr>
        <w:t xml:space="preserve">mainstream supermarket </w:t>
      </w:r>
      <w:r>
        <w:rPr>
          <w:color w:val="000000" w:themeColor="text1"/>
          <w:szCs w:val="22"/>
        </w:rPr>
        <w:t xml:space="preserve">sector with </w:t>
      </w:r>
      <w:r>
        <w:rPr>
          <w:szCs w:val="22"/>
          <w:lang w:val="en-AU"/>
        </w:rPr>
        <w:t xml:space="preserve">larger commercial refrigeration systems. They are increasingly employed in supermarket rack systems and food processing applications, </w:t>
      </w:r>
      <w:r w:rsidRPr="00F5273A">
        <w:rPr>
          <w:szCs w:val="22"/>
          <w:lang w:val="en-AU"/>
        </w:rPr>
        <w:t>now employing a number</w:t>
      </w:r>
      <w:r>
        <w:rPr>
          <w:szCs w:val="22"/>
          <w:lang w:val="en-AU"/>
        </w:rPr>
        <w:t xml:space="preserve"> of highly efficient options </w:t>
      </w:r>
      <w:proofErr w:type="gramStart"/>
      <w:r>
        <w:rPr>
          <w:szCs w:val="22"/>
          <w:lang w:val="en-AU"/>
        </w:rPr>
        <w:t>including:</w:t>
      </w:r>
      <w:proofErr w:type="gramEnd"/>
      <w:r>
        <w:rPr>
          <w:szCs w:val="22"/>
          <w:lang w:val="en-AU"/>
        </w:rPr>
        <w:t xml:space="preserve"> </w:t>
      </w:r>
      <w:r w:rsidRPr="007C2E9E">
        <w:rPr>
          <w:szCs w:val="22"/>
          <w:lang w:val="en-AU"/>
        </w:rPr>
        <w:t>CO</w:t>
      </w:r>
      <w:r w:rsidRPr="007C2E9E">
        <w:rPr>
          <w:szCs w:val="22"/>
          <w:vertAlign w:val="subscript"/>
          <w:lang w:val="en-AU"/>
        </w:rPr>
        <w:t>2</w:t>
      </w:r>
      <w:r w:rsidRPr="007C2E9E">
        <w:rPr>
          <w:szCs w:val="22"/>
          <w:lang w:val="en-AU"/>
        </w:rPr>
        <w:t xml:space="preserve"> cascade systems; CO</w:t>
      </w:r>
      <w:r w:rsidRPr="007C2E9E">
        <w:rPr>
          <w:szCs w:val="22"/>
          <w:vertAlign w:val="subscript"/>
          <w:lang w:val="en-AU"/>
        </w:rPr>
        <w:t>2</w:t>
      </w:r>
      <w:r w:rsidRPr="007C2E9E">
        <w:rPr>
          <w:szCs w:val="22"/>
          <w:lang w:val="en-AU"/>
        </w:rPr>
        <w:t xml:space="preserve"> only trans-critical systems; CO</w:t>
      </w:r>
      <w:r w:rsidRPr="007C2E9E">
        <w:rPr>
          <w:szCs w:val="22"/>
          <w:vertAlign w:val="subscript"/>
          <w:lang w:val="en-AU"/>
        </w:rPr>
        <w:t>2</w:t>
      </w:r>
      <w:r w:rsidRPr="007C2E9E">
        <w:rPr>
          <w:szCs w:val="22"/>
          <w:lang w:val="en-AU"/>
        </w:rPr>
        <w:t>/ammonia chillers; CO</w:t>
      </w:r>
      <w:r w:rsidRPr="007C2E9E">
        <w:rPr>
          <w:szCs w:val="22"/>
          <w:vertAlign w:val="subscript"/>
          <w:lang w:val="en-AU"/>
        </w:rPr>
        <w:t>2</w:t>
      </w:r>
      <w:r w:rsidRPr="007C2E9E">
        <w:rPr>
          <w:szCs w:val="22"/>
          <w:lang w:val="en-AU"/>
        </w:rPr>
        <w:t>/brine; and</w:t>
      </w:r>
      <w:r>
        <w:rPr>
          <w:szCs w:val="22"/>
          <w:lang w:val="en-AU"/>
        </w:rPr>
        <w:t>,</w:t>
      </w:r>
      <w:r w:rsidRPr="007C2E9E">
        <w:rPr>
          <w:szCs w:val="22"/>
          <w:lang w:val="en-AU"/>
        </w:rPr>
        <w:t xml:space="preserve"> other variations </w:t>
      </w:r>
      <w:r>
        <w:rPr>
          <w:szCs w:val="22"/>
          <w:lang w:val="en-AU"/>
        </w:rPr>
        <w:t xml:space="preserve">of two stage cascade refrigeration systems. </w:t>
      </w:r>
    </w:p>
    <w:p w14:paraId="077E2153" w14:textId="77777777" w:rsidR="00626D90" w:rsidRDefault="00626D90" w:rsidP="00626D90">
      <w:pPr>
        <w:rPr>
          <w:lang w:val="en-AU"/>
        </w:rPr>
      </w:pPr>
      <w:r>
        <w:rPr>
          <w:szCs w:val="22"/>
          <w:lang w:val="en-AU"/>
        </w:rPr>
        <w:t xml:space="preserve">This trend is accelerating in larger supermarkets, largely because of the significant associated energy efficiency gains. Smaller </w:t>
      </w:r>
      <w:r>
        <w:rPr>
          <w:lang w:val="en-AU"/>
        </w:rPr>
        <w:t>CO</w:t>
      </w:r>
      <w:r w:rsidRPr="00C3306A">
        <w:rPr>
          <w:vertAlign w:val="subscript"/>
          <w:lang w:val="en-AU"/>
        </w:rPr>
        <w:t xml:space="preserve">2 </w:t>
      </w:r>
      <w:r>
        <w:rPr>
          <w:lang w:val="en-AU"/>
        </w:rPr>
        <w:t>condensing unit c</w:t>
      </w:r>
      <w:r w:rsidRPr="006F4463">
        <w:rPr>
          <w:lang w:val="en-AU"/>
        </w:rPr>
        <w:t>ombination</w:t>
      </w:r>
      <w:r>
        <w:rPr>
          <w:lang w:val="en-AU"/>
        </w:rPr>
        <w:t>s</w:t>
      </w:r>
      <w:r w:rsidRPr="006F4463">
        <w:rPr>
          <w:lang w:val="en-AU"/>
        </w:rPr>
        <w:t xml:space="preserve"> </w:t>
      </w:r>
      <w:r>
        <w:rPr>
          <w:lang w:val="en-AU"/>
        </w:rPr>
        <w:t>up to 15 kW which are suitable for</w:t>
      </w:r>
      <w:r w:rsidRPr="006F4463">
        <w:rPr>
          <w:lang w:val="en-AU"/>
        </w:rPr>
        <w:t xml:space="preserve"> </w:t>
      </w:r>
      <w:r>
        <w:rPr>
          <w:lang w:val="en-AU"/>
        </w:rPr>
        <w:t xml:space="preserve">small format supermarkets, convenience stores, liquor outlets and </w:t>
      </w:r>
      <w:proofErr w:type="gramStart"/>
      <w:r>
        <w:rPr>
          <w:lang w:val="en-AU"/>
        </w:rPr>
        <w:t>fast food</w:t>
      </w:r>
      <w:proofErr w:type="gramEnd"/>
      <w:r>
        <w:rPr>
          <w:lang w:val="en-AU"/>
        </w:rPr>
        <w:t xml:space="preserve"> chains are also being developed.</w:t>
      </w:r>
    </w:p>
    <w:p w14:paraId="0CD125BA" w14:textId="77777777" w:rsidR="00626D90" w:rsidRDefault="00626D90" w:rsidP="00626D90">
      <w:pPr>
        <w:rPr>
          <w:szCs w:val="22"/>
          <w:lang w:val="en-AU"/>
        </w:rPr>
      </w:pPr>
      <w:r>
        <w:rPr>
          <w:szCs w:val="22"/>
          <w:lang w:val="en-AU"/>
        </w:rPr>
        <w:t>The volumes of CO</w:t>
      </w:r>
      <w:r w:rsidRPr="00D42847">
        <w:rPr>
          <w:szCs w:val="22"/>
          <w:vertAlign w:val="subscript"/>
          <w:lang w:val="en-AU"/>
        </w:rPr>
        <w:t>2</w:t>
      </w:r>
      <w:r>
        <w:rPr>
          <w:szCs w:val="22"/>
          <w:lang w:val="en-AU"/>
        </w:rPr>
        <w:t xml:space="preserve"> refrigerant used, primarily in the supermarket sector, are increasing from a low base and are now estimated at around 215 tonnes in 2019.</w:t>
      </w:r>
    </w:p>
    <w:p w14:paraId="4EA1095E" w14:textId="77777777" w:rsidR="00626D90" w:rsidRDefault="00626D90" w:rsidP="00626D90">
      <w:pPr>
        <w:rPr>
          <w:szCs w:val="22"/>
          <w:lang w:val="en-AU"/>
        </w:rPr>
      </w:pPr>
      <w:r>
        <w:rPr>
          <w:szCs w:val="22"/>
          <w:lang w:val="en-AU"/>
        </w:rPr>
        <w:t xml:space="preserve">Ammonia is also finding broader application outside the large cold storage distribution centres and industrial chillers where it has been traditionally used. In recent years applications deployed in Australia </w:t>
      </w:r>
      <w:r w:rsidRPr="007C2E9E">
        <w:rPr>
          <w:szCs w:val="22"/>
          <w:lang w:val="en-AU"/>
        </w:rPr>
        <w:t>includ</w:t>
      </w:r>
      <w:r>
        <w:rPr>
          <w:szCs w:val="22"/>
          <w:lang w:val="en-AU"/>
        </w:rPr>
        <w:t>e</w:t>
      </w:r>
      <w:r w:rsidRPr="007C2E9E">
        <w:rPr>
          <w:szCs w:val="22"/>
          <w:lang w:val="en-AU"/>
        </w:rPr>
        <w:t xml:space="preserve"> ammonia chillers</w:t>
      </w:r>
      <w:r>
        <w:rPr>
          <w:szCs w:val="22"/>
          <w:lang w:val="en-AU"/>
        </w:rPr>
        <w:t xml:space="preserve"> and </w:t>
      </w:r>
      <w:r w:rsidRPr="007C2E9E">
        <w:rPr>
          <w:szCs w:val="22"/>
          <w:lang w:val="en-AU"/>
        </w:rPr>
        <w:t>low charge ammonia chiller packages</w:t>
      </w:r>
      <w:r>
        <w:rPr>
          <w:szCs w:val="22"/>
          <w:lang w:val="en-AU"/>
        </w:rPr>
        <w:t>.</w:t>
      </w:r>
    </w:p>
    <w:p w14:paraId="12F128DA" w14:textId="77777777" w:rsidR="00626D90" w:rsidRDefault="00626D90" w:rsidP="00626D90">
      <w:pPr>
        <w:rPr>
          <w:szCs w:val="22"/>
          <w:lang w:val="en-AU"/>
        </w:rPr>
      </w:pPr>
      <w:r>
        <w:rPr>
          <w:szCs w:val="22"/>
          <w:lang w:val="en-AU"/>
        </w:rPr>
        <w:t xml:space="preserve">Ammonia volumes are generally driven by large capital works and ongoing maintenance of existing systems with yearly volumes </w:t>
      </w:r>
      <w:proofErr w:type="gramStart"/>
      <w:r>
        <w:rPr>
          <w:szCs w:val="22"/>
          <w:lang w:val="en-AU"/>
        </w:rPr>
        <w:t>fluctuating accordingly;</w:t>
      </w:r>
      <w:proofErr w:type="gramEnd"/>
      <w:r>
        <w:rPr>
          <w:szCs w:val="22"/>
          <w:lang w:val="en-AU"/>
        </w:rPr>
        <w:t xml:space="preserve"> the six-year average annual use is estimated at almost 700 tonnes.</w:t>
      </w:r>
    </w:p>
    <w:p w14:paraId="48B8F488" w14:textId="77777777" w:rsidR="00626D90" w:rsidRPr="005832A8" w:rsidRDefault="00626D90" w:rsidP="00626D90">
      <w:pPr>
        <w:spacing w:before="0"/>
        <w:jc w:val="left"/>
        <w:rPr>
          <w:i/>
          <w:iCs/>
          <w:szCs w:val="22"/>
          <w:lang w:val="en-AU"/>
        </w:rPr>
      </w:pPr>
      <w:bookmarkStart w:id="55" w:name="_Toc525141411"/>
      <w:r>
        <w:br w:type="page"/>
      </w:r>
      <w:bookmarkStart w:id="56" w:name="_Toc49756562"/>
      <w:r w:rsidRPr="005832A8">
        <w:rPr>
          <w:i/>
          <w:iCs/>
        </w:rPr>
        <w:lastRenderedPageBreak/>
        <w:t xml:space="preserve">Table </w:t>
      </w:r>
      <w:r w:rsidRPr="005832A8">
        <w:rPr>
          <w:i/>
          <w:iCs/>
          <w:noProof/>
        </w:rPr>
        <w:fldChar w:fldCharType="begin"/>
      </w:r>
      <w:r w:rsidRPr="005832A8">
        <w:rPr>
          <w:i/>
          <w:iCs/>
          <w:noProof/>
        </w:rPr>
        <w:instrText xml:space="preserve"> SEQ Table \* ARABIC </w:instrText>
      </w:r>
      <w:r w:rsidRPr="005832A8">
        <w:rPr>
          <w:i/>
          <w:iCs/>
          <w:noProof/>
        </w:rPr>
        <w:fldChar w:fldCharType="separate"/>
      </w:r>
      <w:r w:rsidRPr="005832A8">
        <w:rPr>
          <w:i/>
          <w:iCs/>
          <w:noProof/>
        </w:rPr>
        <w:t>6</w:t>
      </w:r>
      <w:r w:rsidRPr="005832A8">
        <w:rPr>
          <w:i/>
          <w:iCs/>
          <w:noProof/>
        </w:rPr>
        <w:fldChar w:fldCharType="end"/>
      </w:r>
      <w:r w:rsidRPr="005832A8">
        <w:rPr>
          <w:i/>
          <w:iCs/>
        </w:rPr>
        <w:t xml:space="preserve">: </w:t>
      </w:r>
      <w:r w:rsidRPr="005832A8">
        <w:rPr>
          <w:i/>
          <w:iCs/>
          <w:szCs w:val="22"/>
          <w:lang w:val="en-AU"/>
        </w:rPr>
        <w:t>Volumes of ammonia and hydrocarbon sold by calendar year (tonnes) based on supplier survey.</w:t>
      </w:r>
      <w:bookmarkEnd w:id="55"/>
      <w:bookmarkEnd w:id="56"/>
    </w:p>
    <w:tbl>
      <w:tblPr>
        <w:tblStyle w:val="TableGrid"/>
        <w:tblW w:w="9498" w:type="dxa"/>
        <w:tblInd w:w="-5" w:type="dxa"/>
        <w:tblLook w:val="04A0" w:firstRow="1" w:lastRow="0" w:firstColumn="1" w:lastColumn="0" w:noHBand="0" w:noVBand="1"/>
      </w:tblPr>
      <w:tblGrid>
        <w:gridCol w:w="1560"/>
        <w:gridCol w:w="1323"/>
        <w:gridCol w:w="1323"/>
        <w:gridCol w:w="1323"/>
        <w:gridCol w:w="1323"/>
        <w:gridCol w:w="1323"/>
        <w:gridCol w:w="1323"/>
      </w:tblGrid>
      <w:tr w:rsidR="00626D90" w:rsidRPr="00D6002F" w14:paraId="4CF5F6E6" w14:textId="77777777" w:rsidTr="00EF0FC0">
        <w:tc>
          <w:tcPr>
            <w:tcW w:w="1560" w:type="dxa"/>
            <w:tcBorders>
              <w:bottom w:val="single" w:sz="4" w:space="0" w:color="000000"/>
            </w:tcBorders>
            <w:shd w:val="clear" w:color="auto" w:fill="B6DDE8" w:themeFill="accent5" w:themeFillTint="66"/>
            <w:vAlign w:val="center"/>
          </w:tcPr>
          <w:p w14:paraId="7A89EE3A" w14:textId="77777777" w:rsidR="00626D90" w:rsidRPr="009F7FCD" w:rsidRDefault="00626D90" w:rsidP="00EF0FC0">
            <w:pPr>
              <w:spacing w:after="120"/>
              <w:jc w:val="center"/>
              <w:rPr>
                <w:szCs w:val="22"/>
                <w:lang w:val="en-AU"/>
              </w:rPr>
            </w:pPr>
          </w:p>
        </w:tc>
        <w:tc>
          <w:tcPr>
            <w:tcW w:w="1323" w:type="dxa"/>
            <w:tcBorders>
              <w:bottom w:val="single" w:sz="4" w:space="0" w:color="000000"/>
            </w:tcBorders>
            <w:shd w:val="clear" w:color="auto" w:fill="B6DDE8" w:themeFill="accent5" w:themeFillTint="66"/>
            <w:vAlign w:val="center"/>
          </w:tcPr>
          <w:p w14:paraId="18852BB2" w14:textId="77777777" w:rsidR="00626D90" w:rsidRPr="00D6002F" w:rsidRDefault="00626D90" w:rsidP="00EF0FC0">
            <w:pPr>
              <w:spacing w:after="120"/>
              <w:jc w:val="center"/>
              <w:rPr>
                <w:color w:val="000000" w:themeColor="text1"/>
                <w:szCs w:val="22"/>
              </w:rPr>
            </w:pPr>
            <w:r w:rsidRPr="00D6002F">
              <w:rPr>
                <w:color w:val="000000" w:themeColor="text1"/>
                <w:szCs w:val="22"/>
                <w:lang w:val="en-AU"/>
              </w:rPr>
              <w:t>2014</w:t>
            </w:r>
          </w:p>
        </w:tc>
        <w:tc>
          <w:tcPr>
            <w:tcW w:w="1323" w:type="dxa"/>
            <w:tcBorders>
              <w:bottom w:val="single" w:sz="4" w:space="0" w:color="000000"/>
            </w:tcBorders>
            <w:shd w:val="clear" w:color="auto" w:fill="B6DDE8" w:themeFill="accent5" w:themeFillTint="66"/>
            <w:vAlign w:val="center"/>
          </w:tcPr>
          <w:p w14:paraId="47EA129F" w14:textId="77777777" w:rsidR="00626D90" w:rsidRPr="00D6002F" w:rsidRDefault="00626D90" w:rsidP="00EF0FC0">
            <w:pPr>
              <w:spacing w:after="120"/>
              <w:jc w:val="center"/>
              <w:rPr>
                <w:color w:val="000000" w:themeColor="text1"/>
                <w:szCs w:val="22"/>
              </w:rPr>
            </w:pPr>
            <w:r w:rsidRPr="00D6002F">
              <w:rPr>
                <w:color w:val="000000" w:themeColor="text1"/>
                <w:szCs w:val="22"/>
              </w:rPr>
              <w:t>2015</w:t>
            </w:r>
          </w:p>
        </w:tc>
        <w:tc>
          <w:tcPr>
            <w:tcW w:w="1323" w:type="dxa"/>
            <w:tcBorders>
              <w:bottom w:val="single" w:sz="4" w:space="0" w:color="000000"/>
            </w:tcBorders>
            <w:shd w:val="clear" w:color="auto" w:fill="B6DDE8" w:themeFill="accent5" w:themeFillTint="66"/>
            <w:vAlign w:val="center"/>
          </w:tcPr>
          <w:p w14:paraId="79D9381F" w14:textId="77777777" w:rsidR="00626D90" w:rsidRPr="00D6002F" w:rsidRDefault="00626D90" w:rsidP="00EF0FC0">
            <w:pPr>
              <w:spacing w:after="120"/>
              <w:jc w:val="center"/>
              <w:rPr>
                <w:color w:val="000000" w:themeColor="text1"/>
                <w:szCs w:val="22"/>
              </w:rPr>
            </w:pPr>
            <w:r w:rsidRPr="00D6002F">
              <w:rPr>
                <w:color w:val="000000" w:themeColor="text1"/>
                <w:szCs w:val="22"/>
              </w:rPr>
              <w:t>2016</w:t>
            </w:r>
          </w:p>
        </w:tc>
        <w:tc>
          <w:tcPr>
            <w:tcW w:w="1323" w:type="dxa"/>
            <w:tcBorders>
              <w:bottom w:val="single" w:sz="4" w:space="0" w:color="000000"/>
            </w:tcBorders>
            <w:shd w:val="clear" w:color="auto" w:fill="B6DDE8" w:themeFill="accent5" w:themeFillTint="66"/>
            <w:vAlign w:val="center"/>
          </w:tcPr>
          <w:p w14:paraId="1D4AFFB7" w14:textId="77777777" w:rsidR="00626D90" w:rsidRPr="00D6002F" w:rsidRDefault="00626D90" w:rsidP="00EF0FC0">
            <w:pPr>
              <w:spacing w:after="120"/>
              <w:jc w:val="center"/>
              <w:rPr>
                <w:color w:val="000000" w:themeColor="text1"/>
                <w:szCs w:val="22"/>
              </w:rPr>
            </w:pPr>
            <w:r>
              <w:rPr>
                <w:color w:val="000000" w:themeColor="text1"/>
                <w:szCs w:val="22"/>
              </w:rPr>
              <w:t>2017</w:t>
            </w:r>
          </w:p>
        </w:tc>
        <w:tc>
          <w:tcPr>
            <w:tcW w:w="1323" w:type="dxa"/>
            <w:tcBorders>
              <w:bottom w:val="single" w:sz="4" w:space="0" w:color="000000"/>
            </w:tcBorders>
            <w:shd w:val="clear" w:color="auto" w:fill="B6DDE8" w:themeFill="accent5" w:themeFillTint="66"/>
            <w:vAlign w:val="center"/>
          </w:tcPr>
          <w:p w14:paraId="6140CC19" w14:textId="77777777" w:rsidR="00626D90" w:rsidRPr="00D6002F" w:rsidRDefault="00626D90" w:rsidP="00EF0FC0">
            <w:pPr>
              <w:spacing w:after="120"/>
              <w:jc w:val="center"/>
              <w:rPr>
                <w:color w:val="000000" w:themeColor="text1"/>
                <w:szCs w:val="22"/>
              </w:rPr>
            </w:pPr>
            <w:r>
              <w:rPr>
                <w:color w:val="000000" w:themeColor="text1"/>
                <w:szCs w:val="22"/>
              </w:rPr>
              <w:t>2018</w:t>
            </w:r>
          </w:p>
        </w:tc>
        <w:tc>
          <w:tcPr>
            <w:tcW w:w="1323" w:type="dxa"/>
            <w:tcBorders>
              <w:bottom w:val="single" w:sz="4" w:space="0" w:color="000000"/>
            </w:tcBorders>
            <w:shd w:val="clear" w:color="auto" w:fill="B6DDE8" w:themeFill="accent5" w:themeFillTint="66"/>
            <w:vAlign w:val="center"/>
          </w:tcPr>
          <w:p w14:paraId="0DE2B2E7" w14:textId="77777777" w:rsidR="00626D90" w:rsidRPr="00D6002F" w:rsidRDefault="00626D90" w:rsidP="00EF0FC0">
            <w:pPr>
              <w:spacing w:after="120"/>
              <w:jc w:val="center"/>
              <w:rPr>
                <w:color w:val="000000" w:themeColor="text1"/>
                <w:szCs w:val="22"/>
              </w:rPr>
            </w:pPr>
            <w:r>
              <w:rPr>
                <w:color w:val="000000" w:themeColor="text1"/>
                <w:szCs w:val="22"/>
              </w:rPr>
              <w:t>2019</w:t>
            </w:r>
          </w:p>
        </w:tc>
      </w:tr>
      <w:tr w:rsidR="00626D90" w:rsidRPr="00263A62" w14:paraId="28BF0EDB" w14:textId="77777777" w:rsidTr="00EF0FC0">
        <w:tc>
          <w:tcPr>
            <w:tcW w:w="1560" w:type="dxa"/>
            <w:shd w:val="clear" w:color="auto" w:fill="auto"/>
            <w:vAlign w:val="center"/>
          </w:tcPr>
          <w:p w14:paraId="130DAB20" w14:textId="77777777" w:rsidR="00626D90" w:rsidRPr="009F7FCD" w:rsidRDefault="00626D90" w:rsidP="00EF0FC0">
            <w:pPr>
              <w:spacing w:after="120"/>
              <w:jc w:val="left"/>
              <w:rPr>
                <w:szCs w:val="22"/>
                <w:lang w:val="en-AU"/>
              </w:rPr>
            </w:pPr>
            <w:r>
              <w:rPr>
                <w:szCs w:val="22"/>
                <w:lang w:val="en-AU"/>
              </w:rPr>
              <w:t>A</w:t>
            </w:r>
            <w:r w:rsidRPr="005A6A77">
              <w:rPr>
                <w:szCs w:val="22"/>
                <w:lang w:val="en-AU"/>
              </w:rPr>
              <w:t>mmonia</w:t>
            </w:r>
          </w:p>
        </w:tc>
        <w:tc>
          <w:tcPr>
            <w:tcW w:w="1323" w:type="dxa"/>
            <w:shd w:val="clear" w:color="auto" w:fill="auto"/>
            <w:vAlign w:val="center"/>
          </w:tcPr>
          <w:p w14:paraId="0E6AAEBD" w14:textId="77777777" w:rsidR="00626D90" w:rsidRPr="009F7FCD" w:rsidRDefault="00626D90" w:rsidP="00EF0FC0">
            <w:pPr>
              <w:spacing w:after="120"/>
              <w:jc w:val="center"/>
              <w:rPr>
                <w:szCs w:val="22"/>
                <w:lang w:val="en-AU"/>
              </w:rPr>
            </w:pPr>
            <w:r w:rsidRPr="009F7FCD">
              <w:rPr>
                <w:color w:val="000000"/>
                <w:szCs w:val="22"/>
              </w:rPr>
              <w:t>837</w:t>
            </w:r>
          </w:p>
        </w:tc>
        <w:tc>
          <w:tcPr>
            <w:tcW w:w="1323" w:type="dxa"/>
            <w:shd w:val="clear" w:color="auto" w:fill="auto"/>
            <w:vAlign w:val="center"/>
          </w:tcPr>
          <w:p w14:paraId="2DBE4069" w14:textId="77777777" w:rsidR="00626D90" w:rsidRPr="009F7FCD" w:rsidRDefault="00626D90" w:rsidP="00EF0FC0">
            <w:pPr>
              <w:spacing w:after="120"/>
              <w:jc w:val="center"/>
              <w:rPr>
                <w:szCs w:val="22"/>
                <w:lang w:val="en-AU"/>
              </w:rPr>
            </w:pPr>
            <w:r w:rsidRPr="009F7FCD">
              <w:rPr>
                <w:color w:val="000000"/>
                <w:szCs w:val="22"/>
              </w:rPr>
              <w:t>712</w:t>
            </w:r>
          </w:p>
        </w:tc>
        <w:tc>
          <w:tcPr>
            <w:tcW w:w="1323" w:type="dxa"/>
            <w:shd w:val="clear" w:color="auto" w:fill="auto"/>
            <w:vAlign w:val="center"/>
          </w:tcPr>
          <w:p w14:paraId="76B9B503" w14:textId="77777777" w:rsidR="00626D90" w:rsidRPr="009F7FCD" w:rsidRDefault="00626D90" w:rsidP="00EF0FC0">
            <w:pPr>
              <w:spacing w:after="120"/>
              <w:jc w:val="center"/>
              <w:rPr>
                <w:szCs w:val="22"/>
                <w:lang w:val="en-AU"/>
              </w:rPr>
            </w:pPr>
            <w:r w:rsidRPr="009F7FCD">
              <w:rPr>
                <w:color w:val="000000"/>
                <w:szCs w:val="22"/>
              </w:rPr>
              <w:t>577</w:t>
            </w:r>
          </w:p>
        </w:tc>
        <w:tc>
          <w:tcPr>
            <w:tcW w:w="1323" w:type="dxa"/>
            <w:shd w:val="clear" w:color="auto" w:fill="auto"/>
            <w:vAlign w:val="center"/>
          </w:tcPr>
          <w:p w14:paraId="4D622F1F" w14:textId="77777777" w:rsidR="00626D90" w:rsidRPr="009F7FCD" w:rsidRDefault="00626D90" w:rsidP="00EF0FC0">
            <w:pPr>
              <w:spacing w:after="120"/>
              <w:jc w:val="center"/>
              <w:rPr>
                <w:szCs w:val="22"/>
                <w:lang w:val="en-AU"/>
              </w:rPr>
            </w:pPr>
            <w:r w:rsidRPr="009F7FCD">
              <w:rPr>
                <w:szCs w:val="22"/>
                <w:lang w:val="en-AU"/>
              </w:rPr>
              <w:t>722</w:t>
            </w:r>
          </w:p>
        </w:tc>
        <w:tc>
          <w:tcPr>
            <w:tcW w:w="1323" w:type="dxa"/>
            <w:shd w:val="clear" w:color="auto" w:fill="auto"/>
            <w:vAlign w:val="center"/>
          </w:tcPr>
          <w:p w14:paraId="4AB69BFE" w14:textId="77777777" w:rsidR="00626D90" w:rsidRPr="009F7FCD" w:rsidRDefault="00626D90" w:rsidP="00EF0FC0">
            <w:pPr>
              <w:spacing w:after="120"/>
              <w:jc w:val="center"/>
              <w:rPr>
                <w:szCs w:val="22"/>
                <w:lang w:val="en-AU"/>
              </w:rPr>
            </w:pPr>
            <w:r w:rsidRPr="009F7FCD">
              <w:rPr>
                <w:szCs w:val="22"/>
                <w:lang w:val="en-AU"/>
              </w:rPr>
              <w:t>643</w:t>
            </w:r>
          </w:p>
        </w:tc>
        <w:tc>
          <w:tcPr>
            <w:tcW w:w="1323" w:type="dxa"/>
            <w:shd w:val="clear" w:color="auto" w:fill="auto"/>
            <w:vAlign w:val="center"/>
          </w:tcPr>
          <w:p w14:paraId="5A8B300B" w14:textId="77777777" w:rsidR="00626D90" w:rsidRPr="009F7FCD" w:rsidRDefault="00626D90" w:rsidP="00EF0FC0">
            <w:pPr>
              <w:spacing w:after="120"/>
              <w:jc w:val="center"/>
              <w:rPr>
                <w:szCs w:val="22"/>
                <w:lang w:val="en-AU"/>
              </w:rPr>
            </w:pPr>
            <w:r>
              <w:rPr>
                <w:szCs w:val="22"/>
                <w:lang w:val="en-AU"/>
              </w:rPr>
              <w:t>684</w:t>
            </w:r>
          </w:p>
        </w:tc>
      </w:tr>
      <w:tr w:rsidR="00626D90" w:rsidRPr="00263A62" w14:paraId="5A1DCA76" w14:textId="77777777" w:rsidTr="00EF0FC0">
        <w:tc>
          <w:tcPr>
            <w:tcW w:w="1560" w:type="dxa"/>
            <w:shd w:val="clear" w:color="auto" w:fill="auto"/>
            <w:vAlign w:val="center"/>
          </w:tcPr>
          <w:p w14:paraId="44A9C0E0" w14:textId="77777777" w:rsidR="00626D90" w:rsidRPr="009F7FCD" w:rsidRDefault="00626D90" w:rsidP="00EF0FC0">
            <w:pPr>
              <w:spacing w:after="120"/>
              <w:jc w:val="left"/>
              <w:rPr>
                <w:color w:val="000000"/>
                <w:szCs w:val="22"/>
              </w:rPr>
            </w:pPr>
            <w:r>
              <w:t>H</w:t>
            </w:r>
            <w:proofErr w:type="spellStart"/>
            <w:r w:rsidRPr="005A6A77">
              <w:rPr>
                <w:szCs w:val="22"/>
                <w:lang w:val="en-AU"/>
              </w:rPr>
              <w:t>ydrocarbon</w:t>
            </w:r>
            <w:proofErr w:type="spellEnd"/>
          </w:p>
        </w:tc>
        <w:tc>
          <w:tcPr>
            <w:tcW w:w="1323" w:type="dxa"/>
            <w:shd w:val="clear" w:color="auto" w:fill="auto"/>
            <w:vAlign w:val="center"/>
          </w:tcPr>
          <w:p w14:paraId="3F5918A2" w14:textId="77777777" w:rsidR="00626D90" w:rsidRPr="009F7FCD" w:rsidRDefault="00626D90" w:rsidP="00EF0FC0">
            <w:pPr>
              <w:spacing w:after="120"/>
              <w:jc w:val="center"/>
              <w:rPr>
                <w:color w:val="000000"/>
                <w:szCs w:val="22"/>
              </w:rPr>
            </w:pPr>
            <w:r w:rsidRPr="00263A62">
              <w:rPr>
                <w:szCs w:val="22"/>
              </w:rPr>
              <w:t>82</w:t>
            </w:r>
          </w:p>
        </w:tc>
        <w:tc>
          <w:tcPr>
            <w:tcW w:w="1323" w:type="dxa"/>
            <w:shd w:val="clear" w:color="auto" w:fill="auto"/>
            <w:vAlign w:val="center"/>
          </w:tcPr>
          <w:p w14:paraId="5812CEB9" w14:textId="77777777" w:rsidR="00626D90" w:rsidRPr="009F7FCD" w:rsidRDefault="00626D90" w:rsidP="00EF0FC0">
            <w:pPr>
              <w:spacing w:after="120"/>
              <w:jc w:val="center"/>
              <w:rPr>
                <w:color w:val="000000"/>
                <w:szCs w:val="22"/>
              </w:rPr>
            </w:pPr>
            <w:r w:rsidRPr="00263A62">
              <w:rPr>
                <w:szCs w:val="22"/>
              </w:rPr>
              <w:t>75.</w:t>
            </w:r>
            <w:r>
              <w:rPr>
                <w:szCs w:val="22"/>
              </w:rPr>
              <w:t>0</w:t>
            </w:r>
          </w:p>
        </w:tc>
        <w:tc>
          <w:tcPr>
            <w:tcW w:w="1323" w:type="dxa"/>
            <w:shd w:val="clear" w:color="auto" w:fill="auto"/>
            <w:vAlign w:val="center"/>
          </w:tcPr>
          <w:p w14:paraId="6491812C" w14:textId="77777777" w:rsidR="00626D90" w:rsidRPr="009F7FCD" w:rsidRDefault="00626D90" w:rsidP="00EF0FC0">
            <w:pPr>
              <w:spacing w:after="120"/>
              <w:jc w:val="center"/>
              <w:rPr>
                <w:color w:val="000000"/>
                <w:szCs w:val="22"/>
              </w:rPr>
            </w:pPr>
            <w:r>
              <w:rPr>
                <w:szCs w:val="22"/>
                <w:lang w:val="en-AU"/>
              </w:rPr>
              <w:t>72</w:t>
            </w:r>
          </w:p>
        </w:tc>
        <w:tc>
          <w:tcPr>
            <w:tcW w:w="1323" w:type="dxa"/>
            <w:shd w:val="clear" w:color="auto" w:fill="auto"/>
            <w:vAlign w:val="center"/>
          </w:tcPr>
          <w:p w14:paraId="3D155964" w14:textId="77777777" w:rsidR="00626D90" w:rsidRPr="009F7FCD" w:rsidRDefault="00626D90" w:rsidP="00EF0FC0">
            <w:pPr>
              <w:spacing w:after="120"/>
              <w:jc w:val="center"/>
              <w:rPr>
                <w:szCs w:val="22"/>
                <w:lang w:val="en-AU"/>
              </w:rPr>
            </w:pPr>
            <w:r>
              <w:rPr>
                <w:szCs w:val="22"/>
                <w:lang w:val="en-AU"/>
              </w:rPr>
              <w:t>78</w:t>
            </w:r>
          </w:p>
        </w:tc>
        <w:tc>
          <w:tcPr>
            <w:tcW w:w="1323" w:type="dxa"/>
            <w:shd w:val="clear" w:color="auto" w:fill="auto"/>
            <w:vAlign w:val="center"/>
          </w:tcPr>
          <w:p w14:paraId="77131416" w14:textId="77777777" w:rsidR="00626D90" w:rsidRPr="00F041EE" w:rsidRDefault="00626D90" w:rsidP="00EF0FC0">
            <w:pPr>
              <w:spacing w:after="120"/>
              <w:jc w:val="center"/>
              <w:rPr>
                <w:szCs w:val="22"/>
                <w:lang w:val="en-AU"/>
              </w:rPr>
            </w:pPr>
            <w:r w:rsidRPr="00F041EE">
              <w:rPr>
                <w:szCs w:val="22"/>
                <w:lang w:val="en-AU"/>
              </w:rPr>
              <w:t>88</w:t>
            </w:r>
          </w:p>
        </w:tc>
        <w:tc>
          <w:tcPr>
            <w:tcW w:w="1323" w:type="dxa"/>
            <w:shd w:val="clear" w:color="auto" w:fill="auto"/>
            <w:vAlign w:val="center"/>
          </w:tcPr>
          <w:p w14:paraId="31F68A20" w14:textId="77777777" w:rsidR="00626D90" w:rsidRPr="00F041EE" w:rsidRDefault="00626D90" w:rsidP="00EF0FC0">
            <w:pPr>
              <w:spacing w:after="120"/>
              <w:jc w:val="center"/>
              <w:rPr>
                <w:szCs w:val="22"/>
                <w:lang w:val="en-AU"/>
              </w:rPr>
            </w:pPr>
            <w:r w:rsidRPr="00F041EE">
              <w:rPr>
                <w:szCs w:val="22"/>
                <w:lang w:val="en-AU"/>
              </w:rPr>
              <w:t xml:space="preserve">100 </w:t>
            </w:r>
            <w:r w:rsidRPr="00F041EE">
              <w:rPr>
                <w:szCs w:val="22"/>
                <w:vertAlign w:val="superscript"/>
                <w:lang w:val="en-AU"/>
              </w:rPr>
              <w:t>(3)</w:t>
            </w:r>
          </w:p>
        </w:tc>
      </w:tr>
    </w:tbl>
    <w:p w14:paraId="43ECECBB" w14:textId="77777777" w:rsidR="00626D90" w:rsidRPr="0034191A" w:rsidRDefault="00626D90" w:rsidP="00626D90">
      <w:pPr>
        <w:spacing w:before="60" w:after="60"/>
        <w:rPr>
          <w:rFonts w:cs="Times New Roman"/>
          <w:sz w:val="20"/>
          <w:szCs w:val="20"/>
          <w:lang w:val="en-AU"/>
        </w:rPr>
      </w:pPr>
      <w:r w:rsidRPr="0034191A">
        <w:rPr>
          <w:rFonts w:cs="Times New Roman"/>
          <w:sz w:val="20"/>
          <w:szCs w:val="20"/>
          <w:lang w:val="en-AU"/>
        </w:rPr>
        <w:t>Notes:</w:t>
      </w:r>
    </w:p>
    <w:p w14:paraId="73428FEE" w14:textId="77777777" w:rsidR="00626D90" w:rsidRPr="0034191A" w:rsidRDefault="00626D90" w:rsidP="00626D90">
      <w:pPr>
        <w:pStyle w:val="ListParagraph"/>
        <w:numPr>
          <w:ilvl w:val="0"/>
          <w:numId w:val="36"/>
        </w:numPr>
        <w:spacing w:before="60" w:after="0" w:line="240" w:lineRule="auto"/>
        <w:ind w:left="357" w:hanging="357"/>
        <w:contextualSpacing w:val="0"/>
        <w:jc w:val="both"/>
        <w:rPr>
          <w:rFonts w:ascii="Times New Roman" w:hAnsi="Times New Roman"/>
          <w:sz w:val="20"/>
          <w:szCs w:val="20"/>
          <w:lang w:val="en-AU"/>
        </w:rPr>
      </w:pPr>
      <w:r w:rsidRPr="0034191A">
        <w:rPr>
          <w:rFonts w:ascii="Times New Roman" w:hAnsi="Times New Roman"/>
          <w:sz w:val="20"/>
          <w:szCs w:val="20"/>
          <w:lang w:val="en-AU"/>
        </w:rPr>
        <w:t>Volumes exclude non-HVAC&amp;R applications.</w:t>
      </w:r>
    </w:p>
    <w:p w14:paraId="5B98A109" w14:textId="77777777" w:rsidR="00626D90" w:rsidRDefault="00626D90" w:rsidP="00626D90">
      <w:pPr>
        <w:pStyle w:val="ListParagraph"/>
        <w:numPr>
          <w:ilvl w:val="0"/>
          <w:numId w:val="36"/>
        </w:numPr>
        <w:spacing w:before="60" w:after="0" w:line="240" w:lineRule="auto"/>
        <w:ind w:left="357" w:hanging="357"/>
        <w:contextualSpacing w:val="0"/>
        <w:jc w:val="both"/>
        <w:rPr>
          <w:rFonts w:ascii="Times New Roman" w:hAnsi="Times New Roman"/>
          <w:sz w:val="20"/>
          <w:szCs w:val="20"/>
          <w:lang w:val="en-AU"/>
        </w:rPr>
      </w:pPr>
      <w:r w:rsidRPr="0034191A">
        <w:rPr>
          <w:rFonts w:ascii="Times New Roman" w:hAnsi="Times New Roman"/>
          <w:sz w:val="20"/>
          <w:szCs w:val="20"/>
          <w:lang w:val="en-AU"/>
        </w:rPr>
        <w:t>Survey participants include major participants at the top of the supply chain as well as suppliers further down the supply chain, however these suppliers were not double counted.</w:t>
      </w:r>
    </w:p>
    <w:p w14:paraId="0966AE9D" w14:textId="77777777" w:rsidR="00626D90" w:rsidRPr="0034191A" w:rsidRDefault="00626D90" w:rsidP="00626D90">
      <w:pPr>
        <w:pStyle w:val="ListParagraph"/>
        <w:numPr>
          <w:ilvl w:val="0"/>
          <w:numId w:val="36"/>
        </w:numPr>
        <w:spacing w:before="60" w:after="0" w:line="240" w:lineRule="auto"/>
        <w:ind w:left="357" w:hanging="357"/>
        <w:contextualSpacing w:val="0"/>
        <w:jc w:val="both"/>
        <w:rPr>
          <w:rFonts w:ascii="Times New Roman" w:hAnsi="Times New Roman"/>
          <w:sz w:val="20"/>
          <w:szCs w:val="20"/>
          <w:lang w:val="en-AU"/>
        </w:rPr>
      </w:pPr>
      <w:r>
        <w:rPr>
          <w:rFonts w:ascii="Times New Roman" w:hAnsi="Times New Roman"/>
          <w:sz w:val="20"/>
          <w:szCs w:val="20"/>
          <w:lang w:val="en-AU"/>
        </w:rPr>
        <w:t>Includes estimates of some participants and volumes include export.</w:t>
      </w:r>
    </w:p>
    <w:p w14:paraId="4345766E" w14:textId="77777777" w:rsidR="00626D90" w:rsidRDefault="00626D90" w:rsidP="00626D90">
      <w:pPr>
        <w:rPr>
          <w:szCs w:val="22"/>
          <w:lang w:val="en-AU"/>
        </w:rPr>
      </w:pPr>
    </w:p>
    <w:bookmarkEnd w:id="51"/>
    <w:p w14:paraId="5ADD390B" w14:textId="77777777" w:rsidR="00626D90" w:rsidRDefault="00626D90" w:rsidP="00626D90">
      <w:pPr>
        <w:spacing w:before="0"/>
        <w:jc w:val="left"/>
        <w:rPr>
          <w:rFonts w:ascii="Calibri" w:eastAsia="Times New Roman" w:hAnsi="Calibri" w:cs="Times New Roman"/>
          <w:b/>
          <w:bCs/>
          <w:i/>
          <w:iCs/>
          <w:sz w:val="28"/>
          <w:szCs w:val="28"/>
          <w:lang w:val="en-US"/>
        </w:rPr>
      </w:pPr>
      <w:r>
        <w:br w:type="page"/>
      </w:r>
    </w:p>
    <w:p w14:paraId="73E24817" w14:textId="77777777" w:rsidR="00626D90" w:rsidRPr="00B23FC5" w:rsidRDefault="00626D90" w:rsidP="00626D90">
      <w:pPr>
        <w:pStyle w:val="Heading2"/>
        <w:jc w:val="both"/>
      </w:pPr>
      <w:bookmarkStart w:id="57" w:name="_Toc46923732"/>
      <w:r w:rsidRPr="002A2E16">
        <w:lastRenderedPageBreak/>
        <w:t>Refrigerant us</w:t>
      </w:r>
      <w:r>
        <w:t>age</w:t>
      </w:r>
      <w:r w:rsidRPr="002A2E16">
        <w:t xml:space="preserve"> projection and the </w:t>
      </w:r>
      <w:r>
        <w:t xml:space="preserve">HFC </w:t>
      </w:r>
      <w:r w:rsidRPr="002A2E16">
        <w:t>phase down</w:t>
      </w:r>
      <w:bookmarkEnd w:id="57"/>
    </w:p>
    <w:p w14:paraId="4AF4862D" w14:textId="77777777" w:rsidR="00626D90" w:rsidRPr="00013304" w:rsidRDefault="00626D90" w:rsidP="00626D90">
      <w:pPr>
        <w:rPr>
          <w:szCs w:val="22"/>
        </w:rPr>
      </w:pPr>
      <w:r w:rsidRPr="00013304">
        <w:rPr>
          <w:szCs w:val="22"/>
        </w:rPr>
        <w:t xml:space="preserve">Australia commenced a phase-down of HFC imports on </w:t>
      </w:r>
      <w:r>
        <w:rPr>
          <w:szCs w:val="22"/>
        </w:rPr>
        <w:t>1 </w:t>
      </w:r>
      <w:r w:rsidRPr="00013304">
        <w:rPr>
          <w:szCs w:val="22"/>
        </w:rPr>
        <w:t xml:space="preserve">January 2018 </w:t>
      </w:r>
      <w:r>
        <w:rPr>
          <w:szCs w:val="22"/>
        </w:rPr>
        <w:t>implemented as</w:t>
      </w:r>
      <w:r w:rsidRPr="00013304">
        <w:rPr>
          <w:szCs w:val="22"/>
        </w:rPr>
        <w:t xml:space="preserve"> a gradual reduction in the maximum amount of bulk HFCs permitted to be imported into Australia in any calendar year, measured in </w:t>
      </w:r>
      <w:r>
        <w:rPr>
          <w:szCs w:val="22"/>
        </w:rPr>
        <w:t>million</w:t>
      </w:r>
      <w:r w:rsidRPr="00013304">
        <w:rPr>
          <w:szCs w:val="22"/>
        </w:rPr>
        <w:t xml:space="preserve"> tonnes (Mt) CO</w:t>
      </w:r>
      <w:r w:rsidRPr="00013304">
        <w:rPr>
          <w:szCs w:val="22"/>
          <w:vertAlign w:val="subscript"/>
        </w:rPr>
        <w:t>2</w:t>
      </w:r>
      <w:r w:rsidRPr="00013304">
        <w:rPr>
          <w:szCs w:val="22"/>
        </w:rPr>
        <w:t xml:space="preserve">-e per year. The HFC </w:t>
      </w:r>
      <w:r>
        <w:rPr>
          <w:szCs w:val="22"/>
        </w:rPr>
        <w:t>import cap</w:t>
      </w:r>
      <w:r w:rsidRPr="00013304">
        <w:rPr>
          <w:szCs w:val="22"/>
        </w:rPr>
        <w:t xml:space="preserve"> is managed through a quota system on imports of bulk gases by the licensed importers. This is a tried and tested system for management and reporting of </w:t>
      </w:r>
      <w:r>
        <w:rPr>
          <w:szCs w:val="22"/>
        </w:rPr>
        <w:t>substances controlled by the Montreal Protocol,</w:t>
      </w:r>
      <w:r w:rsidRPr="00013304">
        <w:rPr>
          <w:szCs w:val="22"/>
        </w:rPr>
        <w:t xml:space="preserve"> established for the management of CFCs and HCFCs during the 1990s.</w:t>
      </w:r>
    </w:p>
    <w:p w14:paraId="21CC54E0" w14:textId="77777777" w:rsidR="00626D90" w:rsidRPr="00013304" w:rsidRDefault="00626D90" w:rsidP="00626D90">
      <w:pPr>
        <w:rPr>
          <w:szCs w:val="22"/>
        </w:rPr>
      </w:pPr>
      <w:r w:rsidRPr="00013304">
        <w:rPr>
          <w:szCs w:val="22"/>
        </w:rPr>
        <w:t>The 2019 annual import limit was 8 million tonnes (Mt) CO</w:t>
      </w:r>
      <w:r w:rsidRPr="00013304">
        <w:rPr>
          <w:szCs w:val="22"/>
          <w:vertAlign w:val="subscript"/>
        </w:rPr>
        <w:t>2</w:t>
      </w:r>
      <w:r w:rsidRPr="00013304">
        <w:rPr>
          <w:szCs w:val="22"/>
        </w:rPr>
        <w:t xml:space="preserve">e. Data reported to </w:t>
      </w:r>
      <w:r>
        <w:rPr>
          <w:szCs w:val="22"/>
        </w:rPr>
        <w:t xml:space="preserve">the </w:t>
      </w:r>
      <w:r w:rsidRPr="00013304">
        <w:rPr>
          <w:szCs w:val="22"/>
        </w:rPr>
        <w:t xml:space="preserve">Department of Agriculture, Water and Environment and analysed by the Expert Group indicates that total </w:t>
      </w:r>
      <w:r>
        <w:rPr>
          <w:szCs w:val="22"/>
        </w:rPr>
        <w:t xml:space="preserve">HFC </w:t>
      </w:r>
      <w:r w:rsidRPr="00013304">
        <w:rPr>
          <w:szCs w:val="22"/>
        </w:rPr>
        <w:t>imports in 2019 were equivalent to around 7.</w:t>
      </w:r>
      <w:r>
        <w:rPr>
          <w:szCs w:val="22"/>
        </w:rPr>
        <w:t>83</w:t>
      </w:r>
      <w:r w:rsidRPr="00013304">
        <w:rPr>
          <w:szCs w:val="22"/>
        </w:rPr>
        <w:t xml:space="preserve"> Mt </w:t>
      </w:r>
      <w:proofErr w:type="gramStart"/>
      <w:r w:rsidRPr="00013304">
        <w:rPr>
          <w:szCs w:val="22"/>
        </w:rPr>
        <w:t>CO</w:t>
      </w:r>
      <w:r w:rsidRPr="00013304">
        <w:rPr>
          <w:szCs w:val="22"/>
          <w:vertAlign w:val="subscript"/>
        </w:rPr>
        <w:t>2,</w:t>
      </w:r>
      <w:r w:rsidRPr="002D05D4">
        <w:rPr>
          <w:szCs w:val="22"/>
        </w:rPr>
        <w:t>e</w:t>
      </w:r>
      <w:proofErr w:type="gramEnd"/>
      <w:r w:rsidRPr="00A815C8">
        <w:rPr>
          <w:szCs w:val="22"/>
        </w:rPr>
        <w:t>, slightly</w:t>
      </w:r>
      <w:r>
        <w:rPr>
          <w:szCs w:val="22"/>
          <w:vertAlign w:val="subscript"/>
        </w:rPr>
        <w:t xml:space="preserve"> </w:t>
      </w:r>
      <w:r w:rsidRPr="00013304">
        <w:rPr>
          <w:szCs w:val="22"/>
        </w:rPr>
        <w:t>down from the 2018 figure of 7.9</w:t>
      </w:r>
      <w:r>
        <w:rPr>
          <w:szCs w:val="22"/>
        </w:rPr>
        <w:t>1 </w:t>
      </w:r>
      <w:r w:rsidRPr="00013304">
        <w:rPr>
          <w:szCs w:val="22"/>
        </w:rPr>
        <w:t>Mt CO</w:t>
      </w:r>
      <w:r w:rsidRPr="00013304">
        <w:rPr>
          <w:szCs w:val="22"/>
          <w:vertAlign w:val="subscript"/>
        </w:rPr>
        <w:t>2</w:t>
      </w:r>
      <w:r w:rsidRPr="00A815C8">
        <w:rPr>
          <w:szCs w:val="22"/>
        </w:rPr>
        <w:t>e</w:t>
      </w:r>
      <w:r w:rsidRPr="00FA2407">
        <w:rPr>
          <w:szCs w:val="22"/>
        </w:rPr>
        <w:t xml:space="preserve">. </w:t>
      </w:r>
    </w:p>
    <w:p w14:paraId="36E0D7C3" w14:textId="77777777" w:rsidR="00626D90" w:rsidRDefault="00626D90" w:rsidP="00626D90">
      <w:pPr>
        <w:rPr>
          <w:szCs w:val="22"/>
        </w:rPr>
      </w:pPr>
      <w:r w:rsidRPr="00013304">
        <w:rPr>
          <w:szCs w:val="22"/>
        </w:rPr>
        <w:t xml:space="preserve">The starting point of the Australian phase-down agreed between the </w:t>
      </w:r>
      <w:r>
        <w:rPr>
          <w:szCs w:val="22"/>
        </w:rPr>
        <w:t>Australian</w:t>
      </w:r>
      <w:r w:rsidRPr="00013304">
        <w:rPr>
          <w:szCs w:val="22"/>
        </w:rPr>
        <w:t xml:space="preserve"> Government and Australian industry participants, is 25% lower than </w:t>
      </w:r>
      <w:r>
        <w:rPr>
          <w:szCs w:val="22"/>
        </w:rPr>
        <w:t>Australia’s base</w:t>
      </w:r>
      <w:r w:rsidRPr="00013304">
        <w:rPr>
          <w:szCs w:val="22"/>
        </w:rPr>
        <w:t xml:space="preserve"> level in the Kigali Amendment to the Montreal Protocol. The Australian phase down schedule stipulates reasonably consistent steps down every two years to soften market shocks. The phase down bottoms out in 2036 at the same final point as agreed under the Kigali Amendment to the Montreal Protocol.</w:t>
      </w:r>
      <w:r>
        <w:rPr>
          <w:szCs w:val="22"/>
        </w:rPr>
        <w:t xml:space="preserve"> </w:t>
      </w:r>
    </w:p>
    <w:p w14:paraId="6AC22B21" w14:textId="77777777" w:rsidR="00626D90" w:rsidRPr="00013304" w:rsidRDefault="00626D90" w:rsidP="00626D90">
      <w:pPr>
        <w:rPr>
          <w:szCs w:val="22"/>
        </w:rPr>
      </w:pPr>
      <w:r w:rsidRPr="00013304">
        <w:rPr>
          <w:szCs w:val="22"/>
        </w:rPr>
        <w:t>The phase</w:t>
      </w:r>
      <w:r>
        <w:rPr>
          <w:szCs w:val="22"/>
        </w:rPr>
        <w:t xml:space="preserve"> </w:t>
      </w:r>
      <w:r w:rsidRPr="00013304">
        <w:rPr>
          <w:szCs w:val="22"/>
        </w:rPr>
        <w:t xml:space="preserve">down introduces reductions at the start of each two-yearly quota period, aligned with licensing periods under the </w:t>
      </w:r>
      <w:r w:rsidRPr="00125034">
        <w:rPr>
          <w:i/>
          <w:szCs w:val="22"/>
        </w:rPr>
        <w:t>Ozone Protection and Synthetic Greenhouse Gas Management Act</w:t>
      </w:r>
      <w:r w:rsidRPr="00125034">
        <w:rPr>
          <w:i/>
          <w:iCs/>
          <w:szCs w:val="22"/>
        </w:rPr>
        <w:t xml:space="preserve"> 1989</w:t>
      </w:r>
      <w:r w:rsidRPr="00013304">
        <w:rPr>
          <w:szCs w:val="22"/>
        </w:rPr>
        <w:t>. The phase down has an end point of 1.607 Mt CO</w:t>
      </w:r>
      <w:r w:rsidRPr="00013304">
        <w:rPr>
          <w:szCs w:val="22"/>
          <w:vertAlign w:val="subscript"/>
        </w:rPr>
        <w:t>2</w:t>
      </w:r>
      <w:r w:rsidRPr="00013304">
        <w:rPr>
          <w:szCs w:val="22"/>
        </w:rPr>
        <w:t>e on 31 December 2035 and will remain at 1.607 Mt CO</w:t>
      </w:r>
      <w:r w:rsidRPr="00013304">
        <w:rPr>
          <w:szCs w:val="22"/>
          <w:vertAlign w:val="subscript"/>
        </w:rPr>
        <w:t>2</w:t>
      </w:r>
      <w:r w:rsidRPr="00013304">
        <w:rPr>
          <w:szCs w:val="22"/>
        </w:rPr>
        <w:t xml:space="preserve">e for each quota period from then on. </w:t>
      </w:r>
    </w:p>
    <w:p w14:paraId="35FD8248" w14:textId="77777777" w:rsidR="00626D90" w:rsidRPr="00013304" w:rsidRDefault="00626D90" w:rsidP="00626D90">
      <w:pPr>
        <w:rPr>
          <w:rFonts w:cs="Times New Roman"/>
        </w:rPr>
      </w:pPr>
      <w:r w:rsidRPr="00013304">
        <w:rPr>
          <w:i/>
          <w:szCs w:val="22"/>
        </w:rPr>
        <w:t>Figure 9</w:t>
      </w:r>
      <w:r w:rsidRPr="00013304">
        <w:rPr>
          <w:szCs w:val="22"/>
        </w:rPr>
        <w:t xml:space="preserve"> illustrates the HFC phase-down steps to 2030 relative to the projected </w:t>
      </w:r>
      <w:r w:rsidRPr="002829DD">
        <w:rPr>
          <w:szCs w:val="22"/>
        </w:rPr>
        <w:t>refrigerant use by</w:t>
      </w:r>
      <w:r w:rsidRPr="00013304">
        <w:rPr>
          <w:szCs w:val="22"/>
        </w:rPr>
        <w:t xml:space="preserve"> species in </w:t>
      </w:r>
      <w:r w:rsidRPr="00013304">
        <w:rPr>
          <w:rFonts w:cs="Times New Roman"/>
        </w:rPr>
        <w:t>Mt CO</w:t>
      </w:r>
      <w:r w:rsidRPr="00013304">
        <w:rPr>
          <w:rFonts w:cs="Times New Roman"/>
          <w:vertAlign w:val="subscript"/>
        </w:rPr>
        <w:t>2</w:t>
      </w:r>
      <w:r w:rsidRPr="00013304">
        <w:rPr>
          <w:rFonts w:cs="Times New Roman"/>
        </w:rPr>
        <w:t xml:space="preserve">e. </w:t>
      </w:r>
      <w:r>
        <w:rPr>
          <w:rFonts w:cs="Times New Roman"/>
        </w:rPr>
        <w:t>While there is inherent uncertainty in aspects of the modelling and subsequent projections of demand and use, t</w:t>
      </w:r>
      <w:r w:rsidRPr="00013304">
        <w:rPr>
          <w:rFonts w:cs="Times New Roman"/>
        </w:rPr>
        <w:t xml:space="preserve">he Expert Group projections of refrigerant use </w:t>
      </w:r>
      <w:r>
        <w:rPr>
          <w:rFonts w:cs="Times New Roman"/>
        </w:rPr>
        <w:t xml:space="preserve">show demand will at times </w:t>
      </w:r>
      <w:r w:rsidRPr="00013304">
        <w:rPr>
          <w:rFonts w:cs="Times New Roman"/>
        </w:rPr>
        <w:t xml:space="preserve">be slightly </w:t>
      </w:r>
      <w:r>
        <w:rPr>
          <w:rFonts w:cs="Times New Roman"/>
        </w:rPr>
        <w:t xml:space="preserve">higher </w:t>
      </w:r>
      <w:r w:rsidRPr="00013304">
        <w:rPr>
          <w:rFonts w:cs="Times New Roman"/>
        </w:rPr>
        <w:t xml:space="preserve">than imports </w:t>
      </w:r>
      <w:r>
        <w:rPr>
          <w:rFonts w:cs="Times New Roman"/>
        </w:rPr>
        <w:t xml:space="preserve">permitted under the phase down. Some of this demand will be met by </w:t>
      </w:r>
      <w:r w:rsidRPr="00013304">
        <w:rPr>
          <w:rFonts w:cs="Times New Roman"/>
        </w:rPr>
        <w:t>recovery and reuse</w:t>
      </w:r>
      <w:r>
        <w:rPr>
          <w:rFonts w:cs="Times New Roman"/>
        </w:rPr>
        <w:t xml:space="preserve"> of refrigerants, and by </w:t>
      </w:r>
      <w:r w:rsidRPr="00013304">
        <w:rPr>
          <w:rFonts w:cs="Times New Roman"/>
        </w:rPr>
        <w:t>refrigerants already in the country.</w:t>
      </w:r>
      <w:r>
        <w:rPr>
          <w:rFonts w:cs="Times New Roman"/>
        </w:rPr>
        <w:t xml:space="preserve"> Some of this demand may also be met by lower GWP, HFO/HFC </w:t>
      </w:r>
      <w:proofErr w:type="gramStart"/>
      <w:r>
        <w:rPr>
          <w:rFonts w:cs="Times New Roman"/>
        </w:rPr>
        <w:t>drop in</w:t>
      </w:r>
      <w:proofErr w:type="gramEnd"/>
      <w:r>
        <w:rPr>
          <w:rFonts w:cs="Times New Roman"/>
        </w:rPr>
        <w:t xml:space="preserve"> replacements that are expected to be introduced to market in the period of the projection.</w:t>
      </w:r>
    </w:p>
    <w:p w14:paraId="597BD035" w14:textId="77777777" w:rsidR="00626D90" w:rsidRPr="00013304" w:rsidRDefault="00626D90" w:rsidP="00626D90">
      <w:pPr>
        <w:rPr>
          <w:szCs w:val="22"/>
        </w:rPr>
      </w:pPr>
      <w:r w:rsidRPr="00013304">
        <w:rPr>
          <w:szCs w:val="22"/>
        </w:rPr>
        <w:t>In line with the expected decrease of the CO</w:t>
      </w:r>
      <w:r w:rsidRPr="00013304">
        <w:rPr>
          <w:szCs w:val="22"/>
          <w:vertAlign w:val="subscript"/>
        </w:rPr>
        <w:t>2</w:t>
      </w:r>
      <w:r w:rsidRPr="00013304">
        <w:rPr>
          <w:szCs w:val="22"/>
        </w:rPr>
        <w:t>e value of the bank and direct emissions, the CO</w:t>
      </w:r>
      <w:r w:rsidRPr="00013304">
        <w:rPr>
          <w:szCs w:val="22"/>
          <w:vertAlign w:val="subscript"/>
        </w:rPr>
        <w:t>2</w:t>
      </w:r>
      <w:r w:rsidRPr="00013304">
        <w:rPr>
          <w:szCs w:val="22"/>
        </w:rPr>
        <w:t>e value of refrigerants used is expected to drop by more than 40% from around 7.44 million tonnes CO</w:t>
      </w:r>
      <w:r w:rsidRPr="00013304">
        <w:rPr>
          <w:szCs w:val="22"/>
          <w:vertAlign w:val="subscript"/>
        </w:rPr>
        <w:t>2</w:t>
      </w:r>
      <w:r w:rsidRPr="00013304">
        <w:rPr>
          <w:szCs w:val="22"/>
        </w:rPr>
        <w:t>e in 2019 to around 4.6 million tonnes CO</w:t>
      </w:r>
      <w:r w:rsidRPr="00013304">
        <w:rPr>
          <w:szCs w:val="22"/>
          <w:vertAlign w:val="subscript"/>
        </w:rPr>
        <w:t>2</w:t>
      </w:r>
      <w:r w:rsidRPr="00013304">
        <w:rPr>
          <w:szCs w:val="22"/>
        </w:rPr>
        <w:t xml:space="preserve">e in 2030, five years prior to the final year of the phase down schedule. </w:t>
      </w:r>
    </w:p>
    <w:p w14:paraId="7DEF691A" w14:textId="77777777" w:rsidR="00626D90" w:rsidRDefault="00626D90" w:rsidP="00626D90">
      <w:pPr>
        <w:rPr>
          <w:rFonts w:cs="Times New Roman"/>
        </w:rPr>
      </w:pPr>
    </w:p>
    <w:p w14:paraId="64A00134" w14:textId="77777777" w:rsidR="00626D90" w:rsidRDefault="00626D90" w:rsidP="00626D90">
      <w: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626D90" w:rsidRPr="00613398" w14:paraId="688E38DB" w14:textId="77777777" w:rsidTr="00EF0FC0">
        <w:tc>
          <w:tcPr>
            <w:tcW w:w="9759" w:type="dxa"/>
            <w:vAlign w:val="center"/>
          </w:tcPr>
          <w:p w14:paraId="695B2458" w14:textId="77777777" w:rsidR="00626D90" w:rsidRPr="000A23F9" w:rsidRDefault="00626D90" w:rsidP="00EF0FC0">
            <w:pPr>
              <w:spacing w:after="120"/>
              <w:jc w:val="center"/>
              <w:rPr>
                <w:rFonts w:cs="Times New Roman"/>
                <w:b/>
              </w:rPr>
            </w:pPr>
            <w:r w:rsidRPr="000A23F9">
              <w:rPr>
                <w:rFonts w:cs="Times New Roman"/>
                <w:b/>
              </w:rPr>
              <w:lastRenderedPageBreak/>
              <w:br w:type="page"/>
            </w:r>
            <w:r>
              <w:rPr>
                <w:rFonts w:cs="Times New Roman"/>
                <w:b/>
              </w:rPr>
              <w:t xml:space="preserve">HFC Phase down steps and refrigerant usage by species </w:t>
            </w:r>
            <w:r w:rsidRPr="000A23F9">
              <w:rPr>
                <w:rFonts w:cs="Times New Roman"/>
                <w:b/>
              </w:rPr>
              <w:t>(</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626D90" w:rsidRPr="00D95209" w14:paraId="5477A1D7" w14:textId="77777777" w:rsidTr="00EF0FC0">
        <w:tc>
          <w:tcPr>
            <w:tcW w:w="9759" w:type="dxa"/>
            <w:vAlign w:val="center"/>
          </w:tcPr>
          <w:p w14:paraId="3328112F" w14:textId="77777777" w:rsidR="00626D90" w:rsidRPr="00D95209" w:rsidRDefault="00626D90" w:rsidP="00EF0FC0">
            <w:pPr>
              <w:spacing w:before="60" w:after="60"/>
              <w:jc w:val="center"/>
              <w:rPr>
                <w:rFonts w:cs="Times New Roman"/>
                <w:sz w:val="16"/>
                <w:szCs w:val="16"/>
              </w:rPr>
            </w:pPr>
            <w:r w:rsidRPr="00D95209">
              <w:rPr>
                <w:noProof/>
                <w:sz w:val="16"/>
                <w:szCs w:val="16"/>
              </w:rPr>
              <w:drawing>
                <wp:inline distT="0" distB="0" distL="0" distR="0" wp14:anchorId="1FCCF109" wp14:editId="14479FF8">
                  <wp:extent cx="6030595" cy="2108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2108200"/>
                          </a:xfrm>
                          <a:prstGeom prst="rect">
                            <a:avLst/>
                          </a:prstGeom>
                        </pic:spPr>
                      </pic:pic>
                    </a:graphicData>
                  </a:graphic>
                </wp:inline>
              </w:drawing>
            </w:r>
          </w:p>
          <w:p w14:paraId="232819EF" w14:textId="77777777" w:rsidR="00626D90" w:rsidRPr="00D95209" w:rsidRDefault="00626D90" w:rsidP="00EF0FC0">
            <w:pPr>
              <w:spacing w:before="60" w:after="60"/>
              <w:jc w:val="center"/>
              <w:rPr>
                <w:rFonts w:cs="Times New Roman"/>
                <w:sz w:val="16"/>
                <w:szCs w:val="16"/>
              </w:rPr>
            </w:pPr>
          </w:p>
        </w:tc>
      </w:tr>
      <w:tr w:rsidR="00626D90" w:rsidRPr="00013304" w14:paraId="70B7EADD" w14:textId="77777777" w:rsidTr="00EF0FC0">
        <w:tc>
          <w:tcPr>
            <w:tcW w:w="9759" w:type="dxa"/>
            <w:vAlign w:val="center"/>
          </w:tcPr>
          <w:p w14:paraId="0C88A1E8" w14:textId="77777777" w:rsidR="00626D90" w:rsidRPr="00013304" w:rsidRDefault="00626D90" w:rsidP="00EF0FC0">
            <w:pPr>
              <w:pStyle w:val="Caption"/>
            </w:pPr>
            <w:bookmarkStart w:id="58" w:name="_Toc525141368"/>
            <w:bookmarkStart w:id="59" w:name="_Toc46846964"/>
            <w:r w:rsidRPr="00013304">
              <w:t xml:space="preserve">Figure </w:t>
            </w:r>
            <w:r w:rsidRPr="00013304">
              <w:rPr>
                <w:noProof/>
              </w:rPr>
              <w:fldChar w:fldCharType="begin"/>
            </w:r>
            <w:r w:rsidRPr="00013304">
              <w:rPr>
                <w:noProof/>
              </w:rPr>
              <w:instrText xml:space="preserve"> SEQ Figure \* ARABIC </w:instrText>
            </w:r>
            <w:r w:rsidRPr="00013304">
              <w:rPr>
                <w:noProof/>
              </w:rPr>
              <w:fldChar w:fldCharType="separate"/>
            </w:r>
            <w:r>
              <w:rPr>
                <w:noProof/>
              </w:rPr>
              <w:t>9</w:t>
            </w:r>
            <w:r w:rsidRPr="00013304">
              <w:rPr>
                <w:noProof/>
              </w:rPr>
              <w:fldChar w:fldCharType="end"/>
            </w:r>
            <w:r w:rsidRPr="00013304">
              <w:rPr>
                <w:bCs w:val="0"/>
              </w:rPr>
              <w:t xml:space="preserve">: </w:t>
            </w:r>
            <w:r>
              <w:rPr>
                <w:bCs w:val="0"/>
              </w:rPr>
              <w:t xml:space="preserve">HFC </w:t>
            </w:r>
            <w:r w:rsidRPr="00013304">
              <w:rPr>
                <w:bCs w:val="0"/>
              </w:rPr>
              <w:t>Phase down steps and refrigerant usage by species from 2019 to 2030 in Mt CO</w:t>
            </w:r>
            <w:r w:rsidRPr="00013304">
              <w:rPr>
                <w:bCs w:val="0"/>
                <w:vertAlign w:val="subscript"/>
              </w:rPr>
              <w:t>2</w:t>
            </w:r>
            <w:r w:rsidRPr="00013304">
              <w:rPr>
                <w:bCs w:val="0"/>
              </w:rPr>
              <w:t>e.</w:t>
            </w:r>
            <w:bookmarkEnd w:id="58"/>
            <w:bookmarkEnd w:id="59"/>
          </w:p>
        </w:tc>
      </w:tr>
    </w:tbl>
    <w:p w14:paraId="5ABA1938" w14:textId="77777777" w:rsidR="00626D90" w:rsidRDefault="00626D90" w:rsidP="00626D90">
      <w:pPr>
        <w:spacing w:before="0"/>
        <w:rPr>
          <w:rFonts w:cs="Times New Roman"/>
          <w:sz w:val="20"/>
          <w:szCs w:val="20"/>
          <w:lang w:val="en-US"/>
        </w:rPr>
      </w:pPr>
      <w:r w:rsidRPr="00013304">
        <w:rPr>
          <w:rFonts w:cs="Times New Roman"/>
          <w:sz w:val="20"/>
          <w:szCs w:val="20"/>
          <w:lang w:val="en-US"/>
        </w:rPr>
        <w:t xml:space="preserve">(Source: </w:t>
      </w:r>
      <w:r w:rsidRPr="00013304">
        <w:rPr>
          <w:rFonts w:cs="Times New Roman"/>
          <w:sz w:val="20"/>
          <w:szCs w:val="20"/>
        </w:rPr>
        <w:t xml:space="preserve">CHF 2020 RAC Stock </w:t>
      </w:r>
      <w:r>
        <w:rPr>
          <w:rFonts w:cs="Times New Roman"/>
          <w:sz w:val="20"/>
          <w:szCs w:val="20"/>
        </w:rPr>
        <w:t>M</w:t>
      </w:r>
      <w:r w:rsidRPr="00013304">
        <w:rPr>
          <w:rFonts w:cs="Times New Roman"/>
          <w:sz w:val="20"/>
          <w:szCs w:val="20"/>
        </w:rPr>
        <w:t>odel</w:t>
      </w:r>
      <w:r w:rsidRPr="00013304">
        <w:rPr>
          <w:rFonts w:cs="Times New Roman"/>
          <w:sz w:val="20"/>
          <w:szCs w:val="20"/>
          <w:lang w:val="en-US"/>
        </w:rPr>
        <w:t>)</w:t>
      </w:r>
    </w:p>
    <w:p w14:paraId="306659C7" w14:textId="77777777" w:rsidR="00626D90" w:rsidRDefault="00626D90" w:rsidP="00626D90">
      <w:pPr>
        <w:spacing w:before="60"/>
        <w:rPr>
          <w:rFonts w:cs="Times New Roman"/>
          <w:sz w:val="20"/>
          <w:szCs w:val="20"/>
          <w:lang w:val="en-US"/>
        </w:rPr>
      </w:pPr>
      <w:r>
        <w:rPr>
          <w:rFonts w:cs="Times New Roman"/>
          <w:sz w:val="20"/>
          <w:szCs w:val="20"/>
          <w:lang w:val="en-US"/>
        </w:rPr>
        <w:t xml:space="preserve">Notes: </w:t>
      </w:r>
    </w:p>
    <w:p w14:paraId="618EF85D" w14:textId="77777777" w:rsidR="00626D90" w:rsidRDefault="00626D90" w:rsidP="00626D90">
      <w:pPr>
        <w:pStyle w:val="ListParagraph"/>
        <w:numPr>
          <w:ilvl w:val="0"/>
          <w:numId w:val="51"/>
        </w:numPr>
        <w:spacing w:before="60" w:after="0" w:line="240" w:lineRule="auto"/>
        <w:contextualSpacing w:val="0"/>
        <w:jc w:val="both"/>
        <w:rPr>
          <w:rFonts w:ascii="Times New Roman" w:hAnsi="Times New Roman"/>
          <w:sz w:val="20"/>
          <w:szCs w:val="20"/>
          <w:lang w:val="en-AU"/>
        </w:rPr>
      </w:pPr>
      <w:r w:rsidRPr="00B05D08">
        <w:rPr>
          <w:rFonts w:ascii="Times New Roman" w:hAnsi="Times New Roman"/>
          <w:sz w:val="20"/>
          <w:szCs w:val="20"/>
          <w:lang w:val="en-AU"/>
        </w:rPr>
        <w:t>HCFCs are not included in the above chart as emissions of ODS are not counted as part of the GHGs reported under the Kyoto Protocol of the United Nations Framework Convention on Climate Change, as they managed through the Montreal Protocol.</w:t>
      </w:r>
    </w:p>
    <w:p w14:paraId="44DAF628" w14:textId="77777777" w:rsidR="00626D90" w:rsidRPr="00B05D08" w:rsidRDefault="00626D90" w:rsidP="00626D90">
      <w:pPr>
        <w:pStyle w:val="ListParagraph"/>
        <w:numPr>
          <w:ilvl w:val="0"/>
          <w:numId w:val="51"/>
        </w:numPr>
        <w:spacing w:before="60" w:after="0" w:line="240" w:lineRule="auto"/>
        <w:contextualSpacing w:val="0"/>
        <w:jc w:val="both"/>
        <w:rPr>
          <w:sz w:val="20"/>
          <w:szCs w:val="20"/>
          <w:lang w:val="en-AU"/>
        </w:rPr>
      </w:pPr>
      <w:r w:rsidRPr="001A6EE0">
        <w:rPr>
          <w:rFonts w:ascii="Times New Roman" w:hAnsi="Times New Roman"/>
          <w:sz w:val="20"/>
          <w:szCs w:val="20"/>
          <w:lang w:val="en-AU"/>
        </w:rPr>
        <w:t>Montreal Protocol</w:t>
      </w:r>
      <w:r w:rsidRPr="00B05D08">
        <w:rPr>
          <w:rFonts w:ascii="Times New Roman" w:hAnsi="Times New Roman"/>
          <w:sz w:val="20"/>
          <w:szCs w:val="20"/>
          <w:lang w:val="en-AU"/>
        </w:rPr>
        <w:t xml:space="preserve"> </w:t>
      </w:r>
      <w:r>
        <w:rPr>
          <w:rFonts w:ascii="Times New Roman" w:hAnsi="Times New Roman"/>
          <w:sz w:val="20"/>
          <w:szCs w:val="20"/>
          <w:lang w:val="en-AU"/>
        </w:rPr>
        <w:t>HFC baseline for Australia is 10,813,465 t CO</w:t>
      </w:r>
      <w:r w:rsidRPr="00B05D08">
        <w:rPr>
          <w:rFonts w:ascii="Times New Roman" w:hAnsi="Times New Roman"/>
          <w:sz w:val="20"/>
          <w:szCs w:val="20"/>
          <w:vertAlign w:val="subscript"/>
          <w:lang w:val="en-AU"/>
        </w:rPr>
        <w:t>2</w:t>
      </w:r>
      <w:r>
        <w:rPr>
          <w:rFonts w:ascii="Times New Roman" w:hAnsi="Times New Roman"/>
          <w:sz w:val="20"/>
          <w:szCs w:val="20"/>
          <w:lang w:val="en-AU"/>
        </w:rPr>
        <w:t>e, and the control limit for 2019 is 90% of the baseline equating to 9.732 Mt CO</w:t>
      </w:r>
      <w:r w:rsidRPr="00B05D08">
        <w:rPr>
          <w:rFonts w:ascii="Times New Roman" w:hAnsi="Times New Roman"/>
          <w:sz w:val="20"/>
          <w:szCs w:val="20"/>
          <w:vertAlign w:val="subscript"/>
          <w:lang w:val="en-AU"/>
        </w:rPr>
        <w:t>2</w:t>
      </w:r>
      <w:r>
        <w:rPr>
          <w:rFonts w:ascii="Times New Roman" w:hAnsi="Times New Roman"/>
          <w:sz w:val="20"/>
          <w:szCs w:val="20"/>
          <w:lang w:val="en-AU"/>
        </w:rPr>
        <w:t xml:space="preserve">e. </w:t>
      </w:r>
    </w:p>
    <w:p w14:paraId="1F22255D" w14:textId="77777777" w:rsidR="00626D90" w:rsidRDefault="00626D90" w:rsidP="00626D90">
      <w:pPr>
        <w:rPr>
          <w:szCs w:val="22"/>
        </w:rPr>
      </w:pPr>
    </w:p>
    <w:p w14:paraId="7C00298A" w14:textId="77777777" w:rsidR="00626D90" w:rsidRDefault="00626D90" w:rsidP="00626D90">
      <w:pPr>
        <w:rPr>
          <w:szCs w:val="22"/>
        </w:rPr>
      </w:pPr>
      <w:r>
        <w:rPr>
          <w:szCs w:val="22"/>
        </w:rPr>
        <w:t>Just as the CO</w:t>
      </w:r>
      <w:r w:rsidRPr="006977E7">
        <w:rPr>
          <w:szCs w:val="22"/>
          <w:vertAlign w:val="subscript"/>
        </w:rPr>
        <w:t>2</w:t>
      </w:r>
      <w:r>
        <w:rPr>
          <w:szCs w:val="22"/>
          <w:vertAlign w:val="subscript"/>
        </w:rPr>
        <w:t xml:space="preserve"> </w:t>
      </w:r>
      <w:r>
        <w:rPr>
          <w:szCs w:val="22"/>
        </w:rPr>
        <w:t>equivalent value of refrigerant use, and refrigerant imports, declines over the projection period, so too does the total CO</w:t>
      </w:r>
      <w:r w:rsidRPr="006977E7">
        <w:rPr>
          <w:szCs w:val="22"/>
          <w:vertAlign w:val="subscript"/>
        </w:rPr>
        <w:t>2</w:t>
      </w:r>
      <w:r>
        <w:rPr>
          <w:szCs w:val="22"/>
        </w:rPr>
        <w:t xml:space="preserve">e of the refrigerant bank. The refrigerant bank is a lagging indicator of changes to the mix of refrigerant species being introduced to service. The composition of the bank also indicates future demand as the stocks of underlying equipment age and lose some part of their charge to leaks which then creates demand for refrigerant use in service. </w:t>
      </w:r>
    </w:p>
    <w:p w14:paraId="2D467B49" w14:textId="77777777" w:rsidR="00626D90" w:rsidRPr="004C11B3" w:rsidRDefault="00626D90" w:rsidP="00626D90">
      <w:pPr>
        <w:rPr>
          <w:szCs w:val="22"/>
        </w:rPr>
      </w:pPr>
      <w:r w:rsidRPr="00A87546">
        <w:rPr>
          <w:i/>
          <w:iCs/>
          <w:szCs w:val="22"/>
        </w:rPr>
        <w:t>Figure 10</w:t>
      </w:r>
      <w:r>
        <w:rPr>
          <w:szCs w:val="22"/>
        </w:rPr>
        <w:t xml:space="preserve"> illustrates the projection of the bank in Mt CO</w:t>
      </w:r>
      <w:r w:rsidRPr="00A87546">
        <w:rPr>
          <w:szCs w:val="22"/>
          <w:vertAlign w:val="subscript"/>
        </w:rPr>
        <w:t>2</w:t>
      </w:r>
      <w:r>
        <w:rPr>
          <w:szCs w:val="22"/>
        </w:rPr>
        <w:t xml:space="preserve">e over the same time frame as the phase down steps illustrated in </w:t>
      </w:r>
      <w:r w:rsidRPr="00A87546">
        <w:rPr>
          <w:i/>
          <w:iCs/>
          <w:szCs w:val="22"/>
        </w:rPr>
        <w:t>Figure 9</w:t>
      </w:r>
      <w:r>
        <w:rPr>
          <w:szCs w:val="22"/>
        </w:rPr>
        <w:t>. As stated earlier in the report, after decades of growth in CO</w:t>
      </w:r>
      <w:r w:rsidRPr="006977E7">
        <w:rPr>
          <w:szCs w:val="22"/>
          <w:vertAlign w:val="subscript"/>
        </w:rPr>
        <w:t>2</w:t>
      </w:r>
      <w:r>
        <w:rPr>
          <w:szCs w:val="22"/>
        </w:rPr>
        <w:t>e terms, all data and projections indicate that the peak CO</w:t>
      </w:r>
      <w:r w:rsidRPr="006977E7">
        <w:rPr>
          <w:szCs w:val="22"/>
          <w:vertAlign w:val="subscript"/>
        </w:rPr>
        <w:t>2</w:t>
      </w:r>
      <w:r>
        <w:rPr>
          <w:szCs w:val="22"/>
        </w:rPr>
        <w:t>e of the overall refrigerant bank has been reached in around 2019. The overall bank comprises various classes and segments, some of which will not reach peak bank for some time (</w:t>
      </w:r>
      <w:proofErr w:type="gramStart"/>
      <w:r>
        <w:rPr>
          <w:szCs w:val="22"/>
        </w:rPr>
        <w:t>e.g.</w:t>
      </w:r>
      <w:proofErr w:type="gramEnd"/>
      <w:r>
        <w:rPr>
          <w:szCs w:val="22"/>
        </w:rPr>
        <w:t xml:space="preserve"> refrigerated cold food chain).</w:t>
      </w:r>
    </w:p>
    <w:p w14:paraId="03F46595" w14:textId="77777777" w:rsidR="00626D90" w:rsidRDefault="00626D90" w:rsidP="00626D90">
      <w:pPr>
        <w:rPr>
          <w:rFonts w:cs="Times New Roman"/>
        </w:rPr>
      </w:pPr>
    </w:p>
    <w:p w14:paraId="51E9B23C" w14:textId="77777777" w:rsidR="00626D90" w:rsidRDefault="00626D90" w:rsidP="00626D90">
      <w:r>
        <w:br w:type="page"/>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626D90" w:rsidRPr="00613398" w14:paraId="58E4C4DE" w14:textId="77777777" w:rsidTr="00EF0FC0">
        <w:tc>
          <w:tcPr>
            <w:tcW w:w="9759" w:type="dxa"/>
            <w:vAlign w:val="center"/>
          </w:tcPr>
          <w:p w14:paraId="0D678EFA" w14:textId="77777777" w:rsidR="00626D90" w:rsidRPr="000A23F9" w:rsidRDefault="00626D90" w:rsidP="00EF0FC0">
            <w:pPr>
              <w:spacing w:after="120"/>
              <w:jc w:val="center"/>
              <w:rPr>
                <w:rFonts w:cs="Times New Roman"/>
                <w:b/>
              </w:rPr>
            </w:pPr>
            <w:r w:rsidRPr="000A23F9">
              <w:rPr>
                <w:rFonts w:cs="Times New Roman"/>
                <w:b/>
              </w:rPr>
              <w:lastRenderedPageBreak/>
              <w:br w:type="page"/>
            </w:r>
            <w:r>
              <w:rPr>
                <w:rFonts w:cs="Times New Roman"/>
                <w:b/>
              </w:rPr>
              <w:t xml:space="preserve">Refrigerant bank by species </w:t>
            </w:r>
            <w:r w:rsidRPr="000A23F9">
              <w:rPr>
                <w:rFonts w:cs="Times New Roman"/>
                <w:b/>
              </w:rPr>
              <w:t>(</w:t>
            </w:r>
            <w:r>
              <w:rPr>
                <w:rFonts w:cs="Times New Roman"/>
                <w:b/>
              </w:rPr>
              <w:t>Mt CO</w:t>
            </w:r>
            <w:r w:rsidRPr="00B918A6">
              <w:rPr>
                <w:rFonts w:cs="Times New Roman"/>
                <w:b/>
                <w:vertAlign w:val="subscript"/>
              </w:rPr>
              <w:t>2</w:t>
            </w:r>
            <w:r>
              <w:rPr>
                <w:rFonts w:cs="Times New Roman"/>
                <w:b/>
              </w:rPr>
              <w:t>e</w:t>
            </w:r>
            <w:r w:rsidRPr="000A23F9">
              <w:rPr>
                <w:rFonts w:cs="Times New Roman"/>
                <w:b/>
              </w:rPr>
              <w:t>)</w:t>
            </w:r>
          </w:p>
        </w:tc>
      </w:tr>
      <w:tr w:rsidR="00626D90" w:rsidRPr="000A23F9" w14:paraId="20473241" w14:textId="77777777" w:rsidTr="00EF0FC0">
        <w:tc>
          <w:tcPr>
            <w:tcW w:w="9759" w:type="dxa"/>
            <w:vAlign w:val="center"/>
          </w:tcPr>
          <w:p w14:paraId="5B614D64" w14:textId="77777777" w:rsidR="00626D90" w:rsidRPr="000A23F9" w:rsidRDefault="00626D90" w:rsidP="00EF0FC0">
            <w:pPr>
              <w:spacing w:before="60" w:after="60"/>
              <w:jc w:val="center"/>
              <w:rPr>
                <w:rFonts w:cs="Times New Roman"/>
                <w:sz w:val="16"/>
                <w:szCs w:val="16"/>
              </w:rPr>
            </w:pPr>
          </w:p>
          <w:p w14:paraId="3EE2DFE0" w14:textId="77777777" w:rsidR="00626D90" w:rsidRPr="000A23F9" w:rsidRDefault="00626D90" w:rsidP="00EF0FC0">
            <w:pPr>
              <w:spacing w:before="60" w:after="60"/>
              <w:jc w:val="center"/>
              <w:rPr>
                <w:rFonts w:cs="Times New Roman"/>
                <w:sz w:val="16"/>
                <w:szCs w:val="16"/>
              </w:rPr>
            </w:pPr>
            <w:r>
              <w:rPr>
                <w:noProof/>
              </w:rPr>
              <w:drawing>
                <wp:inline distT="0" distB="0" distL="0" distR="0" wp14:anchorId="1AD09B54" wp14:editId="4FE39BC3">
                  <wp:extent cx="6030595" cy="2078355"/>
                  <wp:effectExtent l="0" t="0" r="1905" b="4445"/>
                  <wp:docPr id="7" name="Picture 7" descr="Shows the refrigerant bank by species in carbon dioxide equivalent, from 2019 to 2030. The bank peaks at around 100 mega-tonnes carbon dioxide equivalent in 2019, and gradually declines to around 75 mega-tonnes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2078355"/>
                          </a:xfrm>
                          <a:prstGeom prst="rect">
                            <a:avLst/>
                          </a:prstGeom>
                        </pic:spPr>
                      </pic:pic>
                    </a:graphicData>
                  </a:graphic>
                </wp:inline>
              </w:drawing>
            </w:r>
          </w:p>
          <w:p w14:paraId="20B37975" w14:textId="77777777" w:rsidR="00626D90" w:rsidRPr="000A23F9" w:rsidRDefault="00626D90" w:rsidP="00EF0FC0">
            <w:pPr>
              <w:spacing w:before="60" w:after="60"/>
              <w:jc w:val="center"/>
              <w:rPr>
                <w:rFonts w:cs="Times New Roman"/>
                <w:sz w:val="16"/>
                <w:szCs w:val="16"/>
              </w:rPr>
            </w:pPr>
          </w:p>
        </w:tc>
      </w:tr>
      <w:tr w:rsidR="00626D90" w:rsidRPr="003A3250" w14:paraId="01D55918" w14:textId="77777777" w:rsidTr="00EF0FC0">
        <w:tc>
          <w:tcPr>
            <w:tcW w:w="9759" w:type="dxa"/>
            <w:vAlign w:val="center"/>
          </w:tcPr>
          <w:p w14:paraId="665FBCA8" w14:textId="77777777" w:rsidR="00626D90" w:rsidRPr="003A3250" w:rsidRDefault="00626D90" w:rsidP="00EF0FC0">
            <w:pPr>
              <w:pStyle w:val="Caption"/>
            </w:pPr>
            <w:bookmarkStart w:id="60" w:name="_Toc46846965"/>
            <w:r w:rsidRPr="003A3250">
              <w:t xml:space="preserve">Figure </w:t>
            </w:r>
            <w:r w:rsidRPr="003A3250">
              <w:rPr>
                <w:noProof/>
              </w:rPr>
              <w:fldChar w:fldCharType="begin"/>
            </w:r>
            <w:r w:rsidRPr="003A3250">
              <w:rPr>
                <w:noProof/>
              </w:rPr>
              <w:instrText xml:space="preserve"> SEQ Figure \* ARABIC </w:instrText>
            </w:r>
            <w:r w:rsidRPr="003A3250">
              <w:rPr>
                <w:noProof/>
              </w:rPr>
              <w:fldChar w:fldCharType="separate"/>
            </w:r>
            <w:r>
              <w:rPr>
                <w:noProof/>
              </w:rPr>
              <w:t>10</w:t>
            </w:r>
            <w:r w:rsidRPr="003A3250">
              <w:rPr>
                <w:noProof/>
              </w:rPr>
              <w:fldChar w:fldCharType="end"/>
            </w:r>
            <w:r w:rsidRPr="003A3250">
              <w:rPr>
                <w:bCs w:val="0"/>
              </w:rPr>
              <w:t>: Refrigerant bank by species from 2019 to 2030 in Mt CO</w:t>
            </w:r>
            <w:r w:rsidRPr="003A3250">
              <w:rPr>
                <w:bCs w:val="0"/>
                <w:vertAlign w:val="subscript"/>
              </w:rPr>
              <w:t>2</w:t>
            </w:r>
            <w:r w:rsidRPr="003A3250">
              <w:rPr>
                <w:bCs w:val="0"/>
              </w:rPr>
              <w:t>e.</w:t>
            </w:r>
            <w:bookmarkEnd w:id="60"/>
          </w:p>
        </w:tc>
      </w:tr>
    </w:tbl>
    <w:p w14:paraId="70C79BF2" w14:textId="77777777" w:rsidR="00626D90" w:rsidRPr="00573A8B" w:rsidRDefault="00626D90" w:rsidP="00626D90">
      <w:pPr>
        <w:spacing w:before="0"/>
        <w:rPr>
          <w:rFonts w:cs="Times New Roman"/>
          <w:sz w:val="20"/>
          <w:szCs w:val="20"/>
          <w:lang w:val="en-US"/>
        </w:rPr>
      </w:pPr>
      <w:r w:rsidRPr="003A3250">
        <w:rPr>
          <w:rFonts w:cs="Times New Roman"/>
          <w:sz w:val="20"/>
          <w:szCs w:val="20"/>
          <w:lang w:val="en-US"/>
        </w:rPr>
        <w:t xml:space="preserve">(Source: </w:t>
      </w:r>
      <w:r w:rsidRPr="003A3250">
        <w:rPr>
          <w:rFonts w:cs="Times New Roman"/>
          <w:sz w:val="20"/>
          <w:szCs w:val="20"/>
        </w:rPr>
        <w:t xml:space="preserve">CHF 2020 RAC Stock </w:t>
      </w:r>
      <w:r>
        <w:rPr>
          <w:rFonts w:cs="Times New Roman"/>
          <w:sz w:val="20"/>
          <w:szCs w:val="20"/>
        </w:rPr>
        <w:t>M</w:t>
      </w:r>
      <w:r w:rsidRPr="003A3250">
        <w:rPr>
          <w:rFonts w:cs="Times New Roman"/>
          <w:sz w:val="20"/>
          <w:szCs w:val="20"/>
        </w:rPr>
        <w:t>odel</w:t>
      </w:r>
      <w:r w:rsidRPr="003A3250">
        <w:rPr>
          <w:rFonts w:cs="Times New Roman"/>
          <w:sz w:val="20"/>
          <w:szCs w:val="20"/>
          <w:lang w:val="en-US"/>
        </w:rPr>
        <w:t>)</w:t>
      </w:r>
    </w:p>
    <w:p w14:paraId="34B695E4" w14:textId="77777777" w:rsidR="00626D90" w:rsidRDefault="00626D90" w:rsidP="00626D90">
      <w:pPr>
        <w:rPr>
          <w:szCs w:val="22"/>
        </w:rPr>
      </w:pPr>
    </w:p>
    <w:p w14:paraId="5BA129DD" w14:textId="77777777" w:rsidR="00626D90" w:rsidRDefault="00626D90" w:rsidP="00626D90">
      <w:pPr>
        <w:spacing w:before="60"/>
        <w:rPr>
          <w:color w:val="000000" w:themeColor="text1"/>
          <w:sz w:val="20"/>
          <w:szCs w:val="20"/>
        </w:rPr>
      </w:pPr>
    </w:p>
    <w:p w14:paraId="6400E4B1" w14:textId="77777777" w:rsidR="00BD5045" w:rsidRPr="00626D90" w:rsidRDefault="00BD5045" w:rsidP="00626D90"/>
    <w:sectPr w:rsidR="00BD5045" w:rsidRPr="00626D90" w:rsidSect="00474B83">
      <w:headerReference w:type="even" r:id="rId22"/>
      <w:headerReference w:type="default" r:id="rId23"/>
      <w:footerReference w:type="default" r:id="rId24"/>
      <w:headerReference w:type="first" r:id="rId25"/>
      <w:pgSz w:w="11900" w:h="16840"/>
      <w:pgMar w:top="511" w:right="1127" w:bottom="1440"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3F04" w14:textId="77777777" w:rsidR="009A6297" w:rsidRDefault="009A6297" w:rsidP="003937A5">
      <w:pPr>
        <w:spacing w:before="0"/>
      </w:pPr>
      <w:r>
        <w:separator/>
      </w:r>
    </w:p>
  </w:endnote>
  <w:endnote w:type="continuationSeparator" w:id="0">
    <w:p w14:paraId="082BB384" w14:textId="77777777" w:rsidR="009A6297" w:rsidRDefault="009A6297" w:rsidP="003937A5">
      <w:pPr>
        <w:spacing w:before="0"/>
      </w:pPr>
      <w:r>
        <w:continuationSeparator/>
      </w:r>
    </w:p>
  </w:endnote>
  <w:endnote w:type="continuationNotice" w:id="1">
    <w:p w14:paraId="05546899" w14:textId="77777777" w:rsidR="009A6297" w:rsidRDefault="009A629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626D90" w:rsidRPr="00EB45B6" w14:paraId="674D3DEC" w14:textId="77777777" w:rsidTr="008352D3">
      <w:trPr>
        <w:gridBefore w:val="1"/>
        <w:gridAfter w:val="1"/>
        <w:wBefore w:w="61" w:type="pct"/>
        <w:wAfter w:w="438" w:type="pct"/>
      </w:trPr>
      <w:tc>
        <w:tcPr>
          <w:tcW w:w="2314" w:type="pct"/>
          <w:shd w:val="clear" w:color="auto" w:fill="auto"/>
        </w:tcPr>
        <w:p w14:paraId="66795A55" w14:textId="77777777" w:rsidR="00626D90" w:rsidRPr="00EB45B6" w:rsidRDefault="00626D90" w:rsidP="008352D3">
          <w:pPr>
            <w:pStyle w:val="Footer"/>
            <w:ind w:right="-145"/>
          </w:pPr>
        </w:p>
      </w:tc>
      <w:tc>
        <w:tcPr>
          <w:tcW w:w="839" w:type="pct"/>
          <w:gridSpan w:val="2"/>
          <w:shd w:val="clear" w:color="auto" w:fill="auto"/>
        </w:tcPr>
        <w:p w14:paraId="588B5707" w14:textId="77777777" w:rsidR="00626D90" w:rsidRPr="00EB45B6" w:rsidRDefault="00626D90"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74" w:type="pct"/>
          <w:gridSpan w:val="2"/>
          <w:shd w:val="clear" w:color="auto" w:fill="auto"/>
        </w:tcPr>
        <w:p w14:paraId="749693D0" w14:textId="77777777" w:rsidR="00626D90" w:rsidRPr="00EB45B6" w:rsidRDefault="00626D90" w:rsidP="008352D3">
          <w:pPr>
            <w:pStyle w:val="Footer"/>
            <w:ind w:right="-145"/>
            <w:rPr>
              <w:rFonts w:asciiTheme="majorHAnsi" w:hAnsiTheme="majorHAnsi"/>
              <w:sz w:val="22"/>
              <w:szCs w:val="22"/>
            </w:rPr>
          </w:pPr>
        </w:p>
      </w:tc>
      <w:tc>
        <w:tcPr>
          <w:tcW w:w="874" w:type="pct"/>
          <w:gridSpan w:val="2"/>
          <w:shd w:val="clear" w:color="auto" w:fill="auto"/>
        </w:tcPr>
        <w:p w14:paraId="4FB17E75" w14:textId="77777777" w:rsidR="00626D90" w:rsidRPr="00EB45B6" w:rsidRDefault="00626D90"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626D90" w:rsidRPr="00847A44" w14:paraId="60463387" w14:textId="77777777" w:rsidTr="008352D3">
      <w:tc>
        <w:tcPr>
          <w:tcW w:w="2438" w:type="pct"/>
          <w:gridSpan w:val="3"/>
          <w:shd w:val="clear" w:color="auto" w:fill="2397B0"/>
        </w:tcPr>
        <w:p w14:paraId="194D6466" w14:textId="77777777" w:rsidR="00626D90" w:rsidRPr="00847A44" w:rsidRDefault="00626D90" w:rsidP="008352D3">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72" w:type="pct"/>
          <w:gridSpan w:val="2"/>
          <w:shd w:val="clear" w:color="auto" w:fill="2397B0"/>
        </w:tcPr>
        <w:p w14:paraId="4911527A" w14:textId="77777777" w:rsidR="00626D90" w:rsidRPr="00847A44" w:rsidRDefault="00626D90"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40" w:type="pct"/>
          <w:gridSpan w:val="2"/>
          <w:shd w:val="clear" w:color="auto" w:fill="2397B0"/>
        </w:tcPr>
        <w:p w14:paraId="3895FFB7" w14:textId="77777777" w:rsidR="00626D90" w:rsidRPr="00847A44" w:rsidRDefault="00626D90"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50" w:type="pct"/>
          <w:gridSpan w:val="2"/>
          <w:shd w:val="clear" w:color="auto" w:fill="2397B0"/>
        </w:tcPr>
        <w:p w14:paraId="6D7FF0CF" w14:textId="77777777" w:rsidR="00626D90" w:rsidRPr="00847A44" w:rsidRDefault="00626D90"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0033A57A" w14:textId="77777777" w:rsidR="00626D90" w:rsidRDefault="00626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DC50" w14:textId="77777777" w:rsidR="00C24208" w:rsidRDefault="00C24208" w:rsidP="008352D3">
    <w:pPr>
      <w:pStyle w:val="Footer"/>
      <w:jc w:val="right"/>
      <w:rPr>
        <w:rFonts w:ascii="Verdana" w:hAnsi="Verdana"/>
        <w:sz w:val="16"/>
        <w:szCs w:val="16"/>
      </w:rPr>
    </w:pPr>
  </w:p>
  <w:p w14:paraId="601DB9AF" w14:textId="77777777" w:rsidR="00C24208" w:rsidRDefault="00C24208" w:rsidP="008352D3">
    <w:pPr>
      <w:pStyle w:val="Footer"/>
      <w:jc w:val="right"/>
      <w:rPr>
        <w:rFonts w:ascii="Verdana" w:hAnsi="Verdana"/>
        <w:sz w:val="16"/>
        <w:szCs w:val="16"/>
      </w:rPr>
    </w:pPr>
  </w:p>
  <w:p w14:paraId="6F69597F" w14:textId="1D576B7B" w:rsidR="00C24208" w:rsidRPr="001B0746" w:rsidRDefault="00C24208"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Pr>
        <w:rStyle w:val="PageNumber"/>
        <w:rFonts w:ascii="Verdana" w:hAnsi="Verdana"/>
        <w:noProof/>
        <w:sz w:val="16"/>
        <w:szCs w:val="16"/>
      </w:rPr>
      <w:t>2</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Pr>
        <w:rStyle w:val="PageNumber"/>
        <w:rFonts w:ascii="Verdana" w:hAnsi="Verdana"/>
        <w:noProof/>
        <w:sz w:val="16"/>
        <w:szCs w:val="16"/>
      </w:rPr>
      <w:t>93</w:t>
    </w:r>
    <w:r w:rsidRPr="001B0746">
      <w:rPr>
        <w:rStyle w:val="PageNumber"/>
        <w:rFonts w:ascii="Verdana" w:hAnsi="Verdana"/>
        <w:sz w:val="16"/>
        <w:szCs w:val="16"/>
      </w:rPr>
      <w:fldChar w:fldCharType="end"/>
    </w:r>
  </w:p>
  <w:p w14:paraId="379B3EB2" w14:textId="77777777" w:rsidR="00C24208" w:rsidRPr="001B0746" w:rsidRDefault="00C24208" w:rsidP="008352D3">
    <w:pPr>
      <w:pStyle w:val="Footer"/>
      <w:ind w:right="360"/>
      <w:jc w:val="right"/>
      <w:rPr>
        <w:rFonts w:ascii="Verdana" w:hAnsi="Verdana"/>
        <w:sz w:val="16"/>
        <w:szCs w:val="16"/>
      </w:rPr>
    </w:pPr>
  </w:p>
  <w:p w14:paraId="59C0F952" w14:textId="77777777" w:rsidR="00C24208" w:rsidRDefault="00C24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C6F07" w14:textId="77777777" w:rsidR="009A6297" w:rsidRDefault="009A6297" w:rsidP="003937A5">
      <w:pPr>
        <w:spacing w:before="0"/>
      </w:pPr>
      <w:r>
        <w:separator/>
      </w:r>
    </w:p>
  </w:footnote>
  <w:footnote w:type="continuationSeparator" w:id="0">
    <w:p w14:paraId="22AE7EC1" w14:textId="77777777" w:rsidR="009A6297" w:rsidRDefault="009A6297" w:rsidP="003937A5">
      <w:pPr>
        <w:spacing w:before="0"/>
      </w:pPr>
      <w:r>
        <w:continuationSeparator/>
      </w:r>
    </w:p>
  </w:footnote>
  <w:footnote w:type="continuationNotice" w:id="1">
    <w:p w14:paraId="3A66DB0D" w14:textId="77777777" w:rsidR="009A6297" w:rsidRDefault="009A6297">
      <w:pPr>
        <w:spacing w:before="0"/>
      </w:pPr>
    </w:p>
  </w:footnote>
  <w:footnote w:id="2">
    <w:p w14:paraId="69DB7528" w14:textId="77777777" w:rsidR="00626D90" w:rsidRPr="00B34BBD" w:rsidRDefault="00626D90" w:rsidP="00626D90">
      <w:pPr>
        <w:pStyle w:val="FootnoteText"/>
        <w:rPr>
          <w:lang w:val="en-US"/>
        </w:rPr>
      </w:pPr>
      <w:r>
        <w:rPr>
          <w:rStyle w:val="FootnoteReference"/>
        </w:rPr>
        <w:footnoteRef/>
      </w:r>
      <w:r>
        <w:t xml:space="preserve"> Fourth edition of series, refer </w:t>
      </w:r>
      <w:r>
        <w:rPr>
          <w:lang w:val="en-US"/>
        </w:rPr>
        <w:t xml:space="preserve">CHF 2019 </w:t>
      </w:r>
      <w:r w:rsidRPr="00324551">
        <w:rPr>
          <w:lang w:val="en-US"/>
        </w:rPr>
        <w:t>Cold Hard Facts 2019 – Key Developments and Emerging Trends in the Refrigeration and Air Conditioning Industry in Australia</w:t>
      </w:r>
      <w:r>
        <w:rPr>
          <w:lang w:val="en-US"/>
        </w:rPr>
        <w:t xml:space="preserve">, </w:t>
      </w:r>
      <w:r w:rsidRPr="00324551">
        <w:rPr>
          <w:lang w:val="en-US"/>
        </w:rPr>
        <w:t>https://www.environment.gov.au/protection/ozone/publications/cold-hard-facts-2019</w:t>
      </w:r>
    </w:p>
  </w:footnote>
  <w:footnote w:id="3">
    <w:p w14:paraId="232A8043" w14:textId="77777777" w:rsidR="00626D90" w:rsidRPr="00E73854" w:rsidRDefault="00626D90" w:rsidP="00626D90">
      <w:pPr>
        <w:pStyle w:val="FootnoteText"/>
        <w:rPr>
          <w:lang w:val="en-US"/>
        </w:rPr>
      </w:pPr>
      <w:r>
        <w:rPr>
          <w:rStyle w:val="FootnoteReference"/>
        </w:rPr>
        <w:footnoteRef/>
      </w:r>
      <w:r>
        <w:t xml:space="preserve"> 5206.0 Australian National Accounts: National Income, Expenditure and Product, Table 3. Expenditure on Gross Domestic Product (GDP), Current prices, Australian Bureau of Statistics, March 2020.</w:t>
      </w:r>
    </w:p>
  </w:footnote>
  <w:footnote w:id="4">
    <w:p w14:paraId="30874011" w14:textId="77777777" w:rsidR="00626D90" w:rsidRPr="00BD7B72" w:rsidRDefault="00626D90" w:rsidP="00626D90">
      <w:pPr>
        <w:pStyle w:val="FootnoteText"/>
      </w:pPr>
      <w:r>
        <w:rPr>
          <w:rStyle w:val="FootnoteReference"/>
        </w:rPr>
        <w:footnoteRef/>
      </w:r>
      <w:r>
        <w:t xml:space="preserve"> Electricity generated in 2019 was 265,117 GWh, up 1.5% on 2018, Australian Energy Statistics, </w:t>
      </w:r>
      <w:r w:rsidRPr="00BD7B72">
        <w:t>Department of Industry, Science, Energy and Resources</w:t>
      </w:r>
      <w:r>
        <w:t>, May 2020.</w:t>
      </w:r>
    </w:p>
  </w:footnote>
  <w:footnote w:id="5">
    <w:p w14:paraId="4FB188B8" w14:textId="77777777" w:rsidR="00626D90" w:rsidRPr="006977E7" w:rsidRDefault="00626D90" w:rsidP="00626D90">
      <w:pPr>
        <w:pStyle w:val="FootnoteText"/>
        <w:rPr>
          <w:lang w:val="en-US"/>
        </w:rPr>
      </w:pPr>
      <w:r>
        <w:rPr>
          <w:rStyle w:val="FootnoteReference"/>
        </w:rPr>
        <w:footnoteRef/>
      </w:r>
      <w:r>
        <w:t xml:space="preserve"> </w:t>
      </w:r>
      <w:hyperlink r:id="rId1" w:history="1">
        <w:r>
          <w:rPr>
            <w:rStyle w:val="Hyperlink"/>
          </w:rPr>
          <w:t>https://www.industry.gov.au/data-and-publications/national-greenhouse-gas-inventory-september-2019</w:t>
        </w:r>
      </w:hyperlink>
    </w:p>
  </w:footnote>
  <w:footnote w:id="6">
    <w:p w14:paraId="68D6CBB0" w14:textId="77777777" w:rsidR="00626D90" w:rsidRPr="00792120" w:rsidRDefault="00626D90" w:rsidP="00626D90">
      <w:pPr>
        <w:pStyle w:val="FootnoteText"/>
        <w:rPr>
          <w:lang w:val="en-AU"/>
        </w:rPr>
      </w:pPr>
      <w:r>
        <w:rPr>
          <w:rStyle w:val="FootnoteReference"/>
        </w:rPr>
        <w:footnoteRef/>
      </w:r>
      <w:r>
        <w:t xml:space="preserve"> </w:t>
      </w:r>
      <w:r>
        <w:rPr>
          <w:lang w:val="en-AU"/>
        </w:rPr>
        <w:t>Bulk import of HFCs in 2019 was 3,310 tonnes.</w:t>
      </w:r>
    </w:p>
  </w:footnote>
  <w:footnote w:id="7">
    <w:p w14:paraId="13511EC5" w14:textId="77777777" w:rsidR="00626D90" w:rsidRPr="00DB59D9" w:rsidRDefault="00626D90" w:rsidP="00626D90">
      <w:pPr>
        <w:pStyle w:val="FootnoteText"/>
        <w:rPr>
          <w:lang w:val="en-AU"/>
        </w:rPr>
      </w:pPr>
      <w:r>
        <w:rPr>
          <w:rStyle w:val="FootnoteReference"/>
        </w:rPr>
        <w:footnoteRef/>
      </w:r>
      <w:r>
        <w:t xml:space="preserve"> </w:t>
      </w:r>
      <w:r>
        <w:rPr>
          <w:lang w:val="en-AU"/>
        </w:rPr>
        <w:t>This estimate treats all HFC-32 refrigerant in stock or installed as part of the refrigerant bank.</w:t>
      </w:r>
    </w:p>
  </w:footnote>
  <w:footnote w:id="8">
    <w:p w14:paraId="2A161A66" w14:textId="77777777" w:rsidR="00626D90" w:rsidRPr="00FE5DEF" w:rsidRDefault="00626D90" w:rsidP="00626D90">
      <w:pPr>
        <w:pStyle w:val="FootnoteText"/>
        <w:rPr>
          <w:lang w:val="en-AU"/>
        </w:rPr>
      </w:pPr>
      <w:r>
        <w:rPr>
          <w:rStyle w:val="FootnoteReference"/>
        </w:rPr>
        <w:footnoteRef/>
      </w:r>
      <w:r>
        <w:t xml:space="preserve"> </w:t>
      </w:r>
      <w:r w:rsidRPr="0053153C">
        <w:t>AS/NZS 60335.2.89:2020</w:t>
      </w:r>
      <w:r>
        <w:t xml:space="preserve">, </w:t>
      </w:r>
      <w:r w:rsidRPr="0053153C">
        <w:t xml:space="preserve">Household and similar electrical appliances - Safety, Part 2.89: Particular requirements for commercial refrigerating appliances and </w:t>
      </w:r>
      <w:r w:rsidRPr="0053153C">
        <w:t>ice-makers with an incorporated or remote refrigerant unit or motor-compressor</w:t>
      </w:r>
      <w:r>
        <w:t xml:space="preserve"> (supersedes </w:t>
      </w:r>
      <w:r w:rsidRPr="00855134">
        <w:t>AS/NZS 60335.2.89:</w:t>
      </w:r>
      <w:r>
        <w:t xml:space="preserve"> </w:t>
      </w:r>
      <w:r w:rsidRPr="00855134">
        <w:t>2010</w:t>
      </w:r>
      <w:r>
        <w:t>).</w:t>
      </w:r>
    </w:p>
  </w:footnote>
  <w:footnote w:id="9">
    <w:p w14:paraId="2CFF82B0" w14:textId="77777777" w:rsidR="00626D90" w:rsidRPr="00C56020" w:rsidRDefault="00626D90" w:rsidP="00626D90">
      <w:pPr>
        <w:pStyle w:val="FootnoteText"/>
        <w:rPr>
          <w:lang w:val="en-AU"/>
        </w:rPr>
      </w:pPr>
      <w:r>
        <w:rPr>
          <w:rStyle w:val="FootnoteReference"/>
        </w:rPr>
        <w:footnoteRef/>
      </w:r>
      <w:r>
        <w:t xml:space="preserve"> </w:t>
      </w:r>
      <w:r w:rsidRPr="00C56020">
        <w:t>https://www.environment.gov.au/protection/ozone/publications/waste-study-cold-food-chain-improvement-opportunities</w:t>
      </w:r>
    </w:p>
  </w:footnote>
  <w:footnote w:id="10">
    <w:p w14:paraId="6145664A" w14:textId="77777777" w:rsidR="00626D90" w:rsidRPr="007E3E14" w:rsidRDefault="00626D90" w:rsidP="00626D90">
      <w:pPr>
        <w:pStyle w:val="FootnoteText"/>
        <w:rPr>
          <w:rFonts w:cstheme="majorHAnsi"/>
          <w:szCs w:val="18"/>
        </w:rPr>
      </w:pPr>
      <w:r w:rsidRPr="007E3E14">
        <w:rPr>
          <w:rStyle w:val="FootnoteReference"/>
          <w:rFonts w:cstheme="majorHAnsi"/>
          <w:sz w:val="18"/>
          <w:szCs w:val="18"/>
        </w:rPr>
        <w:footnoteRef/>
      </w:r>
      <w:r w:rsidRPr="007E3E14">
        <w:rPr>
          <w:rFonts w:cstheme="majorHAnsi"/>
          <w:szCs w:val="18"/>
        </w:rPr>
        <w:t xml:space="preserve"> For further clarification on refrigerant properties, classifications and potential for replacement refer to ‘AS/NZS ISO 817: 2016 Refrigerants - Designation and safety classification’; ‘AS/NZS: 2016 (ISO 5149-1:2014, MOD) Refrigerating systems and heat pumps - Safety and environmental requirements’; and ‘IEC 60335-2-89, Household and similar electrical appliances – Safety’.</w:t>
      </w:r>
    </w:p>
  </w:footnote>
  <w:footnote w:id="11">
    <w:p w14:paraId="3E72023E" w14:textId="77777777" w:rsidR="00626D90" w:rsidRPr="007E3E14" w:rsidRDefault="00626D90" w:rsidP="00626D90">
      <w:pPr>
        <w:pStyle w:val="FootnoteText"/>
        <w:rPr>
          <w:szCs w:val="18"/>
          <w:lang w:val="en-US"/>
        </w:rPr>
      </w:pPr>
      <w:r w:rsidRPr="007E3E14">
        <w:rPr>
          <w:rStyle w:val="FootnoteReference"/>
          <w:sz w:val="18"/>
          <w:szCs w:val="18"/>
        </w:rPr>
        <w:footnoteRef/>
      </w:r>
      <w:r w:rsidRPr="007E3E14">
        <w:rPr>
          <w:szCs w:val="18"/>
        </w:rPr>
        <w:t xml:space="preserve"> </w:t>
      </w:r>
      <w:r w:rsidRPr="007E3E14">
        <w:rPr>
          <w:rFonts w:cs="Times New Roman"/>
          <w:szCs w:val="18"/>
          <w:lang w:val="en-US"/>
        </w:rPr>
        <w:t>IPCC Assessment Report 5</w:t>
      </w:r>
      <w:r>
        <w:rPr>
          <w:rFonts w:cs="Times New Roman"/>
          <w:szCs w:val="18"/>
          <w:lang w:val="en-US"/>
        </w:rPr>
        <w:t>.</w:t>
      </w:r>
    </w:p>
  </w:footnote>
  <w:footnote w:id="12">
    <w:p w14:paraId="36CCEACD" w14:textId="77777777" w:rsidR="00626D90" w:rsidRPr="007E3E14" w:rsidRDefault="00626D90" w:rsidP="00626D90">
      <w:pPr>
        <w:pStyle w:val="ListBullet"/>
        <w:numPr>
          <w:ilvl w:val="0"/>
          <w:numId w:val="0"/>
        </w:numPr>
        <w:spacing w:before="0"/>
        <w:contextualSpacing w:val="0"/>
        <w:rPr>
          <w:rFonts w:asciiTheme="majorHAnsi" w:hAnsiTheme="majorHAnsi" w:cstheme="majorHAnsi"/>
          <w:i/>
          <w:sz w:val="18"/>
          <w:szCs w:val="18"/>
        </w:rPr>
      </w:pPr>
      <w:r w:rsidRPr="007E3E14">
        <w:rPr>
          <w:rStyle w:val="FootnoteReference"/>
          <w:rFonts w:cstheme="majorHAnsi"/>
          <w:i/>
          <w:iCs/>
          <w:sz w:val="18"/>
          <w:szCs w:val="18"/>
        </w:rPr>
        <w:footnoteRef/>
      </w:r>
      <w:r w:rsidRPr="007E3E14">
        <w:rPr>
          <w:rFonts w:asciiTheme="majorHAnsi" w:hAnsiTheme="majorHAnsi" w:cstheme="majorHAnsi"/>
          <w:i/>
          <w:iCs/>
          <w:sz w:val="18"/>
          <w:szCs w:val="18"/>
        </w:rPr>
        <w:t xml:space="preserve"> </w:t>
      </w:r>
      <w:r w:rsidRPr="007E3E14">
        <w:rPr>
          <w:rFonts w:asciiTheme="majorHAnsi" w:hAnsiTheme="majorHAnsi" w:cstheme="majorHAnsi"/>
          <w:i/>
          <w:sz w:val="18"/>
          <w:szCs w:val="18"/>
        </w:rPr>
        <w:t>HFOs are not defined as controlled substances under the Ozone Protection and Synthetic Greenhouse Gas Management Act 1989, and therefore are not reportable in the same way that HFCs and HCFCs are at the point of importation. Future data on HFOs in the bank may not be available with the same accuracy that the Department of Agriculture, Water and the Environment data on imports of HFCs and HCFCs currently allows (</w:t>
      </w:r>
      <w:r w:rsidRPr="007E3E14">
        <w:rPr>
          <w:rFonts w:asciiTheme="majorHAnsi" w:hAnsiTheme="majorHAnsi" w:cstheme="majorHAnsi"/>
          <w:i/>
          <w:sz w:val="18"/>
          <w:szCs w:val="18"/>
        </w:rPr>
        <w:t>i.e. pre-charged equipment data).</w:t>
      </w:r>
    </w:p>
  </w:footnote>
  <w:footnote w:id="13">
    <w:p w14:paraId="6E5891FD" w14:textId="77777777" w:rsidR="00626D90" w:rsidRPr="00487FC1" w:rsidRDefault="00626D90" w:rsidP="00626D90">
      <w:pPr>
        <w:pStyle w:val="FootnoteText"/>
        <w:rPr>
          <w:lang w:val="en-US"/>
        </w:rPr>
      </w:pPr>
      <w:r>
        <w:rPr>
          <w:rStyle w:val="FootnoteReference"/>
        </w:rPr>
        <w:footnoteRef/>
      </w:r>
      <w:r>
        <w:t xml:space="preserve"> </w:t>
      </w:r>
      <w:hyperlink r:id="rId2" w:history="1">
        <w:r>
          <w:rPr>
            <w:rStyle w:val="Hyperlink"/>
          </w:rPr>
          <w:t>https://www.fcai.com.au/news/index/view/news/600</w:t>
        </w:r>
      </w:hyperlink>
    </w:p>
  </w:footnote>
  <w:footnote w:id="14">
    <w:p w14:paraId="56E576BE" w14:textId="77777777" w:rsidR="00626D90" w:rsidRPr="009C65CD" w:rsidRDefault="00626D90" w:rsidP="00626D90">
      <w:pPr>
        <w:pStyle w:val="FootnoteText"/>
        <w:rPr>
          <w:lang w:val="en-AU"/>
        </w:rPr>
      </w:pPr>
      <w:r>
        <w:rPr>
          <w:rStyle w:val="FootnoteReference"/>
        </w:rPr>
        <w:footnoteRef/>
      </w:r>
      <w:r>
        <w:t xml:space="preserve"> </w:t>
      </w:r>
      <w:r>
        <w:rPr>
          <w:lang w:val="en-AU"/>
        </w:rPr>
        <w:t>Based on pre-charged equipment imported until the end of 2019 calendar year.</w:t>
      </w:r>
    </w:p>
  </w:footnote>
  <w:footnote w:id="15">
    <w:p w14:paraId="3C093D27" w14:textId="77777777" w:rsidR="00626D90" w:rsidRPr="00FE5DEF" w:rsidRDefault="00626D90" w:rsidP="00626D90">
      <w:pPr>
        <w:pStyle w:val="FootnoteText"/>
        <w:rPr>
          <w:lang w:val="en-AU"/>
        </w:rPr>
      </w:pPr>
      <w:r>
        <w:rPr>
          <w:rStyle w:val="FootnoteReference"/>
        </w:rPr>
        <w:footnoteRef/>
      </w:r>
      <w:r>
        <w:t xml:space="preserve"> </w:t>
      </w:r>
      <w:r>
        <w:rPr>
          <w:lang w:val="en-AU"/>
        </w:rPr>
        <w:t xml:space="preserve">R514A is a blend of 74.7% HFO-1336mzz and 25.3% </w:t>
      </w:r>
      <w:r w:rsidRPr="00072D9D">
        <w:rPr>
          <w:lang w:val="en-AU"/>
        </w:rPr>
        <w:t>trans-Dichloroethylene</w:t>
      </w:r>
      <w:r>
        <w:rPr>
          <w:lang w:val="en-AU"/>
        </w:rPr>
        <w:t>.</w:t>
      </w:r>
    </w:p>
  </w:footnote>
  <w:footnote w:id="16">
    <w:p w14:paraId="497BCABF" w14:textId="77777777" w:rsidR="00626D90" w:rsidRPr="00C270A8" w:rsidRDefault="00626D90" w:rsidP="00626D90">
      <w:pPr>
        <w:pStyle w:val="FootnoteText"/>
        <w:rPr>
          <w:i w:val="0"/>
          <w:szCs w:val="18"/>
          <w:lang w:val="en-US"/>
        </w:rPr>
      </w:pPr>
      <w:r w:rsidRPr="008E1312">
        <w:rPr>
          <w:rStyle w:val="FootnoteReference"/>
        </w:rPr>
        <w:footnoteRef/>
      </w:r>
      <w:r w:rsidRPr="008E1312">
        <w:t xml:space="preserve"> </w:t>
      </w:r>
      <w:r w:rsidRPr="008E1312">
        <w:rPr>
          <w:szCs w:val="18"/>
          <w:lang w:val="en-AU"/>
        </w:rPr>
        <w:t>Based on actual refrigerant charge sizes.</w:t>
      </w:r>
    </w:p>
  </w:footnote>
  <w:footnote w:id="17">
    <w:p w14:paraId="2D1DE977" w14:textId="77777777" w:rsidR="00626D90" w:rsidRPr="005E3B56" w:rsidRDefault="00626D90" w:rsidP="00626D90">
      <w:pPr>
        <w:pStyle w:val="FootnoteText"/>
        <w:rPr>
          <w:lang w:val="en-AU"/>
        </w:rPr>
      </w:pPr>
      <w:r>
        <w:rPr>
          <w:rStyle w:val="FootnoteReference"/>
        </w:rPr>
        <w:footnoteRef/>
      </w:r>
      <w:r>
        <w:t xml:space="preserve"> </w:t>
      </w:r>
      <w:r w:rsidRPr="005E3B56">
        <w:t>www.energyrating.gov.au</w:t>
      </w:r>
    </w:p>
  </w:footnote>
  <w:footnote w:id="18">
    <w:p w14:paraId="6F92392B" w14:textId="77777777" w:rsidR="00626D90" w:rsidRPr="009E762A" w:rsidRDefault="00626D90" w:rsidP="00626D90">
      <w:pPr>
        <w:spacing w:before="0"/>
        <w:rPr>
          <w:rFonts w:asciiTheme="majorHAnsi" w:hAnsiTheme="majorHAnsi" w:cstheme="majorHAnsi"/>
          <w:i/>
          <w:iCs/>
          <w:sz w:val="18"/>
          <w:szCs w:val="18"/>
        </w:rPr>
      </w:pPr>
      <w:r w:rsidRPr="009E762A">
        <w:rPr>
          <w:rStyle w:val="FootnoteReference"/>
          <w:i/>
          <w:iCs/>
        </w:rPr>
        <w:footnoteRef/>
      </w:r>
      <w:r>
        <w:t xml:space="preserve"> </w:t>
      </w:r>
      <w:r w:rsidRPr="009E762A">
        <w:rPr>
          <w:rFonts w:asciiTheme="majorHAnsi" w:hAnsiTheme="majorHAnsi" w:cstheme="majorHAnsi"/>
          <w:i/>
          <w:iCs/>
          <w:sz w:val="18"/>
          <w:szCs w:val="18"/>
        </w:rPr>
        <w:t>In March 2019 the Federal Energy Minister signed a new Determination for air conditioners under the Greenhouse and Energy Minimum Standards (GEMS) Act 2012. Specific changes include applying MEPS to single duct portable air conditioners, increasing MEPS for air conditioners with a capacity greater than 65 kW, reducing MEPS for double duct portable air conditioners, and adopting the Seasonal Energy Efficiency Ratio (SEER) standard for rating air conditioner energy efficiency on the energy rating label.</w:t>
      </w:r>
    </w:p>
  </w:footnote>
  <w:footnote w:id="19">
    <w:p w14:paraId="57A816A3" w14:textId="77777777" w:rsidR="00626D90" w:rsidRPr="007F3EA8" w:rsidRDefault="00626D90" w:rsidP="00626D90">
      <w:pPr>
        <w:pStyle w:val="FootnoteText"/>
        <w:rPr>
          <w:lang w:val="en-US"/>
        </w:rPr>
      </w:pPr>
      <w:r>
        <w:rPr>
          <w:rStyle w:val="FootnoteReference"/>
        </w:rPr>
        <w:footnoteRef/>
      </w:r>
      <w:r>
        <w:t xml:space="preserve"> </w:t>
      </w:r>
      <w:r w:rsidRPr="007F3EA8">
        <w:t>List of licen</w:t>
      </w:r>
      <w:r>
        <w:t>c</w:t>
      </w:r>
      <w:r w:rsidRPr="007F3EA8">
        <w:t>es and exemptions granted under the Ozone Protection and Synthetic Greenhouse Gas Management Act 1989, issued February 2012</w:t>
      </w:r>
      <w:r>
        <w:t xml:space="preserve"> and March 2020</w:t>
      </w:r>
      <w:r w:rsidRPr="007F3EA8">
        <w:t>.</w:t>
      </w:r>
      <w:r>
        <w:t xml:space="preserve"> There are other entities including the Department of Agriculture, Water and the Environment that have an essential use licence and four entities that have a used substance licence.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BD53" w14:textId="77777777" w:rsidR="00626D90" w:rsidRDefault="00626D90" w:rsidP="008352D3">
    <w:pPr>
      <w:pStyle w:val="Header"/>
      <w:shd w:val="clear" w:color="auto" w:fill="D9D9D9"/>
    </w:pPr>
  </w:p>
  <w:p w14:paraId="6265FF5A" w14:textId="77777777" w:rsidR="00626D90" w:rsidRDefault="00626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C7DD" w14:textId="77777777" w:rsidR="00C24208" w:rsidRDefault="00C24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633A" w14:textId="77777777" w:rsidR="00C24208" w:rsidRDefault="00C24208" w:rsidP="00B61B6F">
    <w:pPr>
      <w:pStyle w:val="Header"/>
      <w:shd w:val="clear" w:color="auto" w:fill="D9D9D9"/>
    </w:pPr>
  </w:p>
  <w:p w14:paraId="48677AB7" w14:textId="77777777" w:rsidR="00C24208" w:rsidRDefault="00C2420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B726" w14:textId="77777777" w:rsidR="00C24208" w:rsidRDefault="00C24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F40A9"/>
    <w:multiLevelType w:val="hybridMultilevel"/>
    <w:tmpl w:val="C57CB4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6F47FCD"/>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5A79E8"/>
    <w:multiLevelType w:val="hybridMultilevel"/>
    <w:tmpl w:val="FD845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844412"/>
    <w:multiLevelType w:val="hybridMultilevel"/>
    <w:tmpl w:val="159EA99E"/>
    <w:lvl w:ilvl="0" w:tplc="8CF8AECA">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1B91"/>
    <w:multiLevelType w:val="multilevel"/>
    <w:tmpl w:val="CAA833B8"/>
    <w:numStyleLink w:val="111111"/>
  </w:abstractNum>
  <w:abstractNum w:abstractNumId="7" w15:restartNumberingAfterBreak="0">
    <w:nsid w:val="13333126"/>
    <w:multiLevelType w:val="hybridMultilevel"/>
    <w:tmpl w:val="6254A1C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E21D1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B83A03"/>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ED1B4D"/>
    <w:multiLevelType w:val="hybridMultilevel"/>
    <w:tmpl w:val="3BF0CA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2F18A7"/>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885E5C"/>
    <w:multiLevelType w:val="hybridMultilevel"/>
    <w:tmpl w:val="D668F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1C696A"/>
    <w:multiLevelType w:val="hybridMultilevel"/>
    <w:tmpl w:val="86C22C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E37F3D"/>
    <w:multiLevelType w:val="hybridMultilevel"/>
    <w:tmpl w:val="445623F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5B6150"/>
    <w:multiLevelType w:val="hybridMultilevel"/>
    <w:tmpl w:val="1D7A44B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34438A"/>
    <w:multiLevelType w:val="hybridMultilevel"/>
    <w:tmpl w:val="25D6F1CC"/>
    <w:lvl w:ilvl="0" w:tplc="CC50D09A">
      <w:start w:val="1"/>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9F5937"/>
    <w:multiLevelType w:val="hybridMultilevel"/>
    <w:tmpl w:val="B53420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96698C"/>
    <w:multiLevelType w:val="hybridMultilevel"/>
    <w:tmpl w:val="CFCEAFF8"/>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524EF4"/>
    <w:multiLevelType w:val="hybridMultilevel"/>
    <w:tmpl w:val="D668F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2A37F1"/>
    <w:multiLevelType w:val="hybridMultilevel"/>
    <w:tmpl w:val="9566143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2025EA"/>
    <w:multiLevelType w:val="hybridMultilevel"/>
    <w:tmpl w:val="7B72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632C68"/>
    <w:multiLevelType w:val="hybridMultilevel"/>
    <w:tmpl w:val="9A703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0C03CA"/>
    <w:multiLevelType w:val="hybridMultilevel"/>
    <w:tmpl w:val="0122E050"/>
    <w:lvl w:ilvl="0" w:tplc="E842D452">
      <w:start w:val="1"/>
      <w:numFmt w:val="decimal"/>
      <w:lvlText w:val="%1."/>
      <w:lvlJc w:val="left"/>
      <w:pPr>
        <w:ind w:left="36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AF541E"/>
    <w:multiLevelType w:val="hybridMultilevel"/>
    <w:tmpl w:val="B7163BF4"/>
    <w:lvl w:ilvl="0" w:tplc="7A72EA0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190B2C"/>
    <w:multiLevelType w:val="hybridMultilevel"/>
    <w:tmpl w:val="92C0708E"/>
    <w:lvl w:ilvl="0" w:tplc="1FC29BE2">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1D4A0B"/>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A179B6"/>
    <w:multiLevelType w:val="hybridMultilevel"/>
    <w:tmpl w:val="5052D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5356A6"/>
    <w:multiLevelType w:val="hybridMultilevel"/>
    <w:tmpl w:val="B5785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C20039"/>
    <w:multiLevelType w:val="hybridMultilevel"/>
    <w:tmpl w:val="52A6208C"/>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D42DE2"/>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811507C"/>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132853"/>
    <w:multiLevelType w:val="hybridMultilevel"/>
    <w:tmpl w:val="5052D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8A6F0E"/>
    <w:multiLevelType w:val="multilevel"/>
    <w:tmpl w:val="A26E0594"/>
    <w:lvl w:ilvl="0">
      <w:start w:val="1"/>
      <w:numFmt w:val="decimal"/>
      <w:lvlText w:val="%1."/>
      <w:lvlJc w:val="left"/>
      <w:pPr>
        <w:ind w:left="360" w:hanging="360"/>
      </w:pPr>
      <w:rPr>
        <w:rFonts w:ascii="Times New Roman" w:hAnsi="Times New Roman"/>
        <w:b w:val="0"/>
        <w:sz w:val="2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EC57AC2"/>
    <w:multiLevelType w:val="hybridMultilevel"/>
    <w:tmpl w:val="63982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E51D66"/>
    <w:multiLevelType w:val="hybridMultilevel"/>
    <w:tmpl w:val="1EB21C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A832F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117380"/>
    <w:multiLevelType w:val="hybridMultilevel"/>
    <w:tmpl w:val="8088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7618DB"/>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9216396"/>
    <w:multiLevelType w:val="hybridMultilevel"/>
    <w:tmpl w:val="89D42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DC328BB"/>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A37FB7"/>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2D1BB3"/>
    <w:multiLevelType w:val="hybridMultilevel"/>
    <w:tmpl w:val="A2FE928E"/>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2A02954"/>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8E00339"/>
    <w:multiLevelType w:val="hybridMultilevel"/>
    <w:tmpl w:val="89702F8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016470"/>
    <w:multiLevelType w:val="hybridMultilevel"/>
    <w:tmpl w:val="E3C8F7D6"/>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6B6D51"/>
    <w:multiLevelType w:val="hybridMultilevel"/>
    <w:tmpl w:val="1554AE3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8B0137"/>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E6C3C6D"/>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F3866BA"/>
    <w:multiLevelType w:val="hybridMultilevel"/>
    <w:tmpl w:val="94F0562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4"/>
  </w:num>
  <w:num w:numId="4">
    <w:abstractNumId w:val="6"/>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abstractNumId w:val="9"/>
  </w:num>
  <w:num w:numId="6">
    <w:abstractNumId w:val="14"/>
  </w:num>
  <w:num w:numId="7">
    <w:abstractNumId w:val="39"/>
  </w:num>
  <w:num w:numId="8">
    <w:abstractNumId w:val="27"/>
  </w:num>
  <w:num w:numId="9">
    <w:abstractNumId w:val="4"/>
  </w:num>
  <w:num w:numId="10">
    <w:abstractNumId w:val="5"/>
  </w:num>
  <w:num w:numId="11">
    <w:abstractNumId w:val="48"/>
  </w:num>
  <w:num w:numId="12">
    <w:abstractNumId w:val="43"/>
  </w:num>
  <w:num w:numId="13">
    <w:abstractNumId w:val="29"/>
  </w:num>
  <w:num w:numId="14">
    <w:abstractNumId w:val="15"/>
  </w:num>
  <w:num w:numId="15">
    <w:abstractNumId w:val="47"/>
  </w:num>
  <w:num w:numId="16">
    <w:abstractNumId w:val="8"/>
  </w:num>
  <w:num w:numId="17">
    <w:abstractNumId w:val="42"/>
  </w:num>
  <w:num w:numId="18">
    <w:abstractNumId w:val="41"/>
  </w:num>
  <w:num w:numId="19">
    <w:abstractNumId w:val="18"/>
  </w:num>
  <w:num w:numId="20">
    <w:abstractNumId w:val="1"/>
  </w:num>
  <w:num w:numId="21">
    <w:abstractNumId w:val="36"/>
  </w:num>
  <w:num w:numId="22">
    <w:abstractNumId w:val="19"/>
  </w:num>
  <w:num w:numId="23">
    <w:abstractNumId w:val="12"/>
  </w:num>
  <w:num w:numId="24">
    <w:abstractNumId w:val="13"/>
  </w:num>
  <w:num w:numId="25">
    <w:abstractNumId w:val="46"/>
  </w:num>
  <w:num w:numId="26">
    <w:abstractNumId w:val="35"/>
  </w:num>
  <w:num w:numId="27">
    <w:abstractNumId w:val="21"/>
  </w:num>
  <w:num w:numId="28">
    <w:abstractNumId w:val="40"/>
  </w:num>
  <w:num w:numId="29">
    <w:abstractNumId w:val="20"/>
  </w:num>
  <w:num w:numId="30">
    <w:abstractNumId w:val="22"/>
  </w:num>
  <w:num w:numId="31">
    <w:abstractNumId w:val="37"/>
  </w:num>
  <w:num w:numId="32">
    <w:abstractNumId w:val="50"/>
  </w:num>
  <w:num w:numId="33">
    <w:abstractNumId w:val="33"/>
  </w:num>
  <w:num w:numId="34">
    <w:abstractNumId w:val="30"/>
  </w:num>
  <w:num w:numId="35">
    <w:abstractNumId w:val="49"/>
  </w:num>
  <w:num w:numId="36">
    <w:abstractNumId w:val="24"/>
  </w:num>
  <w:num w:numId="37">
    <w:abstractNumId w:val="3"/>
  </w:num>
  <w:num w:numId="38">
    <w:abstractNumId w:val="26"/>
  </w:num>
  <w:num w:numId="39">
    <w:abstractNumId w:val="44"/>
  </w:num>
  <w:num w:numId="40">
    <w:abstractNumId w:val="11"/>
  </w:num>
  <w:num w:numId="41">
    <w:abstractNumId w:val="28"/>
  </w:num>
  <w:num w:numId="42">
    <w:abstractNumId w:val="7"/>
  </w:num>
  <w:num w:numId="43">
    <w:abstractNumId w:val="16"/>
  </w:num>
  <w:num w:numId="44">
    <w:abstractNumId w:val="25"/>
  </w:num>
  <w:num w:numId="45">
    <w:abstractNumId w:val="38"/>
  </w:num>
  <w:num w:numId="46">
    <w:abstractNumId w:val="31"/>
  </w:num>
  <w:num w:numId="47">
    <w:abstractNumId w:val="10"/>
  </w:num>
  <w:num w:numId="48">
    <w:abstractNumId w:val="2"/>
  </w:num>
  <w:num w:numId="49">
    <w:abstractNumId w:val="2"/>
  </w:num>
  <w:num w:numId="50">
    <w:abstractNumId w:val="2"/>
  </w:num>
  <w:num w:numId="51">
    <w:abstractNumId w:val="23"/>
  </w:num>
  <w:num w:numId="52">
    <w:abstractNumId w:val="17"/>
  </w:num>
  <w:num w:numId="53">
    <w:abstractNumId w:val="45"/>
  </w:num>
  <w:num w:numId="54">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99"/>
    <w:rsid w:val="00000874"/>
    <w:rsid w:val="000009C1"/>
    <w:rsid w:val="00001AAC"/>
    <w:rsid w:val="00001E16"/>
    <w:rsid w:val="00001FEC"/>
    <w:rsid w:val="00002102"/>
    <w:rsid w:val="00003600"/>
    <w:rsid w:val="00003790"/>
    <w:rsid w:val="000045FC"/>
    <w:rsid w:val="000047CA"/>
    <w:rsid w:val="0000485D"/>
    <w:rsid w:val="00004D81"/>
    <w:rsid w:val="0000529B"/>
    <w:rsid w:val="000052E6"/>
    <w:rsid w:val="00005756"/>
    <w:rsid w:val="000057CF"/>
    <w:rsid w:val="0000582A"/>
    <w:rsid w:val="00005F1B"/>
    <w:rsid w:val="00006767"/>
    <w:rsid w:val="00006891"/>
    <w:rsid w:val="0000702D"/>
    <w:rsid w:val="000073EB"/>
    <w:rsid w:val="00007B55"/>
    <w:rsid w:val="00010031"/>
    <w:rsid w:val="000103BC"/>
    <w:rsid w:val="0001097F"/>
    <w:rsid w:val="00010F6D"/>
    <w:rsid w:val="0001184F"/>
    <w:rsid w:val="00011BE5"/>
    <w:rsid w:val="00012549"/>
    <w:rsid w:val="00012BE6"/>
    <w:rsid w:val="00012C3F"/>
    <w:rsid w:val="00012CDA"/>
    <w:rsid w:val="00012EB2"/>
    <w:rsid w:val="00013304"/>
    <w:rsid w:val="00013C38"/>
    <w:rsid w:val="00013DF4"/>
    <w:rsid w:val="00013DFC"/>
    <w:rsid w:val="00013FF3"/>
    <w:rsid w:val="00014231"/>
    <w:rsid w:val="000145C6"/>
    <w:rsid w:val="00014C14"/>
    <w:rsid w:val="00014D67"/>
    <w:rsid w:val="00014D84"/>
    <w:rsid w:val="00014DE0"/>
    <w:rsid w:val="00015307"/>
    <w:rsid w:val="00015B46"/>
    <w:rsid w:val="00015C04"/>
    <w:rsid w:val="00015E06"/>
    <w:rsid w:val="00016F48"/>
    <w:rsid w:val="000171ED"/>
    <w:rsid w:val="00017244"/>
    <w:rsid w:val="00017310"/>
    <w:rsid w:val="00017396"/>
    <w:rsid w:val="000177C1"/>
    <w:rsid w:val="000177C7"/>
    <w:rsid w:val="00017BD7"/>
    <w:rsid w:val="00020DC3"/>
    <w:rsid w:val="00020F25"/>
    <w:rsid w:val="0002173B"/>
    <w:rsid w:val="00021BB8"/>
    <w:rsid w:val="000224DB"/>
    <w:rsid w:val="0002259F"/>
    <w:rsid w:val="0002268F"/>
    <w:rsid w:val="000226CB"/>
    <w:rsid w:val="00022721"/>
    <w:rsid w:val="000228C7"/>
    <w:rsid w:val="000228ED"/>
    <w:rsid w:val="000235A1"/>
    <w:rsid w:val="0002408B"/>
    <w:rsid w:val="0002490E"/>
    <w:rsid w:val="00024B57"/>
    <w:rsid w:val="00024CF0"/>
    <w:rsid w:val="00024F0C"/>
    <w:rsid w:val="00024FAA"/>
    <w:rsid w:val="000252CD"/>
    <w:rsid w:val="0002575C"/>
    <w:rsid w:val="0002591A"/>
    <w:rsid w:val="0002672B"/>
    <w:rsid w:val="00026E4D"/>
    <w:rsid w:val="00027A98"/>
    <w:rsid w:val="000300D8"/>
    <w:rsid w:val="0003053B"/>
    <w:rsid w:val="00030841"/>
    <w:rsid w:val="00030B28"/>
    <w:rsid w:val="000310F6"/>
    <w:rsid w:val="000313A4"/>
    <w:rsid w:val="000315D7"/>
    <w:rsid w:val="00032313"/>
    <w:rsid w:val="00032A83"/>
    <w:rsid w:val="00032F0E"/>
    <w:rsid w:val="000331C1"/>
    <w:rsid w:val="00033249"/>
    <w:rsid w:val="0003395D"/>
    <w:rsid w:val="000339E3"/>
    <w:rsid w:val="00033BDF"/>
    <w:rsid w:val="00033C12"/>
    <w:rsid w:val="00033D4C"/>
    <w:rsid w:val="000340C1"/>
    <w:rsid w:val="000341A2"/>
    <w:rsid w:val="000342FA"/>
    <w:rsid w:val="00034698"/>
    <w:rsid w:val="00034CC6"/>
    <w:rsid w:val="00034D1E"/>
    <w:rsid w:val="00034FD9"/>
    <w:rsid w:val="00035865"/>
    <w:rsid w:val="00035A13"/>
    <w:rsid w:val="00036829"/>
    <w:rsid w:val="00036DCB"/>
    <w:rsid w:val="00036F8F"/>
    <w:rsid w:val="00037311"/>
    <w:rsid w:val="00037436"/>
    <w:rsid w:val="0003781F"/>
    <w:rsid w:val="00037CD6"/>
    <w:rsid w:val="000406D7"/>
    <w:rsid w:val="000407D6"/>
    <w:rsid w:val="000408AF"/>
    <w:rsid w:val="00040FC9"/>
    <w:rsid w:val="00041327"/>
    <w:rsid w:val="00041A97"/>
    <w:rsid w:val="00041B83"/>
    <w:rsid w:val="00041BDB"/>
    <w:rsid w:val="00041EF4"/>
    <w:rsid w:val="0004239D"/>
    <w:rsid w:val="00042443"/>
    <w:rsid w:val="000425DE"/>
    <w:rsid w:val="00042727"/>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63"/>
    <w:rsid w:val="00045488"/>
    <w:rsid w:val="0004554F"/>
    <w:rsid w:val="00045599"/>
    <w:rsid w:val="000456C5"/>
    <w:rsid w:val="00045B67"/>
    <w:rsid w:val="00045F0E"/>
    <w:rsid w:val="000461E2"/>
    <w:rsid w:val="00046887"/>
    <w:rsid w:val="00047359"/>
    <w:rsid w:val="00047821"/>
    <w:rsid w:val="00047DC3"/>
    <w:rsid w:val="00050148"/>
    <w:rsid w:val="0005033E"/>
    <w:rsid w:val="00050452"/>
    <w:rsid w:val="000508BB"/>
    <w:rsid w:val="00051199"/>
    <w:rsid w:val="0005141D"/>
    <w:rsid w:val="00051510"/>
    <w:rsid w:val="0005209B"/>
    <w:rsid w:val="00052262"/>
    <w:rsid w:val="000523D4"/>
    <w:rsid w:val="00052486"/>
    <w:rsid w:val="00052FAC"/>
    <w:rsid w:val="000532B3"/>
    <w:rsid w:val="00053AC7"/>
    <w:rsid w:val="00053B8F"/>
    <w:rsid w:val="00054492"/>
    <w:rsid w:val="000552B4"/>
    <w:rsid w:val="00055424"/>
    <w:rsid w:val="0005583C"/>
    <w:rsid w:val="000559ED"/>
    <w:rsid w:val="00055EAF"/>
    <w:rsid w:val="0005675F"/>
    <w:rsid w:val="000569E7"/>
    <w:rsid w:val="00056ABF"/>
    <w:rsid w:val="00056B1E"/>
    <w:rsid w:val="00060792"/>
    <w:rsid w:val="000609F9"/>
    <w:rsid w:val="0006102A"/>
    <w:rsid w:val="000610C5"/>
    <w:rsid w:val="00061116"/>
    <w:rsid w:val="000615C2"/>
    <w:rsid w:val="0006197A"/>
    <w:rsid w:val="000628FF"/>
    <w:rsid w:val="000629A0"/>
    <w:rsid w:val="000629F8"/>
    <w:rsid w:val="00062B56"/>
    <w:rsid w:val="0006309A"/>
    <w:rsid w:val="0006334F"/>
    <w:rsid w:val="000638FC"/>
    <w:rsid w:val="00063C04"/>
    <w:rsid w:val="00063CC6"/>
    <w:rsid w:val="00063F12"/>
    <w:rsid w:val="00063F46"/>
    <w:rsid w:val="00064943"/>
    <w:rsid w:val="00064A86"/>
    <w:rsid w:val="00065170"/>
    <w:rsid w:val="00065330"/>
    <w:rsid w:val="000657BB"/>
    <w:rsid w:val="00066351"/>
    <w:rsid w:val="000665BF"/>
    <w:rsid w:val="000665E1"/>
    <w:rsid w:val="0006668C"/>
    <w:rsid w:val="00066997"/>
    <w:rsid w:val="00066BB7"/>
    <w:rsid w:val="00066CDA"/>
    <w:rsid w:val="00066E49"/>
    <w:rsid w:val="0006755E"/>
    <w:rsid w:val="0006760D"/>
    <w:rsid w:val="00067730"/>
    <w:rsid w:val="000678B4"/>
    <w:rsid w:val="000707EA"/>
    <w:rsid w:val="00070B1C"/>
    <w:rsid w:val="00070B76"/>
    <w:rsid w:val="00071098"/>
    <w:rsid w:val="000713EC"/>
    <w:rsid w:val="000714CD"/>
    <w:rsid w:val="000716A4"/>
    <w:rsid w:val="000716D6"/>
    <w:rsid w:val="00071A33"/>
    <w:rsid w:val="00071AA2"/>
    <w:rsid w:val="00072166"/>
    <w:rsid w:val="000724EB"/>
    <w:rsid w:val="00072AE8"/>
    <w:rsid w:val="0007306E"/>
    <w:rsid w:val="00073691"/>
    <w:rsid w:val="00074002"/>
    <w:rsid w:val="00074645"/>
    <w:rsid w:val="00075036"/>
    <w:rsid w:val="000750E6"/>
    <w:rsid w:val="000763BA"/>
    <w:rsid w:val="000763CF"/>
    <w:rsid w:val="000766C5"/>
    <w:rsid w:val="0007691F"/>
    <w:rsid w:val="00076DAF"/>
    <w:rsid w:val="00077097"/>
    <w:rsid w:val="000770E1"/>
    <w:rsid w:val="000771FD"/>
    <w:rsid w:val="00077B65"/>
    <w:rsid w:val="000806C3"/>
    <w:rsid w:val="0008071F"/>
    <w:rsid w:val="00080783"/>
    <w:rsid w:val="000817D6"/>
    <w:rsid w:val="00081A67"/>
    <w:rsid w:val="00081B34"/>
    <w:rsid w:val="00082519"/>
    <w:rsid w:val="0008278E"/>
    <w:rsid w:val="00082C2C"/>
    <w:rsid w:val="00082CAF"/>
    <w:rsid w:val="000830D7"/>
    <w:rsid w:val="00083417"/>
    <w:rsid w:val="00083B82"/>
    <w:rsid w:val="0008419D"/>
    <w:rsid w:val="0008469F"/>
    <w:rsid w:val="00084858"/>
    <w:rsid w:val="00084AAB"/>
    <w:rsid w:val="00085E0C"/>
    <w:rsid w:val="00086635"/>
    <w:rsid w:val="00086E08"/>
    <w:rsid w:val="00086E95"/>
    <w:rsid w:val="00087352"/>
    <w:rsid w:val="000879C9"/>
    <w:rsid w:val="00087BAB"/>
    <w:rsid w:val="000900C0"/>
    <w:rsid w:val="00090303"/>
    <w:rsid w:val="00090466"/>
    <w:rsid w:val="00090B50"/>
    <w:rsid w:val="00090CEC"/>
    <w:rsid w:val="0009148C"/>
    <w:rsid w:val="00091594"/>
    <w:rsid w:val="00091697"/>
    <w:rsid w:val="00091F50"/>
    <w:rsid w:val="0009230F"/>
    <w:rsid w:val="000923C6"/>
    <w:rsid w:val="00092C0F"/>
    <w:rsid w:val="00093339"/>
    <w:rsid w:val="00093992"/>
    <w:rsid w:val="000942C8"/>
    <w:rsid w:val="00094ECF"/>
    <w:rsid w:val="00094FE8"/>
    <w:rsid w:val="000951E5"/>
    <w:rsid w:val="000952F3"/>
    <w:rsid w:val="00095382"/>
    <w:rsid w:val="00095E91"/>
    <w:rsid w:val="00095EB8"/>
    <w:rsid w:val="000964C0"/>
    <w:rsid w:val="000968D5"/>
    <w:rsid w:val="00096B49"/>
    <w:rsid w:val="00096EAF"/>
    <w:rsid w:val="00096FA1"/>
    <w:rsid w:val="000972C0"/>
    <w:rsid w:val="00097430"/>
    <w:rsid w:val="000974DA"/>
    <w:rsid w:val="000977CA"/>
    <w:rsid w:val="00097E38"/>
    <w:rsid w:val="00097F38"/>
    <w:rsid w:val="000A030F"/>
    <w:rsid w:val="000A076A"/>
    <w:rsid w:val="000A08F0"/>
    <w:rsid w:val="000A0B6F"/>
    <w:rsid w:val="000A1186"/>
    <w:rsid w:val="000A141F"/>
    <w:rsid w:val="000A1B37"/>
    <w:rsid w:val="000A21D3"/>
    <w:rsid w:val="000A234C"/>
    <w:rsid w:val="000A341E"/>
    <w:rsid w:val="000A34F7"/>
    <w:rsid w:val="000A35B4"/>
    <w:rsid w:val="000A36FA"/>
    <w:rsid w:val="000A3EE8"/>
    <w:rsid w:val="000A41ED"/>
    <w:rsid w:val="000A4B55"/>
    <w:rsid w:val="000A533E"/>
    <w:rsid w:val="000A5DF7"/>
    <w:rsid w:val="000A62D9"/>
    <w:rsid w:val="000A63B2"/>
    <w:rsid w:val="000A68D9"/>
    <w:rsid w:val="000A6D25"/>
    <w:rsid w:val="000A6F18"/>
    <w:rsid w:val="000A6FDD"/>
    <w:rsid w:val="000A70C4"/>
    <w:rsid w:val="000A70D0"/>
    <w:rsid w:val="000A7B72"/>
    <w:rsid w:val="000B0456"/>
    <w:rsid w:val="000B0924"/>
    <w:rsid w:val="000B09BB"/>
    <w:rsid w:val="000B0DBC"/>
    <w:rsid w:val="000B0F96"/>
    <w:rsid w:val="000B1B6D"/>
    <w:rsid w:val="000B1D73"/>
    <w:rsid w:val="000B2361"/>
    <w:rsid w:val="000B24C6"/>
    <w:rsid w:val="000B268D"/>
    <w:rsid w:val="000B319E"/>
    <w:rsid w:val="000B3E52"/>
    <w:rsid w:val="000B4385"/>
    <w:rsid w:val="000B4DE9"/>
    <w:rsid w:val="000B51E8"/>
    <w:rsid w:val="000B5588"/>
    <w:rsid w:val="000B590F"/>
    <w:rsid w:val="000B5B4E"/>
    <w:rsid w:val="000B5D38"/>
    <w:rsid w:val="000B6359"/>
    <w:rsid w:val="000B6423"/>
    <w:rsid w:val="000B6598"/>
    <w:rsid w:val="000B6AAD"/>
    <w:rsid w:val="000B6E58"/>
    <w:rsid w:val="000B6E5B"/>
    <w:rsid w:val="000B70A5"/>
    <w:rsid w:val="000B7377"/>
    <w:rsid w:val="000B76E6"/>
    <w:rsid w:val="000B7B65"/>
    <w:rsid w:val="000B7E5E"/>
    <w:rsid w:val="000C04D6"/>
    <w:rsid w:val="000C0BE3"/>
    <w:rsid w:val="000C0D65"/>
    <w:rsid w:val="000C126F"/>
    <w:rsid w:val="000C141D"/>
    <w:rsid w:val="000C1487"/>
    <w:rsid w:val="000C1E5E"/>
    <w:rsid w:val="000C24C3"/>
    <w:rsid w:val="000C2D34"/>
    <w:rsid w:val="000C2D59"/>
    <w:rsid w:val="000C325A"/>
    <w:rsid w:val="000C32FF"/>
    <w:rsid w:val="000C33AD"/>
    <w:rsid w:val="000C35EE"/>
    <w:rsid w:val="000C3A0B"/>
    <w:rsid w:val="000C4787"/>
    <w:rsid w:val="000C4A16"/>
    <w:rsid w:val="000C51CF"/>
    <w:rsid w:val="000C5531"/>
    <w:rsid w:val="000C5568"/>
    <w:rsid w:val="000C5965"/>
    <w:rsid w:val="000C62AA"/>
    <w:rsid w:val="000C68E3"/>
    <w:rsid w:val="000C72D8"/>
    <w:rsid w:val="000C7E34"/>
    <w:rsid w:val="000D01C4"/>
    <w:rsid w:val="000D04F4"/>
    <w:rsid w:val="000D06AC"/>
    <w:rsid w:val="000D0721"/>
    <w:rsid w:val="000D0928"/>
    <w:rsid w:val="000D0CD1"/>
    <w:rsid w:val="000D1186"/>
    <w:rsid w:val="000D1321"/>
    <w:rsid w:val="000D1420"/>
    <w:rsid w:val="000D1BE9"/>
    <w:rsid w:val="000D1C76"/>
    <w:rsid w:val="000D1CDB"/>
    <w:rsid w:val="000D1FF7"/>
    <w:rsid w:val="000D38F4"/>
    <w:rsid w:val="000D3FC9"/>
    <w:rsid w:val="000D4220"/>
    <w:rsid w:val="000D44FA"/>
    <w:rsid w:val="000D4941"/>
    <w:rsid w:val="000D49A9"/>
    <w:rsid w:val="000D4B44"/>
    <w:rsid w:val="000D529D"/>
    <w:rsid w:val="000D52D5"/>
    <w:rsid w:val="000D5486"/>
    <w:rsid w:val="000D5AB0"/>
    <w:rsid w:val="000D5BA7"/>
    <w:rsid w:val="000D5DFB"/>
    <w:rsid w:val="000D5FE2"/>
    <w:rsid w:val="000D6254"/>
    <w:rsid w:val="000D6288"/>
    <w:rsid w:val="000D63C3"/>
    <w:rsid w:val="000D691B"/>
    <w:rsid w:val="000D6A26"/>
    <w:rsid w:val="000D7398"/>
    <w:rsid w:val="000D75BE"/>
    <w:rsid w:val="000D75F5"/>
    <w:rsid w:val="000D77E4"/>
    <w:rsid w:val="000D7BA0"/>
    <w:rsid w:val="000D7BE0"/>
    <w:rsid w:val="000D7D0D"/>
    <w:rsid w:val="000E0294"/>
    <w:rsid w:val="000E033B"/>
    <w:rsid w:val="000E0404"/>
    <w:rsid w:val="000E0408"/>
    <w:rsid w:val="000E0AEC"/>
    <w:rsid w:val="000E1286"/>
    <w:rsid w:val="000E218F"/>
    <w:rsid w:val="000E3673"/>
    <w:rsid w:val="000E41C8"/>
    <w:rsid w:val="000E48AD"/>
    <w:rsid w:val="000E4C6A"/>
    <w:rsid w:val="000E5148"/>
    <w:rsid w:val="000E5451"/>
    <w:rsid w:val="000E577B"/>
    <w:rsid w:val="000E6077"/>
    <w:rsid w:val="000E61CD"/>
    <w:rsid w:val="000E6628"/>
    <w:rsid w:val="000E6707"/>
    <w:rsid w:val="000E6A8E"/>
    <w:rsid w:val="000E6A93"/>
    <w:rsid w:val="000E6AAF"/>
    <w:rsid w:val="000E6CB1"/>
    <w:rsid w:val="000E71CA"/>
    <w:rsid w:val="000E73E1"/>
    <w:rsid w:val="000E7FA1"/>
    <w:rsid w:val="000F08D0"/>
    <w:rsid w:val="000F0A7B"/>
    <w:rsid w:val="000F1262"/>
    <w:rsid w:val="000F1511"/>
    <w:rsid w:val="000F19E8"/>
    <w:rsid w:val="000F1E05"/>
    <w:rsid w:val="000F24EB"/>
    <w:rsid w:val="000F2890"/>
    <w:rsid w:val="000F2BBC"/>
    <w:rsid w:val="000F2FBE"/>
    <w:rsid w:val="000F2FE9"/>
    <w:rsid w:val="000F3103"/>
    <w:rsid w:val="000F3EF7"/>
    <w:rsid w:val="000F49AE"/>
    <w:rsid w:val="000F5291"/>
    <w:rsid w:val="000F56C0"/>
    <w:rsid w:val="000F59D5"/>
    <w:rsid w:val="000F5C49"/>
    <w:rsid w:val="000F5DAC"/>
    <w:rsid w:val="000F6657"/>
    <w:rsid w:val="000F69E0"/>
    <w:rsid w:val="000F6CD8"/>
    <w:rsid w:val="000F7373"/>
    <w:rsid w:val="000F7A90"/>
    <w:rsid w:val="000F7E3E"/>
    <w:rsid w:val="000F7EFB"/>
    <w:rsid w:val="000F7FAE"/>
    <w:rsid w:val="001005DB"/>
    <w:rsid w:val="001008A0"/>
    <w:rsid w:val="00100988"/>
    <w:rsid w:val="00100CBD"/>
    <w:rsid w:val="00100D3A"/>
    <w:rsid w:val="00100E4D"/>
    <w:rsid w:val="00100FA9"/>
    <w:rsid w:val="001013B8"/>
    <w:rsid w:val="00101777"/>
    <w:rsid w:val="00101D84"/>
    <w:rsid w:val="00102651"/>
    <w:rsid w:val="00102AB2"/>
    <w:rsid w:val="00103376"/>
    <w:rsid w:val="001034AB"/>
    <w:rsid w:val="001039E2"/>
    <w:rsid w:val="00103A4A"/>
    <w:rsid w:val="0010457D"/>
    <w:rsid w:val="001045AC"/>
    <w:rsid w:val="00104C69"/>
    <w:rsid w:val="0010504F"/>
    <w:rsid w:val="00105361"/>
    <w:rsid w:val="00105702"/>
    <w:rsid w:val="0010582C"/>
    <w:rsid w:val="001064B4"/>
    <w:rsid w:val="00107447"/>
    <w:rsid w:val="0010757B"/>
    <w:rsid w:val="001079AD"/>
    <w:rsid w:val="00107A47"/>
    <w:rsid w:val="00107B8B"/>
    <w:rsid w:val="00110088"/>
    <w:rsid w:val="00110111"/>
    <w:rsid w:val="001102A7"/>
    <w:rsid w:val="00110769"/>
    <w:rsid w:val="001107EE"/>
    <w:rsid w:val="00110F07"/>
    <w:rsid w:val="00111AD6"/>
    <w:rsid w:val="00112373"/>
    <w:rsid w:val="00112637"/>
    <w:rsid w:val="001129DF"/>
    <w:rsid w:val="00112AE0"/>
    <w:rsid w:val="00112F63"/>
    <w:rsid w:val="00113B48"/>
    <w:rsid w:val="00114144"/>
    <w:rsid w:val="00114173"/>
    <w:rsid w:val="00114402"/>
    <w:rsid w:val="00114447"/>
    <w:rsid w:val="00114831"/>
    <w:rsid w:val="001149C1"/>
    <w:rsid w:val="00114CA6"/>
    <w:rsid w:val="00115A2A"/>
    <w:rsid w:val="00116557"/>
    <w:rsid w:val="0011693C"/>
    <w:rsid w:val="00116A01"/>
    <w:rsid w:val="00116C44"/>
    <w:rsid w:val="00117375"/>
    <w:rsid w:val="0011784B"/>
    <w:rsid w:val="00120688"/>
    <w:rsid w:val="00120CBA"/>
    <w:rsid w:val="00120F05"/>
    <w:rsid w:val="00121D49"/>
    <w:rsid w:val="00122CE2"/>
    <w:rsid w:val="001230F9"/>
    <w:rsid w:val="00123484"/>
    <w:rsid w:val="001238E1"/>
    <w:rsid w:val="001243E3"/>
    <w:rsid w:val="001247DC"/>
    <w:rsid w:val="001248B9"/>
    <w:rsid w:val="00124A9C"/>
    <w:rsid w:val="00125034"/>
    <w:rsid w:val="001250DA"/>
    <w:rsid w:val="001254AB"/>
    <w:rsid w:val="00125BFF"/>
    <w:rsid w:val="00125D51"/>
    <w:rsid w:val="00125ED0"/>
    <w:rsid w:val="0012620B"/>
    <w:rsid w:val="00126227"/>
    <w:rsid w:val="001265D2"/>
    <w:rsid w:val="00126D69"/>
    <w:rsid w:val="0012737E"/>
    <w:rsid w:val="00127ECE"/>
    <w:rsid w:val="0013036A"/>
    <w:rsid w:val="00130702"/>
    <w:rsid w:val="001314F8"/>
    <w:rsid w:val="001314FB"/>
    <w:rsid w:val="001321C2"/>
    <w:rsid w:val="00132B79"/>
    <w:rsid w:val="001330F8"/>
    <w:rsid w:val="00133D12"/>
    <w:rsid w:val="001343DE"/>
    <w:rsid w:val="001347B8"/>
    <w:rsid w:val="00134890"/>
    <w:rsid w:val="00135E24"/>
    <w:rsid w:val="001361E8"/>
    <w:rsid w:val="00136426"/>
    <w:rsid w:val="0013680B"/>
    <w:rsid w:val="00136C52"/>
    <w:rsid w:val="00136ECF"/>
    <w:rsid w:val="00137013"/>
    <w:rsid w:val="00137039"/>
    <w:rsid w:val="00137905"/>
    <w:rsid w:val="00137AE8"/>
    <w:rsid w:val="00137B35"/>
    <w:rsid w:val="00137B70"/>
    <w:rsid w:val="00137D1A"/>
    <w:rsid w:val="00137F3D"/>
    <w:rsid w:val="00137FEE"/>
    <w:rsid w:val="001402F6"/>
    <w:rsid w:val="00140F2C"/>
    <w:rsid w:val="0014118A"/>
    <w:rsid w:val="00141C4A"/>
    <w:rsid w:val="00141CE1"/>
    <w:rsid w:val="001429A9"/>
    <w:rsid w:val="0014367F"/>
    <w:rsid w:val="00143A01"/>
    <w:rsid w:val="00144050"/>
    <w:rsid w:val="0014496E"/>
    <w:rsid w:val="00144ADA"/>
    <w:rsid w:val="00144BD6"/>
    <w:rsid w:val="00144BF8"/>
    <w:rsid w:val="0014510E"/>
    <w:rsid w:val="001459B6"/>
    <w:rsid w:val="00145E68"/>
    <w:rsid w:val="001460E8"/>
    <w:rsid w:val="00146954"/>
    <w:rsid w:val="00146E93"/>
    <w:rsid w:val="001470CB"/>
    <w:rsid w:val="0014717B"/>
    <w:rsid w:val="00147DED"/>
    <w:rsid w:val="001502DB"/>
    <w:rsid w:val="0015116A"/>
    <w:rsid w:val="001515E6"/>
    <w:rsid w:val="00151738"/>
    <w:rsid w:val="00151F6F"/>
    <w:rsid w:val="00152907"/>
    <w:rsid w:val="00152BA4"/>
    <w:rsid w:val="00152D37"/>
    <w:rsid w:val="00152F88"/>
    <w:rsid w:val="0015317E"/>
    <w:rsid w:val="0015321D"/>
    <w:rsid w:val="001535E1"/>
    <w:rsid w:val="001542C6"/>
    <w:rsid w:val="00154992"/>
    <w:rsid w:val="00155127"/>
    <w:rsid w:val="00155270"/>
    <w:rsid w:val="00155636"/>
    <w:rsid w:val="00155B77"/>
    <w:rsid w:val="00156299"/>
    <w:rsid w:val="0015658F"/>
    <w:rsid w:val="001568EF"/>
    <w:rsid w:val="001569C9"/>
    <w:rsid w:val="00156E8D"/>
    <w:rsid w:val="00156F16"/>
    <w:rsid w:val="0015708A"/>
    <w:rsid w:val="001570A5"/>
    <w:rsid w:val="00157263"/>
    <w:rsid w:val="001573D9"/>
    <w:rsid w:val="0015746B"/>
    <w:rsid w:val="00157886"/>
    <w:rsid w:val="00157C3B"/>
    <w:rsid w:val="00157D55"/>
    <w:rsid w:val="00157DFD"/>
    <w:rsid w:val="001601C5"/>
    <w:rsid w:val="001602F7"/>
    <w:rsid w:val="001607C3"/>
    <w:rsid w:val="00160D68"/>
    <w:rsid w:val="00161A3C"/>
    <w:rsid w:val="00161C43"/>
    <w:rsid w:val="0016221F"/>
    <w:rsid w:val="00162A3F"/>
    <w:rsid w:val="00162DF2"/>
    <w:rsid w:val="00163AEC"/>
    <w:rsid w:val="00163FAB"/>
    <w:rsid w:val="00163FF9"/>
    <w:rsid w:val="0016411D"/>
    <w:rsid w:val="001643A1"/>
    <w:rsid w:val="00164592"/>
    <w:rsid w:val="00164672"/>
    <w:rsid w:val="00164739"/>
    <w:rsid w:val="00164992"/>
    <w:rsid w:val="00164A15"/>
    <w:rsid w:val="00164DBA"/>
    <w:rsid w:val="00165034"/>
    <w:rsid w:val="00165C0A"/>
    <w:rsid w:val="0016625C"/>
    <w:rsid w:val="00166698"/>
    <w:rsid w:val="001666A2"/>
    <w:rsid w:val="0016721C"/>
    <w:rsid w:val="001672F5"/>
    <w:rsid w:val="0016778B"/>
    <w:rsid w:val="0016779B"/>
    <w:rsid w:val="0017032F"/>
    <w:rsid w:val="0017046D"/>
    <w:rsid w:val="001708BC"/>
    <w:rsid w:val="00171878"/>
    <w:rsid w:val="00171B14"/>
    <w:rsid w:val="001729AF"/>
    <w:rsid w:val="00172CC7"/>
    <w:rsid w:val="00172EEA"/>
    <w:rsid w:val="00172FD1"/>
    <w:rsid w:val="0017318A"/>
    <w:rsid w:val="00173947"/>
    <w:rsid w:val="00173E25"/>
    <w:rsid w:val="0017423B"/>
    <w:rsid w:val="001744ED"/>
    <w:rsid w:val="001755DB"/>
    <w:rsid w:val="0017594D"/>
    <w:rsid w:val="00175A3A"/>
    <w:rsid w:val="0017603E"/>
    <w:rsid w:val="001760A4"/>
    <w:rsid w:val="001761A1"/>
    <w:rsid w:val="0017629F"/>
    <w:rsid w:val="00176B29"/>
    <w:rsid w:val="00176E4E"/>
    <w:rsid w:val="00176F4F"/>
    <w:rsid w:val="00176FD3"/>
    <w:rsid w:val="00177234"/>
    <w:rsid w:val="0017735B"/>
    <w:rsid w:val="00177560"/>
    <w:rsid w:val="00177606"/>
    <w:rsid w:val="00180A02"/>
    <w:rsid w:val="001810D0"/>
    <w:rsid w:val="0018279A"/>
    <w:rsid w:val="001828C0"/>
    <w:rsid w:val="00182B5D"/>
    <w:rsid w:val="00182E46"/>
    <w:rsid w:val="00183AE9"/>
    <w:rsid w:val="001840DE"/>
    <w:rsid w:val="00184603"/>
    <w:rsid w:val="001853DE"/>
    <w:rsid w:val="001857B2"/>
    <w:rsid w:val="00185B73"/>
    <w:rsid w:val="001865A3"/>
    <w:rsid w:val="00186844"/>
    <w:rsid w:val="0018688F"/>
    <w:rsid w:val="00186F78"/>
    <w:rsid w:val="0018719D"/>
    <w:rsid w:val="001871CE"/>
    <w:rsid w:val="0019019F"/>
    <w:rsid w:val="0019063E"/>
    <w:rsid w:val="00190720"/>
    <w:rsid w:val="0019092A"/>
    <w:rsid w:val="00191965"/>
    <w:rsid w:val="00191D19"/>
    <w:rsid w:val="00191E13"/>
    <w:rsid w:val="00192108"/>
    <w:rsid w:val="001934CD"/>
    <w:rsid w:val="00193828"/>
    <w:rsid w:val="00193BD0"/>
    <w:rsid w:val="00193D1E"/>
    <w:rsid w:val="00193D9B"/>
    <w:rsid w:val="00193DB7"/>
    <w:rsid w:val="00194C08"/>
    <w:rsid w:val="00195217"/>
    <w:rsid w:val="00195455"/>
    <w:rsid w:val="00195784"/>
    <w:rsid w:val="00195886"/>
    <w:rsid w:val="00195F1C"/>
    <w:rsid w:val="001963D0"/>
    <w:rsid w:val="00196929"/>
    <w:rsid w:val="00196A48"/>
    <w:rsid w:val="00197CD1"/>
    <w:rsid w:val="00197F26"/>
    <w:rsid w:val="001A02C4"/>
    <w:rsid w:val="001A10A9"/>
    <w:rsid w:val="001A10E2"/>
    <w:rsid w:val="001A1192"/>
    <w:rsid w:val="001A11A1"/>
    <w:rsid w:val="001A12FD"/>
    <w:rsid w:val="001A19CD"/>
    <w:rsid w:val="001A237C"/>
    <w:rsid w:val="001A2405"/>
    <w:rsid w:val="001A3258"/>
    <w:rsid w:val="001A38D7"/>
    <w:rsid w:val="001A3BE5"/>
    <w:rsid w:val="001A3F64"/>
    <w:rsid w:val="001A3FDE"/>
    <w:rsid w:val="001A4814"/>
    <w:rsid w:val="001A4C9D"/>
    <w:rsid w:val="001A4DA2"/>
    <w:rsid w:val="001A4FB4"/>
    <w:rsid w:val="001A53DC"/>
    <w:rsid w:val="001A5550"/>
    <w:rsid w:val="001A57A5"/>
    <w:rsid w:val="001A5814"/>
    <w:rsid w:val="001A5DDE"/>
    <w:rsid w:val="001A5F15"/>
    <w:rsid w:val="001A62F0"/>
    <w:rsid w:val="001A64A9"/>
    <w:rsid w:val="001A64D3"/>
    <w:rsid w:val="001A6737"/>
    <w:rsid w:val="001A68A7"/>
    <w:rsid w:val="001A6EE0"/>
    <w:rsid w:val="001A6FC2"/>
    <w:rsid w:val="001A7896"/>
    <w:rsid w:val="001A7965"/>
    <w:rsid w:val="001A7FD4"/>
    <w:rsid w:val="001B0A95"/>
    <w:rsid w:val="001B0EF1"/>
    <w:rsid w:val="001B112A"/>
    <w:rsid w:val="001B1547"/>
    <w:rsid w:val="001B1563"/>
    <w:rsid w:val="001B1A4A"/>
    <w:rsid w:val="001B1D7C"/>
    <w:rsid w:val="001B21B9"/>
    <w:rsid w:val="001B2302"/>
    <w:rsid w:val="001B2762"/>
    <w:rsid w:val="001B29E9"/>
    <w:rsid w:val="001B2D63"/>
    <w:rsid w:val="001B2EDA"/>
    <w:rsid w:val="001B300E"/>
    <w:rsid w:val="001B3362"/>
    <w:rsid w:val="001B3B5C"/>
    <w:rsid w:val="001B3CDF"/>
    <w:rsid w:val="001B3CFA"/>
    <w:rsid w:val="001B41E1"/>
    <w:rsid w:val="001B4619"/>
    <w:rsid w:val="001B4E3E"/>
    <w:rsid w:val="001B4F59"/>
    <w:rsid w:val="001B501F"/>
    <w:rsid w:val="001B544A"/>
    <w:rsid w:val="001B55BB"/>
    <w:rsid w:val="001B5CE0"/>
    <w:rsid w:val="001B5FB7"/>
    <w:rsid w:val="001B6FCA"/>
    <w:rsid w:val="001B73B4"/>
    <w:rsid w:val="001B7687"/>
    <w:rsid w:val="001B78C4"/>
    <w:rsid w:val="001B7915"/>
    <w:rsid w:val="001B797E"/>
    <w:rsid w:val="001B7CB6"/>
    <w:rsid w:val="001C0124"/>
    <w:rsid w:val="001C03E6"/>
    <w:rsid w:val="001C0429"/>
    <w:rsid w:val="001C066C"/>
    <w:rsid w:val="001C0CEE"/>
    <w:rsid w:val="001C0FCC"/>
    <w:rsid w:val="001C1118"/>
    <w:rsid w:val="001C13A2"/>
    <w:rsid w:val="001C1679"/>
    <w:rsid w:val="001C1CF2"/>
    <w:rsid w:val="001C2086"/>
    <w:rsid w:val="001C25BB"/>
    <w:rsid w:val="001C331C"/>
    <w:rsid w:val="001C3335"/>
    <w:rsid w:val="001C37B7"/>
    <w:rsid w:val="001C3823"/>
    <w:rsid w:val="001C391C"/>
    <w:rsid w:val="001C3D3F"/>
    <w:rsid w:val="001C3D4D"/>
    <w:rsid w:val="001C40C8"/>
    <w:rsid w:val="001C4288"/>
    <w:rsid w:val="001C4347"/>
    <w:rsid w:val="001C44B0"/>
    <w:rsid w:val="001C4D25"/>
    <w:rsid w:val="001C4E28"/>
    <w:rsid w:val="001C52C3"/>
    <w:rsid w:val="001C52E7"/>
    <w:rsid w:val="001C539F"/>
    <w:rsid w:val="001C5B35"/>
    <w:rsid w:val="001C6134"/>
    <w:rsid w:val="001C6255"/>
    <w:rsid w:val="001C6364"/>
    <w:rsid w:val="001C6486"/>
    <w:rsid w:val="001C66F6"/>
    <w:rsid w:val="001C6BA9"/>
    <w:rsid w:val="001C6DD0"/>
    <w:rsid w:val="001C6DDD"/>
    <w:rsid w:val="001C7650"/>
    <w:rsid w:val="001C7867"/>
    <w:rsid w:val="001C7B87"/>
    <w:rsid w:val="001D027C"/>
    <w:rsid w:val="001D0BAE"/>
    <w:rsid w:val="001D0DA3"/>
    <w:rsid w:val="001D0F15"/>
    <w:rsid w:val="001D118D"/>
    <w:rsid w:val="001D1518"/>
    <w:rsid w:val="001D1562"/>
    <w:rsid w:val="001D1740"/>
    <w:rsid w:val="001D1768"/>
    <w:rsid w:val="001D1AEF"/>
    <w:rsid w:val="001D21D8"/>
    <w:rsid w:val="001D23FC"/>
    <w:rsid w:val="001D255E"/>
    <w:rsid w:val="001D3150"/>
    <w:rsid w:val="001D33D8"/>
    <w:rsid w:val="001D3DD5"/>
    <w:rsid w:val="001D4398"/>
    <w:rsid w:val="001D447D"/>
    <w:rsid w:val="001D4D37"/>
    <w:rsid w:val="001D5246"/>
    <w:rsid w:val="001D55DC"/>
    <w:rsid w:val="001D5B2F"/>
    <w:rsid w:val="001D668E"/>
    <w:rsid w:val="001D6A05"/>
    <w:rsid w:val="001D6D59"/>
    <w:rsid w:val="001D7052"/>
    <w:rsid w:val="001D70F4"/>
    <w:rsid w:val="001D76FC"/>
    <w:rsid w:val="001D79BB"/>
    <w:rsid w:val="001D7F27"/>
    <w:rsid w:val="001D7F45"/>
    <w:rsid w:val="001E0218"/>
    <w:rsid w:val="001E08B9"/>
    <w:rsid w:val="001E0FEE"/>
    <w:rsid w:val="001E126D"/>
    <w:rsid w:val="001E15FA"/>
    <w:rsid w:val="001E198A"/>
    <w:rsid w:val="001E1B31"/>
    <w:rsid w:val="001E1D9F"/>
    <w:rsid w:val="001E25DC"/>
    <w:rsid w:val="001E26C7"/>
    <w:rsid w:val="001E28AA"/>
    <w:rsid w:val="001E2E14"/>
    <w:rsid w:val="001E34D3"/>
    <w:rsid w:val="001E36B8"/>
    <w:rsid w:val="001E386D"/>
    <w:rsid w:val="001E3B3D"/>
    <w:rsid w:val="001E489E"/>
    <w:rsid w:val="001E48B9"/>
    <w:rsid w:val="001E4C31"/>
    <w:rsid w:val="001E4DE1"/>
    <w:rsid w:val="001E4EF6"/>
    <w:rsid w:val="001E4F19"/>
    <w:rsid w:val="001E528D"/>
    <w:rsid w:val="001E5383"/>
    <w:rsid w:val="001E5628"/>
    <w:rsid w:val="001E581C"/>
    <w:rsid w:val="001E6117"/>
    <w:rsid w:val="001E68A3"/>
    <w:rsid w:val="001E6A8B"/>
    <w:rsid w:val="001E6BB5"/>
    <w:rsid w:val="001E72EB"/>
    <w:rsid w:val="001E75FD"/>
    <w:rsid w:val="001E7601"/>
    <w:rsid w:val="001E7654"/>
    <w:rsid w:val="001E7885"/>
    <w:rsid w:val="001E7D47"/>
    <w:rsid w:val="001E7E4A"/>
    <w:rsid w:val="001F0635"/>
    <w:rsid w:val="001F0716"/>
    <w:rsid w:val="001F0838"/>
    <w:rsid w:val="001F0BB2"/>
    <w:rsid w:val="001F10E5"/>
    <w:rsid w:val="001F1144"/>
    <w:rsid w:val="001F13A0"/>
    <w:rsid w:val="001F1FB2"/>
    <w:rsid w:val="001F25F7"/>
    <w:rsid w:val="001F2CBC"/>
    <w:rsid w:val="001F2D12"/>
    <w:rsid w:val="001F36AE"/>
    <w:rsid w:val="001F37A2"/>
    <w:rsid w:val="001F3C11"/>
    <w:rsid w:val="001F49B3"/>
    <w:rsid w:val="001F4A68"/>
    <w:rsid w:val="001F56A1"/>
    <w:rsid w:val="001F56BA"/>
    <w:rsid w:val="001F5E4C"/>
    <w:rsid w:val="001F5FAE"/>
    <w:rsid w:val="001F64CE"/>
    <w:rsid w:val="001F6E8C"/>
    <w:rsid w:val="001F713B"/>
    <w:rsid w:val="00200416"/>
    <w:rsid w:val="0020042A"/>
    <w:rsid w:val="00200A75"/>
    <w:rsid w:val="002013B1"/>
    <w:rsid w:val="00201477"/>
    <w:rsid w:val="002016BF"/>
    <w:rsid w:val="002019A0"/>
    <w:rsid w:val="00201AEA"/>
    <w:rsid w:val="00201C55"/>
    <w:rsid w:val="00201C97"/>
    <w:rsid w:val="002024C7"/>
    <w:rsid w:val="002028B3"/>
    <w:rsid w:val="00203828"/>
    <w:rsid w:val="0020393F"/>
    <w:rsid w:val="00203A75"/>
    <w:rsid w:val="0020499C"/>
    <w:rsid w:val="00205076"/>
    <w:rsid w:val="0020575F"/>
    <w:rsid w:val="00205A97"/>
    <w:rsid w:val="00206C47"/>
    <w:rsid w:val="00206CD4"/>
    <w:rsid w:val="00206E8C"/>
    <w:rsid w:val="002070C9"/>
    <w:rsid w:val="00207145"/>
    <w:rsid w:val="00207559"/>
    <w:rsid w:val="00207AAA"/>
    <w:rsid w:val="00210124"/>
    <w:rsid w:val="00210351"/>
    <w:rsid w:val="002103FB"/>
    <w:rsid w:val="00210686"/>
    <w:rsid w:val="00210C65"/>
    <w:rsid w:val="00210FF3"/>
    <w:rsid w:val="0021115A"/>
    <w:rsid w:val="00211A24"/>
    <w:rsid w:val="00211C68"/>
    <w:rsid w:val="00211E5C"/>
    <w:rsid w:val="002123EB"/>
    <w:rsid w:val="0021248D"/>
    <w:rsid w:val="002127E9"/>
    <w:rsid w:val="002127F1"/>
    <w:rsid w:val="00212886"/>
    <w:rsid w:val="00212894"/>
    <w:rsid w:val="0021289C"/>
    <w:rsid w:val="00212D00"/>
    <w:rsid w:val="0021357D"/>
    <w:rsid w:val="0021378A"/>
    <w:rsid w:val="002137E7"/>
    <w:rsid w:val="00213D35"/>
    <w:rsid w:val="0021420A"/>
    <w:rsid w:val="0021420B"/>
    <w:rsid w:val="0021435F"/>
    <w:rsid w:val="00214985"/>
    <w:rsid w:val="002149BE"/>
    <w:rsid w:val="00214A6A"/>
    <w:rsid w:val="00214D2D"/>
    <w:rsid w:val="00215370"/>
    <w:rsid w:val="0021567F"/>
    <w:rsid w:val="0021575F"/>
    <w:rsid w:val="002157D3"/>
    <w:rsid w:val="00215A1A"/>
    <w:rsid w:val="00215A98"/>
    <w:rsid w:val="00215C7F"/>
    <w:rsid w:val="0021609C"/>
    <w:rsid w:val="00216F4C"/>
    <w:rsid w:val="00217142"/>
    <w:rsid w:val="002179D2"/>
    <w:rsid w:val="00217A98"/>
    <w:rsid w:val="00217DDB"/>
    <w:rsid w:val="00220888"/>
    <w:rsid w:val="0022088E"/>
    <w:rsid w:val="00220AB1"/>
    <w:rsid w:val="0022100E"/>
    <w:rsid w:val="002211B4"/>
    <w:rsid w:val="0022162B"/>
    <w:rsid w:val="00221F2E"/>
    <w:rsid w:val="0022259D"/>
    <w:rsid w:val="0022263B"/>
    <w:rsid w:val="00222BD2"/>
    <w:rsid w:val="00222D4D"/>
    <w:rsid w:val="0022359E"/>
    <w:rsid w:val="00223FDA"/>
    <w:rsid w:val="0022411C"/>
    <w:rsid w:val="002243BC"/>
    <w:rsid w:val="002250D4"/>
    <w:rsid w:val="002254D5"/>
    <w:rsid w:val="002256B8"/>
    <w:rsid w:val="00225ABC"/>
    <w:rsid w:val="00225AD8"/>
    <w:rsid w:val="00225E01"/>
    <w:rsid w:val="002261BF"/>
    <w:rsid w:val="002266F0"/>
    <w:rsid w:val="002267F3"/>
    <w:rsid w:val="00226B35"/>
    <w:rsid w:val="0023000D"/>
    <w:rsid w:val="00230073"/>
    <w:rsid w:val="0023014D"/>
    <w:rsid w:val="002303D6"/>
    <w:rsid w:val="00230B96"/>
    <w:rsid w:val="00230E2E"/>
    <w:rsid w:val="00230F5C"/>
    <w:rsid w:val="002319F7"/>
    <w:rsid w:val="00231A8A"/>
    <w:rsid w:val="00231F17"/>
    <w:rsid w:val="00232983"/>
    <w:rsid w:val="00232AE8"/>
    <w:rsid w:val="00232AED"/>
    <w:rsid w:val="00232E83"/>
    <w:rsid w:val="00232FDD"/>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2BA"/>
    <w:rsid w:val="00237440"/>
    <w:rsid w:val="002374F9"/>
    <w:rsid w:val="0023799B"/>
    <w:rsid w:val="00237BF5"/>
    <w:rsid w:val="00237D63"/>
    <w:rsid w:val="002402B4"/>
    <w:rsid w:val="00240361"/>
    <w:rsid w:val="002409D0"/>
    <w:rsid w:val="00240A0E"/>
    <w:rsid w:val="00240AA8"/>
    <w:rsid w:val="00240D86"/>
    <w:rsid w:val="00240FB3"/>
    <w:rsid w:val="00241344"/>
    <w:rsid w:val="002413CC"/>
    <w:rsid w:val="002413D9"/>
    <w:rsid w:val="00241A71"/>
    <w:rsid w:val="00241A9B"/>
    <w:rsid w:val="00242098"/>
    <w:rsid w:val="002420DF"/>
    <w:rsid w:val="00242C2D"/>
    <w:rsid w:val="00243012"/>
    <w:rsid w:val="002431EC"/>
    <w:rsid w:val="00243784"/>
    <w:rsid w:val="00244668"/>
    <w:rsid w:val="00244B21"/>
    <w:rsid w:val="00244F2A"/>
    <w:rsid w:val="0024531D"/>
    <w:rsid w:val="00245A2C"/>
    <w:rsid w:val="00245A2F"/>
    <w:rsid w:val="00245DB5"/>
    <w:rsid w:val="0024605B"/>
    <w:rsid w:val="00246307"/>
    <w:rsid w:val="00246C15"/>
    <w:rsid w:val="00246E08"/>
    <w:rsid w:val="002473B9"/>
    <w:rsid w:val="002475C4"/>
    <w:rsid w:val="00247770"/>
    <w:rsid w:val="002502D8"/>
    <w:rsid w:val="0025089B"/>
    <w:rsid w:val="00250CE9"/>
    <w:rsid w:val="00250D23"/>
    <w:rsid w:val="00251736"/>
    <w:rsid w:val="0025177D"/>
    <w:rsid w:val="00251A7D"/>
    <w:rsid w:val="00251BAE"/>
    <w:rsid w:val="0025215E"/>
    <w:rsid w:val="00252A3E"/>
    <w:rsid w:val="00252E8E"/>
    <w:rsid w:val="00253828"/>
    <w:rsid w:val="00253986"/>
    <w:rsid w:val="00253B71"/>
    <w:rsid w:val="00253FFD"/>
    <w:rsid w:val="00254556"/>
    <w:rsid w:val="00254785"/>
    <w:rsid w:val="002552E6"/>
    <w:rsid w:val="002558A7"/>
    <w:rsid w:val="00255F5A"/>
    <w:rsid w:val="0025650B"/>
    <w:rsid w:val="00256516"/>
    <w:rsid w:val="002567BE"/>
    <w:rsid w:val="00256B93"/>
    <w:rsid w:val="002577C6"/>
    <w:rsid w:val="0026022C"/>
    <w:rsid w:val="0026041C"/>
    <w:rsid w:val="002607C2"/>
    <w:rsid w:val="00260C25"/>
    <w:rsid w:val="002612D0"/>
    <w:rsid w:val="00261401"/>
    <w:rsid w:val="002617D5"/>
    <w:rsid w:val="00261BD7"/>
    <w:rsid w:val="00261CF7"/>
    <w:rsid w:val="00261EB1"/>
    <w:rsid w:val="0026204D"/>
    <w:rsid w:val="0026219C"/>
    <w:rsid w:val="00262780"/>
    <w:rsid w:val="00262A66"/>
    <w:rsid w:val="00262D4C"/>
    <w:rsid w:val="002633CA"/>
    <w:rsid w:val="00263424"/>
    <w:rsid w:val="002640F9"/>
    <w:rsid w:val="002648C0"/>
    <w:rsid w:val="0026556C"/>
    <w:rsid w:val="0026592D"/>
    <w:rsid w:val="00265A2C"/>
    <w:rsid w:val="00265A85"/>
    <w:rsid w:val="00266AAA"/>
    <w:rsid w:val="00266EEB"/>
    <w:rsid w:val="00267D21"/>
    <w:rsid w:val="00270510"/>
    <w:rsid w:val="00270551"/>
    <w:rsid w:val="00270882"/>
    <w:rsid w:val="00270B15"/>
    <w:rsid w:val="00270CB4"/>
    <w:rsid w:val="00270ED7"/>
    <w:rsid w:val="0027102C"/>
    <w:rsid w:val="002713D0"/>
    <w:rsid w:val="00271823"/>
    <w:rsid w:val="00271C15"/>
    <w:rsid w:val="00272167"/>
    <w:rsid w:val="002723ED"/>
    <w:rsid w:val="00272457"/>
    <w:rsid w:val="002725E1"/>
    <w:rsid w:val="00272D69"/>
    <w:rsid w:val="00272E7C"/>
    <w:rsid w:val="002736EB"/>
    <w:rsid w:val="0027416A"/>
    <w:rsid w:val="002741E0"/>
    <w:rsid w:val="0027449B"/>
    <w:rsid w:val="002744A2"/>
    <w:rsid w:val="002744BA"/>
    <w:rsid w:val="00274A89"/>
    <w:rsid w:val="00275269"/>
    <w:rsid w:val="00276058"/>
    <w:rsid w:val="002764B9"/>
    <w:rsid w:val="0027674A"/>
    <w:rsid w:val="0027679B"/>
    <w:rsid w:val="00276B2B"/>
    <w:rsid w:val="002770F1"/>
    <w:rsid w:val="0027756B"/>
    <w:rsid w:val="0027794B"/>
    <w:rsid w:val="00277B70"/>
    <w:rsid w:val="00277CA0"/>
    <w:rsid w:val="0028008A"/>
    <w:rsid w:val="00280CBF"/>
    <w:rsid w:val="00281452"/>
    <w:rsid w:val="00281549"/>
    <w:rsid w:val="002816D2"/>
    <w:rsid w:val="0028213D"/>
    <w:rsid w:val="002829DD"/>
    <w:rsid w:val="00282DA7"/>
    <w:rsid w:val="002837D8"/>
    <w:rsid w:val="00283C04"/>
    <w:rsid w:val="002842FC"/>
    <w:rsid w:val="00284989"/>
    <w:rsid w:val="00284B16"/>
    <w:rsid w:val="002850A6"/>
    <w:rsid w:val="00285558"/>
    <w:rsid w:val="00285682"/>
    <w:rsid w:val="00285EDA"/>
    <w:rsid w:val="00285FF8"/>
    <w:rsid w:val="00287747"/>
    <w:rsid w:val="00287E7E"/>
    <w:rsid w:val="0029039F"/>
    <w:rsid w:val="00290508"/>
    <w:rsid w:val="002907AC"/>
    <w:rsid w:val="00290841"/>
    <w:rsid w:val="00290A9E"/>
    <w:rsid w:val="00290B13"/>
    <w:rsid w:val="00290D90"/>
    <w:rsid w:val="00290E0E"/>
    <w:rsid w:val="002912EC"/>
    <w:rsid w:val="0029179E"/>
    <w:rsid w:val="00291F2D"/>
    <w:rsid w:val="00292682"/>
    <w:rsid w:val="00292A91"/>
    <w:rsid w:val="002938D6"/>
    <w:rsid w:val="00293948"/>
    <w:rsid w:val="00293C73"/>
    <w:rsid w:val="00293E60"/>
    <w:rsid w:val="00294104"/>
    <w:rsid w:val="00294361"/>
    <w:rsid w:val="00294B13"/>
    <w:rsid w:val="00294D09"/>
    <w:rsid w:val="00294D2C"/>
    <w:rsid w:val="00295078"/>
    <w:rsid w:val="002951A5"/>
    <w:rsid w:val="00295A29"/>
    <w:rsid w:val="00295B44"/>
    <w:rsid w:val="00295CB1"/>
    <w:rsid w:val="00295E1A"/>
    <w:rsid w:val="00295ECC"/>
    <w:rsid w:val="002965C7"/>
    <w:rsid w:val="0029682C"/>
    <w:rsid w:val="002968F3"/>
    <w:rsid w:val="00296A82"/>
    <w:rsid w:val="002970C1"/>
    <w:rsid w:val="0029727E"/>
    <w:rsid w:val="00297430"/>
    <w:rsid w:val="002975C4"/>
    <w:rsid w:val="00297632"/>
    <w:rsid w:val="002977F6"/>
    <w:rsid w:val="0029793D"/>
    <w:rsid w:val="00297C63"/>
    <w:rsid w:val="002A019B"/>
    <w:rsid w:val="002A04A3"/>
    <w:rsid w:val="002A06F4"/>
    <w:rsid w:val="002A08A8"/>
    <w:rsid w:val="002A09FC"/>
    <w:rsid w:val="002A0DD1"/>
    <w:rsid w:val="002A101C"/>
    <w:rsid w:val="002A1114"/>
    <w:rsid w:val="002A11E1"/>
    <w:rsid w:val="002A14D5"/>
    <w:rsid w:val="002A17ED"/>
    <w:rsid w:val="002A19F1"/>
    <w:rsid w:val="002A1D47"/>
    <w:rsid w:val="002A2420"/>
    <w:rsid w:val="002A2444"/>
    <w:rsid w:val="002A276A"/>
    <w:rsid w:val="002A2899"/>
    <w:rsid w:val="002A2B56"/>
    <w:rsid w:val="002A2D08"/>
    <w:rsid w:val="002A30C0"/>
    <w:rsid w:val="002A3697"/>
    <w:rsid w:val="002A37C2"/>
    <w:rsid w:val="002A3C66"/>
    <w:rsid w:val="002A3D0E"/>
    <w:rsid w:val="002A4277"/>
    <w:rsid w:val="002A4337"/>
    <w:rsid w:val="002A4405"/>
    <w:rsid w:val="002A4B87"/>
    <w:rsid w:val="002A4DF3"/>
    <w:rsid w:val="002A5904"/>
    <w:rsid w:val="002A5B58"/>
    <w:rsid w:val="002A6035"/>
    <w:rsid w:val="002A76BC"/>
    <w:rsid w:val="002A76BE"/>
    <w:rsid w:val="002A7795"/>
    <w:rsid w:val="002A7FDF"/>
    <w:rsid w:val="002B0425"/>
    <w:rsid w:val="002B0742"/>
    <w:rsid w:val="002B20B5"/>
    <w:rsid w:val="002B2235"/>
    <w:rsid w:val="002B27CA"/>
    <w:rsid w:val="002B2870"/>
    <w:rsid w:val="002B297A"/>
    <w:rsid w:val="002B31DF"/>
    <w:rsid w:val="002B475B"/>
    <w:rsid w:val="002B4962"/>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E0D"/>
    <w:rsid w:val="002C2340"/>
    <w:rsid w:val="002C2A4B"/>
    <w:rsid w:val="002C2B8D"/>
    <w:rsid w:val="002C30C8"/>
    <w:rsid w:val="002C345C"/>
    <w:rsid w:val="002C3887"/>
    <w:rsid w:val="002C44B8"/>
    <w:rsid w:val="002C4831"/>
    <w:rsid w:val="002C4E58"/>
    <w:rsid w:val="002C4E74"/>
    <w:rsid w:val="002C4F3D"/>
    <w:rsid w:val="002C5680"/>
    <w:rsid w:val="002C56EC"/>
    <w:rsid w:val="002C5D69"/>
    <w:rsid w:val="002C5D85"/>
    <w:rsid w:val="002C6456"/>
    <w:rsid w:val="002C6DAB"/>
    <w:rsid w:val="002C70DA"/>
    <w:rsid w:val="002C7AF3"/>
    <w:rsid w:val="002C7BF0"/>
    <w:rsid w:val="002D028B"/>
    <w:rsid w:val="002D05D4"/>
    <w:rsid w:val="002D06C8"/>
    <w:rsid w:val="002D27F5"/>
    <w:rsid w:val="002D2AE2"/>
    <w:rsid w:val="002D331B"/>
    <w:rsid w:val="002D3638"/>
    <w:rsid w:val="002D4C74"/>
    <w:rsid w:val="002D4F3C"/>
    <w:rsid w:val="002D5961"/>
    <w:rsid w:val="002D5B2F"/>
    <w:rsid w:val="002D5BFA"/>
    <w:rsid w:val="002D5D7A"/>
    <w:rsid w:val="002D62EB"/>
    <w:rsid w:val="002D6732"/>
    <w:rsid w:val="002D6905"/>
    <w:rsid w:val="002D69B6"/>
    <w:rsid w:val="002D6DAF"/>
    <w:rsid w:val="002D710B"/>
    <w:rsid w:val="002D7154"/>
    <w:rsid w:val="002D74D2"/>
    <w:rsid w:val="002D7DD7"/>
    <w:rsid w:val="002E0504"/>
    <w:rsid w:val="002E088B"/>
    <w:rsid w:val="002E0A1C"/>
    <w:rsid w:val="002E1194"/>
    <w:rsid w:val="002E123D"/>
    <w:rsid w:val="002E1422"/>
    <w:rsid w:val="002E1A54"/>
    <w:rsid w:val="002E1E3C"/>
    <w:rsid w:val="002E24D6"/>
    <w:rsid w:val="002E2FCB"/>
    <w:rsid w:val="002E34B1"/>
    <w:rsid w:val="002E3E4B"/>
    <w:rsid w:val="002E3E9A"/>
    <w:rsid w:val="002E3EAF"/>
    <w:rsid w:val="002E443D"/>
    <w:rsid w:val="002E44F7"/>
    <w:rsid w:val="002E5035"/>
    <w:rsid w:val="002E5514"/>
    <w:rsid w:val="002E55C8"/>
    <w:rsid w:val="002E55C9"/>
    <w:rsid w:val="002E5B1D"/>
    <w:rsid w:val="002E5BCD"/>
    <w:rsid w:val="002E6AC8"/>
    <w:rsid w:val="002E6B76"/>
    <w:rsid w:val="002E6F59"/>
    <w:rsid w:val="002E711D"/>
    <w:rsid w:val="002E7DA3"/>
    <w:rsid w:val="002F0B13"/>
    <w:rsid w:val="002F0DA0"/>
    <w:rsid w:val="002F12ED"/>
    <w:rsid w:val="002F2168"/>
    <w:rsid w:val="002F2316"/>
    <w:rsid w:val="002F2533"/>
    <w:rsid w:val="002F2889"/>
    <w:rsid w:val="002F2966"/>
    <w:rsid w:val="002F2C3E"/>
    <w:rsid w:val="002F2CE3"/>
    <w:rsid w:val="002F32C4"/>
    <w:rsid w:val="002F3700"/>
    <w:rsid w:val="002F42EF"/>
    <w:rsid w:val="002F4981"/>
    <w:rsid w:val="002F4A0A"/>
    <w:rsid w:val="002F5140"/>
    <w:rsid w:val="002F5814"/>
    <w:rsid w:val="002F6172"/>
    <w:rsid w:val="002F651F"/>
    <w:rsid w:val="002F65AB"/>
    <w:rsid w:val="002F67F0"/>
    <w:rsid w:val="002F68E5"/>
    <w:rsid w:val="002F744A"/>
    <w:rsid w:val="002F74B1"/>
    <w:rsid w:val="002F77B5"/>
    <w:rsid w:val="002F7974"/>
    <w:rsid w:val="002F7AED"/>
    <w:rsid w:val="002F7B7D"/>
    <w:rsid w:val="002F7CE7"/>
    <w:rsid w:val="002F7FDE"/>
    <w:rsid w:val="00300C2D"/>
    <w:rsid w:val="00300C77"/>
    <w:rsid w:val="00301120"/>
    <w:rsid w:val="00301166"/>
    <w:rsid w:val="003018C6"/>
    <w:rsid w:val="00301B11"/>
    <w:rsid w:val="00301CC6"/>
    <w:rsid w:val="00301D49"/>
    <w:rsid w:val="00301FD5"/>
    <w:rsid w:val="00302112"/>
    <w:rsid w:val="00302455"/>
    <w:rsid w:val="003024FB"/>
    <w:rsid w:val="00302552"/>
    <w:rsid w:val="003046D2"/>
    <w:rsid w:val="00304B85"/>
    <w:rsid w:val="00304C10"/>
    <w:rsid w:val="00305E08"/>
    <w:rsid w:val="00306A29"/>
    <w:rsid w:val="00306BB8"/>
    <w:rsid w:val="00306BD3"/>
    <w:rsid w:val="00306D24"/>
    <w:rsid w:val="00306EC5"/>
    <w:rsid w:val="0030784C"/>
    <w:rsid w:val="00307938"/>
    <w:rsid w:val="00307B28"/>
    <w:rsid w:val="00307E5A"/>
    <w:rsid w:val="0031030D"/>
    <w:rsid w:val="00310665"/>
    <w:rsid w:val="0031133F"/>
    <w:rsid w:val="003114A5"/>
    <w:rsid w:val="00311794"/>
    <w:rsid w:val="00311813"/>
    <w:rsid w:val="00311821"/>
    <w:rsid w:val="00311D78"/>
    <w:rsid w:val="00311F1B"/>
    <w:rsid w:val="003124C2"/>
    <w:rsid w:val="003129F3"/>
    <w:rsid w:val="00312A0A"/>
    <w:rsid w:val="00313331"/>
    <w:rsid w:val="003137F8"/>
    <w:rsid w:val="00313889"/>
    <w:rsid w:val="00313B1E"/>
    <w:rsid w:val="00313EFE"/>
    <w:rsid w:val="00314033"/>
    <w:rsid w:val="00314B55"/>
    <w:rsid w:val="00315322"/>
    <w:rsid w:val="0031533D"/>
    <w:rsid w:val="00315B87"/>
    <w:rsid w:val="00316666"/>
    <w:rsid w:val="00316B3A"/>
    <w:rsid w:val="00316CE5"/>
    <w:rsid w:val="00317144"/>
    <w:rsid w:val="003171D0"/>
    <w:rsid w:val="003174D2"/>
    <w:rsid w:val="003175B0"/>
    <w:rsid w:val="003179A1"/>
    <w:rsid w:val="003206BC"/>
    <w:rsid w:val="003206C8"/>
    <w:rsid w:val="00320758"/>
    <w:rsid w:val="003209EE"/>
    <w:rsid w:val="00321166"/>
    <w:rsid w:val="00321D4C"/>
    <w:rsid w:val="00321FDA"/>
    <w:rsid w:val="003220F2"/>
    <w:rsid w:val="00322B4F"/>
    <w:rsid w:val="00322B70"/>
    <w:rsid w:val="00322C9F"/>
    <w:rsid w:val="003230A4"/>
    <w:rsid w:val="00323540"/>
    <w:rsid w:val="00323DC8"/>
    <w:rsid w:val="00323FAB"/>
    <w:rsid w:val="00324002"/>
    <w:rsid w:val="00324005"/>
    <w:rsid w:val="00324551"/>
    <w:rsid w:val="0032482F"/>
    <w:rsid w:val="003251AD"/>
    <w:rsid w:val="0032559E"/>
    <w:rsid w:val="00325721"/>
    <w:rsid w:val="00325DFE"/>
    <w:rsid w:val="003260FA"/>
    <w:rsid w:val="0032645B"/>
    <w:rsid w:val="003266B3"/>
    <w:rsid w:val="003270E5"/>
    <w:rsid w:val="0032728A"/>
    <w:rsid w:val="00327719"/>
    <w:rsid w:val="00327C26"/>
    <w:rsid w:val="00330065"/>
    <w:rsid w:val="003304E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41C8"/>
    <w:rsid w:val="003343C6"/>
    <w:rsid w:val="00334DBD"/>
    <w:rsid w:val="0033504C"/>
    <w:rsid w:val="0033539F"/>
    <w:rsid w:val="003353BD"/>
    <w:rsid w:val="003356A0"/>
    <w:rsid w:val="0033573A"/>
    <w:rsid w:val="00335D15"/>
    <w:rsid w:val="00336A0E"/>
    <w:rsid w:val="00336A56"/>
    <w:rsid w:val="00337BC3"/>
    <w:rsid w:val="00337CA1"/>
    <w:rsid w:val="00337D9D"/>
    <w:rsid w:val="00340174"/>
    <w:rsid w:val="003404B7"/>
    <w:rsid w:val="00340666"/>
    <w:rsid w:val="00341134"/>
    <w:rsid w:val="00341219"/>
    <w:rsid w:val="0034186A"/>
    <w:rsid w:val="0034191A"/>
    <w:rsid w:val="00341B3C"/>
    <w:rsid w:val="00341BB7"/>
    <w:rsid w:val="00341E2D"/>
    <w:rsid w:val="0034201A"/>
    <w:rsid w:val="00342406"/>
    <w:rsid w:val="00342EC8"/>
    <w:rsid w:val="00343BEE"/>
    <w:rsid w:val="00343E9A"/>
    <w:rsid w:val="003440C8"/>
    <w:rsid w:val="00344AC4"/>
    <w:rsid w:val="00344B74"/>
    <w:rsid w:val="00344E94"/>
    <w:rsid w:val="003451BB"/>
    <w:rsid w:val="003451C0"/>
    <w:rsid w:val="0034694D"/>
    <w:rsid w:val="00347061"/>
    <w:rsid w:val="00347893"/>
    <w:rsid w:val="003478A5"/>
    <w:rsid w:val="00347D0F"/>
    <w:rsid w:val="0035050B"/>
    <w:rsid w:val="00350659"/>
    <w:rsid w:val="00350817"/>
    <w:rsid w:val="00350B75"/>
    <w:rsid w:val="0035179A"/>
    <w:rsid w:val="00351CD6"/>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108"/>
    <w:rsid w:val="003572C5"/>
    <w:rsid w:val="00360460"/>
    <w:rsid w:val="00360E14"/>
    <w:rsid w:val="00360F46"/>
    <w:rsid w:val="003613E2"/>
    <w:rsid w:val="00361A82"/>
    <w:rsid w:val="003621A3"/>
    <w:rsid w:val="003622A9"/>
    <w:rsid w:val="003622CA"/>
    <w:rsid w:val="00362302"/>
    <w:rsid w:val="00362519"/>
    <w:rsid w:val="003625DC"/>
    <w:rsid w:val="003628CA"/>
    <w:rsid w:val="003629EB"/>
    <w:rsid w:val="00362A83"/>
    <w:rsid w:val="00362AE7"/>
    <w:rsid w:val="00362AF1"/>
    <w:rsid w:val="0036355B"/>
    <w:rsid w:val="003637B0"/>
    <w:rsid w:val="003638F5"/>
    <w:rsid w:val="00363D2E"/>
    <w:rsid w:val="00363D72"/>
    <w:rsid w:val="003650AD"/>
    <w:rsid w:val="00365342"/>
    <w:rsid w:val="00366DCB"/>
    <w:rsid w:val="0036712B"/>
    <w:rsid w:val="00367541"/>
    <w:rsid w:val="00367D5E"/>
    <w:rsid w:val="00367DAC"/>
    <w:rsid w:val="00367E2A"/>
    <w:rsid w:val="00367E7C"/>
    <w:rsid w:val="00367F59"/>
    <w:rsid w:val="00370228"/>
    <w:rsid w:val="0037090F"/>
    <w:rsid w:val="00370DA5"/>
    <w:rsid w:val="0037108D"/>
    <w:rsid w:val="0037195F"/>
    <w:rsid w:val="003719E6"/>
    <w:rsid w:val="00371F87"/>
    <w:rsid w:val="00371F93"/>
    <w:rsid w:val="00372156"/>
    <w:rsid w:val="00372A39"/>
    <w:rsid w:val="00373276"/>
    <w:rsid w:val="00373284"/>
    <w:rsid w:val="00373889"/>
    <w:rsid w:val="00373ABD"/>
    <w:rsid w:val="00373E19"/>
    <w:rsid w:val="003745B7"/>
    <w:rsid w:val="0037474F"/>
    <w:rsid w:val="00374882"/>
    <w:rsid w:val="00374D54"/>
    <w:rsid w:val="003755A8"/>
    <w:rsid w:val="003756FD"/>
    <w:rsid w:val="0037591E"/>
    <w:rsid w:val="00375B10"/>
    <w:rsid w:val="00376A67"/>
    <w:rsid w:val="00376EC1"/>
    <w:rsid w:val="00377530"/>
    <w:rsid w:val="00377829"/>
    <w:rsid w:val="00377CDE"/>
    <w:rsid w:val="003802B6"/>
    <w:rsid w:val="00380870"/>
    <w:rsid w:val="003808B3"/>
    <w:rsid w:val="00380B85"/>
    <w:rsid w:val="00380C66"/>
    <w:rsid w:val="00380E53"/>
    <w:rsid w:val="00380EBF"/>
    <w:rsid w:val="00380FBA"/>
    <w:rsid w:val="00381260"/>
    <w:rsid w:val="0038181B"/>
    <w:rsid w:val="00381AFC"/>
    <w:rsid w:val="00381DDC"/>
    <w:rsid w:val="00381E08"/>
    <w:rsid w:val="0038225B"/>
    <w:rsid w:val="00382A1D"/>
    <w:rsid w:val="00382A79"/>
    <w:rsid w:val="00383C10"/>
    <w:rsid w:val="003844F2"/>
    <w:rsid w:val="00384D78"/>
    <w:rsid w:val="00384F36"/>
    <w:rsid w:val="003855EA"/>
    <w:rsid w:val="00385A15"/>
    <w:rsid w:val="0038618D"/>
    <w:rsid w:val="003861AB"/>
    <w:rsid w:val="0038724E"/>
    <w:rsid w:val="0038734B"/>
    <w:rsid w:val="00387CE5"/>
    <w:rsid w:val="00390656"/>
    <w:rsid w:val="00390837"/>
    <w:rsid w:val="003908AE"/>
    <w:rsid w:val="00390AC1"/>
    <w:rsid w:val="00391012"/>
    <w:rsid w:val="00391135"/>
    <w:rsid w:val="003916BF"/>
    <w:rsid w:val="00391C3B"/>
    <w:rsid w:val="0039205F"/>
    <w:rsid w:val="0039226C"/>
    <w:rsid w:val="00392E5A"/>
    <w:rsid w:val="0039303E"/>
    <w:rsid w:val="0039332E"/>
    <w:rsid w:val="0039375B"/>
    <w:rsid w:val="003937A5"/>
    <w:rsid w:val="003939E2"/>
    <w:rsid w:val="00393EE8"/>
    <w:rsid w:val="003949E5"/>
    <w:rsid w:val="003955F1"/>
    <w:rsid w:val="00395868"/>
    <w:rsid w:val="00395917"/>
    <w:rsid w:val="00395CB8"/>
    <w:rsid w:val="003961CE"/>
    <w:rsid w:val="0039652D"/>
    <w:rsid w:val="0039662C"/>
    <w:rsid w:val="00396E29"/>
    <w:rsid w:val="00396F09"/>
    <w:rsid w:val="00396FA8"/>
    <w:rsid w:val="00397ED6"/>
    <w:rsid w:val="00397FC8"/>
    <w:rsid w:val="003A0D1B"/>
    <w:rsid w:val="003A0FEF"/>
    <w:rsid w:val="003A173D"/>
    <w:rsid w:val="003A1844"/>
    <w:rsid w:val="003A2649"/>
    <w:rsid w:val="003A2A91"/>
    <w:rsid w:val="003A3250"/>
    <w:rsid w:val="003A3251"/>
    <w:rsid w:val="003A39AA"/>
    <w:rsid w:val="003A4279"/>
    <w:rsid w:val="003A454A"/>
    <w:rsid w:val="003A4C9F"/>
    <w:rsid w:val="003A4F60"/>
    <w:rsid w:val="003A56AC"/>
    <w:rsid w:val="003A5B1F"/>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1C04"/>
    <w:rsid w:val="003B25BC"/>
    <w:rsid w:val="003B28F3"/>
    <w:rsid w:val="003B2A7F"/>
    <w:rsid w:val="003B2D38"/>
    <w:rsid w:val="003B2DCF"/>
    <w:rsid w:val="003B2F53"/>
    <w:rsid w:val="003B32E7"/>
    <w:rsid w:val="003B4AA0"/>
    <w:rsid w:val="003B502E"/>
    <w:rsid w:val="003B5525"/>
    <w:rsid w:val="003B5A37"/>
    <w:rsid w:val="003B6713"/>
    <w:rsid w:val="003B673D"/>
    <w:rsid w:val="003B6CEE"/>
    <w:rsid w:val="003B6E42"/>
    <w:rsid w:val="003B6F66"/>
    <w:rsid w:val="003B7307"/>
    <w:rsid w:val="003B7367"/>
    <w:rsid w:val="003B74AD"/>
    <w:rsid w:val="003B7666"/>
    <w:rsid w:val="003B7684"/>
    <w:rsid w:val="003B76E8"/>
    <w:rsid w:val="003B7836"/>
    <w:rsid w:val="003B795E"/>
    <w:rsid w:val="003B7A8C"/>
    <w:rsid w:val="003B7EDB"/>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370"/>
    <w:rsid w:val="003C54C1"/>
    <w:rsid w:val="003C5D05"/>
    <w:rsid w:val="003C5F7F"/>
    <w:rsid w:val="003C6465"/>
    <w:rsid w:val="003C67E6"/>
    <w:rsid w:val="003C6CAB"/>
    <w:rsid w:val="003C6EBE"/>
    <w:rsid w:val="003C790F"/>
    <w:rsid w:val="003C7A4D"/>
    <w:rsid w:val="003C7BC5"/>
    <w:rsid w:val="003D0843"/>
    <w:rsid w:val="003D10FF"/>
    <w:rsid w:val="003D11DB"/>
    <w:rsid w:val="003D1D0F"/>
    <w:rsid w:val="003D1E16"/>
    <w:rsid w:val="003D1F51"/>
    <w:rsid w:val="003D24B7"/>
    <w:rsid w:val="003D24FC"/>
    <w:rsid w:val="003D290E"/>
    <w:rsid w:val="003D2ED3"/>
    <w:rsid w:val="003D3336"/>
    <w:rsid w:val="003D340C"/>
    <w:rsid w:val="003D386B"/>
    <w:rsid w:val="003D3CF5"/>
    <w:rsid w:val="003D3EA7"/>
    <w:rsid w:val="003D46D0"/>
    <w:rsid w:val="003D4A8D"/>
    <w:rsid w:val="003D5419"/>
    <w:rsid w:val="003D5856"/>
    <w:rsid w:val="003D5ECE"/>
    <w:rsid w:val="003D6C9C"/>
    <w:rsid w:val="003D72AA"/>
    <w:rsid w:val="003D7702"/>
    <w:rsid w:val="003D77DB"/>
    <w:rsid w:val="003E073F"/>
    <w:rsid w:val="003E074C"/>
    <w:rsid w:val="003E0BAA"/>
    <w:rsid w:val="003E13F6"/>
    <w:rsid w:val="003E169A"/>
    <w:rsid w:val="003E19E1"/>
    <w:rsid w:val="003E2230"/>
    <w:rsid w:val="003E2540"/>
    <w:rsid w:val="003E2AC2"/>
    <w:rsid w:val="003E3201"/>
    <w:rsid w:val="003E32D8"/>
    <w:rsid w:val="003E445E"/>
    <w:rsid w:val="003E4727"/>
    <w:rsid w:val="003E47FD"/>
    <w:rsid w:val="003E4D8F"/>
    <w:rsid w:val="003E4DD4"/>
    <w:rsid w:val="003E4FC1"/>
    <w:rsid w:val="003E5135"/>
    <w:rsid w:val="003E590A"/>
    <w:rsid w:val="003E5D02"/>
    <w:rsid w:val="003E5FF4"/>
    <w:rsid w:val="003E62D3"/>
    <w:rsid w:val="003E64F4"/>
    <w:rsid w:val="003E658C"/>
    <w:rsid w:val="003E665A"/>
    <w:rsid w:val="003E6CEC"/>
    <w:rsid w:val="003E7346"/>
    <w:rsid w:val="003E76DA"/>
    <w:rsid w:val="003E7764"/>
    <w:rsid w:val="003E77F1"/>
    <w:rsid w:val="003E79B9"/>
    <w:rsid w:val="003E7B20"/>
    <w:rsid w:val="003E7CF6"/>
    <w:rsid w:val="003F0437"/>
    <w:rsid w:val="003F09F1"/>
    <w:rsid w:val="003F0EF1"/>
    <w:rsid w:val="003F0F27"/>
    <w:rsid w:val="003F0F3E"/>
    <w:rsid w:val="003F119E"/>
    <w:rsid w:val="003F12EA"/>
    <w:rsid w:val="003F14FA"/>
    <w:rsid w:val="003F163A"/>
    <w:rsid w:val="003F1AA2"/>
    <w:rsid w:val="003F1B6B"/>
    <w:rsid w:val="003F1EDA"/>
    <w:rsid w:val="003F2222"/>
    <w:rsid w:val="003F2D72"/>
    <w:rsid w:val="003F3045"/>
    <w:rsid w:val="003F3460"/>
    <w:rsid w:val="003F3B5E"/>
    <w:rsid w:val="003F4567"/>
    <w:rsid w:val="003F493B"/>
    <w:rsid w:val="003F53B8"/>
    <w:rsid w:val="003F5FBD"/>
    <w:rsid w:val="003F6018"/>
    <w:rsid w:val="003F628A"/>
    <w:rsid w:val="003F6468"/>
    <w:rsid w:val="003F6A24"/>
    <w:rsid w:val="003F6FAA"/>
    <w:rsid w:val="003F736A"/>
    <w:rsid w:val="003F776D"/>
    <w:rsid w:val="004005E9"/>
    <w:rsid w:val="004006CE"/>
    <w:rsid w:val="0040150F"/>
    <w:rsid w:val="00401766"/>
    <w:rsid w:val="00401C62"/>
    <w:rsid w:val="00401C73"/>
    <w:rsid w:val="00401D93"/>
    <w:rsid w:val="00402148"/>
    <w:rsid w:val="0040239A"/>
    <w:rsid w:val="00402ADB"/>
    <w:rsid w:val="00402BF5"/>
    <w:rsid w:val="00403490"/>
    <w:rsid w:val="00403616"/>
    <w:rsid w:val="004036A5"/>
    <w:rsid w:val="004037C0"/>
    <w:rsid w:val="00403FC8"/>
    <w:rsid w:val="0040456A"/>
    <w:rsid w:val="004049A3"/>
    <w:rsid w:val="00404BA9"/>
    <w:rsid w:val="00404BD9"/>
    <w:rsid w:val="00404CC1"/>
    <w:rsid w:val="00404E82"/>
    <w:rsid w:val="00404E8D"/>
    <w:rsid w:val="004051E7"/>
    <w:rsid w:val="0040560F"/>
    <w:rsid w:val="00405A71"/>
    <w:rsid w:val="00405DE1"/>
    <w:rsid w:val="00405F8F"/>
    <w:rsid w:val="004060C9"/>
    <w:rsid w:val="0040682E"/>
    <w:rsid w:val="00406B47"/>
    <w:rsid w:val="0040712D"/>
    <w:rsid w:val="0040757F"/>
    <w:rsid w:val="00407783"/>
    <w:rsid w:val="00407C33"/>
    <w:rsid w:val="0041035B"/>
    <w:rsid w:val="004103AA"/>
    <w:rsid w:val="004104CF"/>
    <w:rsid w:val="004106C8"/>
    <w:rsid w:val="00410DFA"/>
    <w:rsid w:val="00410EB9"/>
    <w:rsid w:val="00410EF4"/>
    <w:rsid w:val="00411351"/>
    <w:rsid w:val="0041150D"/>
    <w:rsid w:val="00411643"/>
    <w:rsid w:val="00411A13"/>
    <w:rsid w:val="00412423"/>
    <w:rsid w:val="00412678"/>
    <w:rsid w:val="00412BDC"/>
    <w:rsid w:val="00413320"/>
    <w:rsid w:val="0041349D"/>
    <w:rsid w:val="0041427A"/>
    <w:rsid w:val="00414521"/>
    <w:rsid w:val="004148E5"/>
    <w:rsid w:val="00414AA9"/>
    <w:rsid w:val="00415499"/>
    <w:rsid w:val="004159D8"/>
    <w:rsid w:val="00415BDC"/>
    <w:rsid w:val="00415E88"/>
    <w:rsid w:val="00415F3C"/>
    <w:rsid w:val="004161C9"/>
    <w:rsid w:val="004164EB"/>
    <w:rsid w:val="0041692C"/>
    <w:rsid w:val="00417595"/>
    <w:rsid w:val="00417CEE"/>
    <w:rsid w:val="00417D6E"/>
    <w:rsid w:val="00417EE1"/>
    <w:rsid w:val="00420550"/>
    <w:rsid w:val="00420587"/>
    <w:rsid w:val="0042084E"/>
    <w:rsid w:val="00420CE9"/>
    <w:rsid w:val="0042139D"/>
    <w:rsid w:val="00421775"/>
    <w:rsid w:val="00421852"/>
    <w:rsid w:val="00422041"/>
    <w:rsid w:val="004222FE"/>
    <w:rsid w:val="004226D7"/>
    <w:rsid w:val="00422A75"/>
    <w:rsid w:val="00422EA8"/>
    <w:rsid w:val="00423173"/>
    <w:rsid w:val="00423563"/>
    <w:rsid w:val="00423626"/>
    <w:rsid w:val="00423CD4"/>
    <w:rsid w:val="0042423E"/>
    <w:rsid w:val="0042439C"/>
    <w:rsid w:val="004243A5"/>
    <w:rsid w:val="004247B1"/>
    <w:rsid w:val="00424CEC"/>
    <w:rsid w:val="00424EE0"/>
    <w:rsid w:val="004258D2"/>
    <w:rsid w:val="004258EA"/>
    <w:rsid w:val="00425B46"/>
    <w:rsid w:val="00425BFD"/>
    <w:rsid w:val="0042615E"/>
    <w:rsid w:val="00426F9E"/>
    <w:rsid w:val="0042756B"/>
    <w:rsid w:val="004277AD"/>
    <w:rsid w:val="004277C7"/>
    <w:rsid w:val="00427A46"/>
    <w:rsid w:val="00427C33"/>
    <w:rsid w:val="0043039A"/>
    <w:rsid w:val="00431107"/>
    <w:rsid w:val="00431595"/>
    <w:rsid w:val="0043161C"/>
    <w:rsid w:val="0043194D"/>
    <w:rsid w:val="004321C9"/>
    <w:rsid w:val="00432B56"/>
    <w:rsid w:val="00432C3E"/>
    <w:rsid w:val="00432EB2"/>
    <w:rsid w:val="00433B5D"/>
    <w:rsid w:val="00433EF6"/>
    <w:rsid w:val="00434003"/>
    <w:rsid w:val="004341A7"/>
    <w:rsid w:val="0043456E"/>
    <w:rsid w:val="0043476C"/>
    <w:rsid w:val="00434CB5"/>
    <w:rsid w:val="00434EB2"/>
    <w:rsid w:val="004351DB"/>
    <w:rsid w:val="00436039"/>
    <w:rsid w:val="00436438"/>
    <w:rsid w:val="00436656"/>
    <w:rsid w:val="00436674"/>
    <w:rsid w:val="00436A8E"/>
    <w:rsid w:val="00436D19"/>
    <w:rsid w:val="00436D53"/>
    <w:rsid w:val="00436D8B"/>
    <w:rsid w:val="0043729C"/>
    <w:rsid w:val="00440019"/>
    <w:rsid w:val="00440437"/>
    <w:rsid w:val="004407C6"/>
    <w:rsid w:val="00440863"/>
    <w:rsid w:val="0044090B"/>
    <w:rsid w:val="00440AF3"/>
    <w:rsid w:val="00440FAF"/>
    <w:rsid w:val="004414A9"/>
    <w:rsid w:val="004415E3"/>
    <w:rsid w:val="0044170F"/>
    <w:rsid w:val="00441A11"/>
    <w:rsid w:val="00441B4C"/>
    <w:rsid w:val="00441F67"/>
    <w:rsid w:val="00441FAA"/>
    <w:rsid w:val="004422FA"/>
    <w:rsid w:val="004425EA"/>
    <w:rsid w:val="00442990"/>
    <w:rsid w:val="00442DFE"/>
    <w:rsid w:val="00442FD9"/>
    <w:rsid w:val="0044312D"/>
    <w:rsid w:val="00443921"/>
    <w:rsid w:val="00443E84"/>
    <w:rsid w:val="00443F81"/>
    <w:rsid w:val="004442BB"/>
    <w:rsid w:val="004442C1"/>
    <w:rsid w:val="00444564"/>
    <w:rsid w:val="00444CB4"/>
    <w:rsid w:val="00444ED0"/>
    <w:rsid w:val="00444F1C"/>
    <w:rsid w:val="00444F81"/>
    <w:rsid w:val="0044528D"/>
    <w:rsid w:val="004453C3"/>
    <w:rsid w:val="00445485"/>
    <w:rsid w:val="0044565A"/>
    <w:rsid w:val="00445950"/>
    <w:rsid w:val="00445EBA"/>
    <w:rsid w:val="00446371"/>
    <w:rsid w:val="004463B9"/>
    <w:rsid w:val="00446D5E"/>
    <w:rsid w:val="00447533"/>
    <w:rsid w:val="00450035"/>
    <w:rsid w:val="004504F9"/>
    <w:rsid w:val="00450544"/>
    <w:rsid w:val="0045057A"/>
    <w:rsid w:val="004505A3"/>
    <w:rsid w:val="0045088E"/>
    <w:rsid w:val="00450F96"/>
    <w:rsid w:val="0045124B"/>
    <w:rsid w:val="00451437"/>
    <w:rsid w:val="004514A0"/>
    <w:rsid w:val="004517B7"/>
    <w:rsid w:val="00451C08"/>
    <w:rsid w:val="00451ED2"/>
    <w:rsid w:val="004520E0"/>
    <w:rsid w:val="004528C3"/>
    <w:rsid w:val="00452C58"/>
    <w:rsid w:val="00452CAB"/>
    <w:rsid w:val="00453245"/>
    <w:rsid w:val="0045332F"/>
    <w:rsid w:val="00453427"/>
    <w:rsid w:val="00453BB7"/>
    <w:rsid w:val="004541D3"/>
    <w:rsid w:val="004542E7"/>
    <w:rsid w:val="00454431"/>
    <w:rsid w:val="0045455D"/>
    <w:rsid w:val="00454736"/>
    <w:rsid w:val="00455BAD"/>
    <w:rsid w:val="00455D29"/>
    <w:rsid w:val="00456071"/>
    <w:rsid w:val="00457A3F"/>
    <w:rsid w:val="00457E12"/>
    <w:rsid w:val="00460051"/>
    <w:rsid w:val="00460724"/>
    <w:rsid w:val="00460B1E"/>
    <w:rsid w:val="00460C16"/>
    <w:rsid w:val="00460EBE"/>
    <w:rsid w:val="0046131C"/>
    <w:rsid w:val="00461990"/>
    <w:rsid w:val="00461D97"/>
    <w:rsid w:val="00461F91"/>
    <w:rsid w:val="0046213B"/>
    <w:rsid w:val="00462739"/>
    <w:rsid w:val="00462777"/>
    <w:rsid w:val="004633BE"/>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2C"/>
    <w:rsid w:val="00467BB5"/>
    <w:rsid w:val="00467BC5"/>
    <w:rsid w:val="00467DEE"/>
    <w:rsid w:val="00467F23"/>
    <w:rsid w:val="00470564"/>
    <w:rsid w:val="00470C8A"/>
    <w:rsid w:val="00470D51"/>
    <w:rsid w:val="00470E87"/>
    <w:rsid w:val="004711B1"/>
    <w:rsid w:val="00471445"/>
    <w:rsid w:val="00471E48"/>
    <w:rsid w:val="00472285"/>
    <w:rsid w:val="00472368"/>
    <w:rsid w:val="0047253B"/>
    <w:rsid w:val="004728E2"/>
    <w:rsid w:val="00472A27"/>
    <w:rsid w:val="004735E1"/>
    <w:rsid w:val="0047384F"/>
    <w:rsid w:val="00473CBE"/>
    <w:rsid w:val="004740F7"/>
    <w:rsid w:val="0047465A"/>
    <w:rsid w:val="00474B83"/>
    <w:rsid w:val="00474BD3"/>
    <w:rsid w:val="00474C15"/>
    <w:rsid w:val="00475235"/>
    <w:rsid w:val="00475332"/>
    <w:rsid w:val="004754BB"/>
    <w:rsid w:val="0047551A"/>
    <w:rsid w:val="004755E9"/>
    <w:rsid w:val="00475E60"/>
    <w:rsid w:val="00476933"/>
    <w:rsid w:val="00476D50"/>
    <w:rsid w:val="0047724F"/>
    <w:rsid w:val="00477C2A"/>
    <w:rsid w:val="00477FFA"/>
    <w:rsid w:val="00480388"/>
    <w:rsid w:val="00480500"/>
    <w:rsid w:val="004808F3"/>
    <w:rsid w:val="00481199"/>
    <w:rsid w:val="00481DAB"/>
    <w:rsid w:val="00481EF1"/>
    <w:rsid w:val="0048227F"/>
    <w:rsid w:val="00482387"/>
    <w:rsid w:val="00482409"/>
    <w:rsid w:val="00482418"/>
    <w:rsid w:val="00482436"/>
    <w:rsid w:val="004825A1"/>
    <w:rsid w:val="00482A8A"/>
    <w:rsid w:val="00482AFC"/>
    <w:rsid w:val="00482FCD"/>
    <w:rsid w:val="004831D9"/>
    <w:rsid w:val="00484352"/>
    <w:rsid w:val="00484748"/>
    <w:rsid w:val="0048514B"/>
    <w:rsid w:val="00485A56"/>
    <w:rsid w:val="004863FE"/>
    <w:rsid w:val="004874F6"/>
    <w:rsid w:val="00487FC1"/>
    <w:rsid w:val="0049008B"/>
    <w:rsid w:val="004906B5"/>
    <w:rsid w:val="00490B92"/>
    <w:rsid w:val="00491313"/>
    <w:rsid w:val="00491EAC"/>
    <w:rsid w:val="0049214B"/>
    <w:rsid w:val="00492675"/>
    <w:rsid w:val="0049341E"/>
    <w:rsid w:val="00493660"/>
    <w:rsid w:val="00493AC5"/>
    <w:rsid w:val="00494690"/>
    <w:rsid w:val="00494833"/>
    <w:rsid w:val="00494DE8"/>
    <w:rsid w:val="0049507D"/>
    <w:rsid w:val="004955CA"/>
    <w:rsid w:val="00495ADF"/>
    <w:rsid w:val="004963EE"/>
    <w:rsid w:val="00496B73"/>
    <w:rsid w:val="00497684"/>
    <w:rsid w:val="00497CFD"/>
    <w:rsid w:val="004A0306"/>
    <w:rsid w:val="004A03C3"/>
    <w:rsid w:val="004A0531"/>
    <w:rsid w:val="004A0DD4"/>
    <w:rsid w:val="004A0E4B"/>
    <w:rsid w:val="004A109D"/>
    <w:rsid w:val="004A125F"/>
    <w:rsid w:val="004A1E1A"/>
    <w:rsid w:val="004A204F"/>
    <w:rsid w:val="004A2687"/>
    <w:rsid w:val="004A36D7"/>
    <w:rsid w:val="004A3768"/>
    <w:rsid w:val="004A3C90"/>
    <w:rsid w:val="004A44B5"/>
    <w:rsid w:val="004A4706"/>
    <w:rsid w:val="004A4C6F"/>
    <w:rsid w:val="004A5B08"/>
    <w:rsid w:val="004A6857"/>
    <w:rsid w:val="004A69AE"/>
    <w:rsid w:val="004A6F7A"/>
    <w:rsid w:val="004A7211"/>
    <w:rsid w:val="004A7404"/>
    <w:rsid w:val="004A76F0"/>
    <w:rsid w:val="004A7F94"/>
    <w:rsid w:val="004B03DD"/>
    <w:rsid w:val="004B0648"/>
    <w:rsid w:val="004B0AF8"/>
    <w:rsid w:val="004B0DFA"/>
    <w:rsid w:val="004B0FB5"/>
    <w:rsid w:val="004B103D"/>
    <w:rsid w:val="004B1619"/>
    <w:rsid w:val="004B16BC"/>
    <w:rsid w:val="004B1735"/>
    <w:rsid w:val="004B201C"/>
    <w:rsid w:val="004B22D8"/>
    <w:rsid w:val="004B274E"/>
    <w:rsid w:val="004B2E7E"/>
    <w:rsid w:val="004B359A"/>
    <w:rsid w:val="004B3881"/>
    <w:rsid w:val="004B38C9"/>
    <w:rsid w:val="004B3E2F"/>
    <w:rsid w:val="004B4210"/>
    <w:rsid w:val="004B441C"/>
    <w:rsid w:val="004B4479"/>
    <w:rsid w:val="004B5210"/>
    <w:rsid w:val="004B52EE"/>
    <w:rsid w:val="004B5955"/>
    <w:rsid w:val="004B59E0"/>
    <w:rsid w:val="004B5B5F"/>
    <w:rsid w:val="004B5E5D"/>
    <w:rsid w:val="004B63D9"/>
    <w:rsid w:val="004B6B4A"/>
    <w:rsid w:val="004B782C"/>
    <w:rsid w:val="004B7CAE"/>
    <w:rsid w:val="004C0154"/>
    <w:rsid w:val="004C0184"/>
    <w:rsid w:val="004C1A29"/>
    <w:rsid w:val="004C1DCD"/>
    <w:rsid w:val="004C1EF8"/>
    <w:rsid w:val="004C2006"/>
    <w:rsid w:val="004C255A"/>
    <w:rsid w:val="004C26B9"/>
    <w:rsid w:val="004C2A0A"/>
    <w:rsid w:val="004C3A68"/>
    <w:rsid w:val="004C45A7"/>
    <w:rsid w:val="004C648E"/>
    <w:rsid w:val="004C67D5"/>
    <w:rsid w:val="004C6805"/>
    <w:rsid w:val="004C702B"/>
    <w:rsid w:val="004C785E"/>
    <w:rsid w:val="004C7EB9"/>
    <w:rsid w:val="004D009C"/>
    <w:rsid w:val="004D0604"/>
    <w:rsid w:val="004D09F6"/>
    <w:rsid w:val="004D0A8C"/>
    <w:rsid w:val="004D170E"/>
    <w:rsid w:val="004D1836"/>
    <w:rsid w:val="004D190A"/>
    <w:rsid w:val="004D19DE"/>
    <w:rsid w:val="004D1CF8"/>
    <w:rsid w:val="004D1E03"/>
    <w:rsid w:val="004D2049"/>
    <w:rsid w:val="004D2135"/>
    <w:rsid w:val="004D2792"/>
    <w:rsid w:val="004D2D7E"/>
    <w:rsid w:val="004D2FA2"/>
    <w:rsid w:val="004D352C"/>
    <w:rsid w:val="004D3900"/>
    <w:rsid w:val="004D3A80"/>
    <w:rsid w:val="004D3AD0"/>
    <w:rsid w:val="004D3C64"/>
    <w:rsid w:val="004D3DE4"/>
    <w:rsid w:val="004D43F9"/>
    <w:rsid w:val="004D4482"/>
    <w:rsid w:val="004D4D52"/>
    <w:rsid w:val="004D56B6"/>
    <w:rsid w:val="004D60F3"/>
    <w:rsid w:val="004D6502"/>
    <w:rsid w:val="004D69F3"/>
    <w:rsid w:val="004D6E74"/>
    <w:rsid w:val="004D6ED8"/>
    <w:rsid w:val="004D7134"/>
    <w:rsid w:val="004D71A5"/>
    <w:rsid w:val="004D7512"/>
    <w:rsid w:val="004D766E"/>
    <w:rsid w:val="004E038D"/>
    <w:rsid w:val="004E04A9"/>
    <w:rsid w:val="004E0F4D"/>
    <w:rsid w:val="004E10D3"/>
    <w:rsid w:val="004E1514"/>
    <w:rsid w:val="004E1736"/>
    <w:rsid w:val="004E2B86"/>
    <w:rsid w:val="004E32EB"/>
    <w:rsid w:val="004E3300"/>
    <w:rsid w:val="004E33CD"/>
    <w:rsid w:val="004E3588"/>
    <w:rsid w:val="004E3E2D"/>
    <w:rsid w:val="004E3ED3"/>
    <w:rsid w:val="004E4032"/>
    <w:rsid w:val="004E40E3"/>
    <w:rsid w:val="004E41B6"/>
    <w:rsid w:val="004E41E6"/>
    <w:rsid w:val="004E43D6"/>
    <w:rsid w:val="004E44C1"/>
    <w:rsid w:val="004E45E8"/>
    <w:rsid w:val="004E4BEF"/>
    <w:rsid w:val="004E5550"/>
    <w:rsid w:val="004E56D1"/>
    <w:rsid w:val="004E5B78"/>
    <w:rsid w:val="004E5C1A"/>
    <w:rsid w:val="004E6A06"/>
    <w:rsid w:val="004E6A89"/>
    <w:rsid w:val="004E7267"/>
    <w:rsid w:val="004E7435"/>
    <w:rsid w:val="004E74A8"/>
    <w:rsid w:val="004F0016"/>
    <w:rsid w:val="004F0092"/>
    <w:rsid w:val="004F0762"/>
    <w:rsid w:val="004F175A"/>
    <w:rsid w:val="004F1D6B"/>
    <w:rsid w:val="004F2410"/>
    <w:rsid w:val="004F3276"/>
    <w:rsid w:val="004F3996"/>
    <w:rsid w:val="004F3E07"/>
    <w:rsid w:val="004F4584"/>
    <w:rsid w:val="004F458E"/>
    <w:rsid w:val="004F4C6D"/>
    <w:rsid w:val="004F4D00"/>
    <w:rsid w:val="004F4DC3"/>
    <w:rsid w:val="004F4F4D"/>
    <w:rsid w:val="004F5F5E"/>
    <w:rsid w:val="004F61F0"/>
    <w:rsid w:val="004F69A9"/>
    <w:rsid w:val="004F6AA6"/>
    <w:rsid w:val="004F768B"/>
    <w:rsid w:val="00500D32"/>
    <w:rsid w:val="00500DF0"/>
    <w:rsid w:val="00501217"/>
    <w:rsid w:val="005016C9"/>
    <w:rsid w:val="00501859"/>
    <w:rsid w:val="00501951"/>
    <w:rsid w:val="00501AE7"/>
    <w:rsid w:val="00502144"/>
    <w:rsid w:val="0050228E"/>
    <w:rsid w:val="0050239E"/>
    <w:rsid w:val="00502E04"/>
    <w:rsid w:val="00502EF5"/>
    <w:rsid w:val="00502F17"/>
    <w:rsid w:val="005031CB"/>
    <w:rsid w:val="00503834"/>
    <w:rsid w:val="0050385D"/>
    <w:rsid w:val="00503D7F"/>
    <w:rsid w:val="005043CB"/>
    <w:rsid w:val="0050460C"/>
    <w:rsid w:val="0050469B"/>
    <w:rsid w:val="00504954"/>
    <w:rsid w:val="00504AC3"/>
    <w:rsid w:val="00504BCC"/>
    <w:rsid w:val="005055F3"/>
    <w:rsid w:val="00506495"/>
    <w:rsid w:val="005065CE"/>
    <w:rsid w:val="00506617"/>
    <w:rsid w:val="0050671A"/>
    <w:rsid w:val="005070C1"/>
    <w:rsid w:val="005078E7"/>
    <w:rsid w:val="0051018C"/>
    <w:rsid w:val="005104E4"/>
    <w:rsid w:val="00511269"/>
    <w:rsid w:val="00511637"/>
    <w:rsid w:val="00511B9D"/>
    <w:rsid w:val="00511C45"/>
    <w:rsid w:val="00511C5F"/>
    <w:rsid w:val="00511D18"/>
    <w:rsid w:val="005120A8"/>
    <w:rsid w:val="005120BE"/>
    <w:rsid w:val="005122F7"/>
    <w:rsid w:val="00512E93"/>
    <w:rsid w:val="00513F57"/>
    <w:rsid w:val="00513FF4"/>
    <w:rsid w:val="0051410C"/>
    <w:rsid w:val="005141D6"/>
    <w:rsid w:val="005143F5"/>
    <w:rsid w:val="00514672"/>
    <w:rsid w:val="00514A16"/>
    <w:rsid w:val="00514D51"/>
    <w:rsid w:val="00514F05"/>
    <w:rsid w:val="005151AD"/>
    <w:rsid w:val="005157CC"/>
    <w:rsid w:val="00515F28"/>
    <w:rsid w:val="005169C2"/>
    <w:rsid w:val="00516C15"/>
    <w:rsid w:val="005177B1"/>
    <w:rsid w:val="0051781A"/>
    <w:rsid w:val="00517CBC"/>
    <w:rsid w:val="00517FB4"/>
    <w:rsid w:val="005202BA"/>
    <w:rsid w:val="005206A3"/>
    <w:rsid w:val="00520952"/>
    <w:rsid w:val="00520CC4"/>
    <w:rsid w:val="00521064"/>
    <w:rsid w:val="00521165"/>
    <w:rsid w:val="0052140E"/>
    <w:rsid w:val="00521910"/>
    <w:rsid w:val="005219F5"/>
    <w:rsid w:val="00521ECD"/>
    <w:rsid w:val="00521F58"/>
    <w:rsid w:val="00521F81"/>
    <w:rsid w:val="0052211E"/>
    <w:rsid w:val="00522438"/>
    <w:rsid w:val="0052299E"/>
    <w:rsid w:val="00522F8F"/>
    <w:rsid w:val="00523D89"/>
    <w:rsid w:val="00524301"/>
    <w:rsid w:val="00524315"/>
    <w:rsid w:val="005247EE"/>
    <w:rsid w:val="00524995"/>
    <w:rsid w:val="00524A39"/>
    <w:rsid w:val="00524ADB"/>
    <w:rsid w:val="00524D15"/>
    <w:rsid w:val="00525B19"/>
    <w:rsid w:val="00525F2C"/>
    <w:rsid w:val="005261F0"/>
    <w:rsid w:val="005263E6"/>
    <w:rsid w:val="00526939"/>
    <w:rsid w:val="00526B4C"/>
    <w:rsid w:val="0052701D"/>
    <w:rsid w:val="00527087"/>
    <w:rsid w:val="005271BB"/>
    <w:rsid w:val="0053017A"/>
    <w:rsid w:val="005301C9"/>
    <w:rsid w:val="005306D7"/>
    <w:rsid w:val="00530DD8"/>
    <w:rsid w:val="00530FC1"/>
    <w:rsid w:val="005312FA"/>
    <w:rsid w:val="0053153C"/>
    <w:rsid w:val="00531FF4"/>
    <w:rsid w:val="00532907"/>
    <w:rsid w:val="0053290D"/>
    <w:rsid w:val="00532C8F"/>
    <w:rsid w:val="0053361E"/>
    <w:rsid w:val="00533731"/>
    <w:rsid w:val="0053388B"/>
    <w:rsid w:val="00533A0B"/>
    <w:rsid w:val="00533BA7"/>
    <w:rsid w:val="00534300"/>
    <w:rsid w:val="00534778"/>
    <w:rsid w:val="005348AE"/>
    <w:rsid w:val="00534C1F"/>
    <w:rsid w:val="00534DA4"/>
    <w:rsid w:val="00536297"/>
    <w:rsid w:val="00536DA7"/>
    <w:rsid w:val="00536FFE"/>
    <w:rsid w:val="0053770F"/>
    <w:rsid w:val="0053785D"/>
    <w:rsid w:val="00537BDB"/>
    <w:rsid w:val="005403D2"/>
    <w:rsid w:val="00540740"/>
    <w:rsid w:val="00540BA2"/>
    <w:rsid w:val="00540E05"/>
    <w:rsid w:val="005410EB"/>
    <w:rsid w:val="00541305"/>
    <w:rsid w:val="00541542"/>
    <w:rsid w:val="00541FEE"/>
    <w:rsid w:val="00542206"/>
    <w:rsid w:val="0054235D"/>
    <w:rsid w:val="005427B1"/>
    <w:rsid w:val="00542C7C"/>
    <w:rsid w:val="00542CD2"/>
    <w:rsid w:val="00542FFB"/>
    <w:rsid w:val="00543C27"/>
    <w:rsid w:val="00543C60"/>
    <w:rsid w:val="00543E91"/>
    <w:rsid w:val="005441AE"/>
    <w:rsid w:val="005442AA"/>
    <w:rsid w:val="0054431E"/>
    <w:rsid w:val="0054445B"/>
    <w:rsid w:val="00544EC8"/>
    <w:rsid w:val="00545358"/>
    <w:rsid w:val="00545A97"/>
    <w:rsid w:val="00545E98"/>
    <w:rsid w:val="00546ACE"/>
    <w:rsid w:val="00546B0D"/>
    <w:rsid w:val="00547107"/>
    <w:rsid w:val="005478F9"/>
    <w:rsid w:val="00547C8A"/>
    <w:rsid w:val="005500C5"/>
    <w:rsid w:val="0055025E"/>
    <w:rsid w:val="005502D6"/>
    <w:rsid w:val="0055230B"/>
    <w:rsid w:val="00552421"/>
    <w:rsid w:val="00552636"/>
    <w:rsid w:val="00552B60"/>
    <w:rsid w:val="00554170"/>
    <w:rsid w:val="00554283"/>
    <w:rsid w:val="00554616"/>
    <w:rsid w:val="00554A7B"/>
    <w:rsid w:val="0055519E"/>
    <w:rsid w:val="00555796"/>
    <w:rsid w:val="00555D17"/>
    <w:rsid w:val="0055633E"/>
    <w:rsid w:val="0055733C"/>
    <w:rsid w:val="005575A8"/>
    <w:rsid w:val="00557B48"/>
    <w:rsid w:val="00557F16"/>
    <w:rsid w:val="0056043F"/>
    <w:rsid w:val="005608EA"/>
    <w:rsid w:val="00560A09"/>
    <w:rsid w:val="00560AE7"/>
    <w:rsid w:val="00560CAE"/>
    <w:rsid w:val="00560EFE"/>
    <w:rsid w:val="00561446"/>
    <w:rsid w:val="005615D9"/>
    <w:rsid w:val="00561D00"/>
    <w:rsid w:val="00562533"/>
    <w:rsid w:val="00562607"/>
    <w:rsid w:val="00562DF8"/>
    <w:rsid w:val="005631FA"/>
    <w:rsid w:val="005633B3"/>
    <w:rsid w:val="00563E73"/>
    <w:rsid w:val="005646D1"/>
    <w:rsid w:val="0056477D"/>
    <w:rsid w:val="005647D1"/>
    <w:rsid w:val="00564EE6"/>
    <w:rsid w:val="0056567F"/>
    <w:rsid w:val="005659B7"/>
    <w:rsid w:val="00565AE0"/>
    <w:rsid w:val="0056640B"/>
    <w:rsid w:val="0056645E"/>
    <w:rsid w:val="0056680F"/>
    <w:rsid w:val="00566A14"/>
    <w:rsid w:val="00567008"/>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3EFC"/>
    <w:rsid w:val="005744B1"/>
    <w:rsid w:val="00574B1B"/>
    <w:rsid w:val="00574E1E"/>
    <w:rsid w:val="00574F70"/>
    <w:rsid w:val="00575037"/>
    <w:rsid w:val="00575236"/>
    <w:rsid w:val="005755C3"/>
    <w:rsid w:val="005759B7"/>
    <w:rsid w:val="00576A55"/>
    <w:rsid w:val="00576B16"/>
    <w:rsid w:val="005770CF"/>
    <w:rsid w:val="0057797B"/>
    <w:rsid w:val="00577B9D"/>
    <w:rsid w:val="00577CEF"/>
    <w:rsid w:val="00577ED9"/>
    <w:rsid w:val="005803F9"/>
    <w:rsid w:val="005804AE"/>
    <w:rsid w:val="00580579"/>
    <w:rsid w:val="00580882"/>
    <w:rsid w:val="00580A16"/>
    <w:rsid w:val="00581047"/>
    <w:rsid w:val="00581303"/>
    <w:rsid w:val="00581A4F"/>
    <w:rsid w:val="00582070"/>
    <w:rsid w:val="00582497"/>
    <w:rsid w:val="00582B65"/>
    <w:rsid w:val="00582CDC"/>
    <w:rsid w:val="00583005"/>
    <w:rsid w:val="005832A8"/>
    <w:rsid w:val="005832AC"/>
    <w:rsid w:val="0058426E"/>
    <w:rsid w:val="00584D81"/>
    <w:rsid w:val="00584F16"/>
    <w:rsid w:val="00584FFE"/>
    <w:rsid w:val="00585552"/>
    <w:rsid w:val="005856BA"/>
    <w:rsid w:val="00585D34"/>
    <w:rsid w:val="005861F1"/>
    <w:rsid w:val="00586265"/>
    <w:rsid w:val="00586FDA"/>
    <w:rsid w:val="00587ACB"/>
    <w:rsid w:val="00587E03"/>
    <w:rsid w:val="005903C1"/>
    <w:rsid w:val="005906DB"/>
    <w:rsid w:val="0059178D"/>
    <w:rsid w:val="0059200F"/>
    <w:rsid w:val="00592712"/>
    <w:rsid w:val="0059285D"/>
    <w:rsid w:val="00592A51"/>
    <w:rsid w:val="00592DC5"/>
    <w:rsid w:val="00593411"/>
    <w:rsid w:val="0059369F"/>
    <w:rsid w:val="005938DE"/>
    <w:rsid w:val="00593D9E"/>
    <w:rsid w:val="00595347"/>
    <w:rsid w:val="0059556D"/>
    <w:rsid w:val="00595DEE"/>
    <w:rsid w:val="005960AE"/>
    <w:rsid w:val="005960AF"/>
    <w:rsid w:val="005969DE"/>
    <w:rsid w:val="005973A5"/>
    <w:rsid w:val="00597996"/>
    <w:rsid w:val="00597B6C"/>
    <w:rsid w:val="005A077A"/>
    <w:rsid w:val="005A07E8"/>
    <w:rsid w:val="005A0ADE"/>
    <w:rsid w:val="005A0B3B"/>
    <w:rsid w:val="005A11B9"/>
    <w:rsid w:val="005A120D"/>
    <w:rsid w:val="005A1422"/>
    <w:rsid w:val="005A1640"/>
    <w:rsid w:val="005A19DD"/>
    <w:rsid w:val="005A1A8A"/>
    <w:rsid w:val="005A1FD2"/>
    <w:rsid w:val="005A2A05"/>
    <w:rsid w:val="005A2B3C"/>
    <w:rsid w:val="005A3452"/>
    <w:rsid w:val="005A3ED7"/>
    <w:rsid w:val="005A3FAF"/>
    <w:rsid w:val="005A40E4"/>
    <w:rsid w:val="005A40EE"/>
    <w:rsid w:val="005A572D"/>
    <w:rsid w:val="005A57F4"/>
    <w:rsid w:val="005A5BC7"/>
    <w:rsid w:val="005A5D61"/>
    <w:rsid w:val="005A62C0"/>
    <w:rsid w:val="005A67D5"/>
    <w:rsid w:val="005A6921"/>
    <w:rsid w:val="005A6A77"/>
    <w:rsid w:val="005A6CC0"/>
    <w:rsid w:val="005A6EEC"/>
    <w:rsid w:val="005A6FD9"/>
    <w:rsid w:val="005A7687"/>
    <w:rsid w:val="005A78B7"/>
    <w:rsid w:val="005A7E57"/>
    <w:rsid w:val="005B0278"/>
    <w:rsid w:val="005B0601"/>
    <w:rsid w:val="005B1220"/>
    <w:rsid w:val="005B15BB"/>
    <w:rsid w:val="005B2115"/>
    <w:rsid w:val="005B25A4"/>
    <w:rsid w:val="005B27AA"/>
    <w:rsid w:val="005B2BAE"/>
    <w:rsid w:val="005B2BFC"/>
    <w:rsid w:val="005B318E"/>
    <w:rsid w:val="005B322C"/>
    <w:rsid w:val="005B38F1"/>
    <w:rsid w:val="005B4358"/>
    <w:rsid w:val="005B47AF"/>
    <w:rsid w:val="005B4C0A"/>
    <w:rsid w:val="005B4C6C"/>
    <w:rsid w:val="005B4C7E"/>
    <w:rsid w:val="005B4F3D"/>
    <w:rsid w:val="005B52F7"/>
    <w:rsid w:val="005B548B"/>
    <w:rsid w:val="005B611F"/>
    <w:rsid w:val="005B66A4"/>
    <w:rsid w:val="005B6858"/>
    <w:rsid w:val="005B6F78"/>
    <w:rsid w:val="005B797F"/>
    <w:rsid w:val="005B7BFF"/>
    <w:rsid w:val="005C0470"/>
    <w:rsid w:val="005C05BB"/>
    <w:rsid w:val="005C089B"/>
    <w:rsid w:val="005C09D9"/>
    <w:rsid w:val="005C0B51"/>
    <w:rsid w:val="005C0DDF"/>
    <w:rsid w:val="005C11B8"/>
    <w:rsid w:val="005C1961"/>
    <w:rsid w:val="005C1EB0"/>
    <w:rsid w:val="005C2F6B"/>
    <w:rsid w:val="005C3266"/>
    <w:rsid w:val="005C342E"/>
    <w:rsid w:val="005C3586"/>
    <w:rsid w:val="005C3858"/>
    <w:rsid w:val="005C3A38"/>
    <w:rsid w:val="005C3D84"/>
    <w:rsid w:val="005C3F5E"/>
    <w:rsid w:val="005C41A2"/>
    <w:rsid w:val="005C44AC"/>
    <w:rsid w:val="005C4931"/>
    <w:rsid w:val="005C4F96"/>
    <w:rsid w:val="005C51AD"/>
    <w:rsid w:val="005C5275"/>
    <w:rsid w:val="005C5436"/>
    <w:rsid w:val="005C6950"/>
    <w:rsid w:val="005C6A85"/>
    <w:rsid w:val="005C6F3D"/>
    <w:rsid w:val="005C7185"/>
    <w:rsid w:val="005C7647"/>
    <w:rsid w:val="005C79D9"/>
    <w:rsid w:val="005C7A33"/>
    <w:rsid w:val="005C7A5E"/>
    <w:rsid w:val="005D05D0"/>
    <w:rsid w:val="005D1508"/>
    <w:rsid w:val="005D159D"/>
    <w:rsid w:val="005D17E6"/>
    <w:rsid w:val="005D194F"/>
    <w:rsid w:val="005D1ACF"/>
    <w:rsid w:val="005D1B7B"/>
    <w:rsid w:val="005D210B"/>
    <w:rsid w:val="005D2558"/>
    <w:rsid w:val="005D263F"/>
    <w:rsid w:val="005D26B3"/>
    <w:rsid w:val="005D28CB"/>
    <w:rsid w:val="005D2ACB"/>
    <w:rsid w:val="005D2E12"/>
    <w:rsid w:val="005D30C8"/>
    <w:rsid w:val="005D3522"/>
    <w:rsid w:val="005D366D"/>
    <w:rsid w:val="005D3A80"/>
    <w:rsid w:val="005D3BE5"/>
    <w:rsid w:val="005D4082"/>
    <w:rsid w:val="005D41DA"/>
    <w:rsid w:val="005D4997"/>
    <w:rsid w:val="005D4B7C"/>
    <w:rsid w:val="005D5E83"/>
    <w:rsid w:val="005D62E2"/>
    <w:rsid w:val="005D64D8"/>
    <w:rsid w:val="005D6A53"/>
    <w:rsid w:val="005D7351"/>
    <w:rsid w:val="005D76FC"/>
    <w:rsid w:val="005D791E"/>
    <w:rsid w:val="005D7BD8"/>
    <w:rsid w:val="005E01C3"/>
    <w:rsid w:val="005E0833"/>
    <w:rsid w:val="005E112C"/>
    <w:rsid w:val="005E1149"/>
    <w:rsid w:val="005E1951"/>
    <w:rsid w:val="005E1C9F"/>
    <w:rsid w:val="005E2065"/>
    <w:rsid w:val="005E24D7"/>
    <w:rsid w:val="005E27BB"/>
    <w:rsid w:val="005E27C5"/>
    <w:rsid w:val="005E2B83"/>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8E3"/>
    <w:rsid w:val="005E6C8D"/>
    <w:rsid w:val="005E6CCA"/>
    <w:rsid w:val="005E6DF4"/>
    <w:rsid w:val="005E7172"/>
    <w:rsid w:val="005E73EF"/>
    <w:rsid w:val="005F0124"/>
    <w:rsid w:val="005F0446"/>
    <w:rsid w:val="005F073D"/>
    <w:rsid w:val="005F0A17"/>
    <w:rsid w:val="005F0B8C"/>
    <w:rsid w:val="005F0CC1"/>
    <w:rsid w:val="005F0EB5"/>
    <w:rsid w:val="005F0FCF"/>
    <w:rsid w:val="005F1352"/>
    <w:rsid w:val="005F1637"/>
    <w:rsid w:val="005F1DC6"/>
    <w:rsid w:val="005F20DB"/>
    <w:rsid w:val="005F2892"/>
    <w:rsid w:val="005F2CFD"/>
    <w:rsid w:val="005F35DA"/>
    <w:rsid w:val="005F38DF"/>
    <w:rsid w:val="005F3947"/>
    <w:rsid w:val="005F3A31"/>
    <w:rsid w:val="005F3E57"/>
    <w:rsid w:val="005F41FA"/>
    <w:rsid w:val="005F421E"/>
    <w:rsid w:val="005F44B6"/>
    <w:rsid w:val="005F464D"/>
    <w:rsid w:val="005F4673"/>
    <w:rsid w:val="005F47C4"/>
    <w:rsid w:val="005F4840"/>
    <w:rsid w:val="005F4CF7"/>
    <w:rsid w:val="005F4E72"/>
    <w:rsid w:val="005F4E7E"/>
    <w:rsid w:val="005F51BB"/>
    <w:rsid w:val="005F55F8"/>
    <w:rsid w:val="005F5820"/>
    <w:rsid w:val="005F5B5D"/>
    <w:rsid w:val="005F6103"/>
    <w:rsid w:val="005F6380"/>
    <w:rsid w:val="005F64D0"/>
    <w:rsid w:val="005F65BF"/>
    <w:rsid w:val="005F68C1"/>
    <w:rsid w:val="005F6A7D"/>
    <w:rsid w:val="005F6FE7"/>
    <w:rsid w:val="005F7220"/>
    <w:rsid w:val="00600295"/>
    <w:rsid w:val="006002E4"/>
    <w:rsid w:val="00600B48"/>
    <w:rsid w:val="0060100D"/>
    <w:rsid w:val="0060154D"/>
    <w:rsid w:val="00601E81"/>
    <w:rsid w:val="00601F8A"/>
    <w:rsid w:val="00602255"/>
    <w:rsid w:val="006035EC"/>
    <w:rsid w:val="00603850"/>
    <w:rsid w:val="0060449E"/>
    <w:rsid w:val="00604C40"/>
    <w:rsid w:val="00604E57"/>
    <w:rsid w:val="006050A4"/>
    <w:rsid w:val="0060544B"/>
    <w:rsid w:val="00605A63"/>
    <w:rsid w:val="00605B6F"/>
    <w:rsid w:val="006062D2"/>
    <w:rsid w:val="00606BCB"/>
    <w:rsid w:val="00606C2D"/>
    <w:rsid w:val="00606F2C"/>
    <w:rsid w:val="00606F78"/>
    <w:rsid w:val="0060717D"/>
    <w:rsid w:val="0060725B"/>
    <w:rsid w:val="00607679"/>
    <w:rsid w:val="00607E2D"/>
    <w:rsid w:val="00610188"/>
    <w:rsid w:val="006104D3"/>
    <w:rsid w:val="006106CB"/>
    <w:rsid w:val="00610969"/>
    <w:rsid w:val="00610E6B"/>
    <w:rsid w:val="00610FF4"/>
    <w:rsid w:val="00611791"/>
    <w:rsid w:val="00611B00"/>
    <w:rsid w:val="00611BD2"/>
    <w:rsid w:val="00611F88"/>
    <w:rsid w:val="00612055"/>
    <w:rsid w:val="00612476"/>
    <w:rsid w:val="00612570"/>
    <w:rsid w:val="006126F6"/>
    <w:rsid w:val="00612C0A"/>
    <w:rsid w:val="00612E95"/>
    <w:rsid w:val="0061313E"/>
    <w:rsid w:val="0061370D"/>
    <w:rsid w:val="00613B21"/>
    <w:rsid w:val="00613F5E"/>
    <w:rsid w:val="00614862"/>
    <w:rsid w:val="006149A6"/>
    <w:rsid w:val="00614D4B"/>
    <w:rsid w:val="006151D7"/>
    <w:rsid w:val="006151D8"/>
    <w:rsid w:val="006155E7"/>
    <w:rsid w:val="00615D42"/>
    <w:rsid w:val="006160E2"/>
    <w:rsid w:val="006168D8"/>
    <w:rsid w:val="00616CDE"/>
    <w:rsid w:val="006175F1"/>
    <w:rsid w:val="00620A2F"/>
    <w:rsid w:val="00620A9C"/>
    <w:rsid w:val="00620AEB"/>
    <w:rsid w:val="0062107B"/>
    <w:rsid w:val="00621343"/>
    <w:rsid w:val="00621489"/>
    <w:rsid w:val="00621B10"/>
    <w:rsid w:val="00621DA9"/>
    <w:rsid w:val="00621DD0"/>
    <w:rsid w:val="00621F53"/>
    <w:rsid w:val="0062241D"/>
    <w:rsid w:val="006224A9"/>
    <w:rsid w:val="00622503"/>
    <w:rsid w:val="006229BD"/>
    <w:rsid w:val="0062393C"/>
    <w:rsid w:val="006241E1"/>
    <w:rsid w:val="00624526"/>
    <w:rsid w:val="006249B2"/>
    <w:rsid w:val="00624CB7"/>
    <w:rsid w:val="006253B6"/>
    <w:rsid w:val="0062578B"/>
    <w:rsid w:val="00625793"/>
    <w:rsid w:val="00625900"/>
    <w:rsid w:val="00625E9A"/>
    <w:rsid w:val="006261EC"/>
    <w:rsid w:val="00626978"/>
    <w:rsid w:val="006269FF"/>
    <w:rsid w:val="00626D3F"/>
    <w:rsid w:val="00626D90"/>
    <w:rsid w:val="006276D1"/>
    <w:rsid w:val="00627832"/>
    <w:rsid w:val="00627A06"/>
    <w:rsid w:val="00627F4C"/>
    <w:rsid w:val="006303E0"/>
    <w:rsid w:val="006317E5"/>
    <w:rsid w:val="00631934"/>
    <w:rsid w:val="0063196F"/>
    <w:rsid w:val="00631D4A"/>
    <w:rsid w:val="00631DB1"/>
    <w:rsid w:val="00632414"/>
    <w:rsid w:val="00632436"/>
    <w:rsid w:val="00632AB1"/>
    <w:rsid w:val="00632B22"/>
    <w:rsid w:val="006332AF"/>
    <w:rsid w:val="006333AB"/>
    <w:rsid w:val="006333CB"/>
    <w:rsid w:val="006338AA"/>
    <w:rsid w:val="006338C2"/>
    <w:rsid w:val="006342E7"/>
    <w:rsid w:val="0063444C"/>
    <w:rsid w:val="00634941"/>
    <w:rsid w:val="00635328"/>
    <w:rsid w:val="006354A2"/>
    <w:rsid w:val="0063578D"/>
    <w:rsid w:val="006361A5"/>
    <w:rsid w:val="006364CA"/>
    <w:rsid w:val="006370BC"/>
    <w:rsid w:val="00637320"/>
    <w:rsid w:val="00637841"/>
    <w:rsid w:val="0063796E"/>
    <w:rsid w:val="006379FE"/>
    <w:rsid w:val="00640C57"/>
    <w:rsid w:val="00641CB9"/>
    <w:rsid w:val="00641EF2"/>
    <w:rsid w:val="00642E98"/>
    <w:rsid w:val="00642EF3"/>
    <w:rsid w:val="0064318E"/>
    <w:rsid w:val="006437AA"/>
    <w:rsid w:val="00643A6C"/>
    <w:rsid w:val="00644254"/>
    <w:rsid w:val="00644422"/>
    <w:rsid w:val="00644840"/>
    <w:rsid w:val="0064569F"/>
    <w:rsid w:val="006456C3"/>
    <w:rsid w:val="0064673C"/>
    <w:rsid w:val="00646C49"/>
    <w:rsid w:val="006471B9"/>
    <w:rsid w:val="006479AA"/>
    <w:rsid w:val="00650391"/>
    <w:rsid w:val="00650D66"/>
    <w:rsid w:val="006510C2"/>
    <w:rsid w:val="006514C3"/>
    <w:rsid w:val="00651751"/>
    <w:rsid w:val="00651C55"/>
    <w:rsid w:val="00652E7D"/>
    <w:rsid w:val="006530FB"/>
    <w:rsid w:val="00653684"/>
    <w:rsid w:val="00653757"/>
    <w:rsid w:val="006537AD"/>
    <w:rsid w:val="00653AED"/>
    <w:rsid w:val="00654141"/>
    <w:rsid w:val="00654176"/>
    <w:rsid w:val="006542B3"/>
    <w:rsid w:val="00654AC6"/>
    <w:rsid w:val="00654C11"/>
    <w:rsid w:val="00654DD4"/>
    <w:rsid w:val="00654DDB"/>
    <w:rsid w:val="006553C6"/>
    <w:rsid w:val="00655B22"/>
    <w:rsid w:val="00655FCF"/>
    <w:rsid w:val="0065622F"/>
    <w:rsid w:val="00656285"/>
    <w:rsid w:val="00656883"/>
    <w:rsid w:val="00656E68"/>
    <w:rsid w:val="006573C7"/>
    <w:rsid w:val="006576E9"/>
    <w:rsid w:val="0066023D"/>
    <w:rsid w:val="00660EAC"/>
    <w:rsid w:val="00660F94"/>
    <w:rsid w:val="006614BA"/>
    <w:rsid w:val="006616D5"/>
    <w:rsid w:val="00661BEC"/>
    <w:rsid w:val="00661F00"/>
    <w:rsid w:val="00662022"/>
    <w:rsid w:val="0066216C"/>
    <w:rsid w:val="006625D9"/>
    <w:rsid w:val="00662D1C"/>
    <w:rsid w:val="006633A6"/>
    <w:rsid w:val="0066343E"/>
    <w:rsid w:val="00663926"/>
    <w:rsid w:val="006639FE"/>
    <w:rsid w:val="00663A41"/>
    <w:rsid w:val="00663B1F"/>
    <w:rsid w:val="00663E9B"/>
    <w:rsid w:val="0066458E"/>
    <w:rsid w:val="00664596"/>
    <w:rsid w:val="00664C8A"/>
    <w:rsid w:val="00665DD4"/>
    <w:rsid w:val="00666018"/>
    <w:rsid w:val="00666080"/>
    <w:rsid w:val="00666350"/>
    <w:rsid w:val="00666819"/>
    <w:rsid w:val="00666FB8"/>
    <w:rsid w:val="006671F3"/>
    <w:rsid w:val="006678FB"/>
    <w:rsid w:val="006702F0"/>
    <w:rsid w:val="0067084D"/>
    <w:rsid w:val="006708F8"/>
    <w:rsid w:val="0067096F"/>
    <w:rsid w:val="00670A4E"/>
    <w:rsid w:val="00670D4B"/>
    <w:rsid w:val="00671BCD"/>
    <w:rsid w:val="0067224E"/>
    <w:rsid w:val="006728FD"/>
    <w:rsid w:val="00673267"/>
    <w:rsid w:val="00673288"/>
    <w:rsid w:val="0067336A"/>
    <w:rsid w:val="00673569"/>
    <w:rsid w:val="00673721"/>
    <w:rsid w:val="00674BB0"/>
    <w:rsid w:val="00674E1C"/>
    <w:rsid w:val="0067556F"/>
    <w:rsid w:val="0067557C"/>
    <w:rsid w:val="00675DBF"/>
    <w:rsid w:val="006762C2"/>
    <w:rsid w:val="0067683B"/>
    <w:rsid w:val="00676D10"/>
    <w:rsid w:val="0067746E"/>
    <w:rsid w:val="00677A9C"/>
    <w:rsid w:val="00677F86"/>
    <w:rsid w:val="00677FC8"/>
    <w:rsid w:val="00680020"/>
    <w:rsid w:val="00680425"/>
    <w:rsid w:val="00680D7D"/>
    <w:rsid w:val="00680DC8"/>
    <w:rsid w:val="006815E8"/>
    <w:rsid w:val="006818AD"/>
    <w:rsid w:val="00681A16"/>
    <w:rsid w:val="00681E0F"/>
    <w:rsid w:val="006821DD"/>
    <w:rsid w:val="0068225F"/>
    <w:rsid w:val="0068265E"/>
    <w:rsid w:val="00682AA7"/>
    <w:rsid w:val="0068312E"/>
    <w:rsid w:val="0068391F"/>
    <w:rsid w:val="006839E9"/>
    <w:rsid w:val="00683CA1"/>
    <w:rsid w:val="00684A81"/>
    <w:rsid w:val="006853B6"/>
    <w:rsid w:val="006855EB"/>
    <w:rsid w:val="0068587D"/>
    <w:rsid w:val="00685944"/>
    <w:rsid w:val="00685B96"/>
    <w:rsid w:val="00685F4D"/>
    <w:rsid w:val="00687450"/>
    <w:rsid w:val="00687E79"/>
    <w:rsid w:val="00690A68"/>
    <w:rsid w:val="00690B41"/>
    <w:rsid w:val="00690C7D"/>
    <w:rsid w:val="0069138E"/>
    <w:rsid w:val="00691742"/>
    <w:rsid w:val="00691D4F"/>
    <w:rsid w:val="0069262D"/>
    <w:rsid w:val="0069279B"/>
    <w:rsid w:val="006928E9"/>
    <w:rsid w:val="00692E49"/>
    <w:rsid w:val="0069320E"/>
    <w:rsid w:val="006934EE"/>
    <w:rsid w:val="00693775"/>
    <w:rsid w:val="00693BC7"/>
    <w:rsid w:val="00693DB4"/>
    <w:rsid w:val="006944E2"/>
    <w:rsid w:val="0069475E"/>
    <w:rsid w:val="00694BF9"/>
    <w:rsid w:val="00694D28"/>
    <w:rsid w:val="006950D2"/>
    <w:rsid w:val="00695787"/>
    <w:rsid w:val="00695864"/>
    <w:rsid w:val="00695F4E"/>
    <w:rsid w:val="00695F8B"/>
    <w:rsid w:val="006961F7"/>
    <w:rsid w:val="00696493"/>
    <w:rsid w:val="00696691"/>
    <w:rsid w:val="00696826"/>
    <w:rsid w:val="00696E7A"/>
    <w:rsid w:val="00696ECE"/>
    <w:rsid w:val="006973C6"/>
    <w:rsid w:val="006974AA"/>
    <w:rsid w:val="0069760D"/>
    <w:rsid w:val="0069765B"/>
    <w:rsid w:val="006977E7"/>
    <w:rsid w:val="00697804"/>
    <w:rsid w:val="00697A0C"/>
    <w:rsid w:val="00697F52"/>
    <w:rsid w:val="006A027F"/>
    <w:rsid w:val="006A0D0B"/>
    <w:rsid w:val="006A0ECC"/>
    <w:rsid w:val="006A0EF0"/>
    <w:rsid w:val="006A1266"/>
    <w:rsid w:val="006A141F"/>
    <w:rsid w:val="006A1A92"/>
    <w:rsid w:val="006A1B65"/>
    <w:rsid w:val="006A2570"/>
    <w:rsid w:val="006A2C7C"/>
    <w:rsid w:val="006A3437"/>
    <w:rsid w:val="006A34BA"/>
    <w:rsid w:val="006A3762"/>
    <w:rsid w:val="006A3F7C"/>
    <w:rsid w:val="006A409C"/>
    <w:rsid w:val="006A453A"/>
    <w:rsid w:val="006A4D6F"/>
    <w:rsid w:val="006A572B"/>
    <w:rsid w:val="006A58AC"/>
    <w:rsid w:val="006A5D48"/>
    <w:rsid w:val="006A5E3C"/>
    <w:rsid w:val="006A5F6D"/>
    <w:rsid w:val="006A610E"/>
    <w:rsid w:val="006A6252"/>
    <w:rsid w:val="006A6666"/>
    <w:rsid w:val="006A6BA7"/>
    <w:rsid w:val="006A6FDB"/>
    <w:rsid w:val="006A718A"/>
    <w:rsid w:val="006A7955"/>
    <w:rsid w:val="006A7BE6"/>
    <w:rsid w:val="006A7DBB"/>
    <w:rsid w:val="006A7F34"/>
    <w:rsid w:val="006B0247"/>
    <w:rsid w:val="006B0426"/>
    <w:rsid w:val="006B04F0"/>
    <w:rsid w:val="006B058A"/>
    <w:rsid w:val="006B0670"/>
    <w:rsid w:val="006B067F"/>
    <w:rsid w:val="006B1097"/>
    <w:rsid w:val="006B10BC"/>
    <w:rsid w:val="006B1747"/>
    <w:rsid w:val="006B1F35"/>
    <w:rsid w:val="006B264A"/>
    <w:rsid w:val="006B2B8B"/>
    <w:rsid w:val="006B2FEE"/>
    <w:rsid w:val="006B330E"/>
    <w:rsid w:val="006B3710"/>
    <w:rsid w:val="006B3C80"/>
    <w:rsid w:val="006B3CCF"/>
    <w:rsid w:val="006B3E7F"/>
    <w:rsid w:val="006B49E6"/>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33A"/>
    <w:rsid w:val="006C2364"/>
    <w:rsid w:val="006C26ED"/>
    <w:rsid w:val="006C29F6"/>
    <w:rsid w:val="006C307F"/>
    <w:rsid w:val="006C3088"/>
    <w:rsid w:val="006C3195"/>
    <w:rsid w:val="006C351F"/>
    <w:rsid w:val="006C4256"/>
    <w:rsid w:val="006C45B7"/>
    <w:rsid w:val="006C4746"/>
    <w:rsid w:val="006C491B"/>
    <w:rsid w:val="006C4B4F"/>
    <w:rsid w:val="006C5818"/>
    <w:rsid w:val="006C5B02"/>
    <w:rsid w:val="006C5B2C"/>
    <w:rsid w:val="006C5DD4"/>
    <w:rsid w:val="006C61FF"/>
    <w:rsid w:val="006C6398"/>
    <w:rsid w:val="006C6667"/>
    <w:rsid w:val="006C6675"/>
    <w:rsid w:val="006C69F6"/>
    <w:rsid w:val="006C6A60"/>
    <w:rsid w:val="006C79D3"/>
    <w:rsid w:val="006C7E03"/>
    <w:rsid w:val="006D0A35"/>
    <w:rsid w:val="006D0B15"/>
    <w:rsid w:val="006D0D5C"/>
    <w:rsid w:val="006D0FF1"/>
    <w:rsid w:val="006D1986"/>
    <w:rsid w:val="006D240A"/>
    <w:rsid w:val="006D2712"/>
    <w:rsid w:val="006D2BBF"/>
    <w:rsid w:val="006D2E9A"/>
    <w:rsid w:val="006D3088"/>
    <w:rsid w:val="006D3424"/>
    <w:rsid w:val="006D3952"/>
    <w:rsid w:val="006D3E85"/>
    <w:rsid w:val="006D48B9"/>
    <w:rsid w:val="006D51CF"/>
    <w:rsid w:val="006D5802"/>
    <w:rsid w:val="006D5805"/>
    <w:rsid w:val="006D5A9D"/>
    <w:rsid w:val="006D60AC"/>
    <w:rsid w:val="006D621D"/>
    <w:rsid w:val="006D6509"/>
    <w:rsid w:val="006D6F09"/>
    <w:rsid w:val="006D7E2C"/>
    <w:rsid w:val="006E00DA"/>
    <w:rsid w:val="006E0480"/>
    <w:rsid w:val="006E05BC"/>
    <w:rsid w:val="006E0849"/>
    <w:rsid w:val="006E0979"/>
    <w:rsid w:val="006E10A0"/>
    <w:rsid w:val="006E1935"/>
    <w:rsid w:val="006E1D59"/>
    <w:rsid w:val="006E228B"/>
    <w:rsid w:val="006E2BEC"/>
    <w:rsid w:val="006E2DED"/>
    <w:rsid w:val="006E2EDD"/>
    <w:rsid w:val="006E2FC0"/>
    <w:rsid w:val="006E3439"/>
    <w:rsid w:val="006E366A"/>
    <w:rsid w:val="006E38D5"/>
    <w:rsid w:val="006E3CDD"/>
    <w:rsid w:val="006E461B"/>
    <w:rsid w:val="006E5D5C"/>
    <w:rsid w:val="006E5E47"/>
    <w:rsid w:val="006E6723"/>
    <w:rsid w:val="006E677F"/>
    <w:rsid w:val="006E6C6A"/>
    <w:rsid w:val="006E6D54"/>
    <w:rsid w:val="006E709D"/>
    <w:rsid w:val="006E719A"/>
    <w:rsid w:val="006E74B5"/>
    <w:rsid w:val="006E7A71"/>
    <w:rsid w:val="006E7EB6"/>
    <w:rsid w:val="006F0891"/>
    <w:rsid w:val="006F0C7A"/>
    <w:rsid w:val="006F10CC"/>
    <w:rsid w:val="006F10F0"/>
    <w:rsid w:val="006F12F7"/>
    <w:rsid w:val="006F1A00"/>
    <w:rsid w:val="006F1C73"/>
    <w:rsid w:val="006F1F88"/>
    <w:rsid w:val="006F2085"/>
    <w:rsid w:val="006F2220"/>
    <w:rsid w:val="006F22DC"/>
    <w:rsid w:val="006F22F4"/>
    <w:rsid w:val="006F2364"/>
    <w:rsid w:val="006F263E"/>
    <w:rsid w:val="006F31E1"/>
    <w:rsid w:val="006F3323"/>
    <w:rsid w:val="006F3A04"/>
    <w:rsid w:val="006F3BDA"/>
    <w:rsid w:val="006F3DD8"/>
    <w:rsid w:val="006F3DEA"/>
    <w:rsid w:val="006F41ED"/>
    <w:rsid w:val="006F4866"/>
    <w:rsid w:val="006F53E6"/>
    <w:rsid w:val="006F56B9"/>
    <w:rsid w:val="006F56F3"/>
    <w:rsid w:val="006F57A6"/>
    <w:rsid w:val="006F5898"/>
    <w:rsid w:val="006F6280"/>
    <w:rsid w:val="006F6B22"/>
    <w:rsid w:val="006F6DC5"/>
    <w:rsid w:val="006F73AB"/>
    <w:rsid w:val="006F74A6"/>
    <w:rsid w:val="006F78B3"/>
    <w:rsid w:val="006F7C78"/>
    <w:rsid w:val="007000C0"/>
    <w:rsid w:val="00700720"/>
    <w:rsid w:val="00700A74"/>
    <w:rsid w:val="00701343"/>
    <w:rsid w:val="00701949"/>
    <w:rsid w:val="00701F14"/>
    <w:rsid w:val="0070240A"/>
    <w:rsid w:val="00702CD2"/>
    <w:rsid w:val="00702E06"/>
    <w:rsid w:val="00702EED"/>
    <w:rsid w:val="00702FED"/>
    <w:rsid w:val="00703419"/>
    <w:rsid w:val="00703825"/>
    <w:rsid w:val="00703A81"/>
    <w:rsid w:val="00704267"/>
    <w:rsid w:val="007044E7"/>
    <w:rsid w:val="00704889"/>
    <w:rsid w:val="007051AF"/>
    <w:rsid w:val="00705642"/>
    <w:rsid w:val="0070596E"/>
    <w:rsid w:val="00705A93"/>
    <w:rsid w:val="00705B36"/>
    <w:rsid w:val="00705CFC"/>
    <w:rsid w:val="00706523"/>
    <w:rsid w:val="007068E2"/>
    <w:rsid w:val="00706C1A"/>
    <w:rsid w:val="00706DA3"/>
    <w:rsid w:val="00707217"/>
    <w:rsid w:val="007073E9"/>
    <w:rsid w:val="00707E36"/>
    <w:rsid w:val="00707FD8"/>
    <w:rsid w:val="007109CA"/>
    <w:rsid w:val="00710B83"/>
    <w:rsid w:val="00710E34"/>
    <w:rsid w:val="00711088"/>
    <w:rsid w:val="007114CA"/>
    <w:rsid w:val="00711791"/>
    <w:rsid w:val="00711A6C"/>
    <w:rsid w:val="007128F2"/>
    <w:rsid w:val="00712B8E"/>
    <w:rsid w:val="00712E59"/>
    <w:rsid w:val="007137FA"/>
    <w:rsid w:val="00713C7F"/>
    <w:rsid w:val="00713E81"/>
    <w:rsid w:val="00713F2C"/>
    <w:rsid w:val="007149B5"/>
    <w:rsid w:val="007153D8"/>
    <w:rsid w:val="007154CB"/>
    <w:rsid w:val="00715E05"/>
    <w:rsid w:val="00716182"/>
    <w:rsid w:val="00716474"/>
    <w:rsid w:val="007165E8"/>
    <w:rsid w:val="00716638"/>
    <w:rsid w:val="00716760"/>
    <w:rsid w:val="007173FA"/>
    <w:rsid w:val="0071756C"/>
    <w:rsid w:val="007209FE"/>
    <w:rsid w:val="00720E46"/>
    <w:rsid w:val="00720E4D"/>
    <w:rsid w:val="007215EE"/>
    <w:rsid w:val="007216A3"/>
    <w:rsid w:val="00721862"/>
    <w:rsid w:val="00722396"/>
    <w:rsid w:val="00723550"/>
    <w:rsid w:val="00723982"/>
    <w:rsid w:val="00723F40"/>
    <w:rsid w:val="007249E8"/>
    <w:rsid w:val="00724AA2"/>
    <w:rsid w:val="00725D12"/>
    <w:rsid w:val="00725D79"/>
    <w:rsid w:val="00726371"/>
    <w:rsid w:val="00726538"/>
    <w:rsid w:val="00726632"/>
    <w:rsid w:val="00726637"/>
    <w:rsid w:val="00726744"/>
    <w:rsid w:val="007268F1"/>
    <w:rsid w:val="00727261"/>
    <w:rsid w:val="00730E93"/>
    <w:rsid w:val="00730F97"/>
    <w:rsid w:val="007312D6"/>
    <w:rsid w:val="00731B7E"/>
    <w:rsid w:val="007320BE"/>
    <w:rsid w:val="0073214B"/>
    <w:rsid w:val="00732378"/>
    <w:rsid w:val="007326CD"/>
    <w:rsid w:val="007328B1"/>
    <w:rsid w:val="007335E0"/>
    <w:rsid w:val="0073360B"/>
    <w:rsid w:val="00733627"/>
    <w:rsid w:val="007338A9"/>
    <w:rsid w:val="00733904"/>
    <w:rsid w:val="00733DE2"/>
    <w:rsid w:val="00733ED4"/>
    <w:rsid w:val="007341D7"/>
    <w:rsid w:val="0073427C"/>
    <w:rsid w:val="007342CF"/>
    <w:rsid w:val="00734314"/>
    <w:rsid w:val="007349B4"/>
    <w:rsid w:val="007349CC"/>
    <w:rsid w:val="007351CF"/>
    <w:rsid w:val="0073541B"/>
    <w:rsid w:val="007355A8"/>
    <w:rsid w:val="00735D84"/>
    <w:rsid w:val="0073696B"/>
    <w:rsid w:val="00736A62"/>
    <w:rsid w:val="00736DDE"/>
    <w:rsid w:val="0073716D"/>
    <w:rsid w:val="007373E0"/>
    <w:rsid w:val="00737E96"/>
    <w:rsid w:val="00740296"/>
    <w:rsid w:val="0074042E"/>
    <w:rsid w:val="00740A9E"/>
    <w:rsid w:val="00740AB9"/>
    <w:rsid w:val="00740CB1"/>
    <w:rsid w:val="00741484"/>
    <w:rsid w:val="00741687"/>
    <w:rsid w:val="0074170E"/>
    <w:rsid w:val="0074185D"/>
    <w:rsid w:val="00741D90"/>
    <w:rsid w:val="00742399"/>
    <w:rsid w:val="0074260D"/>
    <w:rsid w:val="00742BFB"/>
    <w:rsid w:val="00743DA3"/>
    <w:rsid w:val="00744171"/>
    <w:rsid w:val="007448A4"/>
    <w:rsid w:val="00744F34"/>
    <w:rsid w:val="007450BE"/>
    <w:rsid w:val="007453F0"/>
    <w:rsid w:val="007454B3"/>
    <w:rsid w:val="00745609"/>
    <w:rsid w:val="00745891"/>
    <w:rsid w:val="0074598F"/>
    <w:rsid w:val="00745FA8"/>
    <w:rsid w:val="0074630D"/>
    <w:rsid w:val="00746622"/>
    <w:rsid w:val="0074672B"/>
    <w:rsid w:val="00746972"/>
    <w:rsid w:val="00746A47"/>
    <w:rsid w:val="00750012"/>
    <w:rsid w:val="00750182"/>
    <w:rsid w:val="007506DD"/>
    <w:rsid w:val="0075135A"/>
    <w:rsid w:val="0075166D"/>
    <w:rsid w:val="00751D16"/>
    <w:rsid w:val="007527D5"/>
    <w:rsid w:val="00752F2C"/>
    <w:rsid w:val="00753943"/>
    <w:rsid w:val="007544AE"/>
    <w:rsid w:val="00754A6A"/>
    <w:rsid w:val="00754A8D"/>
    <w:rsid w:val="00754F2F"/>
    <w:rsid w:val="007552F7"/>
    <w:rsid w:val="0075545C"/>
    <w:rsid w:val="007557F1"/>
    <w:rsid w:val="00755B02"/>
    <w:rsid w:val="00756626"/>
    <w:rsid w:val="00756AD4"/>
    <w:rsid w:val="00756F93"/>
    <w:rsid w:val="007576BC"/>
    <w:rsid w:val="00757735"/>
    <w:rsid w:val="00757B89"/>
    <w:rsid w:val="00757CA8"/>
    <w:rsid w:val="00757D4E"/>
    <w:rsid w:val="00757E6E"/>
    <w:rsid w:val="0076058F"/>
    <w:rsid w:val="00760610"/>
    <w:rsid w:val="0076078B"/>
    <w:rsid w:val="0076089F"/>
    <w:rsid w:val="00760C0D"/>
    <w:rsid w:val="00760FDC"/>
    <w:rsid w:val="007611CA"/>
    <w:rsid w:val="00761349"/>
    <w:rsid w:val="00761685"/>
    <w:rsid w:val="007616C9"/>
    <w:rsid w:val="00761D42"/>
    <w:rsid w:val="00761EEF"/>
    <w:rsid w:val="00761F8A"/>
    <w:rsid w:val="0076206D"/>
    <w:rsid w:val="0076243A"/>
    <w:rsid w:val="00762C3B"/>
    <w:rsid w:val="00763010"/>
    <w:rsid w:val="00763B34"/>
    <w:rsid w:val="0076403F"/>
    <w:rsid w:val="00764319"/>
    <w:rsid w:val="0076459D"/>
    <w:rsid w:val="007646C1"/>
    <w:rsid w:val="00764BE6"/>
    <w:rsid w:val="00764D5E"/>
    <w:rsid w:val="00764FF9"/>
    <w:rsid w:val="007653EE"/>
    <w:rsid w:val="00765C1A"/>
    <w:rsid w:val="00765EAD"/>
    <w:rsid w:val="007664AB"/>
    <w:rsid w:val="00766662"/>
    <w:rsid w:val="00766791"/>
    <w:rsid w:val="00770139"/>
    <w:rsid w:val="007706B0"/>
    <w:rsid w:val="00770900"/>
    <w:rsid w:val="00771220"/>
    <w:rsid w:val="007713AA"/>
    <w:rsid w:val="007715F1"/>
    <w:rsid w:val="007718CC"/>
    <w:rsid w:val="00771933"/>
    <w:rsid w:val="007723C4"/>
    <w:rsid w:val="007729DA"/>
    <w:rsid w:val="0077344D"/>
    <w:rsid w:val="00773F12"/>
    <w:rsid w:val="00773FBC"/>
    <w:rsid w:val="007742D5"/>
    <w:rsid w:val="007745D4"/>
    <w:rsid w:val="0077490E"/>
    <w:rsid w:val="00774A7C"/>
    <w:rsid w:val="00774C01"/>
    <w:rsid w:val="00774C96"/>
    <w:rsid w:val="007755AF"/>
    <w:rsid w:val="007758A9"/>
    <w:rsid w:val="00775CFE"/>
    <w:rsid w:val="00775DC1"/>
    <w:rsid w:val="00775F23"/>
    <w:rsid w:val="007762BE"/>
    <w:rsid w:val="00776638"/>
    <w:rsid w:val="00776748"/>
    <w:rsid w:val="0077751F"/>
    <w:rsid w:val="00777991"/>
    <w:rsid w:val="007800BF"/>
    <w:rsid w:val="00780226"/>
    <w:rsid w:val="0078102A"/>
    <w:rsid w:val="0078156B"/>
    <w:rsid w:val="0078159F"/>
    <w:rsid w:val="00781B3F"/>
    <w:rsid w:val="00781C2A"/>
    <w:rsid w:val="00781C3C"/>
    <w:rsid w:val="00781CC7"/>
    <w:rsid w:val="00781E0A"/>
    <w:rsid w:val="00782924"/>
    <w:rsid w:val="007829D8"/>
    <w:rsid w:val="00783A3D"/>
    <w:rsid w:val="00784611"/>
    <w:rsid w:val="00784657"/>
    <w:rsid w:val="007847A4"/>
    <w:rsid w:val="00784879"/>
    <w:rsid w:val="00784964"/>
    <w:rsid w:val="00784A3F"/>
    <w:rsid w:val="00784D8B"/>
    <w:rsid w:val="00784F17"/>
    <w:rsid w:val="00785942"/>
    <w:rsid w:val="00785D86"/>
    <w:rsid w:val="0078619C"/>
    <w:rsid w:val="00786419"/>
    <w:rsid w:val="0078645C"/>
    <w:rsid w:val="00786674"/>
    <w:rsid w:val="007866AB"/>
    <w:rsid w:val="00787A03"/>
    <w:rsid w:val="00787A9A"/>
    <w:rsid w:val="00787D7A"/>
    <w:rsid w:val="00790158"/>
    <w:rsid w:val="007904C0"/>
    <w:rsid w:val="0079065C"/>
    <w:rsid w:val="00790959"/>
    <w:rsid w:val="00790BAD"/>
    <w:rsid w:val="0079115B"/>
    <w:rsid w:val="0079172D"/>
    <w:rsid w:val="007920F1"/>
    <w:rsid w:val="00792120"/>
    <w:rsid w:val="007927F6"/>
    <w:rsid w:val="00792CD2"/>
    <w:rsid w:val="00794A2E"/>
    <w:rsid w:val="0079524E"/>
    <w:rsid w:val="007958C9"/>
    <w:rsid w:val="00795C2B"/>
    <w:rsid w:val="00796716"/>
    <w:rsid w:val="007967E2"/>
    <w:rsid w:val="007969E8"/>
    <w:rsid w:val="00797EE0"/>
    <w:rsid w:val="007A01D3"/>
    <w:rsid w:val="007A021F"/>
    <w:rsid w:val="007A078B"/>
    <w:rsid w:val="007A0848"/>
    <w:rsid w:val="007A08A5"/>
    <w:rsid w:val="007A0A99"/>
    <w:rsid w:val="007A1095"/>
    <w:rsid w:val="007A10C0"/>
    <w:rsid w:val="007A1335"/>
    <w:rsid w:val="007A19F0"/>
    <w:rsid w:val="007A1E7E"/>
    <w:rsid w:val="007A1FEB"/>
    <w:rsid w:val="007A2889"/>
    <w:rsid w:val="007A2CD6"/>
    <w:rsid w:val="007A3651"/>
    <w:rsid w:val="007A3837"/>
    <w:rsid w:val="007A3A21"/>
    <w:rsid w:val="007A3B2A"/>
    <w:rsid w:val="007A3DB9"/>
    <w:rsid w:val="007A4A68"/>
    <w:rsid w:val="007A4CA0"/>
    <w:rsid w:val="007A4E6A"/>
    <w:rsid w:val="007A5335"/>
    <w:rsid w:val="007A53FE"/>
    <w:rsid w:val="007A54D9"/>
    <w:rsid w:val="007A5540"/>
    <w:rsid w:val="007A5558"/>
    <w:rsid w:val="007A5A65"/>
    <w:rsid w:val="007A5FD5"/>
    <w:rsid w:val="007A640A"/>
    <w:rsid w:val="007A69B4"/>
    <w:rsid w:val="007A6D80"/>
    <w:rsid w:val="007A7033"/>
    <w:rsid w:val="007A7735"/>
    <w:rsid w:val="007B03CF"/>
    <w:rsid w:val="007B07DD"/>
    <w:rsid w:val="007B0A43"/>
    <w:rsid w:val="007B0C64"/>
    <w:rsid w:val="007B0E26"/>
    <w:rsid w:val="007B1373"/>
    <w:rsid w:val="007B1738"/>
    <w:rsid w:val="007B1FD8"/>
    <w:rsid w:val="007B2495"/>
    <w:rsid w:val="007B2527"/>
    <w:rsid w:val="007B2A74"/>
    <w:rsid w:val="007B3F0D"/>
    <w:rsid w:val="007B42E7"/>
    <w:rsid w:val="007B4471"/>
    <w:rsid w:val="007B48FC"/>
    <w:rsid w:val="007B4948"/>
    <w:rsid w:val="007B4D7D"/>
    <w:rsid w:val="007B4FF9"/>
    <w:rsid w:val="007B500D"/>
    <w:rsid w:val="007B5040"/>
    <w:rsid w:val="007B54A2"/>
    <w:rsid w:val="007B573E"/>
    <w:rsid w:val="007B61A5"/>
    <w:rsid w:val="007B64AA"/>
    <w:rsid w:val="007B6646"/>
    <w:rsid w:val="007B6955"/>
    <w:rsid w:val="007B69BA"/>
    <w:rsid w:val="007B6A8F"/>
    <w:rsid w:val="007B711D"/>
    <w:rsid w:val="007B79D5"/>
    <w:rsid w:val="007B7A2C"/>
    <w:rsid w:val="007C034A"/>
    <w:rsid w:val="007C0725"/>
    <w:rsid w:val="007C0B21"/>
    <w:rsid w:val="007C0F28"/>
    <w:rsid w:val="007C1A60"/>
    <w:rsid w:val="007C2626"/>
    <w:rsid w:val="007C2664"/>
    <w:rsid w:val="007C2826"/>
    <w:rsid w:val="007C2D36"/>
    <w:rsid w:val="007C4376"/>
    <w:rsid w:val="007C4568"/>
    <w:rsid w:val="007C4C97"/>
    <w:rsid w:val="007C4DBE"/>
    <w:rsid w:val="007C4F53"/>
    <w:rsid w:val="007C4F86"/>
    <w:rsid w:val="007C5C52"/>
    <w:rsid w:val="007C614C"/>
    <w:rsid w:val="007C678B"/>
    <w:rsid w:val="007C6A5B"/>
    <w:rsid w:val="007C6B44"/>
    <w:rsid w:val="007C6BEF"/>
    <w:rsid w:val="007C6DE8"/>
    <w:rsid w:val="007D06BB"/>
    <w:rsid w:val="007D0C95"/>
    <w:rsid w:val="007D12CD"/>
    <w:rsid w:val="007D17EC"/>
    <w:rsid w:val="007D1918"/>
    <w:rsid w:val="007D1AB0"/>
    <w:rsid w:val="007D1DDD"/>
    <w:rsid w:val="007D210D"/>
    <w:rsid w:val="007D2403"/>
    <w:rsid w:val="007D2638"/>
    <w:rsid w:val="007D292A"/>
    <w:rsid w:val="007D2A27"/>
    <w:rsid w:val="007D2A4C"/>
    <w:rsid w:val="007D2BD9"/>
    <w:rsid w:val="007D2E21"/>
    <w:rsid w:val="007D32A6"/>
    <w:rsid w:val="007D32C4"/>
    <w:rsid w:val="007D3896"/>
    <w:rsid w:val="007D3C2B"/>
    <w:rsid w:val="007D4089"/>
    <w:rsid w:val="007D491A"/>
    <w:rsid w:val="007D4B9A"/>
    <w:rsid w:val="007D4CD8"/>
    <w:rsid w:val="007D4EB4"/>
    <w:rsid w:val="007D4ED6"/>
    <w:rsid w:val="007D559F"/>
    <w:rsid w:val="007D60CF"/>
    <w:rsid w:val="007D610A"/>
    <w:rsid w:val="007D6211"/>
    <w:rsid w:val="007D651B"/>
    <w:rsid w:val="007D7BE9"/>
    <w:rsid w:val="007D7EE9"/>
    <w:rsid w:val="007D7F0F"/>
    <w:rsid w:val="007E0085"/>
    <w:rsid w:val="007E0476"/>
    <w:rsid w:val="007E053F"/>
    <w:rsid w:val="007E0901"/>
    <w:rsid w:val="007E0A92"/>
    <w:rsid w:val="007E0EA2"/>
    <w:rsid w:val="007E1395"/>
    <w:rsid w:val="007E162B"/>
    <w:rsid w:val="007E168A"/>
    <w:rsid w:val="007E186B"/>
    <w:rsid w:val="007E2F49"/>
    <w:rsid w:val="007E3BAC"/>
    <w:rsid w:val="007E3E14"/>
    <w:rsid w:val="007E3F08"/>
    <w:rsid w:val="007E41D9"/>
    <w:rsid w:val="007E4C24"/>
    <w:rsid w:val="007E4FB7"/>
    <w:rsid w:val="007E63C7"/>
    <w:rsid w:val="007E6657"/>
    <w:rsid w:val="007E6CA4"/>
    <w:rsid w:val="007E6FD6"/>
    <w:rsid w:val="007E7050"/>
    <w:rsid w:val="007E74D5"/>
    <w:rsid w:val="007E7E2A"/>
    <w:rsid w:val="007F05BE"/>
    <w:rsid w:val="007F05D8"/>
    <w:rsid w:val="007F13D4"/>
    <w:rsid w:val="007F13E1"/>
    <w:rsid w:val="007F162F"/>
    <w:rsid w:val="007F176C"/>
    <w:rsid w:val="007F19EB"/>
    <w:rsid w:val="007F2248"/>
    <w:rsid w:val="007F2E0E"/>
    <w:rsid w:val="007F3414"/>
    <w:rsid w:val="007F380B"/>
    <w:rsid w:val="007F38D8"/>
    <w:rsid w:val="007F3B4D"/>
    <w:rsid w:val="007F3C9D"/>
    <w:rsid w:val="007F3EA8"/>
    <w:rsid w:val="007F406D"/>
    <w:rsid w:val="007F40AB"/>
    <w:rsid w:val="007F4BFB"/>
    <w:rsid w:val="007F4D1A"/>
    <w:rsid w:val="007F5265"/>
    <w:rsid w:val="007F5499"/>
    <w:rsid w:val="007F59EB"/>
    <w:rsid w:val="007F66B1"/>
    <w:rsid w:val="007F689E"/>
    <w:rsid w:val="007F7722"/>
    <w:rsid w:val="007F77DC"/>
    <w:rsid w:val="007F7AB4"/>
    <w:rsid w:val="0080059B"/>
    <w:rsid w:val="008005E5"/>
    <w:rsid w:val="008008C4"/>
    <w:rsid w:val="00800F06"/>
    <w:rsid w:val="008018A8"/>
    <w:rsid w:val="00801AFA"/>
    <w:rsid w:val="00801EA4"/>
    <w:rsid w:val="00802173"/>
    <w:rsid w:val="008023A5"/>
    <w:rsid w:val="0080288D"/>
    <w:rsid w:val="008030A3"/>
    <w:rsid w:val="008039F6"/>
    <w:rsid w:val="00803DF0"/>
    <w:rsid w:val="008040B0"/>
    <w:rsid w:val="0080418F"/>
    <w:rsid w:val="0080451D"/>
    <w:rsid w:val="008047D5"/>
    <w:rsid w:val="00804B41"/>
    <w:rsid w:val="008054ED"/>
    <w:rsid w:val="00805727"/>
    <w:rsid w:val="008059DB"/>
    <w:rsid w:val="00806B2C"/>
    <w:rsid w:val="00806CFE"/>
    <w:rsid w:val="00807C60"/>
    <w:rsid w:val="00807CA8"/>
    <w:rsid w:val="00807CE1"/>
    <w:rsid w:val="00807F50"/>
    <w:rsid w:val="00807FC9"/>
    <w:rsid w:val="00810532"/>
    <w:rsid w:val="00810865"/>
    <w:rsid w:val="008109F3"/>
    <w:rsid w:val="00810BE6"/>
    <w:rsid w:val="00811B92"/>
    <w:rsid w:val="00811C28"/>
    <w:rsid w:val="00811D5A"/>
    <w:rsid w:val="008122CB"/>
    <w:rsid w:val="00812647"/>
    <w:rsid w:val="008129A7"/>
    <w:rsid w:val="008129E1"/>
    <w:rsid w:val="00812AF9"/>
    <w:rsid w:val="00812CE2"/>
    <w:rsid w:val="00813441"/>
    <w:rsid w:val="00813B74"/>
    <w:rsid w:val="008144EC"/>
    <w:rsid w:val="00814FFE"/>
    <w:rsid w:val="008154E0"/>
    <w:rsid w:val="00815BDF"/>
    <w:rsid w:val="0081635B"/>
    <w:rsid w:val="008164A8"/>
    <w:rsid w:val="008164B2"/>
    <w:rsid w:val="00816601"/>
    <w:rsid w:val="008168F0"/>
    <w:rsid w:val="00816A58"/>
    <w:rsid w:val="008170B2"/>
    <w:rsid w:val="00817175"/>
    <w:rsid w:val="00817603"/>
    <w:rsid w:val="00817C04"/>
    <w:rsid w:val="00820398"/>
    <w:rsid w:val="008203F1"/>
    <w:rsid w:val="00820460"/>
    <w:rsid w:val="00820772"/>
    <w:rsid w:val="008207C1"/>
    <w:rsid w:val="00821034"/>
    <w:rsid w:val="0082124E"/>
    <w:rsid w:val="00821250"/>
    <w:rsid w:val="008214B1"/>
    <w:rsid w:val="00821725"/>
    <w:rsid w:val="00821A4E"/>
    <w:rsid w:val="00821BA8"/>
    <w:rsid w:val="00821F8D"/>
    <w:rsid w:val="0082202A"/>
    <w:rsid w:val="008222E3"/>
    <w:rsid w:val="0082286C"/>
    <w:rsid w:val="00822BCE"/>
    <w:rsid w:val="0082314B"/>
    <w:rsid w:val="00823426"/>
    <w:rsid w:val="00824716"/>
    <w:rsid w:val="00824AE8"/>
    <w:rsid w:val="00824FE4"/>
    <w:rsid w:val="00825A83"/>
    <w:rsid w:val="00825C93"/>
    <w:rsid w:val="00825FE1"/>
    <w:rsid w:val="008262B1"/>
    <w:rsid w:val="008263E9"/>
    <w:rsid w:val="00826A09"/>
    <w:rsid w:val="00826F20"/>
    <w:rsid w:val="008271CB"/>
    <w:rsid w:val="008302B3"/>
    <w:rsid w:val="00830B40"/>
    <w:rsid w:val="008310D8"/>
    <w:rsid w:val="00831199"/>
    <w:rsid w:val="00831788"/>
    <w:rsid w:val="008317A1"/>
    <w:rsid w:val="0083185C"/>
    <w:rsid w:val="00831E10"/>
    <w:rsid w:val="00831E8E"/>
    <w:rsid w:val="00832584"/>
    <w:rsid w:val="00832F57"/>
    <w:rsid w:val="00833483"/>
    <w:rsid w:val="00833856"/>
    <w:rsid w:val="0083397C"/>
    <w:rsid w:val="00834C8F"/>
    <w:rsid w:val="008352D3"/>
    <w:rsid w:val="00835529"/>
    <w:rsid w:val="00835712"/>
    <w:rsid w:val="00835A3D"/>
    <w:rsid w:val="00835EFF"/>
    <w:rsid w:val="008360E8"/>
    <w:rsid w:val="0083682A"/>
    <w:rsid w:val="00836C5B"/>
    <w:rsid w:val="00836E33"/>
    <w:rsid w:val="008373D1"/>
    <w:rsid w:val="00837924"/>
    <w:rsid w:val="00840061"/>
    <w:rsid w:val="0084014D"/>
    <w:rsid w:val="00840785"/>
    <w:rsid w:val="00840A52"/>
    <w:rsid w:val="00840B92"/>
    <w:rsid w:val="00840BAF"/>
    <w:rsid w:val="008412EF"/>
    <w:rsid w:val="00841B31"/>
    <w:rsid w:val="0084216D"/>
    <w:rsid w:val="008426A4"/>
    <w:rsid w:val="008426FE"/>
    <w:rsid w:val="008434C7"/>
    <w:rsid w:val="008436D0"/>
    <w:rsid w:val="00843CB5"/>
    <w:rsid w:val="008445DA"/>
    <w:rsid w:val="00844A5D"/>
    <w:rsid w:val="00844AB9"/>
    <w:rsid w:val="00844BC3"/>
    <w:rsid w:val="00844E17"/>
    <w:rsid w:val="00844F36"/>
    <w:rsid w:val="008456E0"/>
    <w:rsid w:val="00845EBD"/>
    <w:rsid w:val="00845FAB"/>
    <w:rsid w:val="00845FE0"/>
    <w:rsid w:val="00846681"/>
    <w:rsid w:val="008467C2"/>
    <w:rsid w:val="00846B6A"/>
    <w:rsid w:val="008472B5"/>
    <w:rsid w:val="008476C3"/>
    <w:rsid w:val="00847B12"/>
    <w:rsid w:val="00847D29"/>
    <w:rsid w:val="008500EA"/>
    <w:rsid w:val="00850809"/>
    <w:rsid w:val="00850A8D"/>
    <w:rsid w:val="00850CFE"/>
    <w:rsid w:val="00850D50"/>
    <w:rsid w:val="0085160E"/>
    <w:rsid w:val="00851864"/>
    <w:rsid w:val="00851A1C"/>
    <w:rsid w:val="00851AF5"/>
    <w:rsid w:val="00851D30"/>
    <w:rsid w:val="00851ED3"/>
    <w:rsid w:val="008522F4"/>
    <w:rsid w:val="0085239F"/>
    <w:rsid w:val="0085278C"/>
    <w:rsid w:val="00852F5D"/>
    <w:rsid w:val="0085338B"/>
    <w:rsid w:val="00853409"/>
    <w:rsid w:val="00853467"/>
    <w:rsid w:val="008534BB"/>
    <w:rsid w:val="0085499D"/>
    <w:rsid w:val="00854AE0"/>
    <w:rsid w:val="00854DF3"/>
    <w:rsid w:val="00854E19"/>
    <w:rsid w:val="00855134"/>
    <w:rsid w:val="008552F8"/>
    <w:rsid w:val="00855A7A"/>
    <w:rsid w:val="0085603B"/>
    <w:rsid w:val="0085695F"/>
    <w:rsid w:val="00856FDF"/>
    <w:rsid w:val="00857088"/>
    <w:rsid w:val="00857385"/>
    <w:rsid w:val="00857EDA"/>
    <w:rsid w:val="0086092D"/>
    <w:rsid w:val="00860D56"/>
    <w:rsid w:val="00860F03"/>
    <w:rsid w:val="008614DC"/>
    <w:rsid w:val="0086173C"/>
    <w:rsid w:val="008617A7"/>
    <w:rsid w:val="00861817"/>
    <w:rsid w:val="00861EE6"/>
    <w:rsid w:val="00862EC4"/>
    <w:rsid w:val="0086335C"/>
    <w:rsid w:val="008637A3"/>
    <w:rsid w:val="008637D3"/>
    <w:rsid w:val="00863F1D"/>
    <w:rsid w:val="0086423D"/>
    <w:rsid w:val="00864B42"/>
    <w:rsid w:val="00864F12"/>
    <w:rsid w:val="008650A4"/>
    <w:rsid w:val="00865176"/>
    <w:rsid w:val="00865859"/>
    <w:rsid w:val="00865893"/>
    <w:rsid w:val="00866344"/>
    <w:rsid w:val="0086637C"/>
    <w:rsid w:val="00866793"/>
    <w:rsid w:val="00866799"/>
    <w:rsid w:val="00866C5E"/>
    <w:rsid w:val="00866E5A"/>
    <w:rsid w:val="00866EF8"/>
    <w:rsid w:val="00867C33"/>
    <w:rsid w:val="00867F60"/>
    <w:rsid w:val="00870552"/>
    <w:rsid w:val="00870C66"/>
    <w:rsid w:val="00870C9D"/>
    <w:rsid w:val="00870CF9"/>
    <w:rsid w:val="00870F76"/>
    <w:rsid w:val="008713D6"/>
    <w:rsid w:val="00871D53"/>
    <w:rsid w:val="00872390"/>
    <w:rsid w:val="0087241D"/>
    <w:rsid w:val="00872451"/>
    <w:rsid w:val="008726DD"/>
    <w:rsid w:val="00872A1C"/>
    <w:rsid w:val="008738FD"/>
    <w:rsid w:val="00873A47"/>
    <w:rsid w:val="0087407F"/>
    <w:rsid w:val="008744A5"/>
    <w:rsid w:val="00874679"/>
    <w:rsid w:val="00874D41"/>
    <w:rsid w:val="00875CAB"/>
    <w:rsid w:val="00875E50"/>
    <w:rsid w:val="008760EE"/>
    <w:rsid w:val="00876382"/>
    <w:rsid w:val="008763B4"/>
    <w:rsid w:val="0087686E"/>
    <w:rsid w:val="0087796F"/>
    <w:rsid w:val="00877C77"/>
    <w:rsid w:val="00877E26"/>
    <w:rsid w:val="00880C08"/>
    <w:rsid w:val="00880F7F"/>
    <w:rsid w:val="008814D5"/>
    <w:rsid w:val="00881764"/>
    <w:rsid w:val="008819B6"/>
    <w:rsid w:val="00881B34"/>
    <w:rsid w:val="00881B85"/>
    <w:rsid w:val="00882606"/>
    <w:rsid w:val="00882A0D"/>
    <w:rsid w:val="00882D53"/>
    <w:rsid w:val="00882F05"/>
    <w:rsid w:val="0088336E"/>
    <w:rsid w:val="0088381A"/>
    <w:rsid w:val="008839E1"/>
    <w:rsid w:val="00883E28"/>
    <w:rsid w:val="008840C5"/>
    <w:rsid w:val="00885289"/>
    <w:rsid w:val="008856B2"/>
    <w:rsid w:val="00885F4D"/>
    <w:rsid w:val="00886333"/>
    <w:rsid w:val="008869A8"/>
    <w:rsid w:val="008875A1"/>
    <w:rsid w:val="00887E75"/>
    <w:rsid w:val="0089013F"/>
    <w:rsid w:val="008913BA"/>
    <w:rsid w:val="0089174F"/>
    <w:rsid w:val="00891EC7"/>
    <w:rsid w:val="008921F7"/>
    <w:rsid w:val="008924C0"/>
    <w:rsid w:val="00892F18"/>
    <w:rsid w:val="00892F4C"/>
    <w:rsid w:val="00893202"/>
    <w:rsid w:val="00893E09"/>
    <w:rsid w:val="008949AF"/>
    <w:rsid w:val="00894EFD"/>
    <w:rsid w:val="008950C0"/>
    <w:rsid w:val="0089543A"/>
    <w:rsid w:val="008959D7"/>
    <w:rsid w:val="00895B22"/>
    <w:rsid w:val="00895F18"/>
    <w:rsid w:val="00896796"/>
    <w:rsid w:val="00896863"/>
    <w:rsid w:val="00896957"/>
    <w:rsid w:val="008969AD"/>
    <w:rsid w:val="00896EB9"/>
    <w:rsid w:val="008977BE"/>
    <w:rsid w:val="008977F7"/>
    <w:rsid w:val="00897835"/>
    <w:rsid w:val="008979B5"/>
    <w:rsid w:val="00897E0E"/>
    <w:rsid w:val="008A096A"/>
    <w:rsid w:val="008A0D8F"/>
    <w:rsid w:val="008A0F55"/>
    <w:rsid w:val="008A123E"/>
    <w:rsid w:val="008A18E1"/>
    <w:rsid w:val="008A19E8"/>
    <w:rsid w:val="008A29A5"/>
    <w:rsid w:val="008A2F0D"/>
    <w:rsid w:val="008A3022"/>
    <w:rsid w:val="008A3520"/>
    <w:rsid w:val="008A3539"/>
    <w:rsid w:val="008A3750"/>
    <w:rsid w:val="008A3FF3"/>
    <w:rsid w:val="008A4079"/>
    <w:rsid w:val="008A41AC"/>
    <w:rsid w:val="008A423A"/>
    <w:rsid w:val="008A52C8"/>
    <w:rsid w:val="008A5501"/>
    <w:rsid w:val="008A6078"/>
    <w:rsid w:val="008A63DD"/>
    <w:rsid w:val="008A65EC"/>
    <w:rsid w:val="008A6DE3"/>
    <w:rsid w:val="008A6F99"/>
    <w:rsid w:val="008A77E6"/>
    <w:rsid w:val="008A7DB5"/>
    <w:rsid w:val="008A7F07"/>
    <w:rsid w:val="008A7F34"/>
    <w:rsid w:val="008B096C"/>
    <w:rsid w:val="008B15C4"/>
    <w:rsid w:val="008B18E0"/>
    <w:rsid w:val="008B19EE"/>
    <w:rsid w:val="008B1A41"/>
    <w:rsid w:val="008B1A46"/>
    <w:rsid w:val="008B1AB3"/>
    <w:rsid w:val="008B1C50"/>
    <w:rsid w:val="008B1C6E"/>
    <w:rsid w:val="008B20BC"/>
    <w:rsid w:val="008B27FA"/>
    <w:rsid w:val="008B32BA"/>
    <w:rsid w:val="008B36A6"/>
    <w:rsid w:val="008B4787"/>
    <w:rsid w:val="008B49C6"/>
    <w:rsid w:val="008B4A26"/>
    <w:rsid w:val="008B50AA"/>
    <w:rsid w:val="008B5902"/>
    <w:rsid w:val="008B5B07"/>
    <w:rsid w:val="008B5BBD"/>
    <w:rsid w:val="008B627D"/>
    <w:rsid w:val="008B6867"/>
    <w:rsid w:val="008B714D"/>
    <w:rsid w:val="008B78F4"/>
    <w:rsid w:val="008B7D1A"/>
    <w:rsid w:val="008C01B0"/>
    <w:rsid w:val="008C114F"/>
    <w:rsid w:val="008C12B7"/>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7B"/>
    <w:rsid w:val="008C697F"/>
    <w:rsid w:val="008C6B1C"/>
    <w:rsid w:val="008C6C6D"/>
    <w:rsid w:val="008C6E0F"/>
    <w:rsid w:val="008C6F9E"/>
    <w:rsid w:val="008C7068"/>
    <w:rsid w:val="008C72BC"/>
    <w:rsid w:val="008C7388"/>
    <w:rsid w:val="008C771D"/>
    <w:rsid w:val="008D07FB"/>
    <w:rsid w:val="008D089B"/>
    <w:rsid w:val="008D08E2"/>
    <w:rsid w:val="008D097B"/>
    <w:rsid w:val="008D0A5B"/>
    <w:rsid w:val="008D0C7E"/>
    <w:rsid w:val="008D10C5"/>
    <w:rsid w:val="008D1119"/>
    <w:rsid w:val="008D11E0"/>
    <w:rsid w:val="008D1386"/>
    <w:rsid w:val="008D145B"/>
    <w:rsid w:val="008D20C9"/>
    <w:rsid w:val="008D28B9"/>
    <w:rsid w:val="008D3146"/>
    <w:rsid w:val="008D3172"/>
    <w:rsid w:val="008D3358"/>
    <w:rsid w:val="008D33E8"/>
    <w:rsid w:val="008D3567"/>
    <w:rsid w:val="008D3AE7"/>
    <w:rsid w:val="008D4178"/>
    <w:rsid w:val="008D4263"/>
    <w:rsid w:val="008D43CB"/>
    <w:rsid w:val="008D4545"/>
    <w:rsid w:val="008D49BB"/>
    <w:rsid w:val="008D4FBA"/>
    <w:rsid w:val="008D5223"/>
    <w:rsid w:val="008D5783"/>
    <w:rsid w:val="008D5A0E"/>
    <w:rsid w:val="008D61C4"/>
    <w:rsid w:val="008D61F7"/>
    <w:rsid w:val="008D649F"/>
    <w:rsid w:val="008D6B50"/>
    <w:rsid w:val="008D6C0B"/>
    <w:rsid w:val="008D6DF7"/>
    <w:rsid w:val="008D70D1"/>
    <w:rsid w:val="008D74D9"/>
    <w:rsid w:val="008D775F"/>
    <w:rsid w:val="008E0071"/>
    <w:rsid w:val="008E07AA"/>
    <w:rsid w:val="008E0983"/>
    <w:rsid w:val="008E1312"/>
    <w:rsid w:val="008E14E1"/>
    <w:rsid w:val="008E1527"/>
    <w:rsid w:val="008E17AA"/>
    <w:rsid w:val="008E192F"/>
    <w:rsid w:val="008E1DB4"/>
    <w:rsid w:val="008E23A3"/>
    <w:rsid w:val="008E2954"/>
    <w:rsid w:val="008E2AD9"/>
    <w:rsid w:val="008E31E5"/>
    <w:rsid w:val="008E3576"/>
    <w:rsid w:val="008E37C3"/>
    <w:rsid w:val="008E413B"/>
    <w:rsid w:val="008E41CF"/>
    <w:rsid w:val="008E48D2"/>
    <w:rsid w:val="008E4A26"/>
    <w:rsid w:val="008E4A28"/>
    <w:rsid w:val="008E4DC1"/>
    <w:rsid w:val="008E524B"/>
    <w:rsid w:val="008E5DD6"/>
    <w:rsid w:val="008E5EFC"/>
    <w:rsid w:val="008E638B"/>
    <w:rsid w:val="008E654D"/>
    <w:rsid w:val="008E669D"/>
    <w:rsid w:val="008E66AD"/>
    <w:rsid w:val="008E68A7"/>
    <w:rsid w:val="008E7490"/>
    <w:rsid w:val="008E77B3"/>
    <w:rsid w:val="008E7A19"/>
    <w:rsid w:val="008E7F4D"/>
    <w:rsid w:val="008F0466"/>
    <w:rsid w:val="008F0AB1"/>
    <w:rsid w:val="008F1349"/>
    <w:rsid w:val="008F1694"/>
    <w:rsid w:val="008F20F9"/>
    <w:rsid w:val="008F2611"/>
    <w:rsid w:val="008F26FC"/>
    <w:rsid w:val="008F2CD7"/>
    <w:rsid w:val="008F331C"/>
    <w:rsid w:val="008F3376"/>
    <w:rsid w:val="008F3538"/>
    <w:rsid w:val="008F3B74"/>
    <w:rsid w:val="008F3C6F"/>
    <w:rsid w:val="008F4166"/>
    <w:rsid w:val="008F4393"/>
    <w:rsid w:val="008F4551"/>
    <w:rsid w:val="008F4BC0"/>
    <w:rsid w:val="008F5059"/>
    <w:rsid w:val="008F5965"/>
    <w:rsid w:val="008F5B7E"/>
    <w:rsid w:val="008F63AF"/>
    <w:rsid w:val="008F6AF2"/>
    <w:rsid w:val="008F6E86"/>
    <w:rsid w:val="008F6FF1"/>
    <w:rsid w:val="008F7012"/>
    <w:rsid w:val="008F774B"/>
    <w:rsid w:val="008F78E8"/>
    <w:rsid w:val="008F7D76"/>
    <w:rsid w:val="00900088"/>
    <w:rsid w:val="00900892"/>
    <w:rsid w:val="009008E5"/>
    <w:rsid w:val="00900966"/>
    <w:rsid w:val="0090132C"/>
    <w:rsid w:val="009016E5"/>
    <w:rsid w:val="009019E7"/>
    <w:rsid w:val="00901CDC"/>
    <w:rsid w:val="0090224B"/>
    <w:rsid w:val="009026D9"/>
    <w:rsid w:val="0090281E"/>
    <w:rsid w:val="009028B4"/>
    <w:rsid w:val="00902BFE"/>
    <w:rsid w:val="00903235"/>
    <w:rsid w:val="00904CB4"/>
    <w:rsid w:val="00905F5E"/>
    <w:rsid w:val="00906893"/>
    <w:rsid w:val="00906C42"/>
    <w:rsid w:val="0090770E"/>
    <w:rsid w:val="00907B20"/>
    <w:rsid w:val="0091014A"/>
    <w:rsid w:val="0091033E"/>
    <w:rsid w:val="00911205"/>
    <w:rsid w:val="00911293"/>
    <w:rsid w:val="00911E8A"/>
    <w:rsid w:val="009125A4"/>
    <w:rsid w:val="0091268C"/>
    <w:rsid w:val="00912691"/>
    <w:rsid w:val="009128D6"/>
    <w:rsid w:val="00913369"/>
    <w:rsid w:val="009133F7"/>
    <w:rsid w:val="00913426"/>
    <w:rsid w:val="00913AEE"/>
    <w:rsid w:val="0091437E"/>
    <w:rsid w:val="009146CB"/>
    <w:rsid w:val="0091479D"/>
    <w:rsid w:val="00915574"/>
    <w:rsid w:val="0091580F"/>
    <w:rsid w:val="00915C34"/>
    <w:rsid w:val="00915F68"/>
    <w:rsid w:val="00915F7D"/>
    <w:rsid w:val="009166A1"/>
    <w:rsid w:val="009167E6"/>
    <w:rsid w:val="00916866"/>
    <w:rsid w:val="0091686D"/>
    <w:rsid w:val="00916B29"/>
    <w:rsid w:val="00916BF8"/>
    <w:rsid w:val="00916C94"/>
    <w:rsid w:val="00916E12"/>
    <w:rsid w:val="00917AC2"/>
    <w:rsid w:val="00917D13"/>
    <w:rsid w:val="00917F0D"/>
    <w:rsid w:val="00917F46"/>
    <w:rsid w:val="00920BB2"/>
    <w:rsid w:val="00920EF8"/>
    <w:rsid w:val="00921510"/>
    <w:rsid w:val="00921EB3"/>
    <w:rsid w:val="00921FF5"/>
    <w:rsid w:val="00922054"/>
    <w:rsid w:val="00922193"/>
    <w:rsid w:val="009228B2"/>
    <w:rsid w:val="009230EA"/>
    <w:rsid w:val="00923102"/>
    <w:rsid w:val="00923182"/>
    <w:rsid w:val="009231F3"/>
    <w:rsid w:val="00923471"/>
    <w:rsid w:val="00923578"/>
    <w:rsid w:val="0092361B"/>
    <w:rsid w:val="00923829"/>
    <w:rsid w:val="009238AD"/>
    <w:rsid w:val="0092393E"/>
    <w:rsid w:val="00923BD8"/>
    <w:rsid w:val="0092459A"/>
    <w:rsid w:val="00924C7B"/>
    <w:rsid w:val="009257C0"/>
    <w:rsid w:val="009257EE"/>
    <w:rsid w:val="00925BB2"/>
    <w:rsid w:val="00925DF3"/>
    <w:rsid w:val="009261C9"/>
    <w:rsid w:val="00926373"/>
    <w:rsid w:val="00926EB4"/>
    <w:rsid w:val="00930D9B"/>
    <w:rsid w:val="00930EA4"/>
    <w:rsid w:val="009310D7"/>
    <w:rsid w:val="0093155B"/>
    <w:rsid w:val="00931A1A"/>
    <w:rsid w:val="00931B72"/>
    <w:rsid w:val="00932039"/>
    <w:rsid w:val="0093219B"/>
    <w:rsid w:val="009321DA"/>
    <w:rsid w:val="00932222"/>
    <w:rsid w:val="00932C1C"/>
    <w:rsid w:val="0093365C"/>
    <w:rsid w:val="0093379E"/>
    <w:rsid w:val="00933B35"/>
    <w:rsid w:val="00933D3C"/>
    <w:rsid w:val="00933DC8"/>
    <w:rsid w:val="00934A3C"/>
    <w:rsid w:val="00934E8A"/>
    <w:rsid w:val="0093565D"/>
    <w:rsid w:val="00935684"/>
    <w:rsid w:val="00936029"/>
    <w:rsid w:val="0093613B"/>
    <w:rsid w:val="00936C99"/>
    <w:rsid w:val="0093777E"/>
    <w:rsid w:val="00940703"/>
    <w:rsid w:val="0094116D"/>
    <w:rsid w:val="00941642"/>
    <w:rsid w:val="00941713"/>
    <w:rsid w:val="00941B84"/>
    <w:rsid w:val="00941BA9"/>
    <w:rsid w:val="00941CAD"/>
    <w:rsid w:val="00941E84"/>
    <w:rsid w:val="00941F11"/>
    <w:rsid w:val="009428B1"/>
    <w:rsid w:val="00942977"/>
    <w:rsid w:val="00942AB3"/>
    <w:rsid w:val="00942E83"/>
    <w:rsid w:val="0094323D"/>
    <w:rsid w:val="0094369C"/>
    <w:rsid w:val="009439DF"/>
    <w:rsid w:val="00943FE1"/>
    <w:rsid w:val="00944112"/>
    <w:rsid w:val="00944674"/>
    <w:rsid w:val="009448C3"/>
    <w:rsid w:val="00944C5E"/>
    <w:rsid w:val="00944DAF"/>
    <w:rsid w:val="00944EFB"/>
    <w:rsid w:val="009452F4"/>
    <w:rsid w:val="009467F3"/>
    <w:rsid w:val="009469C9"/>
    <w:rsid w:val="00947E65"/>
    <w:rsid w:val="009503E6"/>
    <w:rsid w:val="0095043C"/>
    <w:rsid w:val="00950525"/>
    <w:rsid w:val="009510C8"/>
    <w:rsid w:val="0095126B"/>
    <w:rsid w:val="009516EF"/>
    <w:rsid w:val="009519E2"/>
    <w:rsid w:val="00951A8C"/>
    <w:rsid w:val="00951CBE"/>
    <w:rsid w:val="00951E8A"/>
    <w:rsid w:val="00952379"/>
    <w:rsid w:val="009525E2"/>
    <w:rsid w:val="0095280C"/>
    <w:rsid w:val="00952837"/>
    <w:rsid w:val="0095284B"/>
    <w:rsid w:val="00952C41"/>
    <w:rsid w:val="00952F17"/>
    <w:rsid w:val="00952FE7"/>
    <w:rsid w:val="0095322E"/>
    <w:rsid w:val="00953F98"/>
    <w:rsid w:val="009546FA"/>
    <w:rsid w:val="00954B3D"/>
    <w:rsid w:val="00955057"/>
    <w:rsid w:val="0095607D"/>
    <w:rsid w:val="009560FA"/>
    <w:rsid w:val="0095632E"/>
    <w:rsid w:val="00956D5A"/>
    <w:rsid w:val="009575E9"/>
    <w:rsid w:val="009578A9"/>
    <w:rsid w:val="009601AA"/>
    <w:rsid w:val="00960802"/>
    <w:rsid w:val="009608A4"/>
    <w:rsid w:val="00960C54"/>
    <w:rsid w:val="00960C86"/>
    <w:rsid w:val="00961919"/>
    <w:rsid w:val="00961A43"/>
    <w:rsid w:val="00961F75"/>
    <w:rsid w:val="00962007"/>
    <w:rsid w:val="009621BE"/>
    <w:rsid w:val="00962996"/>
    <w:rsid w:val="009636EB"/>
    <w:rsid w:val="0096444E"/>
    <w:rsid w:val="0096462C"/>
    <w:rsid w:val="009651F5"/>
    <w:rsid w:val="00965981"/>
    <w:rsid w:val="00965E34"/>
    <w:rsid w:val="00965FDA"/>
    <w:rsid w:val="00966005"/>
    <w:rsid w:val="009665BC"/>
    <w:rsid w:val="00966666"/>
    <w:rsid w:val="00966AC4"/>
    <w:rsid w:val="00966E14"/>
    <w:rsid w:val="00967743"/>
    <w:rsid w:val="00967807"/>
    <w:rsid w:val="00967C95"/>
    <w:rsid w:val="0097021A"/>
    <w:rsid w:val="009702EF"/>
    <w:rsid w:val="0097035C"/>
    <w:rsid w:val="009705D0"/>
    <w:rsid w:val="00970674"/>
    <w:rsid w:val="0097083E"/>
    <w:rsid w:val="00970C40"/>
    <w:rsid w:val="00971069"/>
    <w:rsid w:val="009711E5"/>
    <w:rsid w:val="009712DE"/>
    <w:rsid w:val="009715A8"/>
    <w:rsid w:val="0097189F"/>
    <w:rsid w:val="0097198A"/>
    <w:rsid w:val="00971B0C"/>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DEF"/>
    <w:rsid w:val="00977EEB"/>
    <w:rsid w:val="0098073B"/>
    <w:rsid w:val="00980993"/>
    <w:rsid w:val="00980E6A"/>
    <w:rsid w:val="00980EBF"/>
    <w:rsid w:val="00981252"/>
    <w:rsid w:val="00981CCD"/>
    <w:rsid w:val="00982124"/>
    <w:rsid w:val="0098254F"/>
    <w:rsid w:val="00982721"/>
    <w:rsid w:val="00982EF0"/>
    <w:rsid w:val="00982F86"/>
    <w:rsid w:val="009842EF"/>
    <w:rsid w:val="00984838"/>
    <w:rsid w:val="00984987"/>
    <w:rsid w:val="00984E06"/>
    <w:rsid w:val="0098546D"/>
    <w:rsid w:val="00985CF4"/>
    <w:rsid w:val="009861C6"/>
    <w:rsid w:val="0098658B"/>
    <w:rsid w:val="009867A1"/>
    <w:rsid w:val="00986D65"/>
    <w:rsid w:val="009878CA"/>
    <w:rsid w:val="00987AE2"/>
    <w:rsid w:val="00987B4D"/>
    <w:rsid w:val="00987BD7"/>
    <w:rsid w:val="00990924"/>
    <w:rsid w:val="00990DCD"/>
    <w:rsid w:val="00990EA1"/>
    <w:rsid w:val="009912C4"/>
    <w:rsid w:val="00991475"/>
    <w:rsid w:val="00991E4A"/>
    <w:rsid w:val="00992E05"/>
    <w:rsid w:val="00993B4F"/>
    <w:rsid w:val="00993BD1"/>
    <w:rsid w:val="00993CA4"/>
    <w:rsid w:val="009942A9"/>
    <w:rsid w:val="009944BF"/>
    <w:rsid w:val="00994EBD"/>
    <w:rsid w:val="009954E7"/>
    <w:rsid w:val="00995708"/>
    <w:rsid w:val="00995A28"/>
    <w:rsid w:val="00995A9C"/>
    <w:rsid w:val="0099657B"/>
    <w:rsid w:val="0099661D"/>
    <w:rsid w:val="009966DB"/>
    <w:rsid w:val="00996871"/>
    <w:rsid w:val="009971E0"/>
    <w:rsid w:val="009974F6"/>
    <w:rsid w:val="00997C94"/>
    <w:rsid w:val="009A02F2"/>
    <w:rsid w:val="009A041E"/>
    <w:rsid w:val="009A0579"/>
    <w:rsid w:val="009A05ED"/>
    <w:rsid w:val="009A0780"/>
    <w:rsid w:val="009A095F"/>
    <w:rsid w:val="009A11F6"/>
    <w:rsid w:val="009A1408"/>
    <w:rsid w:val="009A20BD"/>
    <w:rsid w:val="009A23AA"/>
    <w:rsid w:val="009A27B7"/>
    <w:rsid w:val="009A294A"/>
    <w:rsid w:val="009A2A38"/>
    <w:rsid w:val="009A2D49"/>
    <w:rsid w:val="009A307C"/>
    <w:rsid w:val="009A36A3"/>
    <w:rsid w:val="009A385C"/>
    <w:rsid w:val="009A3C4B"/>
    <w:rsid w:val="009A3D7C"/>
    <w:rsid w:val="009A42D2"/>
    <w:rsid w:val="009A437A"/>
    <w:rsid w:val="009A43A3"/>
    <w:rsid w:val="009A4747"/>
    <w:rsid w:val="009A4A57"/>
    <w:rsid w:val="009A582F"/>
    <w:rsid w:val="009A59D5"/>
    <w:rsid w:val="009A60EF"/>
    <w:rsid w:val="009A6297"/>
    <w:rsid w:val="009A68AE"/>
    <w:rsid w:val="009A68DD"/>
    <w:rsid w:val="009A6ACD"/>
    <w:rsid w:val="009A6BBA"/>
    <w:rsid w:val="009A6E0C"/>
    <w:rsid w:val="009A7473"/>
    <w:rsid w:val="009A79F8"/>
    <w:rsid w:val="009A7A86"/>
    <w:rsid w:val="009A7B0B"/>
    <w:rsid w:val="009A7C44"/>
    <w:rsid w:val="009B0DB5"/>
    <w:rsid w:val="009B0EE4"/>
    <w:rsid w:val="009B10B6"/>
    <w:rsid w:val="009B15DE"/>
    <w:rsid w:val="009B1861"/>
    <w:rsid w:val="009B19A2"/>
    <w:rsid w:val="009B1BB1"/>
    <w:rsid w:val="009B2352"/>
    <w:rsid w:val="009B273F"/>
    <w:rsid w:val="009B28CD"/>
    <w:rsid w:val="009B33A0"/>
    <w:rsid w:val="009B3AEF"/>
    <w:rsid w:val="009B3B06"/>
    <w:rsid w:val="009B3E99"/>
    <w:rsid w:val="009B4376"/>
    <w:rsid w:val="009B48B2"/>
    <w:rsid w:val="009B4B9B"/>
    <w:rsid w:val="009B53F3"/>
    <w:rsid w:val="009B56DA"/>
    <w:rsid w:val="009B5B13"/>
    <w:rsid w:val="009B5CD9"/>
    <w:rsid w:val="009B5EC7"/>
    <w:rsid w:val="009B64EE"/>
    <w:rsid w:val="009B689E"/>
    <w:rsid w:val="009B6B84"/>
    <w:rsid w:val="009B7427"/>
    <w:rsid w:val="009B78CE"/>
    <w:rsid w:val="009B7B9F"/>
    <w:rsid w:val="009B7F34"/>
    <w:rsid w:val="009C04DE"/>
    <w:rsid w:val="009C0BC1"/>
    <w:rsid w:val="009C0C40"/>
    <w:rsid w:val="009C0D66"/>
    <w:rsid w:val="009C1312"/>
    <w:rsid w:val="009C2781"/>
    <w:rsid w:val="009C2EB1"/>
    <w:rsid w:val="009C2F53"/>
    <w:rsid w:val="009C30F1"/>
    <w:rsid w:val="009C31C0"/>
    <w:rsid w:val="009C37A8"/>
    <w:rsid w:val="009C3D86"/>
    <w:rsid w:val="009C3F90"/>
    <w:rsid w:val="009C42C6"/>
    <w:rsid w:val="009C4353"/>
    <w:rsid w:val="009C45F1"/>
    <w:rsid w:val="009C47C7"/>
    <w:rsid w:val="009C48DA"/>
    <w:rsid w:val="009C4BD0"/>
    <w:rsid w:val="009C4D62"/>
    <w:rsid w:val="009C5740"/>
    <w:rsid w:val="009C5802"/>
    <w:rsid w:val="009C5C01"/>
    <w:rsid w:val="009C5D4F"/>
    <w:rsid w:val="009C5DF0"/>
    <w:rsid w:val="009C5DF5"/>
    <w:rsid w:val="009C64B5"/>
    <w:rsid w:val="009C6665"/>
    <w:rsid w:val="009C6728"/>
    <w:rsid w:val="009C6760"/>
    <w:rsid w:val="009C6EF0"/>
    <w:rsid w:val="009C7616"/>
    <w:rsid w:val="009C78A3"/>
    <w:rsid w:val="009C7C7D"/>
    <w:rsid w:val="009C7CD2"/>
    <w:rsid w:val="009D0727"/>
    <w:rsid w:val="009D0752"/>
    <w:rsid w:val="009D0B43"/>
    <w:rsid w:val="009D0BB3"/>
    <w:rsid w:val="009D0BC5"/>
    <w:rsid w:val="009D0F1D"/>
    <w:rsid w:val="009D10DB"/>
    <w:rsid w:val="009D1256"/>
    <w:rsid w:val="009D256A"/>
    <w:rsid w:val="009D2649"/>
    <w:rsid w:val="009D33B5"/>
    <w:rsid w:val="009D36B6"/>
    <w:rsid w:val="009D3A72"/>
    <w:rsid w:val="009D3AEC"/>
    <w:rsid w:val="009D3B73"/>
    <w:rsid w:val="009D3D57"/>
    <w:rsid w:val="009D41B9"/>
    <w:rsid w:val="009D423A"/>
    <w:rsid w:val="009D4516"/>
    <w:rsid w:val="009D50F5"/>
    <w:rsid w:val="009D5380"/>
    <w:rsid w:val="009D58E7"/>
    <w:rsid w:val="009D6843"/>
    <w:rsid w:val="009D7051"/>
    <w:rsid w:val="009D7074"/>
    <w:rsid w:val="009D708F"/>
    <w:rsid w:val="009D714E"/>
    <w:rsid w:val="009D7391"/>
    <w:rsid w:val="009D7CD9"/>
    <w:rsid w:val="009E081E"/>
    <w:rsid w:val="009E0F6B"/>
    <w:rsid w:val="009E157A"/>
    <w:rsid w:val="009E18B5"/>
    <w:rsid w:val="009E1AA6"/>
    <w:rsid w:val="009E1DA9"/>
    <w:rsid w:val="009E1EF8"/>
    <w:rsid w:val="009E259D"/>
    <w:rsid w:val="009E2642"/>
    <w:rsid w:val="009E2BF7"/>
    <w:rsid w:val="009E2EA5"/>
    <w:rsid w:val="009E2FF2"/>
    <w:rsid w:val="009E3930"/>
    <w:rsid w:val="009E3DCA"/>
    <w:rsid w:val="009E4011"/>
    <w:rsid w:val="009E431C"/>
    <w:rsid w:val="009E51E4"/>
    <w:rsid w:val="009E53F0"/>
    <w:rsid w:val="009E5BE4"/>
    <w:rsid w:val="009E64BB"/>
    <w:rsid w:val="009E689C"/>
    <w:rsid w:val="009E69CD"/>
    <w:rsid w:val="009E6F5F"/>
    <w:rsid w:val="009E6F66"/>
    <w:rsid w:val="009E6F76"/>
    <w:rsid w:val="009E715C"/>
    <w:rsid w:val="009E762A"/>
    <w:rsid w:val="009E7689"/>
    <w:rsid w:val="009E7E5E"/>
    <w:rsid w:val="009E7E93"/>
    <w:rsid w:val="009F0103"/>
    <w:rsid w:val="009F0DB5"/>
    <w:rsid w:val="009F0DB7"/>
    <w:rsid w:val="009F1885"/>
    <w:rsid w:val="009F2097"/>
    <w:rsid w:val="009F2541"/>
    <w:rsid w:val="009F2670"/>
    <w:rsid w:val="009F2F54"/>
    <w:rsid w:val="009F3EF5"/>
    <w:rsid w:val="009F442D"/>
    <w:rsid w:val="009F44BA"/>
    <w:rsid w:val="009F4804"/>
    <w:rsid w:val="009F48AE"/>
    <w:rsid w:val="009F4CB3"/>
    <w:rsid w:val="009F4D47"/>
    <w:rsid w:val="009F51EE"/>
    <w:rsid w:val="009F5305"/>
    <w:rsid w:val="009F5952"/>
    <w:rsid w:val="009F5A15"/>
    <w:rsid w:val="009F5BD8"/>
    <w:rsid w:val="009F5EAE"/>
    <w:rsid w:val="009F613E"/>
    <w:rsid w:val="009F6156"/>
    <w:rsid w:val="009F6347"/>
    <w:rsid w:val="009F6B38"/>
    <w:rsid w:val="009F6EA8"/>
    <w:rsid w:val="009F7491"/>
    <w:rsid w:val="009F7800"/>
    <w:rsid w:val="009F7998"/>
    <w:rsid w:val="009F7C3C"/>
    <w:rsid w:val="009F7CD1"/>
    <w:rsid w:val="009F7FCD"/>
    <w:rsid w:val="00A004A8"/>
    <w:rsid w:val="00A004B7"/>
    <w:rsid w:val="00A00A4A"/>
    <w:rsid w:val="00A00B43"/>
    <w:rsid w:val="00A0109B"/>
    <w:rsid w:val="00A01220"/>
    <w:rsid w:val="00A024B9"/>
    <w:rsid w:val="00A02742"/>
    <w:rsid w:val="00A028EC"/>
    <w:rsid w:val="00A02C8F"/>
    <w:rsid w:val="00A035DE"/>
    <w:rsid w:val="00A037FF"/>
    <w:rsid w:val="00A0385D"/>
    <w:rsid w:val="00A076A2"/>
    <w:rsid w:val="00A078CC"/>
    <w:rsid w:val="00A07955"/>
    <w:rsid w:val="00A07A80"/>
    <w:rsid w:val="00A1007E"/>
    <w:rsid w:val="00A1062E"/>
    <w:rsid w:val="00A106BE"/>
    <w:rsid w:val="00A10A63"/>
    <w:rsid w:val="00A10C40"/>
    <w:rsid w:val="00A11767"/>
    <w:rsid w:val="00A11ABE"/>
    <w:rsid w:val="00A123FC"/>
    <w:rsid w:val="00A129D8"/>
    <w:rsid w:val="00A12CDE"/>
    <w:rsid w:val="00A131A7"/>
    <w:rsid w:val="00A136E9"/>
    <w:rsid w:val="00A13C49"/>
    <w:rsid w:val="00A145CF"/>
    <w:rsid w:val="00A1466E"/>
    <w:rsid w:val="00A146FB"/>
    <w:rsid w:val="00A14795"/>
    <w:rsid w:val="00A14DF7"/>
    <w:rsid w:val="00A14EAE"/>
    <w:rsid w:val="00A14F21"/>
    <w:rsid w:val="00A14F96"/>
    <w:rsid w:val="00A1511B"/>
    <w:rsid w:val="00A157E5"/>
    <w:rsid w:val="00A15B94"/>
    <w:rsid w:val="00A15CC5"/>
    <w:rsid w:val="00A16874"/>
    <w:rsid w:val="00A169F6"/>
    <w:rsid w:val="00A16E6E"/>
    <w:rsid w:val="00A170C6"/>
    <w:rsid w:val="00A1779A"/>
    <w:rsid w:val="00A1793A"/>
    <w:rsid w:val="00A20240"/>
    <w:rsid w:val="00A20BCB"/>
    <w:rsid w:val="00A210BC"/>
    <w:rsid w:val="00A211A1"/>
    <w:rsid w:val="00A21209"/>
    <w:rsid w:val="00A21304"/>
    <w:rsid w:val="00A223DC"/>
    <w:rsid w:val="00A2283B"/>
    <w:rsid w:val="00A22E7C"/>
    <w:rsid w:val="00A22F0D"/>
    <w:rsid w:val="00A230A2"/>
    <w:rsid w:val="00A23927"/>
    <w:rsid w:val="00A23A14"/>
    <w:rsid w:val="00A23FF3"/>
    <w:rsid w:val="00A2416C"/>
    <w:rsid w:val="00A24A5D"/>
    <w:rsid w:val="00A256BB"/>
    <w:rsid w:val="00A260B4"/>
    <w:rsid w:val="00A260D1"/>
    <w:rsid w:val="00A264D1"/>
    <w:rsid w:val="00A2676A"/>
    <w:rsid w:val="00A2695A"/>
    <w:rsid w:val="00A26B09"/>
    <w:rsid w:val="00A26E83"/>
    <w:rsid w:val="00A2756C"/>
    <w:rsid w:val="00A27581"/>
    <w:rsid w:val="00A27686"/>
    <w:rsid w:val="00A27810"/>
    <w:rsid w:val="00A27888"/>
    <w:rsid w:val="00A27E31"/>
    <w:rsid w:val="00A27F3A"/>
    <w:rsid w:val="00A3036C"/>
    <w:rsid w:val="00A30661"/>
    <w:rsid w:val="00A30F1C"/>
    <w:rsid w:val="00A31052"/>
    <w:rsid w:val="00A319AB"/>
    <w:rsid w:val="00A31A0D"/>
    <w:rsid w:val="00A32031"/>
    <w:rsid w:val="00A3241A"/>
    <w:rsid w:val="00A32739"/>
    <w:rsid w:val="00A33C16"/>
    <w:rsid w:val="00A34C3A"/>
    <w:rsid w:val="00A35229"/>
    <w:rsid w:val="00A3523C"/>
    <w:rsid w:val="00A354FB"/>
    <w:rsid w:val="00A3570C"/>
    <w:rsid w:val="00A35AFC"/>
    <w:rsid w:val="00A35DEE"/>
    <w:rsid w:val="00A36602"/>
    <w:rsid w:val="00A36BDE"/>
    <w:rsid w:val="00A36D3C"/>
    <w:rsid w:val="00A37394"/>
    <w:rsid w:val="00A37983"/>
    <w:rsid w:val="00A379C3"/>
    <w:rsid w:val="00A37C5B"/>
    <w:rsid w:val="00A37D85"/>
    <w:rsid w:val="00A409E3"/>
    <w:rsid w:val="00A40DD8"/>
    <w:rsid w:val="00A412A4"/>
    <w:rsid w:val="00A41368"/>
    <w:rsid w:val="00A417D0"/>
    <w:rsid w:val="00A41D39"/>
    <w:rsid w:val="00A4202C"/>
    <w:rsid w:val="00A420C1"/>
    <w:rsid w:val="00A42E3E"/>
    <w:rsid w:val="00A43A03"/>
    <w:rsid w:val="00A43A32"/>
    <w:rsid w:val="00A4426A"/>
    <w:rsid w:val="00A4458E"/>
    <w:rsid w:val="00A4484C"/>
    <w:rsid w:val="00A44937"/>
    <w:rsid w:val="00A44AB7"/>
    <w:rsid w:val="00A44EBA"/>
    <w:rsid w:val="00A45241"/>
    <w:rsid w:val="00A454B6"/>
    <w:rsid w:val="00A45590"/>
    <w:rsid w:val="00A45804"/>
    <w:rsid w:val="00A45AB6"/>
    <w:rsid w:val="00A45C98"/>
    <w:rsid w:val="00A468AF"/>
    <w:rsid w:val="00A46950"/>
    <w:rsid w:val="00A46A45"/>
    <w:rsid w:val="00A46F4C"/>
    <w:rsid w:val="00A50098"/>
    <w:rsid w:val="00A50119"/>
    <w:rsid w:val="00A50429"/>
    <w:rsid w:val="00A5070D"/>
    <w:rsid w:val="00A50BDE"/>
    <w:rsid w:val="00A517C6"/>
    <w:rsid w:val="00A51A83"/>
    <w:rsid w:val="00A51BA1"/>
    <w:rsid w:val="00A51D04"/>
    <w:rsid w:val="00A521EC"/>
    <w:rsid w:val="00A52215"/>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F25"/>
    <w:rsid w:val="00A56F6E"/>
    <w:rsid w:val="00A571E6"/>
    <w:rsid w:val="00A57800"/>
    <w:rsid w:val="00A579C3"/>
    <w:rsid w:val="00A6066A"/>
    <w:rsid w:val="00A606BB"/>
    <w:rsid w:val="00A607B8"/>
    <w:rsid w:val="00A60B2D"/>
    <w:rsid w:val="00A60CDA"/>
    <w:rsid w:val="00A60F3A"/>
    <w:rsid w:val="00A612A2"/>
    <w:rsid w:val="00A617F7"/>
    <w:rsid w:val="00A6185D"/>
    <w:rsid w:val="00A61CF0"/>
    <w:rsid w:val="00A61E4F"/>
    <w:rsid w:val="00A62170"/>
    <w:rsid w:val="00A625B4"/>
    <w:rsid w:val="00A62890"/>
    <w:rsid w:val="00A628C1"/>
    <w:rsid w:val="00A62A44"/>
    <w:rsid w:val="00A62E60"/>
    <w:rsid w:val="00A631ED"/>
    <w:rsid w:val="00A63433"/>
    <w:rsid w:val="00A63ABA"/>
    <w:rsid w:val="00A64C9C"/>
    <w:rsid w:val="00A64DAA"/>
    <w:rsid w:val="00A64F40"/>
    <w:rsid w:val="00A64FA2"/>
    <w:rsid w:val="00A64FBF"/>
    <w:rsid w:val="00A6571B"/>
    <w:rsid w:val="00A65F9F"/>
    <w:rsid w:val="00A668EB"/>
    <w:rsid w:val="00A66925"/>
    <w:rsid w:val="00A66C4E"/>
    <w:rsid w:val="00A66F78"/>
    <w:rsid w:val="00A673F6"/>
    <w:rsid w:val="00A679F2"/>
    <w:rsid w:val="00A67FC1"/>
    <w:rsid w:val="00A7009B"/>
    <w:rsid w:val="00A70932"/>
    <w:rsid w:val="00A70BCC"/>
    <w:rsid w:val="00A71048"/>
    <w:rsid w:val="00A71797"/>
    <w:rsid w:val="00A7211F"/>
    <w:rsid w:val="00A72D1B"/>
    <w:rsid w:val="00A72DB4"/>
    <w:rsid w:val="00A72F36"/>
    <w:rsid w:val="00A72F99"/>
    <w:rsid w:val="00A73D83"/>
    <w:rsid w:val="00A73F2F"/>
    <w:rsid w:val="00A74230"/>
    <w:rsid w:val="00A74693"/>
    <w:rsid w:val="00A74788"/>
    <w:rsid w:val="00A74AAB"/>
    <w:rsid w:val="00A74E5F"/>
    <w:rsid w:val="00A752B2"/>
    <w:rsid w:val="00A75A86"/>
    <w:rsid w:val="00A75E9D"/>
    <w:rsid w:val="00A76A76"/>
    <w:rsid w:val="00A76B07"/>
    <w:rsid w:val="00A76D22"/>
    <w:rsid w:val="00A76DBC"/>
    <w:rsid w:val="00A76DC2"/>
    <w:rsid w:val="00A77096"/>
    <w:rsid w:val="00A773D0"/>
    <w:rsid w:val="00A77F37"/>
    <w:rsid w:val="00A8054D"/>
    <w:rsid w:val="00A80A59"/>
    <w:rsid w:val="00A80E27"/>
    <w:rsid w:val="00A811C4"/>
    <w:rsid w:val="00A8121C"/>
    <w:rsid w:val="00A813CB"/>
    <w:rsid w:val="00A813E5"/>
    <w:rsid w:val="00A815C8"/>
    <w:rsid w:val="00A816E6"/>
    <w:rsid w:val="00A81E96"/>
    <w:rsid w:val="00A81FC2"/>
    <w:rsid w:val="00A8207B"/>
    <w:rsid w:val="00A82942"/>
    <w:rsid w:val="00A8331B"/>
    <w:rsid w:val="00A8344F"/>
    <w:rsid w:val="00A834E8"/>
    <w:rsid w:val="00A83E2E"/>
    <w:rsid w:val="00A842ED"/>
    <w:rsid w:val="00A84527"/>
    <w:rsid w:val="00A85138"/>
    <w:rsid w:val="00A85177"/>
    <w:rsid w:val="00A85411"/>
    <w:rsid w:val="00A861CE"/>
    <w:rsid w:val="00A862A5"/>
    <w:rsid w:val="00A86471"/>
    <w:rsid w:val="00A867F2"/>
    <w:rsid w:val="00A8688A"/>
    <w:rsid w:val="00A868FC"/>
    <w:rsid w:val="00A86A33"/>
    <w:rsid w:val="00A86AFD"/>
    <w:rsid w:val="00A86BE1"/>
    <w:rsid w:val="00A86BE3"/>
    <w:rsid w:val="00A86CF5"/>
    <w:rsid w:val="00A86FE4"/>
    <w:rsid w:val="00A87546"/>
    <w:rsid w:val="00A876DC"/>
    <w:rsid w:val="00A87735"/>
    <w:rsid w:val="00A879F8"/>
    <w:rsid w:val="00A87C08"/>
    <w:rsid w:val="00A900BD"/>
    <w:rsid w:val="00A90441"/>
    <w:rsid w:val="00A90FB1"/>
    <w:rsid w:val="00A9105F"/>
    <w:rsid w:val="00A91206"/>
    <w:rsid w:val="00A9129A"/>
    <w:rsid w:val="00A91652"/>
    <w:rsid w:val="00A91985"/>
    <w:rsid w:val="00A91B3E"/>
    <w:rsid w:val="00A91C33"/>
    <w:rsid w:val="00A91EE0"/>
    <w:rsid w:val="00A92324"/>
    <w:rsid w:val="00A926BE"/>
    <w:rsid w:val="00A929F3"/>
    <w:rsid w:val="00A92A3B"/>
    <w:rsid w:val="00A92CE9"/>
    <w:rsid w:val="00A9321C"/>
    <w:rsid w:val="00A937D9"/>
    <w:rsid w:val="00A93BEF"/>
    <w:rsid w:val="00A93D14"/>
    <w:rsid w:val="00A93ED9"/>
    <w:rsid w:val="00A93F01"/>
    <w:rsid w:val="00A9412C"/>
    <w:rsid w:val="00A94222"/>
    <w:rsid w:val="00A949FA"/>
    <w:rsid w:val="00A94AB6"/>
    <w:rsid w:val="00A94AC7"/>
    <w:rsid w:val="00A94CD3"/>
    <w:rsid w:val="00A9515A"/>
    <w:rsid w:val="00A95271"/>
    <w:rsid w:val="00A95762"/>
    <w:rsid w:val="00A95D35"/>
    <w:rsid w:val="00A95DFD"/>
    <w:rsid w:val="00A96133"/>
    <w:rsid w:val="00A9625F"/>
    <w:rsid w:val="00A965D0"/>
    <w:rsid w:val="00A96C7C"/>
    <w:rsid w:val="00A97266"/>
    <w:rsid w:val="00A976D0"/>
    <w:rsid w:val="00AA03A0"/>
    <w:rsid w:val="00AA0633"/>
    <w:rsid w:val="00AA0FF7"/>
    <w:rsid w:val="00AA11CD"/>
    <w:rsid w:val="00AA1532"/>
    <w:rsid w:val="00AA21BD"/>
    <w:rsid w:val="00AA2556"/>
    <w:rsid w:val="00AA25C0"/>
    <w:rsid w:val="00AA27BA"/>
    <w:rsid w:val="00AA2AF1"/>
    <w:rsid w:val="00AA2B87"/>
    <w:rsid w:val="00AA3618"/>
    <w:rsid w:val="00AA3D0C"/>
    <w:rsid w:val="00AA4016"/>
    <w:rsid w:val="00AA45F7"/>
    <w:rsid w:val="00AA5820"/>
    <w:rsid w:val="00AA5BAF"/>
    <w:rsid w:val="00AA5DA0"/>
    <w:rsid w:val="00AA63AB"/>
    <w:rsid w:val="00AA6F97"/>
    <w:rsid w:val="00AA7981"/>
    <w:rsid w:val="00AA7B32"/>
    <w:rsid w:val="00AB04D0"/>
    <w:rsid w:val="00AB0757"/>
    <w:rsid w:val="00AB0F76"/>
    <w:rsid w:val="00AB198F"/>
    <w:rsid w:val="00AB1A59"/>
    <w:rsid w:val="00AB2134"/>
    <w:rsid w:val="00AB37AC"/>
    <w:rsid w:val="00AB3DCE"/>
    <w:rsid w:val="00AB4528"/>
    <w:rsid w:val="00AB47FD"/>
    <w:rsid w:val="00AB4FD6"/>
    <w:rsid w:val="00AB51B8"/>
    <w:rsid w:val="00AB541F"/>
    <w:rsid w:val="00AB624C"/>
    <w:rsid w:val="00AB6CE7"/>
    <w:rsid w:val="00AB6E23"/>
    <w:rsid w:val="00AB7B77"/>
    <w:rsid w:val="00AB7C0B"/>
    <w:rsid w:val="00AC028E"/>
    <w:rsid w:val="00AC06EA"/>
    <w:rsid w:val="00AC09EC"/>
    <w:rsid w:val="00AC0CE4"/>
    <w:rsid w:val="00AC0DDF"/>
    <w:rsid w:val="00AC0F6F"/>
    <w:rsid w:val="00AC10A1"/>
    <w:rsid w:val="00AC136E"/>
    <w:rsid w:val="00AC1A42"/>
    <w:rsid w:val="00AC1EE6"/>
    <w:rsid w:val="00AC2518"/>
    <w:rsid w:val="00AC2881"/>
    <w:rsid w:val="00AC2DEA"/>
    <w:rsid w:val="00AC31AC"/>
    <w:rsid w:val="00AC31C0"/>
    <w:rsid w:val="00AC3533"/>
    <w:rsid w:val="00AC396D"/>
    <w:rsid w:val="00AC40DB"/>
    <w:rsid w:val="00AC4121"/>
    <w:rsid w:val="00AC433A"/>
    <w:rsid w:val="00AC46F9"/>
    <w:rsid w:val="00AC486E"/>
    <w:rsid w:val="00AC4F4F"/>
    <w:rsid w:val="00AC51AD"/>
    <w:rsid w:val="00AC54E6"/>
    <w:rsid w:val="00AC5B6F"/>
    <w:rsid w:val="00AC677A"/>
    <w:rsid w:val="00AC7035"/>
    <w:rsid w:val="00AC7177"/>
    <w:rsid w:val="00AC72F8"/>
    <w:rsid w:val="00AD07ED"/>
    <w:rsid w:val="00AD08A0"/>
    <w:rsid w:val="00AD0E63"/>
    <w:rsid w:val="00AD0F04"/>
    <w:rsid w:val="00AD104D"/>
    <w:rsid w:val="00AD10E2"/>
    <w:rsid w:val="00AD13B6"/>
    <w:rsid w:val="00AD1670"/>
    <w:rsid w:val="00AD1EB8"/>
    <w:rsid w:val="00AD2783"/>
    <w:rsid w:val="00AD3254"/>
    <w:rsid w:val="00AD3E60"/>
    <w:rsid w:val="00AD44DF"/>
    <w:rsid w:val="00AD48D0"/>
    <w:rsid w:val="00AD49EA"/>
    <w:rsid w:val="00AD4B28"/>
    <w:rsid w:val="00AD501D"/>
    <w:rsid w:val="00AD50B1"/>
    <w:rsid w:val="00AD548B"/>
    <w:rsid w:val="00AD554E"/>
    <w:rsid w:val="00AD5DCC"/>
    <w:rsid w:val="00AD5EC0"/>
    <w:rsid w:val="00AD62C8"/>
    <w:rsid w:val="00AD67A3"/>
    <w:rsid w:val="00AD7823"/>
    <w:rsid w:val="00AE0146"/>
    <w:rsid w:val="00AE0B08"/>
    <w:rsid w:val="00AE0B26"/>
    <w:rsid w:val="00AE17ED"/>
    <w:rsid w:val="00AE183B"/>
    <w:rsid w:val="00AE2032"/>
    <w:rsid w:val="00AE218E"/>
    <w:rsid w:val="00AE2B5A"/>
    <w:rsid w:val="00AE2DD7"/>
    <w:rsid w:val="00AE2EDB"/>
    <w:rsid w:val="00AE32DA"/>
    <w:rsid w:val="00AE4967"/>
    <w:rsid w:val="00AE50FB"/>
    <w:rsid w:val="00AE539F"/>
    <w:rsid w:val="00AE63ED"/>
    <w:rsid w:val="00AE64A9"/>
    <w:rsid w:val="00AE6AA9"/>
    <w:rsid w:val="00AE6BEB"/>
    <w:rsid w:val="00AE774A"/>
    <w:rsid w:val="00AE7758"/>
    <w:rsid w:val="00AE776D"/>
    <w:rsid w:val="00AE7DD3"/>
    <w:rsid w:val="00AE7E10"/>
    <w:rsid w:val="00AE7EAA"/>
    <w:rsid w:val="00AF0148"/>
    <w:rsid w:val="00AF04AD"/>
    <w:rsid w:val="00AF06BE"/>
    <w:rsid w:val="00AF0C92"/>
    <w:rsid w:val="00AF0EAB"/>
    <w:rsid w:val="00AF10E8"/>
    <w:rsid w:val="00AF1136"/>
    <w:rsid w:val="00AF1285"/>
    <w:rsid w:val="00AF1D46"/>
    <w:rsid w:val="00AF1EE1"/>
    <w:rsid w:val="00AF25A2"/>
    <w:rsid w:val="00AF2AC7"/>
    <w:rsid w:val="00AF2C1E"/>
    <w:rsid w:val="00AF2CBE"/>
    <w:rsid w:val="00AF2D35"/>
    <w:rsid w:val="00AF3794"/>
    <w:rsid w:val="00AF37A1"/>
    <w:rsid w:val="00AF383F"/>
    <w:rsid w:val="00AF3C31"/>
    <w:rsid w:val="00AF3F53"/>
    <w:rsid w:val="00AF4DC9"/>
    <w:rsid w:val="00AF5A9B"/>
    <w:rsid w:val="00AF60A4"/>
    <w:rsid w:val="00AF6238"/>
    <w:rsid w:val="00AF6244"/>
    <w:rsid w:val="00AF6C28"/>
    <w:rsid w:val="00AF6D1F"/>
    <w:rsid w:val="00AF6D55"/>
    <w:rsid w:val="00AF7054"/>
    <w:rsid w:val="00AF7F10"/>
    <w:rsid w:val="00AF7FAA"/>
    <w:rsid w:val="00B00050"/>
    <w:rsid w:val="00B00132"/>
    <w:rsid w:val="00B0092C"/>
    <w:rsid w:val="00B00A85"/>
    <w:rsid w:val="00B00AB4"/>
    <w:rsid w:val="00B00B6A"/>
    <w:rsid w:val="00B00DEB"/>
    <w:rsid w:val="00B01081"/>
    <w:rsid w:val="00B01568"/>
    <w:rsid w:val="00B01D85"/>
    <w:rsid w:val="00B021C5"/>
    <w:rsid w:val="00B028BE"/>
    <w:rsid w:val="00B02949"/>
    <w:rsid w:val="00B02CED"/>
    <w:rsid w:val="00B02E46"/>
    <w:rsid w:val="00B03574"/>
    <w:rsid w:val="00B03A19"/>
    <w:rsid w:val="00B03D2E"/>
    <w:rsid w:val="00B043D6"/>
    <w:rsid w:val="00B04690"/>
    <w:rsid w:val="00B0495B"/>
    <w:rsid w:val="00B04A16"/>
    <w:rsid w:val="00B04B0A"/>
    <w:rsid w:val="00B0541E"/>
    <w:rsid w:val="00B0575B"/>
    <w:rsid w:val="00B05938"/>
    <w:rsid w:val="00B05C4D"/>
    <w:rsid w:val="00B05D08"/>
    <w:rsid w:val="00B05D83"/>
    <w:rsid w:val="00B05E2E"/>
    <w:rsid w:val="00B06041"/>
    <w:rsid w:val="00B06341"/>
    <w:rsid w:val="00B067BA"/>
    <w:rsid w:val="00B06B4B"/>
    <w:rsid w:val="00B06C2E"/>
    <w:rsid w:val="00B06D76"/>
    <w:rsid w:val="00B07270"/>
    <w:rsid w:val="00B073F1"/>
    <w:rsid w:val="00B0778D"/>
    <w:rsid w:val="00B079FB"/>
    <w:rsid w:val="00B100EE"/>
    <w:rsid w:val="00B11070"/>
    <w:rsid w:val="00B11649"/>
    <w:rsid w:val="00B11A5B"/>
    <w:rsid w:val="00B11DB0"/>
    <w:rsid w:val="00B11DBA"/>
    <w:rsid w:val="00B12DE9"/>
    <w:rsid w:val="00B12E4C"/>
    <w:rsid w:val="00B12FC2"/>
    <w:rsid w:val="00B13393"/>
    <w:rsid w:val="00B13807"/>
    <w:rsid w:val="00B13857"/>
    <w:rsid w:val="00B13860"/>
    <w:rsid w:val="00B138DA"/>
    <w:rsid w:val="00B13905"/>
    <w:rsid w:val="00B13A31"/>
    <w:rsid w:val="00B13BF4"/>
    <w:rsid w:val="00B147A0"/>
    <w:rsid w:val="00B14AE4"/>
    <w:rsid w:val="00B14C07"/>
    <w:rsid w:val="00B154FE"/>
    <w:rsid w:val="00B16E61"/>
    <w:rsid w:val="00B173F7"/>
    <w:rsid w:val="00B1767D"/>
    <w:rsid w:val="00B1786C"/>
    <w:rsid w:val="00B179C3"/>
    <w:rsid w:val="00B17D7F"/>
    <w:rsid w:val="00B17DCE"/>
    <w:rsid w:val="00B20015"/>
    <w:rsid w:val="00B201B3"/>
    <w:rsid w:val="00B202FF"/>
    <w:rsid w:val="00B2087D"/>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DD0"/>
    <w:rsid w:val="00B25EF4"/>
    <w:rsid w:val="00B25F19"/>
    <w:rsid w:val="00B25F4D"/>
    <w:rsid w:val="00B2659C"/>
    <w:rsid w:val="00B26A45"/>
    <w:rsid w:val="00B26D46"/>
    <w:rsid w:val="00B26D87"/>
    <w:rsid w:val="00B27562"/>
    <w:rsid w:val="00B275D4"/>
    <w:rsid w:val="00B27F9C"/>
    <w:rsid w:val="00B3008C"/>
    <w:rsid w:val="00B309EE"/>
    <w:rsid w:val="00B30F64"/>
    <w:rsid w:val="00B3118E"/>
    <w:rsid w:val="00B3119A"/>
    <w:rsid w:val="00B314CA"/>
    <w:rsid w:val="00B31CDE"/>
    <w:rsid w:val="00B32391"/>
    <w:rsid w:val="00B32454"/>
    <w:rsid w:val="00B329BB"/>
    <w:rsid w:val="00B33486"/>
    <w:rsid w:val="00B33926"/>
    <w:rsid w:val="00B33DE3"/>
    <w:rsid w:val="00B33E63"/>
    <w:rsid w:val="00B34530"/>
    <w:rsid w:val="00B3459B"/>
    <w:rsid w:val="00B345F3"/>
    <w:rsid w:val="00B3467F"/>
    <w:rsid w:val="00B346EF"/>
    <w:rsid w:val="00B34A6C"/>
    <w:rsid w:val="00B34BBD"/>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53F"/>
    <w:rsid w:val="00B41630"/>
    <w:rsid w:val="00B41707"/>
    <w:rsid w:val="00B4183B"/>
    <w:rsid w:val="00B41B18"/>
    <w:rsid w:val="00B41D95"/>
    <w:rsid w:val="00B420C9"/>
    <w:rsid w:val="00B4249F"/>
    <w:rsid w:val="00B42686"/>
    <w:rsid w:val="00B42A4C"/>
    <w:rsid w:val="00B43EE8"/>
    <w:rsid w:val="00B43F90"/>
    <w:rsid w:val="00B44793"/>
    <w:rsid w:val="00B448EF"/>
    <w:rsid w:val="00B44914"/>
    <w:rsid w:val="00B44D5D"/>
    <w:rsid w:val="00B450D5"/>
    <w:rsid w:val="00B457AA"/>
    <w:rsid w:val="00B45972"/>
    <w:rsid w:val="00B46012"/>
    <w:rsid w:val="00B464ED"/>
    <w:rsid w:val="00B46519"/>
    <w:rsid w:val="00B46E11"/>
    <w:rsid w:val="00B475E1"/>
    <w:rsid w:val="00B4772A"/>
    <w:rsid w:val="00B47CF0"/>
    <w:rsid w:val="00B47F6C"/>
    <w:rsid w:val="00B50040"/>
    <w:rsid w:val="00B50218"/>
    <w:rsid w:val="00B50FED"/>
    <w:rsid w:val="00B514B4"/>
    <w:rsid w:val="00B517E2"/>
    <w:rsid w:val="00B51862"/>
    <w:rsid w:val="00B518DB"/>
    <w:rsid w:val="00B51964"/>
    <w:rsid w:val="00B5198B"/>
    <w:rsid w:val="00B5198F"/>
    <w:rsid w:val="00B51ADE"/>
    <w:rsid w:val="00B521CC"/>
    <w:rsid w:val="00B526FB"/>
    <w:rsid w:val="00B52906"/>
    <w:rsid w:val="00B52D58"/>
    <w:rsid w:val="00B53254"/>
    <w:rsid w:val="00B532F8"/>
    <w:rsid w:val="00B5351F"/>
    <w:rsid w:val="00B53C5B"/>
    <w:rsid w:val="00B53E06"/>
    <w:rsid w:val="00B54678"/>
    <w:rsid w:val="00B55197"/>
    <w:rsid w:val="00B554F4"/>
    <w:rsid w:val="00B55D11"/>
    <w:rsid w:val="00B56280"/>
    <w:rsid w:val="00B56AB3"/>
    <w:rsid w:val="00B57042"/>
    <w:rsid w:val="00B57790"/>
    <w:rsid w:val="00B57970"/>
    <w:rsid w:val="00B57FD7"/>
    <w:rsid w:val="00B600B6"/>
    <w:rsid w:val="00B6061A"/>
    <w:rsid w:val="00B606F4"/>
    <w:rsid w:val="00B60A21"/>
    <w:rsid w:val="00B60B26"/>
    <w:rsid w:val="00B61B6F"/>
    <w:rsid w:val="00B61E3E"/>
    <w:rsid w:val="00B62051"/>
    <w:rsid w:val="00B62063"/>
    <w:rsid w:val="00B623A1"/>
    <w:rsid w:val="00B625A6"/>
    <w:rsid w:val="00B629FF"/>
    <w:rsid w:val="00B62A2D"/>
    <w:rsid w:val="00B63E59"/>
    <w:rsid w:val="00B6466F"/>
    <w:rsid w:val="00B6470E"/>
    <w:rsid w:val="00B64993"/>
    <w:rsid w:val="00B64A6D"/>
    <w:rsid w:val="00B64B1F"/>
    <w:rsid w:val="00B64D09"/>
    <w:rsid w:val="00B64D2C"/>
    <w:rsid w:val="00B65371"/>
    <w:rsid w:val="00B65471"/>
    <w:rsid w:val="00B65AFF"/>
    <w:rsid w:val="00B65D8D"/>
    <w:rsid w:val="00B6612C"/>
    <w:rsid w:val="00B66A12"/>
    <w:rsid w:val="00B66ECA"/>
    <w:rsid w:val="00B66F13"/>
    <w:rsid w:val="00B67753"/>
    <w:rsid w:val="00B67D96"/>
    <w:rsid w:val="00B700D3"/>
    <w:rsid w:val="00B70620"/>
    <w:rsid w:val="00B70BF6"/>
    <w:rsid w:val="00B70C17"/>
    <w:rsid w:val="00B70D51"/>
    <w:rsid w:val="00B71453"/>
    <w:rsid w:val="00B7150C"/>
    <w:rsid w:val="00B728DB"/>
    <w:rsid w:val="00B72E7F"/>
    <w:rsid w:val="00B7306D"/>
    <w:rsid w:val="00B731FE"/>
    <w:rsid w:val="00B735A1"/>
    <w:rsid w:val="00B73823"/>
    <w:rsid w:val="00B73C33"/>
    <w:rsid w:val="00B73C6D"/>
    <w:rsid w:val="00B73C84"/>
    <w:rsid w:val="00B740F5"/>
    <w:rsid w:val="00B742BE"/>
    <w:rsid w:val="00B7437D"/>
    <w:rsid w:val="00B748A8"/>
    <w:rsid w:val="00B74959"/>
    <w:rsid w:val="00B7497C"/>
    <w:rsid w:val="00B751AA"/>
    <w:rsid w:val="00B7534C"/>
    <w:rsid w:val="00B7543B"/>
    <w:rsid w:val="00B759A2"/>
    <w:rsid w:val="00B75BEE"/>
    <w:rsid w:val="00B760D1"/>
    <w:rsid w:val="00B76885"/>
    <w:rsid w:val="00B7698E"/>
    <w:rsid w:val="00B76A63"/>
    <w:rsid w:val="00B76DA0"/>
    <w:rsid w:val="00B77474"/>
    <w:rsid w:val="00B77805"/>
    <w:rsid w:val="00B77D1F"/>
    <w:rsid w:val="00B80CB1"/>
    <w:rsid w:val="00B80F52"/>
    <w:rsid w:val="00B8120D"/>
    <w:rsid w:val="00B81515"/>
    <w:rsid w:val="00B8158B"/>
    <w:rsid w:val="00B81609"/>
    <w:rsid w:val="00B817B3"/>
    <w:rsid w:val="00B81BE8"/>
    <w:rsid w:val="00B81EF8"/>
    <w:rsid w:val="00B82869"/>
    <w:rsid w:val="00B8298D"/>
    <w:rsid w:val="00B82BF5"/>
    <w:rsid w:val="00B83495"/>
    <w:rsid w:val="00B83873"/>
    <w:rsid w:val="00B848A6"/>
    <w:rsid w:val="00B84A9E"/>
    <w:rsid w:val="00B85D06"/>
    <w:rsid w:val="00B86124"/>
    <w:rsid w:val="00B861D9"/>
    <w:rsid w:val="00B86853"/>
    <w:rsid w:val="00B86B5B"/>
    <w:rsid w:val="00B87384"/>
    <w:rsid w:val="00B87B87"/>
    <w:rsid w:val="00B90463"/>
    <w:rsid w:val="00B905D6"/>
    <w:rsid w:val="00B90C80"/>
    <w:rsid w:val="00B918A6"/>
    <w:rsid w:val="00B91AEA"/>
    <w:rsid w:val="00B92185"/>
    <w:rsid w:val="00B9281E"/>
    <w:rsid w:val="00B92E16"/>
    <w:rsid w:val="00B92E65"/>
    <w:rsid w:val="00B93039"/>
    <w:rsid w:val="00B931FC"/>
    <w:rsid w:val="00B93751"/>
    <w:rsid w:val="00B9397D"/>
    <w:rsid w:val="00B93A00"/>
    <w:rsid w:val="00B9449A"/>
    <w:rsid w:val="00B944E8"/>
    <w:rsid w:val="00B94830"/>
    <w:rsid w:val="00B948FC"/>
    <w:rsid w:val="00B94AB0"/>
    <w:rsid w:val="00B9597F"/>
    <w:rsid w:val="00B95C84"/>
    <w:rsid w:val="00B96444"/>
    <w:rsid w:val="00B96FD3"/>
    <w:rsid w:val="00B9700F"/>
    <w:rsid w:val="00B975C5"/>
    <w:rsid w:val="00B97938"/>
    <w:rsid w:val="00B97A6F"/>
    <w:rsid w:val="00BA01E1"/>
    <w:rsid w:val="00BA03F7"/>
    <w:rsid w:val="00BA214F"/>
    <w:rsid w:val="00BA2EC1"/>
    <w:rsid w:val="00BA318B"/>
    <w:rsid w:val="00BA34AB"/>
    <w:rsid w:val="00BA3907"/>
    <w:rsid w:val="00BA3C42"/>
    <w:rsid w:val="00BA3CD5"/>
    <w:rsid w:val="00BA3DC3"/>
    <w:rsid w:val="00BA3F6C"/>
    <w:rsid w:val="00BA4837"/>
    <w:rsid w:val="00BA4856"/>
    <w:rsid w:val="00BA4BD0"/>
    <w:rsid w:val="00BA5E9E"/>
    <w:rsid w:val="00BA612E"/>
    <w:rsid w:val="00BA67B7"/>
    <w:rsid w:val="00BA681C"/>
    <w:rsid w:val="00BA6D5B"/>
    <w:rsid w:val="00BA745C"/>
    <w:rsid w:val="00BB020F"/>
    <w:rsid w:val="00BB03AC"/>
    <w:rsid w:val="00BB16C6"/>
    <w:rsid w:val="00BB1775"/>
    <w:rsid w:val="00BB1DBD"/>
    <w:rsid w:val="00BB1FFD"/>
    <w:rsid w:val="00BB201E"/>
    <w:rsid w:val="00BB2E17"/>
    <w:rsid w:val="00BB30D3"/>
    <w:rsid w:val="00BB33B7"/>
    <w:rsid w:val="00BB342E"/>
    <w:rsid w:val="00BB426B"/>
    <w:rsid w:val="00BB444B"/>
    <w:rsid w:val="00BB547F"/>
    <w:rsid w:val="00BB566B"/>
    <w:rsid w:val="00BB5C1D"/>
    <w:rsid w:val="00BB5DCE"/>
    <w:rsid w:val="00BB5E17"/>
    <w:rsid w:val="00BB61E4"/>
    <w:rsid w:val="00BB6AF5"/>
    <w:rsid w:val="00BB6F82"/>
    <w:rsid w:val="00BB6FF8"/>
    <w:rsid w:val="00BB75CC"/>
    <w:rsid w:val="00BC0934"/>
    <w:rsid w:val="00BC0C6C"/>
    <w:rsid w:val="00BC1160"/>
    <w:rsid w:val="00BC1483"/>
    <w:rsid w:val="00BC1A8F"/>
    <w:rsid w:val="00BC1EA9"/>
    <w:rsid w:val="00BC1FF5"/>
    <w:rsid w:val="00BC2030"/>
    <w:rsid w:val="00BC2272"/>
    <w:rsid w:val="00BC23F3"/>
    <w:rsid w:val="00BC2537"/>
    <w:rsid w:val="00BC2A33"/>
    <w:rsid w:val="00BC2CC2"/>
    <w:rsid w:val="00BC31F3"/>
    <w:rsid w:val="00BC3D0F"/>
    <w:rsid w:val="00BC3EF3"/>
    <w:rsid w:val="00BC4C09"/>
    <w:rsid w:val="00BC506A"/>
    <w:rsid w:val="00BC506B"/>
    <w:rsid w:val="00BC52AB"/>
    <w:rsid w:val="00BC58AD"/>
    <w:rsid w:val="00BC5B6D"/>
    <w:rsid w:val="00BC5E7C"/>
    <w:rsid w:val="00BC6277"/>
    <w:rsid w:val="00BC6879"/>
    <w:rsid w:val="00BC6BB3"/>
    <w:rsid w:val="00BC72D4"/>
    <w:rsid w:val="00BC73A6"/>
    <w:rsid w:val="00BC7D86"/>
    <w:rsid w:val="00BC7FF8"/>
    <w:rsid w:val="00BD0171"/>
    <w:rsid w:val="00BD034A"/>
    <w:rsid w:val="00BD0CA4"/>
    <w:rsid w:val="00BD1365"/>
    <w:rsid w:val="00BD166E"/>
    <w:rsid w:val="00BD1749"/>
    <w:rsid w:val="00BD1A11"/>
    <w:rsid w:val="00BD1A67"/>
    <w:rsid w:val="00BD1BC7"/>
    <w:rsid w:val="00BD1EBA"/>
    <w:rsid w:val="00BD1F46"/>
    <w:rsid w:val="00BD2056"/>
    <w:rsid w:val="00BD20D3"/>
    <w:rsid w:val="00BD28CA"/>
    <w:rsid w:val="00BD341D"/>
    <w:rsid w:val="00BD3440"/>
    <w:rsid w:val="00BD3CDA"/>
    <w:rsid w:val="00BD3D73"/>
    <w:rsid w:val="00BD426E"/>
    <w:rsid w:val="00BD4426"/>
    <w:rsid w:val="00BD4927"/>
    <w:rsid w:val="00BD4AE4"/>
    <w:rsid w:val="00BD5045"/>
    <w:rsid w:val="00BD526B"/>
    <w:rsid w:val="00BD5299"/>
    <w:rsid w:val="00BD5506"/>
    <w:rsid w:val="00BD58B7"/>
    <w:rsid w:val="00BD58EA"/>
    <w:rsid w:val="00BD5B6C"/>
    <w:rsid w:val="00BD6C58"/>
    <w:rsid w:val="00BD6D05"/>
    <w:rsid w:val="00BD6E35"/>
    <w:rsid w:val="00BD6F0F"/>
    <w:rsid w:val="00BD7030"/>
    <w:rsid w:val="00BD76D5"/>
    <w:rsid w:val="00BD79A6"/>
    <w:rsid w:val="00BD7B72"/>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43D"/>
    <w:rsid w:val="00BE5804"/>
    <w:rsid w:val="00BE5D49"/>
    <w:rsid w:val="00BE667F"/>
    <w:rsid w:val="00BE6979"/>
    <w:rsid w:val="00BE6D5E"/>
    <w:rsid w:val="00BE6E91"/>
    <w:rsid w:val="00BE7232"/>
    <w:rsid w:val="00BE78D9"/>
    <w:rsid w:val="00BE7FA8"/>
    <w:rsid w:val="00BE7FB6"/>
    <w:rsid w:val="00BF011C"/>
    <w:rsid w:val="00BF02BC"/>
    <w:rsid w:val="00BF0561"/>
    <w:rsid w:val="00BF0D24"/>
    <w:rsid w:val="00BF12C1"/>
    <w:rsid w:val="00BF12FE"/>
    <w:rsid w:val="00BF14F6"/>
    <w:rsid w:val="00BF16F6"/>
    <w:rsid w:val="00BF181B"/>
    <w:rsid w:val="00BF1AD5"/>
    <w:rsid w:val="00BF1B86"/>
    <w:rsid w:val="00BF1DC6"/>
    <w:rsid w:val="00BF2AA4"/>
    <w:rsid w:val="00BF3142"/>
    <w:rsid w:val="00BF3615"/>
    <w:rsid w:val="00BF3750"/>
    <w:rsid w:val="00BF3AC7"/>
    <w:rsid w:val="00BF4958"/>
    <w:rsid w:val="00BF4B3D"/>
    <w:rsid w:val="00BF4DC6"/>
    <w:rsid w:val="00BF50FB"/>
    <w:rsid w:val="00BF52C0"/>
    <w:rsid w:val="00BF54D4"/>
    <w:rsid w:val="00BF58C6"/>
    <w:rsid w:val="00BF59CE"/>
    <w:rsid w:val="00BF5AE7"/>
    <w:rsid w:val="00BF5E8F"/>
    <w:rsid w:val="00BF6679"/>
    <w:rsid w:val="00BF6BE3"/>
    <w:rsid w:val="00BF7442"/>
    <w:rsid w:val="00BF7474"/>
    <w:rsid w:val="00BF797B"/>
    <w:rsid w:val="00BF7AF0"/>
    <w:rsid w:val="00BF7D57"/>
    <w:rsid w:val="00C00385"/>
    <w:rsid w:val="00C00439"/>
    <w:rsid w:val="00C004D4"/>
    <w:rsid w:val="00C00B68"/>
    <w:rsid w:val="00C00FD5"/>
    <w:rsid w:val="00C011C4"/>
    <w:rsid w:val="00C018EB"/>
    <w:rsid w:val="00C019D6"/>
    <w:rsid w:val="00C01F04"/>
    <w:rsid w:val="00C0215F"/>
    <w:rsid w:val="00C029D0"/>
    <w:rsid w:val="00C02F5E"/>
    <w:rsid w:val="00C03A7A"/>
    <w:rsid w:val="00C03D98"/>
    <w:rsid w:val="00C045F8"/>
    <w:rsid w:val="00C04912"/>
    <w:rsid w:val="00C04FB7"/>
    <w:rsid w:val="00C052E4"/>
    <w:rsid w:val="00C05376"/>
    <w:rsid w:val="00C057E8"/>
    <w:rsid w:val="00C05BB3"/>
    <w:rsid w:val="00C05D9F"/>
    <w:rsid w:val="00C06335"/>
    <w:rsid w:val="00C06F12"/>
    <w:rsid w:val="00C07A3A"/>
    <w:rsid w:val="00C07AEC"/>
    <w:rsid w:val="00C07FCC"/>
    <w:rsid w:val="00C1021A"/>
    <w:rsid w:val="00C10327"/>
    <w:rsid w:val="00C10940"/>
    <w:rsid w:val="00C10B81"/>
    <w:rsid w:val="00C11025"/>
    <w:rsid w:val="00C1116A"/>
    <w:rsid w:val="00C11355"/>
    <w:rsid w:val="00C11CE0"/>
    <w:rsid w:val="00C12571"/>
    <w:rsid w:val="00C12BE0"/>
    <w:rsid w:val="00C12EDE"/>
    <w:rsid w:val="00C13218"/>
    <w:rsid w:val="00C132C5"/>
    <w:rsid w:val="00C1334F"/>
    <w:rsid w:val="00C13671"/>
    <w:rsid w:val="00C14CBA"/>
    <w:rsid w:val="00C14F18"/>
    <w:rsid w:val="00C15469"/>
    <w:rsid w:val="00C154F5"/>
    <w:rsid w:val="00C15D03"/>
    <w:rsid w:val="00C15ED2"/>
    <w:rsid w:val="00C16249"/>
    <w:rsid w:val="00C1662C"/>
    <w:rsid w:val="00C16997"/>
    <w:rsid w:val="00C16A46"/>
    <w:rsid w:val="00C16BDF"/>
    <w:rsid w:val="00C1739B"/>
    <w:rsid w:val="00C17508"/>
    <w:rsid w:val="00C17FD0"/>
    <w:rsid w:val="00C20618"/>
    <w:rsid w:val="00C206B5"/>
    <w:rsid w:val="00C20BC2"/>
    <w:rsid w:val="00C20DA7"/>
    <w:rsid w:val="00C21235"/>
    <w:rsid w:val="00C2145A"/>
    <w:rsid w:val="00C21D88"/>
    <w:rsid w:val="00C21E10"/>
    <w:rsid w:val="00C22181"/>
    <w:rsid w:val="00C221BB"/>
    <w:rsid w:val="00C2253E"/>
    <w:rsid w:val="00C225C5"/>
    <w:rsid w:val="00C2286C"/>
    <w:rsid w:val="00C22C37"/>
    <w:rsid w:val="00C22C82"/>
    <w:rsid w:val="00C22CBA"/>
    <w:rsid w:val="00C22DCB"/>
    <w:rsid w:val="00C23005"/>
    <w:rsid w:val="00C2387C"/>
    <w:rsid w:val="00C24208"/>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F3"/>
    <w:rsid w:val="00C32EAF"/>
    <w:rsid w:val="00C33597"/>
    <w:rsid w:val="00C338D6"/>
    <w:rsid w:val="00C3395E"/>
    <w:rsid w:val="00C33C91"/>
    <w:rsid w:val="00C34004"/>
    <w:rsid w:val="00C342C8"/>
    <w:rsid w:val="00C34558"/>
    <w:rsid w:val="00C34F01"/>
    <w:rsid w:val="00C34FD7"/>
    <w:rsid w:val="00C35063"/>
    <w:rsid w:val="00C3525D"/>
    <w:rsid w:val="00C357E9"/>
    <w:rsid w:val="00C364C9"/>
    <w:rsid w:val="00C36552"/>
    <w:rsid w:val="00C3687F"/>
    <w:rsid w:val="00C37085"/>
    <w:rsid w:val="00C37DCD"/>
    <w:rsid w:val="00C400C7"/>
    <w:rsid w:val="00C4046E"/>
    <w:rsid w:val="00C40690"/>
    <w:rsid w:val="00C408C0"/>
    <w:rsid w:val="00C409F7"/>
    <w:rsid w:val="00C40E17"/>
    <w:rsid w:val="00C4192D"/>
    <w:rsid w:val="00C42604"/>
    <w:rsid w:val="00C42C04"/>
    <w:rsid w:val="00C42ECC"/>
    <w:rsid w:val="00C43087"/>
    <w:rsid w:val="00C4338A"/>
    <w:rsid w:val="00C4388F"/>
    <w:rsid w:val="00C438B6"/>
    <w:rsid w:val="00C44178"/>
    <w:rsid w:val="00C441EA"/>
    <w:rsid w:val="00C45179"/>
    <w:rsid w:val="00C45435"/>
    <w:rsid w:val="00C45BA1"/>
    <w:rsid w:val="00C45C37"/>
    <w:rsid w:val="00C45FEE"/>
    <w:rsid w:val="00C46110"/>
    <w:rsid w:val="00C46610"/>
    <w:rsid w:val="00C46659"/>
    <w:rsid w:val="00C467A5"/>
    <w:rsid w:val="00C46E3A"/>
    <w:rsid w:val="00C46EC7"/>
    <w:rsid w:val="00C46FD3"/>
    <w:rsid w:val="00C47165"/>
    <w:rsid w:val="00C472F1"/>
    <w:rsid w:val="00C474C0"/>
    <w:rsid w:val="00C477D4"/>
    <w:rsid w:val="00C4782B"/>
    <w:rsid w:val="00C47FD1"/>
    <w:rsid w:val="00C50064"/>
    <w:rsid w:val="00C511DE"/>
    <w:rsid w:val="00C51A46"/>
    <w:rsid w:val="00C51A72"/>
    <w:rsid w:val="00C524A9"/>
    <w:rsid w:val="00C52907"/>
    <w:rsid w:val="00C52CDF"/>
    <w:rsid w:val="00C52E8E"/>
    <w:rsid w:val="00C54252"/>
    <w:rsid w:val="00C5432A"/>
    <w:rsid w:val="00C546B6"/>
    <w:rsid w:val="00C56020"/>
    <w:rsid w:val="00C5626B"/>
    <w:rsid w:val="00C563EC"/>
    <w:rsid w:val="00C5651E"/>
    <w:rsid w:val="00C5682A"/>
    <w:rsid w:val="00C56A04"/>
    <w:rsid w:val="00C56ED8"/>
    <w:rsid w:val="00C56F79"/>
    <w:rsid w:val="00C57FDE"/>
    <w:rsid w:val="00C601D0"/>
    <w:rsid w:val="00C6022F"/>
    <w:rsid w:val="00C60390"/>
    <w:rsid w:val="00C60424"/>
    <w:rsid w:val="00C6050F"/>
    <w:rsid w:val="00C6078E"/>
    <w:rsid w:val="00C60A82"/>
    <w:rsid w:val="00C60F3D"/>
    <w:rsid w:val="00C612E4"/>
    <w:rsid w:val="00C613EB"/>
    <w:rsid w:val="00C613F0"/>
    <w:rsid w:val="00C61446"/>
    <w:rsid w:val="00C61FB3"/>
    <w:rsid w:val="00C620C7"/>
    <w:rsid w:val="00C623D8"/>
    <w:rsid w:val="00C6245C"/>
    <w:rsid w:val="00C63274"/>
    <w:rsid w:val="00C634E0"/>
    <w:rsid w:val="00C635A0"/>
    <w:rsid w:val="00C635C0"/>
    <w:rsid w:val="00C6386D"/>
    <w:rsid w:val="00C63AF4"/>
    <w:rsid w:val="00C63B55"/>
    <w:rsid w:val="00C6410D"/>
    <w:rsid w:val="00C6430A"/>
    <w:rsid w:val="00C6493E"/>
    <w:rsid w:val="00C649CE"/>
    <w:rsid w:val="00C64F11"/>
    <w:rsid w:val="00C651E5"/>
    <w:rsid w:val="00C657E2"/>
    <w:rsid w:val="00C65FED"/>
    <w:rsid w:val="00C66568"/>
    <w:rsid w:val="00C66AAD"/>
    <w:rsid w:val="00C66DAF"/>
    <w:rsid w:val="00C66DD2"/>
    <w:rsid w:val="00C66E0C"/>
    <w:rsid w:val="00C6767D"/>
    <w:rsid w:val="00C67CAD"/>
    <w:rsid w:val="00C67D78"/>
    <w:rsid w:val="00C67E4E"/>
    <w:rsid w:val="00C704CC"/>
    <w:rsid w:val="00C70708"/>
    <w:rsid w:val="00C717D4"/>
    <w:rsid w:val="00C71F1D"/>
    <w:rsid w:val="00C71F7D"/>
    <w:rsid w:val="00C72419"/>
    <w:rsid w:val="00C72A0D"/>
    <w:rsid w:val="00C72A42"/>
    <w:rsid w:val="00C72B54"/>
    <w:rsid w:val="00C730F4"/>
    <w:rsid w:val="00C7373C"/>
    <w:rsid w:val="00C73758"/>
    <w:rsid w:val="00C73C6A"/>
    <w:rsid w:val="00C74340"/>
    <w:rsid w:val="00C74351"/>
    <w:rsid w:val="00C74707"/>
    <w:rsid w:val="00C7533B"/>
    <w:rsid w:val="00C7565E"/>
    <w:rsid w:val="00C7585F"/>
    <w:rsid w:val="00C75997"/>
    <w:rsid w:val="00C75F54"/>
    <w:rsid w:val="00C76781"/>
    <w:rsid w:val="00C76D21"/>
    <w:rsid w:val="00C76DFA"/>
    <w:rsid w:val="00C77165"/>
    <w:rsid w:val="00C77192"/>
    <w:rsid w:val="00C774C6"/>
    <w:rsid w:val="00C7754C"/>
    <w:rsid w:val="00C779CF"/>
    <w:rsid w:val="00C77B5E"/>
    <w:rsid w:val="00C77C70"/>
    <w:rsid w:val="00C80284"/>
    <w:rsid w:val="00C8066B"/>
    <w:rsid w:val="00C8072B"/>
    <w:rsid w:val="00C80C23"/>
    <w:rsid w:val="00C80E0B"/>
    <w:rsid w:val="00C81143"/>
    <w:rsid w:val="00C81503"/>
    <w:rsid w:val="00C81639"/>
    <w:rsid w:val="00C81CA3"/>
    <w:rsid w:val="00C81D06"/>
    <w:rsid w:val="00C81DDA"/>
    <w:rsid w:val="00C8227A"/>
    <w:rsid w:val="00C8336D"/>
    <w:rsid w:val="00C8336F"/>
    <w:rsid w:val="00C83680"/>
    <w:rsid w:val="00C83890"/>
    <w:rsid w:val="00C83A03"/>
    <w:rsid w:val="00C83F1E"/>
    <w:rsid w:val="00C841D5"/>
    <w:rsid w:val="00C846B3"/>
    <w:rsid w:val="00C84973"/>
    <w:rsid w:val="00C849EB"/>
    <w:rsid w:val="00C84A8B"/>
    <w:rsid w:val="00C84C33"/>
    <w:rsid w:val="00C84D66"/>
    <w:rsid w:val="00C84E98"/>
    <w:rsid w:val="00C85242"/>
    <w:rsid w:val="00C85284"/>
    <w:rsid w:val="00C8638D"/>
    <w:rsid w:val="00C86625"/>
    <w:rsid w:val="00C867D4"/>
    <w:rsid w:val="00C86BDC"/>
    <w:rsid w:val="00C87054"/>
    <w:rsid w:val="00C875BA"/>
    <w:rsid w:val="00C87AB0"/>
    <w:rsid w:val="00C87CA3"/>
    <w:rsid w:val="00C90311"/>
    <w:rsid w:val="00C905F5"/>
    <w:rsid w:val="00C907F2"/>
    <w:rsid w:val="00C908F0"/>
    <w:rsid w:val="00C911D4"/>
    <w:rsid w:val="00C9123B"/>
    <w:rsid w:val="00C91D3D"/>
    <w:rsid w:val="00C92F98"/>
    <w:rsid w:val="00C9319D"/>
    <w:rsid w:val="00C93832"/>
    <w:rsid w:val="00C93CA7"/>
    <w:rsid w:val="00C93EFB"/>
    <w:rsid w:val="00C94724"/>
    <w:rsid w:val="00C94C16"/>
    <w:rsid w:val="00C95081"/>
    <w:rsid w:val="00C951BC"/>
    <w:rsid w:val="00C95965"/>
    <w:rsid w:val="00C960E3"/>
    <w:rsid w:val="00C9668C"/>
    <w:rsid w:val="00C9698F"/>
    <w:rsid w:val="00C96BFF"/>
    <w:rsid w:val="00C96E35"/>
    <w:rsid w:val="00C96E63"/>
    <w:rsid w:val="00C97391"/>
    <w:rsid w:val="00C974D1"/>
    <w:rsid w:val="00CA0208"/>
    <w:rsid w:val="00CA0362"/>
    <w:rsid w:val="00CA07A1"/>
    <w:rsid w:val="00CA1571"/>
    <w:rsid w:val="00CA18BF"/>
    <w:rsid w:val="00CA1ACB"/>
    <w:rsid w:val="00CA1B0D"/>
    <w:rsid w:val="00CA2289"/>
    <w:rsid w:val="00CA2683"/>
    <w:rsid w:val="00CA28BE"/>
    <w:rsid w:val="00CA3A33"/>
    <w:rsid w:val="00CA3FEC"/>
    <w:rsid w:val="00CA49FA"/>
    <w:rsid w:val="00CA4B5A"/>
    <w:rsid w:val="00CA5131"/>
    <w:rsid w:val="00CA55FB"/>
    <w:rsid w:val="00CA6A67"/>
    <w:rsid w:val="00CA6C25"/>
    <w:rsid w:val="00CA72DB"/>
    <w:rsid w:val="00CA7310"/>
    <w:rsid w:val="00CA7454"/>
    <w:rsid w:val="00CA746D"/>
    <w:rsid w:val="00CA7C7C"/>
    <w:rsid w:val="00CB0097"/>
    <w:rsid w:val="00CB087B"/>
    <w:rsid w:val="00CB0A23"/>
    <w:rsid w:val="00CB1211"/>
    <w:rsid w:val="00CB133D"/>
    <w:rsid w:val="00CB1626"/>
    <w:rsid w:val="00CB1C2D"/>
    <w:rsid w:val="00CB1CBF"/>
    <w:rsid w:val="00CB2728"/>
    <w:rsid w:val="00CB2C24"/>
    <w:rsid w:val="00CB328E"/>
    <w:rsid w:val="00CB347E"/>
    <w:rsid w:val="00CB3BC3"/>
    <w:rsid w:val="00CB40B2"/>
    <w:rsid w:val="00CB4120"/>
    <w:rsid w:val="00CB4571"/>
    <w:rsid w:val="00CB4889"/>
    <w:rsid w:val="00CB4A1B"/>
    <w:rsid w:val="00CB4DA8"/>
    <w:rsid w:val="00CB512E"/>
    <w:rsid w:val="00CB5530"/>
    <w:rsid w:val="00CB5FE2"/>
    <w:rsid w:val="00CB62F0"/>
    <w:rsid w:val="00CB640B"/>
    <w:rsid w:val="00CB66D7"/>
    <w:rsid w:val="00CB6C27"/>
    <w:rsid w:val="00CB7CCB"/>
    <w:rsid w:val="00CC0369"/>
    <w:rsid w:val="00CC04FB"/>
    <w:rsid w:val="00CC06B8"/>
    <w:rsid w:val="00CC0915"/>
    <w:rsid w:val="00CC1267"/>
    <w:rsid w:val="00CC13DC"/>
    <w:rsid w:val="00CC1596"/>
    <w:rsid w:val="00CC15BB"/>
    <w:rsid w:val="00CC191B"/>
    <w:rsid w:val="00CC1D7A"/>
    <w:rsid w:val="00CC2AC0"/>
    <w:rsid w:val="00CC2CA6"/>
    <w:rsid w:val="00CC2DC0"/>
    <w:rsid w:val="00CC3384"/>
    <w:rsid w:val="00CC36B1"/>
    <w:rsid w:val="00CC3BC4"/>
    <w:rsid w:val="00CC3CEB"/>
    <w:rsid w:val="00CC3ED4"/>
    <w:rsid w:val="00CC42A5"/>
    <w:rsid w:val="00CC46A4"/>
    <w:rsid w:val="00CC4B43"/>
    <w:rsid w:val="00CC5113"/>
    <w:rsid w:val="00CC56F1"/>
    <w:rsid w:val="00CC5847"/>
    <w:rsid w:val="00CC590B"/>
    <w:rsid w:val="00CC5FAB"/>
    <w:rsid w:val="00CC6307"/>
    <w:rsid w:val="00CC6351"/>
    <w:rsid w:val="00CC643C"/>
    <w:rsid w:val="00CC65AB"/>
    <w:rsid w:val="00CC6712"/>
    <w:rsid w:val="00CC6F76"/>
    <w:rsid w:val="00CC6F77"/>
    <w:rsid w:val="00CC7375"/>
    <w:rsid w:val="00CD0237"/>
    <w:rsid w:val="00CD039F"/>
    <w:rsid w:val="00CD05E5"/>
    <w:rsid w:val="00CD08A2"/>
    <w:rsid w:val="00CD098B"/>
    <w:rsid w:val="00CD1ACA"/>
    <w:rsid w:val="00CD1C38"/>
    <w:rsid w:val="00CD1C60"/>
    <w:rsid w:val="00CD1CF1"/>
    <w:rsid w:val="00CD2444"/>
    <w:rsid w:val="00CD2B83"/>
    <w:rsid w:val="00CD2D7B"/>
    <w:rsid w:val="00CD35E8"/>
    <w:rsid w:val="00CD3C57"/>
    <w:rsid w:val="00CD4807"/>
    <w:rsid w:val="00CD4BAA"/>
    <w:rsid w:val="00CD5013"/>
    <w:rsid w:val="00CD51B3"/>
    <w:rsid w:val="00CD54B0"/>
    <w:rsid w:val="00CD5948"/>
    <w:rsid w:val="00CD5A5F"/>
    <w:rsid w:val="00CD5C81"/>
    <w:rsid w:val="00CD5F6A"/>
    <w:rsid w:val="00CD62DD"/>
    <w:rsid w:val="00CD64C2"/>
    <w:rsid w:val="00CD696F"/>
    <w:rsid w:val="00CD6991"/>
    <w:rsid w:val="00CD6B4A"/>
    <w:rsid w:val="00CD7090"/>
    <w:rsid w:val="00CD7112"/>
    <w:rsid w:val="00CD73A6"/>
    <w:rsid w:val="00CD76B1"/>
    <w:rsid w:val="00CD7A1A"/>
    <w:rsid w:val="00CD7B64"/>
    <w:rsid w:val="00CD7D96"/>
    <w:rsid w:val="00CE047B"/>
    <w:rsid w:val="00CE0C4C"/>
    <w:rsid w:val="00CE1EF2"/>
    <w:rsid w:val="00CE2022"/>
    <w:rsid w:val="00CE229B"/>
    <w:rsid w:val="00CE2F79"/>
    <w:rsid w:val="00CE34CE"/>
    <w:rsid w:val="00CE3582"/>
    <w:rsid w:val="00CE3971"/>
    <w:rsid w:val="00CE39D9"/>
    <w:rsid w:val="00CE3CAD"/>
    <w:rsid w:val="00CE3D18"/>
    <w:rsid w:val="00CE3FBE"/>
    <w:rsid w:val="00CE407C"/>
    <w:rsid w:val="00CE428E"/>
    <w:rsid w:val="00CE4460"/>
    <w:rsid w:val="00CE46E4"/>
    <w:rsid w:val="00CE476C"/>
    <w:rsid w:val="00CE4E0F"/>
    <w:rsid w:val="00CE517E"/>
    <w:rsid w:val="00CE5312"/>
    <w:rsid w:val="00CE62A7"/>
    <w:rsid w:val="00CE656C"/>
    <w:rsid w:val="00CE65CA"/>
    <w:rsid w:val="00CE6AB6"/>
    <w:rsid w:val="00CE6B8F"/>
    <w:rsid w:val="00CE6F99"/>
    <w:rsid w:val="00CE7066"/>
    <w:rsid w:val="00CE7FB3"/>
    <w:rsid w:val="00CF0027"/>
    <w:rsid w:val="00CF03F5"/>
    <w:rsid w:val="00CF12C4"/>
    <w:rsid w:val="00CF154A"/>
    <w:rsid w:val="00CF196D"/>
    <w:rsid w:val="00CF19E5"/>
    <w:rsid w:val="00CF2987"/>
    <w:rsid w:val="00CF3068"/>
    <w:rsid w:val="00CF358B"/>
    <w:rsid w:val="00CF3697"/>
    <w:rsid w:val="00CF37BF"/>
    <w:rsid w:val="00CF45A3"/>
    <w:rsid w:val="00CF4BF9"/>
    <w:rsid w:val="00CF4EED"/>
    <w:rsid w:val="00CF517D"/>
    <w:rsid w:val="00CF530F"/>
    <w:rsid w:val="00CF5442"/>
    <w:rsid w:val="00CF5730"/>
    <w:rsid w:val="00CF61BD"/>
    <w:rsid w:val="00CF6747"/>
    <w:rsid w:val="00CF6F93"/>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371E"/>
    <w:rsid w:val="00D03FC4"/>
    <w:rsid w:val="00D04839"/>
    <w:rsid w:val="00D0513B"/>
    <w:rsid w:val="00D05407"/>
    <w:rsid w:val="00D05A74"/>
    <w:rsid w:val="00D05BA5"/>
    <w:rsid w:val="00D05CB5"/>
    <w:rsid w:val="00D060B6"/>
    <w:rsid w:val="00D061C1"/>
    <w:rsid w:val="00D06B4D"/>
    <w:rsid w:val="00D071EF"/>
    <w:rsid w:val="00D073AD"/>
    <w:rsid w:val="00D078A3"/>
    <w:rsid w:val="00D07AA2"/>
    <w:rsid w:val="00D07E87"/>
    <w:rsid w:val="00D100E1"/>
    <w:rsid w:val="00D1097A"/>
    <w:rsid w:val="00D10AF8"/>
    <w:rsid w:val="00D10C2C"/>
    <w:rsid w:val="00D10DA9"/>
    <w:rsid w:val="00D10E2C"/>
    <w:rsid w:val="00D10EE1"/>
    <w:rsid w:val="00D10FE8"/>
    <w:rsid w:val="00D113F9"/>
    <w:rsid w:val="00D11513"/>
    <w:rsid w:val="00D11BA2"/>
    <w:rsid w:val="00D12068"/>
    <w:rsid w:val="00D128CE"/>
    <w:rsid w:val="00D1297C"/>
    <w:rsid w:val="00D129A0"/>
    <w:rsid w:val="00D12A3D"/>
    <w:rsid w:val="00D12CF2"/>
    <w:rsid w:val="00D131F1"/>
    <w:rsid w:val="00D133DC"/>
    <w:rsid w:val="00D136A3"/>
    <w:rsid w:val="00D13A5B"/>
    <w:rsid w:val="00D144E4"/>
    <w:rsid w:val="00D1466E"/>
    <w:rsid w:val="00D14CF4"/>
    <w:rsid w:val="00D1559B"/>
    <w:rsid w:val="00D156B3"/>
    <w:rsid w:val="00D15B3B"/>
    <w:rsid w:val="00D15F49"/>
    <w:rsid w:val="00D15F52"/>
    <w:rsid w:val="00D161F4"/>
    <w:rsid w:val="00D16568"/>
    <w:rsid w:val="00D1682E"/>
    <w:rsid w:val="00D1696E"/>
    <w:rsid w:val="00D16B26"/>
    <w:rsid w:val="00D170D1"/>
    <w:rsid w:val="00D201B7"/>
    <w:rsid w:val="00D2022E"/>
    <w:rsid w:val="00D20840"/>
    <w:rsid w:val="00D20B61"/>
    <w:rsid w:val="00D21118"/>
    <w:rsid w:val="00D216CC"/>
    <w:rsid w:val="00D21978"/>
    <w:rsid w:val="00D22BA1"/>
    <w:rsid w:val="00D22FF1"/>
    <w:rsid w:val="00D23054"/>
    <w:rsid w:val="00D23262"/>
    <w:rsid w:val="00D23E59"/>
    <w:rsid w:val="00D24FE4"/>
    <w:rsid w:val="00D254A9"/>
    <w:rsid w:val="00D2583A"/>
    <w:rsid w:val="00D260D0"/>
    <w:rsid w:val="00D262CF"/>
    <w:rsid w:val="00D263FE"/>
    <w:rsid w:val="00D266F8"/>
    <w:rsid w:val="00D26A21"/>
    <w:rsid w:val="00D26B22"/>
    <w:rsid w:val="00D26FF4"/>
    <w:rsid w:val="00D2749A"/>
    <w:rsid w:val="00D274FE"/>
    <w:rsid w:val="00D27553"/>
    <w:rsid w:val="00D2776C"/>
    <w:rsid w:val="00D277A8"/>
    <w:rsid w:val="00D278F9"/>
    <w:rsid w:val="00D27AE9"/>
    <w:rsid w:val="00D3062F"/>
    <w:rsid w:val="00D306E9"/>
    <w:rsid w:val="00D30706"/>
    <w:rsid w:val="00D30BD7"/>
    <w:rsid w:val="00D30BD8"/>
    <w:rsid w:val="00D30C50"/>
    <w:rsid w:val="00D32278"/>
    <w:rsid w:val="00D324F7"/>
    <w:rsid w:val="00D32D3D"/>
    <w:rsid w:val="00D32EFF"/>
    <w:rsid w:val="00D331F0"/>
    <w:rsid w:val="00D33338"/>
    <w:rsid w:val="00D334C7"/>
    <w:rsid w:val="00D3360F"/>
    <w:rsid w:val="00D33F7E"/>
    <w:rsid w:val="00D34319"/>
    <w:rsid w:val="00D3546D"/>
    <w:rsid w:val="00D355A7"/>
    <w:rsid w:val="00D3588A"/>
    <w:rsid w:val="00D36648"/>
    <w:rsid w:val="00D366D2"/>
    <w:rsid w:val="00D367D3"/>
    <w:rsid w:val="00D36EB6"/>
    <w:rsid w:val="00D37122"/>
    <w:rsid w:val="00D374E7"/>
    <w:rsid w:val="00D37A89"/>
    <w:rsid w:val="00D37CDD"/>
    <w:rsid w:val="00D4014E"/>
    <w:rsid w:val="00D40D87"/>
    <w:rsid w:val="00D40F7B"/>
    <w:rsid w:val="00D4120B"/>
    <w:rsid w:val="00D412CB"/>
    <w:rsid w:val="00D41472"/>
    <w:rsid w:val="00D415B3"/>
    <w:rsid w:val="00D41DD5"/>
    <w:rsid w:val="00D4267B"/>
    <w:rsid w:val="00D4270D"/>
    <w:rsid w:val="00D42847"/>
    <w:rsid w:val="00D42C7D"/>
    <w:rsid w:val="00D42D0B"/>
    <w:rsid w:val="00D42D95"/>
    <w:rsid w:val="00D4326E"/>
    <w:rsid w:val="00D43367"/>
    <w:rsid w:val="00D43B3C"/>
    <w:rsid w:val="00D43BAD"/>
    <w:rsid w:val="00D43E43"/>
    <w:rsid w:val="00D44295"/>
    <w:rsid w:val="00D444C8"/>
    <w:rsid w:val="00D4489A"/>
    <w:rsid w:val="00D448C5"/>
    <w:rsid w:val="00D452C9"/>
    <w:rsid w:val="00D45726"/>
    <w:rsid w:val="00D45918"/>
    <w:rsid w:val="00D45A37"/>
    <w:rsid w:val="00D45E81"/>
    <w:rsid w:val="00D462A4"/>
    <w:rsid w:val="00D462C5"/>
    <w:rsid w:val="00D4650F"/>
    <w:rsid w:val="00D46996"/>
    <w:rsid w:val="00D478CF"/>
    <w:rsid w:val="00D479BF"/>
    <w:rsid w:val="00D47C7A"/>
    <w:rsid w:val="00D47CC7"/>
    <w:rsid w:val="00D47E4A"/>
    <w:rsid w:val="00D47E7E"/>
    <w:rsid w:val="00D47F9E"/>
    <w:rsid w:val="00D501A9"/>
    <w:rsid w:val="00D509BE"/>
    <w:rsid w:val="00D50A38"/>
    <w:rsid w:val="00D50E14"/>
    <w:rsid w:val="00D5138D"/>
    <w:rsid w:val="00D516FB"/>
    <w:rsid w:val="00D51BBD"/>
    <w:rsid w:val="00D51E76"/>
    <w:rsid w:val="00D51F04"/>
    <w:rsid w:val="00D52533"/>
    <w:rsid w:val="00D52821"/>
    <w:rsid w:val="00D53166"/>
    <w:rsid w:val="00D532E7"/>
    <w:rsid w:val="00D533BB"/>
    <w:rsid w:val="00D53723"/>
    <w:rsid w:val="00D5380B"/>
    <w:rsid w:val="00D53A86"/>
    <w:rsid w:val="00D53C36"/>
    <w:rsid w:val="00D53C3E"/>
    <w:rsid w:val="00D53E84"/>
    <w:rsid w:val="00D5489E"/>
    <w:rsid w:val="00D559DA"/>
    <w:rsid w:val="00D560FE"/>
    <w:rsid w:val="00D56219"/>
    <w:rsid w:val="00D564EF"/>
    <w:rsid w:val="00D56A84"/>
    <w:rsid w:val="00D56C05"/>
    <w:rsid w:val="00D5711A"/>
    <w:rsid w:val="00D6002F"/>
    <w:rsid w:val="00D601CC"/>
    <w:rsid w:val="00D60478"/>
    <w:rsid w:val="00D60BF5"/>
    <w:rsid w:val="00D60C05"/>
    <w:rsid w:val="00D61075"/>
    <w:rsid w:val="00D61629"/>
    <w:rsid w:val="00D61DF6"/>
    <w:rsid w:val="00D62494"/>
    <w:rsid w:val="00D625D9"/>
    <w:rsid w:val="00D62725"/>
    <w:rsid w:val="00D628C4"/>
    <w:rsid w:val="00D63990"/>
    <w:rsid w:val="00D63C78"/>
    <w:rsid w:val="00D63E58"/>
    <w:rsid w:val="00D64AB4"/>
    <w:rsid w:val="00D65088"/>
    <w:rsid w:val="00D65162"/>
    <w:rsid w:val="00D6528F"/>
    <w:rsid w:val="00D6529B"/>
    <w:rsid w:val="00D659EF"/>
    <w:rsid w:val="00D65E3B"/>
    <w:rsid w:val="00D66388"/>
    <w:rsid w:val="00D668C6"/>
    <w:rsid w:val="00D66920"/>
    <w:rsid w:val="00D66C44"/>
    <w:rsid w:val="00D66D96"/>
    <w:rsid w:val="00D67535"/>
    <w:rsid w:val="00D67D1B"/>
    <w:rsid w:val="00D67F92"/>
    <w:rsid w:val="00D704EB"/>
    <w:rsid w:val="00D70712"/>
    <w:rsid w:val="00D70C9D"/>
    <w:rsid w:val="00D71524"/>
    <w:rsid w:val="00D715D5"/>
    <w:rsid w:val="00D71883"/>
    <w:rsid w:val="00D71B1A"/>
    <w:rsid w:val="00D71DEB"/>
    <w:rsid w:val="00D71FD8"/>
    <w:rsid w:val="00D71FE7"/>
    <w:rsid w:val="00D7210D"/>
    <w:rsid w:val="00D7232E"/>
    <w:rsid w:val="00D7278C"/>
    <w:rsid w:val="00D72BD1"/>
    <w:rsid w:val="00D72BFF"/>
    <w:rsid w:val="00D7313A"/>
    <w:rsid w:val="00D73460"/>
    <w:rsid w:val="00D734D4"/>
    <w:rsid w:val="00D73587"/>
    <w:rsid w:val="00D73647"/>
    <w:rsid w:val="00D73F1F"/>
    <w:rsid w:val="00D7402E"/>
    <w:rsid w:val="00D74084"/>
    <w:rsid w:val="00D74BCD"/>
    <w:rsid w:val="00D7552F"/>
    <w:rsid w:val="00D75A28"/>
    <w:rsid w:val="00D75C9D"/>
    <w:rsid w:val="00D76199"/>
    <w:rsid w:val="00D76394"/>
    <w:rsid w:val="00D76464"/>
    <w:rsid w:val="00D76F4D"/>
    <w:rsid w:val="00D77709"/>
    <w:rsid w:val="00D77758"/>
    <w:rsid w:val="00D77945"/>
    <w:rsid w:val="00D77A87"/>
    <w:rsid w:val="00D77B81"/>
    <w:rsid w:val="00D80044"/>
    <w:rsid w:val="00D812BC"/>
    <w:rsid w:val="00D8143E"/>
    <w:rsid w:val="00D81A42"/>
    <w:rsid w:val="00D82230"/>
    <w:rsid w:val="00D82F99"/>
    <w:rsid w:val="00D83332"/>
    <w:rsid w:val="00D833D2"/>
    <w:rsid w:val="00D836C0"/>
    <w:rsid w:val="00D83C4E"/>
    <w:rsid w:val="00D84235"/>
    <w:rsid w:val="00D84277"/>
    <w:rsid w:val="00D8436C"/>
    <w:rsid w:val="00D84558"/>
    <w:rsid w:val="00D84B19"/>
    <w:rsid w:val="00D850B5"/>
    <w:rsid w:val="00D8549E"/>
    <w:rsid w:val="00D8562C"/>
    <w:rsid w:val="00D857FE"/>
    <w:rsid w:val="00D85913"/>
    <w:rsid w:val="00D85E3A"/>
    <w:rsid w:val="00D86017"/>
    <w:rsid w:val="00D86A99"/>
    <w:rsid w:val="00D86CBB"/>
    <w:rsid w:val="00D87424"/>
    <w:rsid w:val="00D879F2"/>
    <w:rsid w:val="00D901B1"/>
    <w:rsid w:val="00D9082D"/>
    <w:rsid w:val="00D91165"/>
    <w:rsid w:val="00D91687"/>
    <w:rsid w:val="00D92147"/>
    <w:rsid w:val="00D92253"/>
    <w:rsid w:val="00D931E9"/>
    <w:rsid w:val="00D93486"/>
    <w:rsid w:val="00D93F9C"/>
    <w:rsid w:val="00D943EA"/>
    <w:rsid w:val="00D94459"/>
    <w:rsid w:val="00D9457B"/>
    <w:rsid w:val="00D94647"/>
    <w:rsid w:val="00D9483A"/>
    <w:rsid w:val="00D94A72"/>
    <w:rsid w:val="00D95209"/>
    <w:rsid w:val="00D95214"/>
    <w:rsid w:val="00D9523D"/>
    <w:rsid w:val="00D95839"/>
    <w:rsid w:val="00D95AF2"/>
    <w:rsid w:val="00D95B5B"/>
    <w:rsid w:val="00D95E83"/>
    <w:rsid w:val="00D96115"/>
    <w:rsid w:val="00D9630E"/>
    <w:rsid w:val="00DA03C3"/>
    <w:rsid w:val="00DA0D31"/>
    <w:rsid w:val="00DA11E1"/>
    <w:rsid w:val="00DA1796"/>
    <w:rsid w:val="00DA206A"/>
    <w:rsid w:val="00DA2553"/>
    <w:rsid w:val="00DA2AFB"/>
    <w:rsid w:val="00DA2D1C"/>
    <w:rsid w:val="00DA2E6F"/>
    <w:rsid w:val="00DA314C"/>
    <w:rsid w:val="00DA3408"/>
    <w:rsid w:val="00DA35AA"/>
    <w:rsid w:val="00DA39D0"/>
    <w:rsid w:val="00DA3E22"/>
    <w:rsid w:val="00DA41FE"/>
    <w:rsid w:val="00DA45F3"/>
    <w:rsid w:val="00DA4799"/>
    <w:rsid w:val="00DA4852"/>
    <w:rsid w:val="00DA497D"/>
    <w:rsid w:val="00DA4BD9"/>
    <w:rsid w:val="00DA4E3F"/>
    <w:rsid w:val="00DA53D2"/>
    <w:rsid w:val="00DA569B"/>
    <w:rsid w:val="00DA618D"/>
    <w:rsid w:val="00DA6201"/>
    <w:rsid w:val="00DA62BA"/>
    <w:rsid w:val="00DA684D"/>
    <w:rsid w:val="00DA6913"/>
    <w:rsid w:val="00DA6F9E"/>
    <w:rsid w:val="00DA70FF"/>
    <w:rsid w:val="00DA7D1E"/>
    <w:rsid w:val="00DA7DBD"/>
    <w:rsid w:val="00DB047C"/>
    <w:rsid w:val="00DB05BA"/>
    <w:rsid w:val="00DB0993"/>
    <w:rsid w:val="00DB0F29"/>
    <w:rsid w:val="00DB15F7"/>
    <w:rsid w:val="00DB1A16"/>
    <w:rsid w:val="00DB1BD1"/>
    <w:rsid w:val="00DB1D87"/>
    <w:rsid w:val="00DB1E21"/>
    <w:rsid w:val="00DB1F50"/>
    <w:rsid w:val="00DB2322"/>
    <w:rsid w:val="00DB2648"/>
    <w:rsid w:val="00DB2893"/>
    <w:rsid w:val="00DB2E81"/>
    <w:rsid w:val="00DB316E"/>
    <w:rsid w:val="00DB41FA"/>
    <w:rsid w:val="00DB48F4"/>
    <w:rsid w:val="00DB490F"/>
    <w:rsid w:val="00DB4F03"/>
    <w:rsid w:val="00DB56A1"/>
    <w:rsid w:val="00DB591F"/>
    <w:rsid w:val="00DB59D9"/>
    <w:rsid w:val="00DB5B9D"/>
    <w:rsid w:val="00DB5C79"/>
    <w:rsid w:val="00DB5EA9"/>
    <w:rsid w:val="00DB64F0"/>
    <w:rsid w:val="00DB6DA0"/>
    <w:rsid w:val="00DB6EE9"/>
    <w:rsid w:val="00DB7A5A"/>
    <w:rsid w:val="00DB7BD3"/>
    <w:rsid w:val="00DB7E5D"/>
    <w:rsid w:val="00DB7F21"/>
    <w:rsid w:val="00DC0026"/>
    <w:rsid w:val="00DC14EF"/>
    <w:rsid w:val="00DC17FD"/>
    <w:rsid w:val="00DC182F"/>
    <w:rsid w:val="00DC2117"/>
    <w:rsid w:val="00DC21B6"/>
    <w:rsid w:val="00DC293E"/>
    <w:rsid w:val="00DC3096"/>
    <w:rsid w:val="00DC315D"/>
    <w:rsid w:val="00DC31F3"/>
    <w:rsid w:val="00DC3970"/>
    <w:rsid w:val="00DC44B5"/>
    <w:rsid w:val="00DC4DC5"/>
    <w:rsid w:val="00DC5211"/>
    <w:rsid w:val="00DC543A"/>
    <w:rsid w:val="00DC54B3"/>
    <w:rsid w:val="00DC5D2B"/>
    <w:rsid w:val="00DC6F48"/>
    <w:rsid w:val="00DC710B"/>
    <w:rsid w:val="00DC724F"/>
    <w:rsid w:val="00DC7347"/>
    <w:rsid w:val="00DC7473"/>
    <w:rsid w:val="00DC7657"/>
    <w:rsid w:val="00DC78D0"/>
    <w:rsid w:val="00DC7F80"/>
    <w:rsid w:val="00DD0604"/>
    <w:rsid w:val="00DD0675"/>
    <w:rsid w:val="00DD0F06"/>
    <w:rsid w:val="00DD1321"/>
    <w:rsid w:val="00DD1402"/>
    <w:rsid w:val="00DD15FF"/>
    <w:rsid w:val="00DD1E27"/>
    <w:rsid w:val="00DD25CC"/>
    <w:rsid w:val="00DD26A2"/>
    <w:rsid w:val="00DD2F90"/>
    <w:rsid w:val="00DD307B"/>
    <w:rsid w:val="00DD32B5"/>
    <w:rsid w:val="00DD37E4"/>
    <w:rsid w:val="00DD41DF"/>
    <w:rsid w:val="00DD429B"/>
    <w:rsid w:val="00DD44DA"/>
    <w:rsid w:val="00DD45AF"/>
    <w:rsid w:val="00DD4603"/>
    <w:rsid w:val="00DD4BD5"/>
    <w:rsid w:val="00DD4C6D"/>
    <w:rsid w:val="00DD4D4D"/>
    <w:rsid w:val="00DD54F3"/>
    <w:rsid w:val="00DD5EB3"/>
    <w:rsid w:val="00DD620A"/>
    <w:rsid w:val="00DD6563"/>
    <w:rsid w:val="00DD6C76"/>
    <w:rsid w:val="00DD6E45"/>
    <w:rsid w:val="00DD6F10"/>
    <w:rsid w:val="00DD7590"/>
    <w:rsid w:val="00DD7831"/>
    <w:rsid w:val="00DD7ADB"/>
    <w:rsid w:val="00DD7AE2"/>
    <w:rsid w:val="00DD7E0D"/>
    <w:rsid w:val="00DD7E74"/>
    <w:rsid w:val="00DD7F81"/>
    <w:rsid w:val="00DE0813"/>
    <w:rsid w:val="00DE090D"/>
    <w:rsid w:val="00DE24B8"/>
    <w:rsid w:val="00DE265A"/>
    <w:rsid w:val="00DE2C81"/>
    <w:rsid w:val="00DE2E99"/>
    <w:rsid w:val="00DE3101"/>
    <w:rsid w:val="00DE35E3"/>
    <w:rsid w:val="00DE3D37"/>
    <w:rsid w:val="00DE413D"/>
    <w:rsid w:val="00DE494D"/>
    <w:rsid w:val="00DE49E4"/>
    <w:rsid w:val="00DE4D60"/>
    <w:rsid w:val="00DE52F8"/>
    <w:rsid w:val="00DE56EC"/>
    <w:rsid w:val="00DE57E3"/>
    <w:rsid w:val="00DE59CD"/>
    <w:rsid w:val="00DE60B6"/>
    <w:rsid w:val="00DE66B8"/>
    <w:rsid w:val="00DE66BA"/>
    <w:rsid w:val="00DE68A2"/>
    <w:rsid w:val="00DE6E15"/>
    <w:rsid w:val="00DE7230"/>
    <w:rsid w:val="00DE79E5"/>
    <w:rsid w:val="00DE7CE3"/>
    <w:rsid w:val="00DE7DD6"/>
    <w:rsid w:val="00DE7F5A"/>
    <w:rsid w:val="00DF0359"/>
    <w:rsid w:val="00DF0715"/>
    <w:rsid w:val="00DF0B9F"/>
    <w:rsid w:val="00DF0E86"/>
    <w:rsid w:val="00DF10E3"/>
    <w:rsid w:val="00DF197F"/>
    <w:rsid w:val="00DF1BCB"/>
    <w:rsid w:val="00DF224E"/>
    <w:rsid w:val="00DF24DB"/>
    <w:rsid w:val="00DF2AB1"/>
    <w:rsid w:val="00DF2F9A"/>
    <w:rsid w:val="00DF33C6"/>
    <w:rsid w:val="00DF351B"/>
    <w:rsid w:val="00DF372F"/>
    <w:rsid w:val="00DF3B39"/>
    <w:rsid w:val="00DF40DC"/>
    <w:rsid w:val="00DF42FC"/>
    <w:rsid w:val="00DF47EA"/>
    <w:rsid w:val="00DF4C15"/>
    <w:rsid w:val="00DF5646"/>
    <w:rsid w:val="00DF69BC"/>
    <w:rsid w:val="00DF6B91"/>
    <w:rsid w:val="00DF6FF3"/>
    <w:rsid w:val="00DF7038"/>
    <w:rsid w:val="00DF792A"/>
    <w:rsid w:val="00DF79C0"/>
    <w:rsid w:val="00DF7E77"/>
    <w:rsid w:val="00DF7F84"/>
    <w:rsid w:val="00E0007B"/>
    <w:rsid w:val="00E00099"/>
    <w:rsid w:val="00E00882"/>
    <w:rsid w:val="00E00AA3"/>
    <w:rsid w:val="00E00D2B"/>
    <w:rsid w:val="00E0107F"/>
    <w:rsid w:val="00E01839"/>
    <w:rsid w:val="00E01B31"/>
    <w:rsid w:val="00E01B33"/>
    <w:rsid w:val="00E01B7D"/>
    <w:rsid w:val="00E01C60"/>
    <w:rsid w:val="00E02678"/>
    <w:rsid w:val="00E029F3"/>
    <w:rsid w:val="00E02A30"/>
    <w:rsid w:val="00E02C14"/>
    <w:rsid w:val="00E02F71"/>
    <w:rsid w:val="00E037BC"/>
    <w:rsid w:val="00E041BB"/>
    <w:rsid w:val="00E04554"/>
    <w:rsid w:val="00E045F0"/>
    <w:rsid w:val="00E046A1"/>
    <w:rsid w:val="00E04867"/>
    <w:rsid w:val="00E04AD0"/>
    <w:rsid w:val="00E04B64"/>
    <w:rsid w:val="00E0514E"/>
    <w:rsid w:val="00E0585B"/>
    <w:rsid w:val="00E05FEA"/>
    <w:rsid w:val="00E0657F"/>
    <w:rsid w:val="00E06DC2"/>
    <w:rsid w:val="00E072AE"/>
    <w:rsid w:val="00E07748"/>
    <w:rsid w:val="00E07856"/>
    <w:rsid w:val="00E07D20"/>
    <w:rsid w:val="00E07D88"/>
    <w:rsid w:val="00E07E74"/>
    <w:rsid w:val="00E07F25"/>
    <w:rsid w:val="00E10145"/>
    <w:rsid w:val="00E10196"/>
    <w:rsid w:val="00E1036D"/>
    <w:rsid w:val="00E1073E"/>
    <w:rsid w:val="00E120D6"/>
    <w:rsid w:val="00E1224B"/>
    <w:rsid w:val="00E1231C"/>
    <w:rsid w:val="00E12765"/>
    <w:rsid w:val="00E12A4F"/>
    <w:rsid w:val="00E12B09"/>
    <w:rsid w:val="00E12D35"/>
    <w:rsid w:val="00E12DD9"/>
    <w:rsid w:val="00E12E96"/>
    <w:rsid w:val="00E1328B"/>
    <w:rsid w:val="00E13391"/>
    <w:rsid w:val="00E1358E"/>
    <w:rsid w:val="00E13F35"/>
    <w:rsid w:val="00E1407B"/>
    <w:rsid w:val="00E141EE"/>
    <w:rsid w:val="00E14C8A"/>
    <w:rsid w:val="00E14D64"/>
    <w:rsid w:val="00E153E4"/>
    <w:rsid w:val="00E15518"/>
    <w:rsid w:val="00E15574"/>
    <w:rsid w:val="00E1589F"/>
    <w:rsid w:val="00E159AD"/>
    <w:rsid w:val="00E15AE6"/>
    <w:rsid w:val="00E160F7"/>
    <w:rsid w:val="00E1613B"/>
    <w:rsid w:val="00E163C2"/>
    <w:rsid w:val="00E1652E"/>
    <w:rsid w:val="00E16D5A"/>
    <w:rsid w:val="00E170A5"/>
    <w:rsid w:val="00E17973"/>
    <w:rsid w:val="00E17CBF"/>
    <w:rsid w:val="00E17E9A"/>
    <w:rsid w:val="00E17FF7"/>
    <w:rsid w:val="00E20044"/>
    <w:rsid w:val="00E202E8"/>
    <w:rsid w:val="00E203A2"/>
    <w:rsid w:val="00E208DA"/>
    <w:rsid w:val="00E2097B"/>
    <w:rsid w:val="00E20AFD"/>
    <w:rsid w:val="00E20B29"/>
    <w:rsid w:val="00E212AF"/>
    <w:rsid w:val="00E2172C"/>
    <w:rsid w:val="00E229C8"/>
    <w:rsid w:val="00E233FC"/>
    <w:rsid w:val="00E23B32"/>
    <w:rsid w:val="00E24306"/>
    <w:rsid w:val="00E24BC9"/>
    <w:rsid w:val="00E24C02"/>
    <w:rsid w:val="00E257A7"/>
    <w:rsid w:val="00E25831"/>
    <w:rsid w:val="00E25ECB"/>
    <w:rsid w:val="00E26099"/>
    <w:rsid w:val="00E26F44"/>
    <w:rsid w:val="00E2706F"/>
    <w:rsid w:val="00E27224"/>
    <w:rsid w:val="00E275B7"/>
    <w:rsid w:val="00E27904"/>
    <w:rsid w:val="00E300C5"/>
    <w:rsid w:val="00E30DE4"/>
    <w:rsid w:val="00E30F47"/>
    <w:rsid w:val="00E31659"/>
    <w:rsid w:val="00E3198C"/>
    <w:rsid w:val="00E31BF6"/>
    <w:rsid w:val="00E329ED"/>
    <w:rsid w:val="00E32B7E"/>
    <w:rsid w:val="00E32CEC"/>
    <w:rsid w:val="00E32F4A"/>
    <w:rsid w:val="00E333F2"/>
    <w:rsid w:val="00E3476E"/>
    <w:rsid w:val="00E34815"/>
    <w:rsid w:val="00E349BA"/>
    <w:rsid w:val="00E34C93"/>
    <w:rsid w:val="00E34E88"/>
    <w:rsid w:val="00E350E3"/>
    <w:rsid w:val="00E35230"/>
    <w:rsid w:val="00E35544"/>
    <w:rsid w:val="00E3583B"/>
    <w:rsid w:val="00E35B7F"/>
    <w:rsid w:val="00E35E04"/>
    <w:rsid w:val="00E36067"/>
    <w:rsid w:val="00E36860"/>
    <w:rsid w:val="00E36B6F"/>
    <w:rsid w:val="00E37861"/>
    <w:rsid w:val="00E37C4E"/>
    <w:rsid w:val="00E37C92"/>
    <w:rsid w:val="00E405C6"/>
    <w:rsid w:val="00E40622"/>
    <w:rsid w:val="00E4085D"/>
    <w:rsid w:val="00E40B67"/>
    <w:rsid w:val="00E40C5F"/>
    <w:rsid w:val="00E41276"/>
    <w:rsid w:val="00E413F6"/>
    <w:rsid w:val="00E413FE"/>
    <w:rsid w:val="00E418B7"/>
    <w:rsid w:val="00E41BFA"/>
    <w:rsid w:val="00E41DAD"/>
    <w:rsid w:val="00E42B39"/>
    <w:rsid w:val="00E42FBC"/>
    <w:rsid w:val="00E42FBD"/>
    <w:rsid w:val="00E43578"/>
    <w:rsid w:val="00E43721"/>
    <w:rsid w:val="00E439C5"/>
    <w:rsid w:val="00E43C64"/>
    <w:rsid w:val="00E44294"/>
    <w:rsid w:val="00E446E8"/>
    <w:rsid w:val="00E448A7"/>
    <w:rsid w:val="00E44FF4"/>
    <w:rsid w:val="00E451A1"/>
    <w:rsid w:val="00E45E77"/>
    <w:rsid w:val="00E46128"/>
    <w:rsid w:val="00E4618B"/>
    <w:rsid w:val="00E4625C"/>
    <w:rsid w:val="00E4647D"/>
    <w:rsid w:val="00E46BAB"/>
    <w:rsid w:val="00E46BF0"/>
    <w:rsid w:val="00E46C29"/>
    <w:rsid w:val="00E4738C"/>
    <w:rsid w:val="00E47667"/>
    <w:rsid w:val="00E476A8"/>
    <w:rsid w:val="00E476E1"/>
    <w:rsid w:val="00E47A3D"/>
    <w:rsid w:val="00E47AD7"/>
    <w:rsid w:val="00E47B54"/>
    <w:rsid w:val="00E47B65"/>
    <w:rsid w:val="00E5000A"/>
    <w:rsid w:val="00E50153"/>
    <w:rsid w:val="00E508E4"/>
    <w:rsid w:val="00E50A5A"/>
    <w:rsid w:val="00E50AF6"/>
    <w:rsid w:val="00E50CDD"/>
    <w:rsid w:val="00E514EC"/>
    <w:rsid w:val="00E51515"/>
    <w:rsid w:val="00E51DB1"/>
    <w:rsid w:val="00E52094"/>
    <w:rsid w:val="00E52D0F"/>
    <w:rsid w:val="00E52F3E"/>
    <w:rsid w:val="00E53175"/>
    <w:rsid w:val="00E53A63"/>
    <w:rsid w:val="00E541F5"/>
    <w:rsid w:val="00E545FF"/>
    <w:rsid w:val="00E548D0"/>
    <w:rsid w:val="00E549A6"/>
    <w:rsid w:val="00E553D6"/>
    <w:rsid w:val="00E5590D"/>
    <w:rsid w:val="00E56DD7"/>
    <w:rsid w:val="00E5701B"/>
    <w:rsid w:val="00E57988"/>
    <w:rsid w:val="00E607C8"/>
    <w:rsid w:val="00E60A9D"/>
    <w:rsid w:val="00E615B4"/>
    <w:rsid w:val="00E61666"/>
    <w:rsid w:val="00E61C2D"/>
    <w:rsid w:val="00E61D9C"/>
    <w:rsid w:val="00E61EC1"/>
    <w:rsid w:val="00E6230E"/>
    <w:rsid w:val="00E624FE"/>
    <w:rsid w:val="00E62825"/>
    <w:rsid w:val="00E62E7F"/>
    <w:rsid w:val="00E62F8C"/>
    <w:rsid w:val="00E633DA"/>
    <w:rsid w:val="00E63A0C"/>
    <w:rsid w:val="00E641C7"/>
    <w:rsid w:val="00E642D2"/>
    <w:rsid w:val="00E643E3"/>
    <w:rsid w:val="00E656D6"/>
    <w:rsid w:val="00E65793"/>
    <w:rsid w:val="00E65845"/>
    <w:rsid w:val="00E6586E"/>
    <w:rsid w:val="00E65CC1"/>
    <w:rsid w:val="00E6620F"/>
    <w:rsid w:val="00E6632E"/>
    <w:rsid w:val="00E66410"/>
    <w:rsid w:val="00E668CC"/>
    <w:rsid w:val="00E66B00"/>
    <w:rsid w:val="00E66DE4"/>
    <w:rsid w:val="00E6742F"/>
    <w:rsid w:val="00E67842"/>
    <w:rsid w:val="00E67865"/>
    <w:rsid w:val="00E67F96"/>
    <w:rsid w:val="00E702C6"/>
    <w:rsid w:val="00E703BB"/>
    <w:rsid w:val="00E705D7"/>
    <w:rsid w:val="00E70600"/>
    <w:rsid w:val="00E70BC2"/>
    <w:rsid w:val="00E713EC"/>
    <w:rsid w:val="00E716AF"/>
    <w:rsid w:val="00E71D55"/>
    <w:rsid w:val="00E71FA2"/>
    <w:rsid w:val="00E7212B"/>
    <w:rsid w:val="00E7218A"/>
    <w:rsid w:val="00E72735"/>
    <w:rsid w:val="00E72ADE"/>
    <w:rsid w:val="00E72B22"/>
    <w:rsid w:val="00E72B73"/>
    <w:rsid w:val="00E72C03"/>
    <w:rsid w:val="00E72FA8"/>
    <w:rsid w:val="00E732B4"/>
    <w:rsid w:val="00E7336C"/>
    <w:rsid w:val="00E733E5"/>
    <w:rsid w:val="00E7357F"/>
    <w:rsid w:val="00E73854"/>
    <w:rsid w:val="00E73CB7"/>
    <w:rsid w:val="00E73EBF"/>
    <w:rsid w:val="00E74005"/>
    <w:rsid w:val="00E746DE"/>
    <w:rsid w:val="00E74991"/>
    <w:rsid w:val="00E74C4B"/>
    <w:rsid w:val="00E750CF"/>
    <w:rsid w:val="00E7568C"/>
    <w:rsid w:val="00E75D51"/>
    <w:rsid w:val="00E76417"/>
    <w:rsid w:val="00E7680E"/>
    <w:rsid w:val="00E76B69"/>
    <w:rsid w:val="00E76D1D"/>
    <w:rsid w:val="00E76E60"/>
    <w:rsid w:val="00E770EF"/>
    <w:rsid w:val="00E77130"/>
    <w:rsid w:val="00E7738B"/>
    <w:rsid w:val="00E77A97"/>
    <w:rsid w:val="00E77ABC"/>
    <w:rsid w:val="00E77E53"/>
    <w:rsid w:val="00E80CDC"/>
    <w:rsid w:val="00E81AAB"/>
    <w:rsid w:val="00E81AE7"/>
    <w:rsid w:val="00E81F20"/>
    <w:rsid w:val="00E822AC"/>
    <w:rsid w:val="00E823CB"/>
    <w:rsid w:val="00E824E1"/>
    <w:rsid w:val="00E82532"/>
    <w:rsid w:val="00E82795"/>
    <w:rsid w:val="00E830D8"/>
    <w:rsid w:val="00E8334F"/>
    <w:rsid w:val="00E8362F"/>
    <w:rsid w:val="00E837A5"/>
    <w:rsid w:val="00E837D8"/>
    <w:rsid w:val="00E83913"/>
    <w:rsid w:val="00E83ED8"/>
    <w:rsid w:val="00E83F53"/>
    <w:rsid w:val="00E84C31"/>
    <w:rsid w:val="00E84C41"/>
    <w:rsid w:val="00E84D9C"/>
    <w:rsid w:val="00E84DB8"/>
    <w:rsid w:val="00E84FC4"/>
    <w:rsid w:val="00E8570F"/>
    <w:rsid w:val="00E85EF2"/>
    <w:rsid w:val="00E85FEF"/>
    <w:rsid w:val="00E8642F"/>
    <w:rsid w:val="00E8666A"/>
    <w:rsid w:val="00E8704E"/>
    <w:rsid w:val="00E8789C"/>
    <w:rsid w:val="00E87D26"/>
    <w:rsid w:val="00E90290"/>
    <w:rsid w:val="00E90E2A"/>
    <w:rsid w:val="00E91596"/>
    <w:rsid w:val="00E916D0"/>
    <w:rsid w:val="00E91767"/>
    <w:rsid w:val="00E918BB"/>
    <w:rsid w:val="00E918E6"/>
    <w:rsid w:val="00E92142"/>
    <w:rsid w:val="00E92AF4"/>
    <w:rsid w:val="00E930E6"/>
    <w:rsid w:val="00E93355"/>
    <w:rsid w:val="00E94279"/>
    <w:rsid w:val="00E943DE"/>
    <w:rsid w:val="00E9452A"/>
    <w:rsid w:val="00E94552"/>
    <w:rsid w:val="00E949A4"/>
    <w:rsid w:val="00E94A55"/>
    <w:rsid w:val="00E94C27"/>
    <w:rsid w:val="00E94EA5"/>
    <w:rsid w:val="00E950AB"/>
    <w:rsid w:val="00E957D0"/>
    <w:rsid w:val="00E95B0D"/>
    <w:rsid w:val="00E95B66"/>
    <w:rsid w:val="00E95D2E"/>
    <w:rsid w:val="00E95D9E"/>
    <w:rsid w:val="00E96CB4"/>
    <w:rsid w:val="00E96D15"/>
    <w:rsid w:val="00E96F02"/>
    <w:rsid w:val="00E97204"/>
    <w:rsid w:val="00E97797"/>
    <w:rsid w:val="00E97935"/>
    <w:rsid w:val="00EA041A"/>
    <w:rsid w:val="00EA08CF"/>
    <w:rsid w:val="00EA0CF2"/>
    <w:rsid w:val="00EA1019"/>
    <w:rsid w:val="00EA17AA"/>
    <w:rsid w:val="00EA18BF"/>
    <w:rsid w:val="00EA1B10"/>
    <w:rsid w:val="00EA20FD"/>
    <w:rsid w:val="00EA258F"/>
    <w:rsid w:val="00EA26DE"/>
    <w:rsid w:val="00EA2B25"/>
    <w:rsid w:val="00EA2C32"/>
    <w:rsid w:val="00EA2CBF"/>
    <w:rsid w:val="00EA3383"/>
    <w:rsid w:val="00EA3C7B"/>
    <w:rsid w:val="00EA4111"/>
    <w:rsid w:val="00EA45FE"/>
    <w:rsid w:val="00EA5C8B"/>
    <w:rsid w:val="00EA5E09"/>
    <w:rsid w:val="00EA65D9"/>
    <w:rsid w:val="00EA6BBC"/>
    <w:rsid w:val="00EA6C13"/>
    <w:rsid w:val="00EA7137"/>
    <w:rsid w:val="00EA7D8C"/>
    <w:rsid w:val="00EB0E4B"/>
    <w:rsid w:val="00EB0E9C"/>
    <w:rsid w:val="00EB0FE5"/>
    <w:rsid w:val="00EB1127"/>
    <w:rsid w:val="00EB1366"/>
    <w:rsid w:val="00EB1593"/>
    <w:rsid w:val="00EB16FF"/>
    <w:rsid w:val="00EB1AD0"/>
    <w:rsid w:val="00EB1E08"/>
    <w:rsid w:val="00EB1E1B"/>
    <w:rsid w:val="00EB1E71"/>
    <w:rsid w:val="00EB23BE"/>
    <w:rsid w:val="00EB26CD"/>
    <w:rsid w:val="00EB31E0"/>
    <w:rsid w:val="00EB3237"/>
    <w:rsid w:val="00EB4664"/>
    <w:rsid w:val="00EB4751"/>
    <w:rsid w:val="00EB5196"/>
    <w:rsid w:val="00EB5580"/>
    <w:rsid w:val="00EB59F1"/>
    <w:rsid w:val="00EB5AF0"/>
    <w:rsid w:val="00EB5B40"/>
    <w:rsid w:val="00EB5FBD"/>
    <w:rsid w:val="00EB6293"/>
    <w:rsid w:val="00EB6312"/>
    <w:rsid w:val="00EB637A"/>
    <w:rsid w:val="00EB67A5"/>
    <w:rsid w:val="00EB6A32"/>
    <w:rsid w:val="00EB6E20"/>
    <w:rsid w:val="00EB6F0B"/>
    <w:rsid w:val="00EB7315"/>
    <w:rsid w:val="00EB7732"/>
    <w:rsid w:val="00EB78E6"/>
    <w:rsid w:val="00EB7A0D"/>
    <w:rsid w:val="00EC016B"/>
    <w:rsid w:val="00EC02DB"/>
    <w:rsid w:val="00EC03EF"/>
    <w:rsid w:val="00EC0AF3"/>
    <w:rsid w:val="00EC0AF6"/>
    <w:rsid w:val="00EC0E17"/>
    <w:rsid w:val="00EC0FE7"/>
    <w:rsid w:val="00EC180E"/>
    <w:rsid w:val="00EC3BD0"/>
    <w:rsid w:val="00EC4197"/>
    <w:rsid w:val="00EC4377"/>
    <w:rsid w:val="00EC4B7F"/>
    <w:rsid w:val="00EC4E44"/>
    <w:rsid w:val="00EC5261"/>
    <w:rsid w:val="00EC53F8"/>
    <w:rsid w:val="00EC540A"/>
    <w:rsid w:val="00EC5443"/>
    <w:rsid w:val="00EC5914"/>
    <w:rsid w:val="00EC6852"/>
    <w:rsid w:val="00EC6925"/>
    <w:rsid w:val="00EC6A30"/>
    <w:rsid w:val="00EC6ABB"/>
    <w:rsid w:val="00EC6D46"/>
    <w:rsid w:val="00EC6E68"/>
    <w:rsid w:val="00EC703F"/>
    <w:rsid w:val="00EC7124"/>
    <w:rsid w:val="00EC717E"/>
    <w:rsid w:val="00EC76EA"/>
    <w:rsid w:val="00EC7869"/>
    <w:rsid w:val="00EC7B4A"/>
    <w:rsid w:val="00EC7DBE"/>
    <w:rsid w:val="00ED0127"/>
    <w:rsid w:val="00ED04D3"/>
    <w:rsid w:val="00ED0FC1"/>
    <w:rsid w:val="00ED16C1"/>
    <w:rsid w:val="00ED1DBE"/>
    <w:rsid w:val="00ED2DD1"/>
    <w:rsid w:val="00ED33D0"/>
    <w:rsid w:val="00ED38AB"/>
    <w:rsid w:val="00ED3D96"/>
    <w:rsid w:val="00ED434B"/>
    <w:rsid w:val="00ED4541"/>
    <w:rsid w:val="00ED4602"/>
    <w:rsid w:val="00ED47B2"/>
    <w:rsid w:val="00ED499D"/>
    <w:rsid w:val="00ED4ACF"/>
    <w:rsid w:val="00ED4E51"/>
    <w:rsid w:val="00ED5599"/>
    <w:rsid w:val="00ED57BE"/>
    <w:rsid w:val="00ED5919"/>
    <w:rsid w:val="00ED5C73"/>
    <w:rsid w:val="00ED6370"/>
    <w:rsid w:val="00ED641C"/>
    <w:rsid w:val="00ED69E3"/>
    <w:rsid w:val="00ED6CC8"/>
    <w:rsid w:val="00ED6D86"/>
    <w:rsid w:val="00ED7588"/>
    <w:rsid w:val="00ED7EB0"/>
    <w:rsid w:val="00EE0C9A"/>
    <w:rsid w:val="00EE0CE9"/>
    <w:rsid w:val="00EE0F6E"/>
    <w:rsid w:val="00EE1786"/>
    <w:rsid w:val="00EE24C5"/>
    <w:rsid w:val="00EE2C67"/>
    <w:rsid w:val="00EE334A"/>
    <w:rsid w:val="00EE375C"/>
    <w:rsid w:val="00EE38DE"/>
    <w:rsid w:val="00EE3B22"/>
    <w:rsid w:val="00EE4145"/>
    <w:rsid w:val="00EE4B99"/>
    <w:rsid w:val="00EE5217"/>
    <w:rsid w:val="00EE542A"/>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0D5"/>
    <w:rsid w:val="00EF2296"/>
    <w:rsid w:val="00EF234A"/>
    <w:rsid w:val="00EF293B"/>
    <w:rsid w:val="00EF2FC1"/>
    <w:rsid w:val="00EF31FA"/>
    <w:rsid w:val="00EF3862"/>
    <w:rsid w:val="00EF4098"/>
    <w:rsid w:val="00EF441C"/>
    <w:rsid w:val="00EF4BDD"/>
    <w:rsid w:val="00EF51C9"/>
    <w:rsid w:val="00EF5731"/>
    <w:rsid w:val="00EF5AFB"/>
    <w:rsid w:val="00EF6517"/>
    <w:rsid w:val="00EF6812"/>
    <w:rsid w:val="00EF6C99"/>
    <w:rsid w:val="00EF6FD7"/>
    <w:rsid w:val="00EF7119"/>
    <w:rsid w:val="00EF7A12"/>
    <w:rsid w:val="00EF7EDD"/>
    <w:rsid w:val="00EF7F4F"/>
    <w:rsid w:val="00F00266"/>
    <w:rsid w:val="00F005B9"/>
    <w:rsid w:val="00F00BBF"/>
    <w:rsid w:val="00F00E40"/>
    <w:rsid w:val="00F0102B"/>
    <w:rsid w:val="00F01241"/>
    <w:rsid w:val="00F01799"/>
    <w:rsid w:val="00F01A9E"/>
    <w:rsid w:val="00F01F28"/>
    <w:rsid w:val="00F01FA8"/>
    <w:rsid w:val="00F02568"/>
    <w:rsid w:val="00F029CF"/>
    <w:rsid w:val="00F02B17"/>
    <w:rsid w:val="00F030DD"/>
    <w:rsid w:val="00F031F7"/>
    <w:rsid w:val="00F036B1"/>
    <w:rsid w:val="00F03810"/>
    <w:rsid w:val="00F03C55"/>
    <w:rsid w:val="00F03C87"/>
    <w:rsid w:val="00F03FAB"/>
    <w:rsid w:val="00F03FB4"/>
    <w:rsid w:val="00F041EE"/>
    <w:rsid w:val="00F043A2"/>
    <w:rsid w:val="00F043ED"/>
    <w:rsid w:val="00F05364"/>
    <w:rsid w:val="00F07244"/>
    <w:rsid w:val="00F07430"/>
    <w:rsid w:val="00F07648"/>
    <w:rsid w:val="00F07819"/>
    <w:rsid w:val="00F07F90"/>
    <w:rsid w:val="00F10094"/>
    <w:rsid w:val="00F104B7"/>
    <w:rsid w:val="00F10584"/>
    <w:rsid w:val="00F11047"/>
    <w:rsid w:val="00F1126D"/>
    <w:rsid w:val="00F115BA"/>
    <w:rsid w:val="00F11684"/>
    <w:rsid w:val="00F11A43"/>
    <w:rsid w:val="00F1235E"/>
    <w:rsid w:val="00F1297F"/>
    <w:rsid w:val="00F129EC"/>
    <w:rsid w:val="00F13552"/>
    <w:rsid w:val="00F13654"/>
    <w:rsid w:val="00F1372D"/>
    <w:rsid w:val="00F13F58"/>
    <w:rsid w:val="00F1400F"/>
    <w:rsid w:val="00F14A15"/>
    <w:rsid w:val="00F153C3"/>
    <w:rsid w:val="00F15C6D"/>
    <w:rsid w:val="00F15DD0"/>
    <w:rsid w:val="00F162BD"/>
    <w:rsid w:val="00F16483"/>
    <w:rsid w:val="00F17406"/>
    <w:rsid w:val="00F20199"/>
    <w:rsid w:val="00F206F3"/>
    <w:rsid w:val="00F20DE0"/>
    <w:rsid w:val="00F210FC"/>
    <w:rsid w:val="00F21B2A"/>
    <w:rsid w:val="00F2200D"/>
    <w:rsid w:val="00F2225B"/>
    <w:rsid w:val="00F22667"/>
    <w:rsid w:val="00F226BE"/>
    <w:rsid w:val="00F22869"/>
    <w:rsid w:val="00F228BC"/>
    <w:rsid w:val="00F22973"/>
    <w:rsid w:val="00F22B6C"/>
    <w:rsid w:val="00F22D9D"/>
    <w:rsid w:val="00F23087"/>
    <w:rsid w:val="00F23888"/>
    <w:rsid w:val="00F23978"/>
    <w:rsid w:val="00F240A9"/>
    <w:rsid w:val="00F24C63"/>
    <w:rsid w:val="00F25264"/>
    <w:rsid w:val="00F25307"/>
    <w:rsid w:val="00F25D84"/>
    <w:rsid w:val="00F25E5D"/>
    <w:rsid w:val="00F25F38"/>
    <w:rsid w:val="00F26C46"/>
    <w:rsid w:val="00F26D5C"/>
    <w:rsid w:val="00F26E74"/>
    <w:rsid w:val="00F26F94"/>
    <w:rsid w:val="00F2741C"/>
    <w:rsid w:val="00F27680"/>
    <w:rsid w:val="00F27CE6"/>
    <w:rsid w:val="00F30844"/>
    <w:rsid w:val="00F30BF7"/>
    <w:rsid w:val="00F311ED"/>
    <w:rsid w:val="00F3136A"/>
    <w:rsid w:val="00F3192E"/>
    <w:rsid w:val="00F319B9"/>
    <w:rsid w:val="00F31D4E"/>
    <w:rsid w:val="00F32497"/>
    <w:rsid w:val="00F324A8"/>
    <w:rsid w:val="00F336B1"/>
    <w:rsid w:val="00F33CEA"/>
    <w:rsid w:val="00F33FBC"/>
    <w:rsid w:val="00F34624"/>
    <w:rsid w:val="00F349AE"/>
    <w:rsid w:val="00F34BB6"/>
    <w:rsid w:val="00F34DF3"/>
    <w:rsid w:val="00F3555C"/>
    <w:rsid w:val="00F358A1"/>
    <w:rsid w:val="00F35B2D"/>
    <w:rsid w:val="00F3606B"/>
    <w:rsid w:val="00F3620A"/>
    <w:rsid w:val="00F36566"/>
    <w:rsid w:val="00F3662F"/>
    <w:rsid w:val="00F368B3"/>
    <w:rsid w:val="00F36A7D"/>
    <w:rsid w:val="00F37516"/>
    <w:rsid w:val="00F376B9"/>
    <w:rsid w:val="00F37A62"/>
    <w:rsid w:val="00F37CA8"/>
    <w:rsid w:val="00F37F73"/>
    <w:rsid w:val="00F402C3"/>
    <w:rsid w:val="00F414F6"/>
    <w:rsid w:val="00F417C0"/>
    <w:rsid w:val="00F41858"/>
    <w:rsid w:val="00F418ED"/>
    <w:rsid w:val="00F41B8C"/>
    <w:rsid w:val="00F41C65"/>
    <w:rsid w:val="00F41DE1"/>
    <w:rsid w:val="00F421F3"/>
    <w:rsid w:val="00F4221A"/>
    <w:rsid w:val="00F42380"/>
    <w:rsid w:val="00F424A4"/>
    <w:rsid w:val="00F42773"/>
    <w:rsid w:val="00F428BF"/>
    <w:rsid w:val="00F42C7B"/>
    <w:rsid w:val="00F42E99"/>
    <w:rsid w:val="00F43070"/>
    <w:rsid w:val="00F430FC"/>
    <w:rsid w:val="00F43119"/>
    <w:rsid w:val="00F438E4"/>
    <w:rsid w:val="00F439AE"/>
    <w:rsid w:val="00F440F7"/>
    <w:rsid w:val="00F4430F"/>
    <w:rsid w:val="00F44DBB"/>
    <w:rsid w:val="00F44E47"/>
    <w:rsid w:val="00F44F16"/>
    <w:rsid w:val="00F45AE4"/>
    <w:rsid w:val="00F45F2D"/>
    <w:rsid w:val="00F46117"/>
    <w:rsid w:val="00F46688"/>
    <w:rsid w:val="00F4690F"/>
    <w:rsid w:val="00F46A2C"/>
    <w:rsid w:val="00F46DC8"/>
    <w:rsid w:val="00F46DCC"/>
    <w:rsid w:val="00F471EC"/>
    <w:rsid w:val="00F4734E"/>
    <w:rsid w:val="00F47E8A"/>
    <w:rsid w:val="00F47F6A"/>
    <w:rsid w:val="00F5011D"/>
    <w:rsid w:val="00F501B6"/>
    <w:rsid w:val="00F5035A"/>
    <w:rsid w:val="00F503A7"/>
    <w:rsid w:val="00F50538"/>
    <w:rsid w:val="00F505D6"/>
    <w:rsid w:val="00F50CD8"/>
    <w:rsid w:val="00F50E84"/>
    <w:rsid w:val="00F51003"/>
    <w:rsid w:val="00F5137A"/>
    <w:rsid w:val="00F51E53"/>
    <w:rsid w:val="00F52122"/>
    <w:rsid w:val="00F5273A"/>
    <w:rsid w:val="00F52A48"/>
    <w:rsid w:val="00F52DB5"/>
    <w:rsid w:val="00F53119"/>
    <w:rsid w:val="00F5314E"/>
    <w:rsid w:val="00F532C6"/>
    <w:rsid w:val="00F537AB"/>
    <w:rsid w:val="00F53D13"/>
    <w:rsid w:val="00F54B02"/>
    <w:rsid w:val="00F54D87"/>
    <w:rsid w:val="00F54FCD"/>
    <w:rsid w:val="00F550E1"/>
    <w:rsid w:val="00F55168"/>
    <w:rsid w:val="00F55397"/>
    <w:rsid w:val="00F55818"/>
    <w:rsid w:val="00F56044"/>
    <w:rsid w:val="00F575C6"/>
    <w:rsid w:val="00F57C76"/>
    <w:rsid w:val="00F57D94"/>
    <w:rsid w:val="00F602B0"/>
    <w:rsid w:val="00F6036E"/>
    <w:rsid w:val="00F60475"/>
    <w:rsid w:val="00F60758"/>
    <w:rsid w:val="00F608AB"/>
    <w:rsid w:val="00F60AF5"/>
    <w:rsid w:val="00F60E5C"/>
    <w:rsid w:val="00F612EC"/>
    <w:rsid w:val="00F616A3"/>
    <w:rsid w:val="00F61B87"/>
    <w:rsid w:val="00F61FD3"/>
    <w:rsid w:val="00F62242"/>
    <w:rsid w:val="00F627F9"/>
    <w:rsid w:val="00F62B9B"/>
    <w:rsid w:val="00F62BB0"/>
    <w:rsid w:val="00F62ED1"/>
    <w:rsid w:val="00F63347"/>
    <w:rsid w:val="00F6393E"/>
    <w:rsid w:val="00F6400F"/>
    <w:rsid w:val="00F642ED"/>
    <w:rsid w:val="00F645EB"/>
    <w:rsid w:val="00F649A3"/>
    <w:rsid w:val="00F6525C"/>
    <w:rsid w:val="00F65BDA"/>
    <w:rsid w:val="00F661F5"/>
    <w:rsid w:val="00F6624A"/>
    <w:rsid w:val="00F6644F"/>
    <w:rsid w:val="00F666F0"/>
    <w:rsid w:val="00F66E89"/>
    <w:rsid w:val="00F674C6"/>
    <w:rsid w:val="00F67505"/>
    <w:rsid w:val="00F675EB"/>
    <w:rsid w:val="00F677D9"/>
    <w:rsid w:val="00F707CA"/>
    <w:rsid w:val="00F70B91"/>
    <w:rsid w:val="00F71692"/>
    <w:rsid w:val="00F717DB"/>
    <w:rsid w:val="00F724F6"/>
    <w:rsid w:val="00F727EA"/>
    <w:rsid w:val="00F72EC3"/>
    <w:rsid w:val="00F731E3"/>
    <w:rsid w:val="00F7360E"/>
    <w:rsid w:val="00F73BCD"/>
    <w:rsid w:val="00F741DC"/>
    <w:rsid w:val="00F74591"/>
    <w:rsid w:val="00F747C4"/>
    <w:rsid w:val="00F74C3C"/>
    <w:rsid w:val="00F74F7E"/>
    <w:rsid w:val="00F74FC5"/>
    <w:rsid w:val="00F74FF3"/>
    <w:rsid w:val="00F7529F"/>
    <w:rsid w:val="00F7561C"/>
    <w:rsid w:val="00F75806"/>
    <w:rsid w:val="00F7635A"/>
    <w:rsid w:val="00F765DA"/>
    <w:rsid w:val="00F76B96"/>
    <w:rsid w:val="00F773EE"/>
    <w:rsid w:val="00F77495"/>
    <w:rsid w:val="00F774F1"/>
    <w:rsid w:val="00F77790"/>
    <w:rsid w:val="00F80BE5"/>
    <w:rsid w:val="00F80C71"/>
    <w:rsid w:val="00F80E70"/>
    <w:rsid w:val="00F81A1A"/>
    <w:rsid w:val="00F82605"/>
    <w:rsid w:val="00F82A13"/>
    <w:rsid w:val="00F83136"/>
    <w:rsid w:val="00F831C4"/>
    <w:rsid w:val="00F83C0B"/>
    <w:rsid w:val="00F83D3E"/>
    <w:rsid w:val="00F83E4F"/>
    <w:rsid w:val="00F8426F"/>
    <w:rsid w:val="00F84336"/>
    <w:rsid w:val="00F84370"/>
    <w:rsid w:val="00F8460C"/>
    <w:rsid w:val="00F84AC9"/>
    <w:rsid w:val="00F84D55"/>
    <w:rsid w:val="00F856D4"/>
    <w:rsid w:val="00F85ABE"/>
    <w:rsid w:val="00F85C28"/>
    <w:rsid w:val="00F85F6E"/>
    <w:rsid w:val="00F85F99"/>
    <w:rsid w:val="00F863A5"/>
    <w:rsid w:val="00F867E1"/>
    <w:rsid w:val="00F868D5"/>
    <w:rsid w:val="00F86D39"/>
    <w:rsid w:val="00F86FF0"/>
    <w:rsid w:val="00F87193"/>
    <w:rsid w:val="00F873DC"/>
    <w:rsid w:val="00F875D6"/>
    <w:rsid w:val="00F87E45"/>
    <w:rsid w:val="00F90433"/>
    <w:rsid w:val="00F90537"/>
    <w:rsid w:val="00F905B5"/>
    <w:rsid w:val="00F90ADB"/>
    <w:rsid w:val="00F90AEE"/>
    <w:rsid w:val="00F91005"/>
    <w:rsid w:val="00F9200C"/>
    <w:rsid w:val="00F92313"/>
    <w:rsid w:val="00F9253D"/>
    <w:rsid w:val="00F9285D"/>
    <w:rsid w:val="00F92D61"/>
    <w:rsid w:val="00F92F59"/>
    <w:rsid w:val="00F93CD2"/>
    <w:rsid w:val="00F93FA5"/>
    <w:rsid w:val="00F94403"/>
    <w:rsid w:val="00F944D8"/>
    <w:rsid w:val="00F94BC5"/>
    <w:rsid w:val="00F955F2"/>
    <w:rsid w:val="00F959CC"/>
    <w:rsid w:val="00F95C2B"/>
    <w:rsid w:val="00F96614"/>
    <w:rsid w:val="00F96635"/>
    <w:rsid w:val="00F97155"/>
    <w:rsid w:val="00F971D3"/>
    <w:rsid w:val="00F97691"/>
    <w:rsid w:val="00FA0605"/>
    <w:rsid w:val="00FA07DC"/>
    <w:rsid w:val="00FA0B67"/>
    <w:rsid w:val="00FA0FB0"/>
    <w:rsid w:val="00FA2407"/>
    <w:rsid w:val="00FA2444"/>
    <w:rsid w:val="00FA271B"/>
    <w:rsid w:val="00FA2807"/>
    <w:rsid w:val="00FA2B88"/>
    <w:rsid w:val="00FA2EEE"/>
    <w:rsid w:val="00FA3427"/>
    <w:rsid w:val="00FA37FE"/>
    <w:rsid w:val="00FA4429"/>
    <w:rsid w:val="00FA4A5B"/>
    <w:rsid w:val="00FA4E81"/>
    <w:rsid w:val="00FA4EEB"/>
    <w:rsid w:val="00FA5003"/>
    <w:rsid w:val="00FA5209"/>
    <w:rsid w:val="00FA5729"/>
    <w:rsid w:val="00FA5B51"/>
    <w:rsid w:val="00FA5B85"/>
    <w:rsid w:val="00FA5D32"/>
    <w:rsid w:val="00FA5DE5"/>
    <w:rsid w:val="00FA5FAB"/>
    <w:rsid w:val="00FA6661"/>
    <w:rsid w:val="00FA6823"/>
    <w:rsid w:val="00FA6866"/>
    <w:rsid w:val="00FA6C50"/>
    <w:rsid w:val="00FA6D6C"/>
    <w:rsid w:val="00FA6F05"/>
    <w:rsid w:val="00FA707C"/>
    <w:rsid w:val="00FA76EA"/>
    <w:rsid w:val="00FA795C"/>
    <w:rsid w:val="00FB0D07"/>
    <w:rsid w:val="00FB0EF1"/>
    <w:rsid w:val="00FB0FAC"/>
    <w:rsid w:val="00FB1208"/>
    <w:rsid w:val="00FB14D3"/>
    <w:rsid w:val="00FB1693"/>
    <w:rsid w:val="00FB1723"/>
    <w:rsid w:val="00FB1B3B"/>
    <w:rsid w:val="00FB21BE"/>
    <w:rsid w:val="00FB30AA"/>
    <w:rsid w:val="00FB3974"/>
    <w:rsid w:val="00FB3D0B"/>
    <w:rsid w:val="00FB3EBA"/>
    <w:rsid w:val="00FB411C"/>
    <w:rsid w:val="00FB4CDC"/>
    <w:rsid w:val="00FB4DA6"/>
    <w:rsid w:val="00FB50C0"/>
    <w:rsid w:val="00FB513C"/>
    <w:rsid w:val="00FB51F6"/>
    <w:rsid w:val="00FB52CB"/>
    <w:rsid w:val="00FB5483"/>
    <w:rsid w:val="00FB55D1"/>
    <w:rsid w:val="00FB55E9"/>
    <w:rsid w:val="00FB590C"/>
    <w:rsid w:val="00FB62D8"/>
    <w:rsid w:val="00FB6C3A"/>
    <w:rsid w:val="00FB7BB2"/>
    <w:rsid w:val="00FC04A1"/>
    <w:rsid w:val="00FC0978"/>
    <w:rsid w:val="00FC0CED"/>
    <w:rsid w:val="00FC1222"/>
    <w:rsid w:val="00FC1FF3"/>
    <w:rsid w:val="00FC2E99"/>
    <w:rsid w:val="00FC307E"/>
    <w:rsid w:val="00FC3621"/>
    <w:rsid w:val="00FC3831"/>
    <w:rsid w:val="00FC3ECB"/>
    <w:rsid w:val="00FC4AC2"/>
    <w:rsid w:val="00FC54B2"/>
    <w:rsid w:val="00FC5A4E"/>
    <w:rsid w:val="00FC5DF9"/>
    <w:rsid w:val="00FC5FC6"/>
    <w:rsid w:val="00FC610B"/>
    <w:rsid w:val="00FC65F2"/>
    <w:rsid w:val="00FC66FD"/>
    <w:rsid w:val="00FC6BD6"/>
    <w:rsid w:val="00FC6F65"/>
    <w:rsid w:val="00FC735C"/>
    <w:rsid w:val="00FC76EE"/>
    <w:rsid w:val="00FC7792"/>
    <w:rsid w:val="00FC78EE"/>
    <w:rsid w:val="00FC7A8F"/>
    <w:rsid w:val="00FC7FC4"/>
    <w:rsid w:val="00FD0371"/>
    <w:rsid w:val="00FD051B"/>
    <w:rsid w:val="00FD08D7"/>
    <w:rsid w:val="00FD0A42"/>
    <w:rsid w:val="00FD0C0E"/>
    <w:rsid w:val="00FD12ED"/>
    <w:rsid w:val="00FD16F3"/>
    <w:rsid w:val="00FD19AE"/>
    <w:rsid w:val="00FD1D77"/>
    <w:rsid w:val="00FD1E86"/>
    <w:rsid w:val="00FD2320"/>
    <w:rsid w:val="00FD28D5"/>
    <w:rsid w:val="00FD3086"/>
    <w:rsid w:val="00FD314C"/>
    <w:rsid w:val="00FD34EF"/>
    <w:rsid w:val="00FD380A"/>
    <w:rsid w:val="00FD3BBE"/>
    <w:rsid w:val="00FD3ECD"/>
    <w:rsid w:val="00FD42C9"/>
    <w:rsid w:val="00FD43FF"/>
    <w:rsid w:val="00FD458B"/>
    <w:rsid w:val="00FD46A1"/>
    <w:rsid w:val="00FD47CA"/>
    <w:rsid w:val="00FD56A4"/>
    <w:rsid w:val="00FD56B7"/>
    <w:rsid w:val="00FD58C2"/>
    <w:rsid w:val="00FD71FA"/>
    <w:rsid w:val="00FD7318"/>
    <w:rsid w:val="00FD767E"/>
    <w:rsid w:val="00FD78F1"/>
    <w:rsid w:val="00FD7A4E"/>
    <w:rsid w:val="00FD7E54"/>
    <w:rsid w:val="00FD7F1D"/>
    <w:rsid w:val="00FE0131"/>
    <w:rsid w:val="00FE0CAE"/>
    <w:rsid w:val="00FE0D9F"/>
    <w:rsid w:val="00FE1A13"/>
    <w:rsid w:val="00FE1AFE"/>
    <w:rsid w:val="00FE1C57"/>
    <w:rsid w:val="00FE1D3E"/>
    <w:rsid w:val="00FE1D67"/>
    <w:rsid w:val="00FE2EE0"/>
    <w:rsid w:val="00FE2F65"/>
    <w:rsid w:val="00FE2FBF"/>
    <w:rsid w:val="00FE3333"/>
    <w:rsid w:val="00FE37A7"/>
    <w:rsid w:val="00FE3A48"/>
    <w:rsid w:val="00FE41C2"/>
    <w:rsid w:val="00FE43BD"/>
    <w:rsid w:val="00FE4555"/>
    <w:rsid w:val="00FE4B1F"/>
    <w:rsid w:val="00FE52B7"/>
    <w:rsid w:val="00FE52D6"/>
    <w:rsid w:val="00FE57A0"/>
    <w:rsid w:val="00FE5DEF"/>
    <w:rsid w:val="00FE5E3A"/>
    <w:rsid w:val="00FE5F27"/>
    <w:rsid w:val="00FE68C5"/>
    <w:rsid w:val="00FE6B89"/>
    <w:rsid w:val="00FE6BFF"/>
    <w:rsid w:val="00FE6C0D"/>
    <w:rsid w:val="00FE6C20"/>
    <w:rsid w:val="00FE6E85"/>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621"/>
    <w:rsid w:val="00FF36CF"/>
    <w:rsid w:val="00FF3A50"/>
    <w:rsid w:val="00FF4A30"/>
    <w:rsid w:val="00FF5B07"/>
    <w:rsid w:val="00FF61C3"/>
    <w:rsid w:val="00FF6BD3"/>
    <w:rsid w:val="00FF716B"/>
    <w:rsid w:val="00FF729E"/>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5883C6"/>
  <w15:docId w15:val="{53DCC176-61CC-A046-BA09-7C961915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uiPriority w:val="99"/>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link w:val="ListParagraphChar"/>
    <w:uiPriority w:val="34"/>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2"/>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4"/>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3"/>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 w:type="character" w:customStyle="1" w:styleId="UnresolvedMention2">
    <w:name w:val="Unresolved Mention2"/>
    <w:basedOn w:val="DefaultParagraphFont"/>
    <w:uiPriority w:val="99"/>
    <w:semiHidden/>
    <w:unhideWhenUsed/>
    <w:rsid w:val="00B2087D"/>
    <w:rPr>
      <w:color w:val="605E5C"/>
      <w:shd w:val="clear" w:color="auto" w:fill="E1DFDD"/>
    </w:rPr>
  </w:style>
  <w:style w:type="character" w:customStyle="1" w:styleId="ListParagraphChar">
    <w:name w:val="List Paragraph Char"/>
    <w:link w:val="ListParagraph"/>
    <w:uiPriority w:val="34"/>
    <w:rsid w:val="00840785"/>
    <w:rPr>
      <w:rFonts w:ascii="Calibri" w:eastAsia="Calibri" w:hAnsi="Calibri" w:cs="Times New Roman"/>
      <w:sz w:val="22"/>
      <w:szCs w:val="22"/>
      <w:lang w:val="en-GB"/>
    </w:rPr>
  </w:style>
  <w:style w:type="character" w:styleId="Strong">
    <w:name w:val="Strong"/>
    <w:basedOn w:val="DefaultParagraphFont"/>
    <w:uiPriority w:val="99"/>
    <w:qFormat/>
    <w:rsid w:val="00A571E6"/>
    <w:rPr>
      <w:b/>
      <w:bCs/>
    </w:rPr>
  </w:style>
  <w:style w:type="paragraph" w:customStyle="1" w:styleId="Normalsmall">
    <w:name w:val="Normal small"/>
    <w:qFormat/>
    <w:rsid w:val="00A571E6"/>
    <w:pPr>
      <w:spacing w:after="120" w:line="276" w:lineRule="auto"/>
    </w:pPr>
    <w:rPr>
      <w:rFonts w:ascii="Cambria" w:eastAsiaTheme="minorHAnsi" w:hAnsi="Cambria"/>
      <w:sz w:val="18"/>
      <w:szCs w:val="18"/>
      <w:lang w:val="en-AU"/>
    </w:rPr>
  </w:style>
  <w:style w:type="character" w:styleId="UnresolvedMention">
    <w:name w:val="Unresolved Mention"/>
    <w:basedOn w:val="DefaultParagraphFont"/>
    <w:uiPriority w:val="99"/>
    <w:semiHidden/>
    <w:unhideWhenUsed/>
    <w:rsid w:val="006F7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186412995">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406076319">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45995507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29736814">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451557933">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760444966">
      <w:bodyDiv w:val="1"/>
      <w:marLeft w:val="0"/>
      <w:marRight w:val="0"/>
      <w:marTop w:val="0"/>
      <w:marBottom w:val="0"/>
      <w:divBdr>
        <w:top w:val="none" w:sz="0" w:space="0" w:color="auto"/>
        <w:left w:val="none" w:sz="0" w:space="0" w:color="auto"/>
        <w:bottom w:val="none" w:sz="0" w:space="0" w:color="auto"/>
        <w:right w:val="none" w:sz="0" w:space="0" w:color="auto"/>
      </w:divBdr>
    </w:div>
    <w:div w:id="1853687910">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24532115">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s://www.fcai.com.au/news/index/view/news/600" TargetMode="External"/><Relationship Id="rId1" Type="http://schemas.openxmlformats.org/officeDocument/2006/relationships/hyperlink" Target="https://www.industry.gov.au/data-and-publications/national-greenhouse-gas-inventory-september-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15F17BC3-509C-4E2D-AD8E-440EDD61B5EF}">
  <ds:schemaRefs>
    <ds:schemaRef ds:uri="http://schemas.openxmlformats.org/officeDocument/2006/bibliography"/>
  </ds:schemaRefs>
</ds:datastoreItem>
</file>

<file path=customXml/itemProps2.xml><?xml version="1.0" encoding="utf-8"?>
<ds:datastoreItem xmlns:ds="http://schemas.openxmlformats.org/officeDocument/2006/customXml" ds:itemID="{4E4273A2-CC4F-4510-8D03-6E0B1F4B0753}"/>
</file>

<file path=customXml/itemProps3.xml><?xml version="1.0" encoding="utf-8"?>
<ds:datastoreItem xmlns:ds="http://schemas.openxmlformats.org/officeDocument/2006/customXml" ds:itemID="{18BCA334-2102-458D-895C-9D0DF4001E9C}"/>
</file>

<file path=customXml/itemProps4.xml><?xml version="1.0" encoding="utf-8"?>
<ds:datastoreItem xmlns:ds="http://schemas.openxmlformats.org/officeDocument/2006/customXml" ds:itemID="{AA848D5F-9F00-458B-8C89-C9DBD37DAAFD}"/>
</file>

<file path=docProps/app.xml><?xml version="1.0" encoding="utf-8"?>
<Properties xmlns="http://schemas.openxmlformats.org/officeDocument/2006/extended-properties" xmlns:vt="http://schemas.openxmlformats.org/officeDocument/2006/docPropsVTypes">
  <Template>Normal.dotm</Template>
  <TotalTime>0</TotalTime>
  <Pages>37</Pages>
  <Words>12862</Words>
  <Characters>73319</Characters>
  <Application>Microsoft Office Word</Application>
  <DocSecurity>0</DocSecurity>
  <Lines>610</Lines>
  <Paragraphs>172</Paragraphs>
  <ScaleCrop>false</ScaleCrop>
  <HeadingPairs>
    <vt:vector size="2" baseType="variant">
      <vt:variant>
        <vt:lpstr>Title</vt:lpstr>
      </vt:variant>
      <vt:variant>
        <vt:i4>1</vt:i4>
      </vt:variant>
    </vt:vector>
  </HeadingPairs>
  <TitlesOfParts>
    <vt:vector size="1" baseType="lpstr">
      <vt:lpstr>Cold Hard Facts 2020 Report - 2021 Update</vt:lpstr>
    </vt:vector>
  </TitlesOfParts>
  <Company/>
  <LinksUpToDate>false</LinksUpToDate>
  <CharactersWithSpaces>86009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2020 Report - 2021 Update</dc:title>
  <dc:subject/>
  <dc:creator>Expert Group</dc:creator>
  <cp:keywords/>
  <dc:description/>
  <cp:revision>2</cp:revision>
  <dcterms:created xsi:type="dcterms:W3CDTF">2021-05-10T05:01:00Z</dcterms:created>
  <dcterms:modified xsi:type="dcterms:W3CDTF">2021-05-10T05:01:00Z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